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0886462" w14:textId="77777777" w:rsidTr="00C538FC">
        <w:trPr>
          <w:cantSplit/>
          <w:trHeight w:val="23"/>
        </w:trPr>
        <w:tc>
          <w:tcPr>
            <w:tcW w:w="3969" w:type="dxa"/>
            <w:vMerge w:val="restart"/>
            <w:tcMar>
              <w:left w:w="0" w:type="dxa"/>
            </w:tcMar>
          </w:tcPr>
          <w:p w14:paraId="7BEF7F86" w14:textId="6181856F" w:rsidR="00FE57F6" w:rsidRPr="00E85629" w:rsidRDefault="003518B9" w:rsidP="00C538FC">
            <w:pPr>
              <w:tabs>
                <w:tab w:val="left" w:pos="851"/>
              </w:tabs>
              <w:spacing w:before="0" w:line="240" w:lineRule="atLeast"/>
              <w:rPr>
                <w:b/>
              </w:rPr>
            </w:pPr>
            <w:bookmarkStart w:id="0" w:name="_Hlk133421839"/>
            <w:r w:rsidRPr="003518B9">
              <w:rPr>
                <w:b/>
              </w:rPr>
              <w:t>Punto del orden del día: PL</w:t>
            </w:r>
          </w:p>
        </w:tc>
        <w:tc>
          <w:tcPr>
            <w:tcW w:w="5245" w:type="dxa"/>
          </w:tcPr>
          <w:p w14:paraId="2DFC3BA1" w14:textId="3674CFB7" w:rsidR="00FE57F6" w:rsidRPr="006057E2" w:rsidRDefault="00FE57F6" w:rsidP="00C538FC">
            <w:pPr>
              <w:tabs>
                <w:tab w:val="left" w:pos="851"/>
              </w:tabs>
              <w:spacing w:before="0" w:line="240" w:lineRule="atLeast"/>
              <w:jc w:val="right"/>
              <w:rPr>
                <w:b/>
                <w:lang w:val="es-ES"/>
              </w:rPr>
            </w:pPr>
            <w:r w:rsidRPr="006057E2">
              <w:rPr>
                <w:b/>
                <w:lang w:val="es-ES"/>
              </w:rPr>
              <w:t>Document</w:t>
            </w:r>
            <w:r w:rsidR="00F24B71" w:rsidRPr="006057E2">
              <w:rPr>
                <w:b/>
                <w:lang w:val="es-ES"/>
              </w:rPr>
              <w:t>o</w:t>
            </w:r>
            <w:r w:rsidRPr="006057E2">
              <w:rPr>
                <w:b/>
                <w:lang w:val="es-ES"/>
              </w:rPr>
              <w:t xml:space="preserve"> C23</w:t>
            </w:r>
            <w:r w:rsidR="0094643B">
              <w:rPr>
                <w:b/>
                <w:lang w:val="es-ES"/>
              </w:rPr>
              <w:t>-ADD</w:t>
            </w:r>
            <w:r w:rsidRPr="006057E2">
              <w:rPr>
                <w:b/>
                <w:lang w:val="es-ES"/>
              </w:rPr>
              <w:t>/</w:t>
            </w:r>
            <w:r w:rsidR="007A2ED7" w:rsidRPr="006057E2">
              <w:rPr>
                <w:b/>
                <w:lang w:val="es-ES"/>
              </w:rPr>
              <w:t>2</w:t>
            </w:r>
            <w:r w:rsidRPr="006057E2">
              <w:rPr>
                <w:b/>
                <w:lang w:val="es-ES"/>
              </w:rPr>
              <w:t>-</w:t>
            </w:r>
            <w:r w:rsidR="00F24B71" w:rsidRPr="006057E2">
              <w:rPr>
                <w:b/>
                <w:lang w:val="es-ES"/>
              </w:rPr>
              <w:t>S</w:t>
            </w:r>
          </w:p>
        </w:tc>
      </w:tr>
      <w:tr w:rsidR="00FE57F6" w:rsidRPr="00813E5E" w14:paraId="11B03CDD" w14:textId="77777777" w:rsidTr="00C538FC">
        <w:trPr>
          <w:cantSplit/>
        </w:trPr>
        <w:tc>
          <w:tcPr>
            <w:tcW w:w="3969" w:type="dxa"/>
            <w:vMerge/>
          </w:tcPr>
          <w:p w14:paraId="4B7FD5B9" w14:textId="77777777" w:rsidR="00FE57F6" w:rsidRPr="00813E5E" w:rsidRDefault="00FE57F6" w:rsidP="00C538FC">
            <w:pPr>
              <w:tabs>
                <w:tab w:val="left" w:pos="851"/>
              </w:tabs>
              <w:spacing w:line="240" w:lineRule="atLeast"/>
              <w:rPr>
                <w:b/>
              </w:rPr>
            </w:pPr>
          </w:p>
        </w:tc>
        <w:tc>
          <w:tcPr>
            <w:tcW w:w="5245" w:type="dxa"/>
          </w:tcPr>
          <w:p w14:paraId="0236F70C" w14:textId="42ED5E10" w:rsidR="00FE57F6" w:rsidRPr="006057E2" w:rsidRDefault="007A2ED7" w:rsidP="00C538FC">
            <w:pPr>
              <w:tabs>
                <w:tab w:val="left" w:pos="851"/>
              </w:tabs>
              <w:spacing w:before="0"/>
              <w:jc w:val="right"/>
              <w:rPr>
                <w:b/>
                <w:lang w:val="es-ES"/>
              </w:rPr>
            </w:pPr>
            <w:r w:rsidRPr="006057E2">
              <w:rPr>
                <w:b/>
                <w:lang w:val="es-ES"/>
              </w:rPr>
              <w:t>1</w:t>
            </w:r>
            <w:r w:rsidR="0094643B">
              <w:rPr>
                <w:b/>
                <w:lang w:val="es-ES"/>
              </w:rPr>
              <w:t>8</w:t>
            </w:r>
            <w:r w:rsidRPr="006057E2">
              <w:rPr>
                <w:b/>
                <w:lang w:val="es-ES"/>
              </w:rPr>
              <w:t xml:space="preserve"> de </w:t>
            </w:r>
            <w:r w:rsidR="0094643B">
              <w:rPr>
                <w:b/>
                <w:lang w:val="es-ES"/>
              </w:rPr>
              <w:t>septiembre</w:t>
            </w:r>
            <w:r w:rsidRPr="006057E2">
              <w:rPr>
                <w:b/>
                <w:lang w:val="es-ES"/>
              </w:rPr>
              <w:t xml:space="preserve"> de 2023</w:t>
            </w:r>
          </w:p>
        </w:tc>
      </w:tr>
      <w:tr w:rsidR="00FE57F6" w:rsidRPr="00F24B71" w14:paraId="3F767F8D" w14:textId="77777777" w:rsidTr="00C538FC">
        <w:trPr>
          <w:cantSplit/>
          <w:trHeight w:val="23"/>
        </w:trPr>
        <w:tc>
          <w:tcPr>
            <w:tcW w:w="3969" w:type="dxa"/>
            <w:vMerge/>
          </w:tcPr>
          <w:p w14:paraId="311B91ED" w14:textId="77777777" w:rsidR="00FE57F6" w:rsidRPr="00813E5E" w:rsidRDefault="00FE57F6" w:rsidP="00C538FC">
            <w:pPr>
              <w:tabs>
                <w:tab w:val="left" w:pos="851"/>
              </w:tabs>
              <w:spacing w:line="240" w:lineRule="atLeast"/>
              <w:rPr>
                <w:b/>
              </w:rPr>
            </w:pPr>
          </w:p>
        </w:tc>
        <w:tc>
          <w:tcPr>
            <w:tcW w:w="5245" w:type="dxa"/>
          </w:tcPr>
          <w:p w14:paraId="09B9FEF4" w14:textId="77777777" w:rsidR="00FE57F6" w:rsidRPr="006057E2" w:rsidRDefault="00F24B71" w:rsidP="00C538FC">
            <w:pPr>
              <w:tabs>
                <w:tab w:val="left" w:pos="851"/>
              </w:tabs>
              <w:spacing w:before="0" w:line="240" w:lineRule="atLeast"/>
              <w:jc w:val="right"/>
              <w:rPr>
                <w:b/>
                <w:bCs/>
                <w:lang w:val="es-ES"/>
              </w:rPr>
            </w:pPr>
            <w:r w:rsidRPr="006057E2">
              <w:rPr>
                <w:rFonts w:cstheme="minorHAnsi"/>
                <w:b/>
                <w:bCs/>
                <w:lang w:val="es-ES"/>
              </w:rPr>
              <w:t>Original: inglés</w:t>
            </w:r>
          </w:p>
        </w:tc>
      </w:tr>
      <w:tr w:rsidR="00FE57F6" w:rsidRPr="00813E5E" w14:paraId="1D173199" w14:textId="77777777" w:rsidTr="00C538FC">
        <w:trPr>
          <w:cantSplit/>
          <w:trHeight w:val="23"/>
        </w:trPr>
        <w:tc>
          <w:tcPr>
            <w:tcW w:w="3969" w:type="dxa"/>
          </w:tcPr>
          <w:p w14:paraId="400824CE" w14:textId="77777777" w:rsidR="00FE57F6" w:rsidRPr="00813E5E" w:rsidRDefault="00FE57F6" w:rsidP="00C538FC">
            <w:pPr>
              <w:tabs>
                <w:tab w:val="left" w:pos="851"/>
              </w:tabs>
              <w:spacing w:line="240" w:lineRule="atLeast"/>
              <w:rPr>
                <w:b/>
              </w:rPr>
            </w:pPr>
          </w:p>
        </w:tc>
        <w:tc>
          <w:tcPr>
            <w:tcW w:w="5245" w:type="dxa"/>
          </w:tcPr>
          <w:p w14:paraId="1378D1D9" w14:textId="77777777" w:rsidR="00FE57F6" w:rsidRDefault="00FE57F6" w:rsidP="00C538FC">
            <w:pPr>
              <w:tabs>
                <w:tab w:val="left" w:pos="851"/>
              </w:tabs>
              <w:spacing w:before="0" w:line="240" w:lineRule="atLeast"/>
              <w:jc w:val="right"/>
              <w:rPr>
                <w:b/>
              </w:rPr>
            </w:pPr>
          </w:p>
        </w:tc>
      </w:tr>
      <w:tr w:rsidR="00FE57F6" w:rsidRPr="00FE57F6" w14:paraId="499900F8" w14:textId="77777777" w:rsidTr="00C538FC">
        <w:trPr>
          <w:cantSplit/>
        </w:trPr>
        <w:tc>
          <w:tcPr>
            <w:tcW w:w="9214" w:type="dxa"/>
            <w:gridSpan w:val="2"/>
            <w:tcMar>
              <w:left w:w="0" w:type="dxa"/>
            </w:tcMar>
          </w:tcPr>
          <w:p w14:paraId="1DD6842A"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28A685B6" w14:textId="77777777" w:rsidTr="00C538FC">
        <w:trPr>
          <w:cantSplit/>
        </w:trPr>
        <w:tc>
          <w:tcPr>
            <w:tcW w:w="9214" w:type="dxa"/>
            <w:gridSpan w:val="2"/>
            <w:tcMar>
              <w:left w:w="0" w:type="dxa"/>
            </w:tcMar>
          </w:tcPr>
          <w:p w14:paraId="0DC70F66" w14:textId="2FF1F7C9" w:rsidR="00FE57F6" w:rsidRPr="007A2ED7" w:rsidRDefault="007A2ED7" w:rsidP="007A2ED7">
            <w:pPr>
              <w:pStyle w:val="Subtitle"/>
              <w:framePr w:hSpace="0" w:wrap="auto" w:hAnchor="text" w:xAlign="left" w:yAlign="inline"/>
              <w:rPr>
                <w:lang w:val="es-ES"/>
              </w:rPr>
            </w:pPr>
            <w:r w:rsidRPr="007A2ED7">
              <w:rPr>
                <w:lang w:val="es-ES_tradnl"/>
              </w:rPr>
              <w:t>FECHAS Y DURACIÓN PROPUESTAS PARA LAS REUNIONES DE</w:t>
            </w:r>
            <w:r w:rsidR="001631CA">
              <w:rPr>
                <w:lang w:val="es-ES_tradnl"/>
              </w:rPr>
              <w:t> </w:t>
            </w:r>
            <w:r w:rsidRPr="007A2ED7">
              <w:rPr>
                <w:lang w:val="es-ES_tradnl"/>
              </w:rPr>
              <w:t>2024, 2025 Y 2026 DEL CONSEJO Y FECHAS PROPUESTAS PARA LAS SERIES DE REUNIONES DE LOS GRUPOS DE TRABAJO Y LOS GRUPOS DE EXPERTOS DEL CONSEJO PARA EL MISMO PERIODO</w:t>
            </w:r>
          </w:p>
        </w:tc>
      </w:tr>
      <w:tr w:rsidR="00FE57F6" w:rsidRPr="00813E5E" w14:paraId="3D6F640F" w14:textId="77777777" w:rsidTr="00C538FC">
        <w:trPr>
          <w:cantSplit/>
        </w:trPr>
        <w:tc>
          <w:tcPr>
            <w:tcW w:w="9214" w:type="dxa"/>
            <w:gridSpan w:val="2"/>
            <w:tcBorders>
              <w:top w:val="single" w:sz="4" w:space="0" w:color="auto"/>
              <w:bottom w:val="single" w:sz="4" w:space="0" w:color="auto"/>
            </w:tcBorders>
            <w:tcMar>
              <w:left w:w="0" w:type="dxa"/>
            </w:tcMar>
          </w:tcPr>
          <w:p w14:paraId="17645FCD" w14:textId="76625209" w:rsidR="00FE57F6" w:rsidRPr="00F24B71" w:rsidRDefault="00F24B71" w:rsidP="00C538FC">
            <w:pPr>
              <w:spacing w:before="160"/>
              <w:rPr>
                <w:b/>
                <w:bCs/>
                <w:sz w:val="26"/>
                <w:szCs w:val="26"/>
                <w:lang w:val="es-ES"/>
              </w:rPr>
            </w:pPr>
            <w:r w:rsidRPr="00F24B71">
              <w:rPr>
                <w:b/>
                <w:bCs/>
                <w:sz w:val="26"/>
                <w:szCs w:val="26"/>
                <w:lang w:val="es-ES"/>
              </w:rPr>
              <w:t>Finalidad</w:t>
            </w:r>
          </w:p>
          <w:p w14:paraId="00BBF64C" w14:textId="26D27FA3" w:rsidR="00FE57F6" w:rsidRPr="00F24B71" w:rsidRDefault="0094643B" w:rsidP="007A2ED7">
            <w:pPr>
              <w:rPr>
                <w:lang w:val="es-ES"/>
              </w:rPr>
            </w:pPr>
            <w:r>
              <w:t>E</w:t>
            </w:r>
            <w:r w:rsidR="007A2ED7" w:rsidRPr="007A2ED7">
              <w:t>n la Resolución 77 (Rev. Bucarest, 2022) de la Conferencia de Plenipotenciarios se encarga al Consejo de la UIT que, en cada reunión ordinaria, planifique sus próximas tres reuniones ordinarias para el periodo junio-julio y examine dicha planificación de manera continua.</w:t>
            </w:r>
          </w:p>
          <w:p w14:paraId="45E46546"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660E19F3" w14:textId="164BDDC2" w:rsidR="00FE57F6" w:rsidRPr="00F24B71" w:rsidRDefault="007A2ED7" w:rsidP="007A2ED7">
            <w:pPr>
              <w:rPr>
                <w:lang w:val="es-ES"/>
              </w:rPr>
            </w:pPr>
            <w:r w:rsidRPr="007A2ED7">
              <w:t xml:space="preserve">Se invita al Consejo a </w:t>
            </w:r>
            <w:r w:rsidRPr="007A2ED7">
              <w:rPr>
                <w:b/>
                <w:bCs/>
              </w:rPr>
              <w:t>confirmar</w:t>
            </w:r>
            <w:r w:rsidRPr="006057E2">
              <w:t xml:space="preserve"> </w:t>
            </w:r>
            <w:r w:rsidRPr="007A2ED7">
              <w:t>las fechas de sus reuniones de 2024, 2025 y 2026, así como las fechas de las series de reuniones de los GTC y GE para el mismo per</w:t>
            </w:r>
            <w:r w:rsidR="006057E2">
              <w:t>i</w:t>
            </w:r>
            <w:r w:rsidRPr="007A2ED7">
              <w:t xml:space="preserve">odo, y a </w:t>
            </w:r>
            <w:r w:rsidRPr="007A2ED7">
              <w:rPr>
                <w:b/>
                <w:bCs/>
              </w:rPr>
              <w:t xml:space="preserve">adoptar </w:t>
            </w:r>
            <w:r w:rsidRPr="007A2ED7">
              <w:t xml:space="preserve">el proyecto de Acuerdo que figura en el </w:t>
            </w:r>
            <w:r w:rsidR="006057E2" w:rsidRPr="007A2ED7">
              <w:t xml:space="preserve">Anexo </w:t>
            </w:r>
            <w:r w:rsidRPr="007A2ED7">
              <w:t>al presente documento.</w:t>
            </w:r>
          </w:p>
          <w:p w14:paraId="46067DAE" w14:textId="49A17B32" w:rsidR="00FE57F6" w:rsidRPr="00F24B71" w:rsidRDefault="00F24B71" w:rsidP="00C538FC">
            <w:pPr>
              <w:spacing w:before="160"/>
              <w:rPr>
                <w:b/>
                <w:bCs/>
                <w:sz w:val="26"/>
                <w:szCs w:val="26"/>
                <w:lang w:val="es-ES"/>
              </w:rPr>
            </w:pPr>
            <w:r w:rsidRPr="00F24B71">
              <w:rPr>
                <w:b/>
                <w:bCs/>
                <w:sz w:val="26"/>
                <w:szCs w:val="26"/>
                <w:lang w:val="es-ES"/>
              </w:rPr>
              <w:t>Vínculo</w:t>
            </w:r>
            <w:r w:rsidR="006057E2">
              <w:rPr>
                <w:b/>
                <w:bCs/>
                <w:sz w:val="26"/>
                <w:szCs w:val="26"/>
                <w:lang w:val="es-ES"/>
              </w:rPr>
              <w:t>(</w:t>
            </w:r>
            <w:r w:rsidRPr="00F24B71">
              <w:rPr>
                <w:b/>
                <w:bCs/>
                <w:sz w:val="26"/>
                <w:szCs w:val="26"/>
                <w:lang w:val="es-ES"/>
              </w:rPr>
              <w:t>s</w:t>
            </w:r>
            <w:r w:rsidR="006057E2">
              <w:rPr>
                <w:b/>
                <w:bCs/>
                <w:sz w:val="26"/>
                <w:szCs w:val="26"/>
                <w:lang w:val="es-ES"/>
              </w:rPr>
              <w:t>)</w:t>
            </w:r>
            <w:r w:rsidRPr="00F24B71">
              <w:rPr>
                <w:b/>
                <w:bCs/>
                <w:sz w:val="26"/>
                <w:szCs w:val="26"/>
                <w:lang w:val="es-ES"/>
              </w:rPr>
              <w:t xml:space="preserve"> pertinente</w:t>
            </w:r>
            <w:r w:rsidR="006057E2">
              <w:rPr>
                <w:b/>
                <w:bCs/>
                <w:sz w:val="26"/>
                <w:szCs w:val="26"/>
                <w:lang w:val="es-ES"/>
              </w:rPr>
              <w:t>(</w:t>
            </w:r>
            <w:r w:rsidRPr="00F24B71">
              <w:rPr>
                <w:b/>
                <w:bCs/>
                <w:sz w:val="26"/>
                <w:szCs w:val="26"/>
                <w:lang w:val="es-ES"/>
              </w:rPr>
              <w:t>s</w:t>
            </w:r>
            <w:r w:rsidR="006057E2">
              <w:rPr>
                <w:b/>
                <w:bCs/>
                <w:sz w:val="26"/>
                <w:szCs w:val="26"/>
                <w:lang w:val="es-ES"/>
              </w:rPr>
              <w:t>)</w:t>
            </w:r>
            <w:r w:rsidRPr="00F24B71">
              <w:rPr>
                <w:b/>
                <w:bCs/>
                <w:sz w:val="26"/>
                <w:szCs w:val="26"/>
                <w:lang w:val="es-ES"/>
              </w:rPr>
              <w:t xml:space="preserve"> con el Plan Estratégico</w:t>
            </w:r>
          </w:p>
          <w:p w14:paraId="02106677" w14:textId="51169AC6" w:rsidR="00FE57F6" w:rsidRPr="00F24B71" w:rsidRDefault="007A2ED7" w:rsidP="007A2ED7">
            <w:pPr>
              <w:rPr>
                <w:lang w:val="es-ES"/>
              </w:rPr>
            </w:pPr>
            <w:r w:rsidRPr="007A2ED7">
              <w:t>Plataforma de encuentro</w:t>
            </w:r>
          </w:p>
          <w:p w14:paraId="4A378612" w14:textId="33205FAF" w:rsidR="00FE57F6" w:rsidRDefault="00F24B71" w:rsidP="00C538FC">
            <w:pPr>
              <w:spacing w:before="160"/>
              <w:rPr>
                <w:b/>
                <w:bCs/>
                <w:sz w:val="26"/>
                <w:szCs w:val="26"/>
              </w:rPr>
            </w:pPr>
            <w:r w:rsidRPr="00F24B71">
              <w:rPr>
                <w:b/>
                <w:bCs/>
                <w:sz w:val="26"/>
                <w:szCs w:val="26"/>
              </w:rPr>
              <w:t>Repercusiones financieras</w:t>
            </w:r>
          </w:p>
          <w:p w14:paraId="20FC2B51" w14:textId="271DA6EB" w:rsidR="007A2ED7" w:rsidRDefault="007A2ED7" w:rsidP="007A2ED7">
            <w:pPr>
              <w:pStyle w:val="enumlev1"/>
            </w:pPr>
            <w:r>
              <w:t>–</w:t>
            </w:r>
            <w:r>
              <w:tab/>
              <w:t>Los costes inherentes a la celebración de las reuniones de 2024 y 2025 del Consejo y de las series de reuniones de los Grupos de Trabajo y los Grupos de Expertos del Consejo en la UIT se financiarán con cargo al presupuesto bianual para 2024-2025.</w:t>
            </w:r>
          </w:p>
          <w:p w14:paraId="05168A23" w14:textId="404BB0AF" w:rsidR="007A2ED7" w:rsidRDefault="007A2ED7" w:rsidP="007A2ED7">
            <w:pPr>
              <w:pStyle w:val="enumlev1"/>
            </w:pPr>
            <w:r>
              <w:t>–</w:t>
            </w:r>
            <w:r>
              <w:tab/>
              <w:t>Si una de las reuniones del Consejo se celebrara en el Centro Internacional de Conferencias de Ginebra (CICG), se incurriría en una serie de gastos adicionales estimados en 51</w:t>
            </w:r>
            <w:r w:rsidR="006057E2">
              <w:t> </w:t>
            </w:r>
            <w:r>
              <w:t>250</w:t>
            </w:r>
            <w:r w:rsidR="006057E2">
              <w:t> </w:t>
            </w:r>
            <w:r>
              <w:t>CHF para una reunión de nueve días.</w:t>
            </w:r>
          </w:p>
          <w:p w14:paraId="176CAF32" w14:textId="6535CB3C" w:rsidR="007A2ED7" w:rsidRDefault="007A2ED7" w:rsidP="007A2ED7">
            <w:pPr>
              <w:pStyle w:val="enumlev1"/>
            </w:pPr>
            <w:r>
              <w:t>–</w:t>
            </w:r>
            <w:r>
              <w:tab/>
              <w:t>Si las series de reuniones de los Grupos de Trabajo y los Grupos de Expertos del Consejo se celebraran en el CICG, se incurriría en una serie de gastos adicionales estimados en 26</w:t>
            </w:r>
            <w:r w:rsidR="006057E2">
              <w:t> </w:t>
            </w:r>
            <w:r>
              <w:t>173</w:t>
            </w:r>
            <w:r w:rsidR="006057E2">
              <w:t> </w:t>
            </w:r>
            <w:r>
              <w:t>CHF para un per</w:t>
            </w:r>
            <w:r w:rsidR="006057E2">
              <w:t>i</w:t>
            </w:r>
            <w:r>
              <w:t>odo de dos semanas.</w:t>
            </w:r>
          </w:p>
          <w:p w14:paraId="4F1F4C23" w14:textId="49107531" w:rsidR="00FE57F6" w:rsidRPr="00813E5E" w:rsidRDefault="00FE57F6" w:rsidP="007A2ED7">
            <w:pPr>
              <w:rPr>
                <w:caps/>
              </w:rPr>
            </w:pPr>
            <w:r w:rsidRPr="00813E5E">
              <w:t>____________</w:t>
            </w:r>
            <w:r>
              <w:t>______</w:t>
            </w:r>
          </w:p>
          <w:p w14:paraId="7EB8C542" w14:textId="004E64DE" w:rsidR="00FE57F6" w:rsidRDefault="00F24B71" w:rsidP="00C538FC">
            <w:pPr>
              <w:spacing w:before="160"/>
              <w:rPr>
                <w:b/>
                <w:bCs/>
                <w:sz w:val="26"/>
                <w:szCs w:val="26"/>
              </w:rPr>
            </w:pPr>
            <w:r w:rsidRPr="00F24B71">
              <w:rPr>
                <w:b/>
                <w:bCs/>
                <w:sz w:val="26"/>
                <w:szCs w:val="26"/>
              </w:rPr>
              <w:t>Referencia</w:t>
            </w:r>
            <w:r w:rsidR="007A2ED7">
              <w:rPr>
                <w:b/>
                <w:bCs/>
                <w:sz w:val="26"/>
                <w:szCs w:val="26"/>
              </w:rPr>
              <w:t>s</w:t>
            </w:r>
          </w:p>
          <w:p w14:paraId="1174806C" w14:textId="6B23B9C6" w:rsidR="00FE57F6" w:rsidRDefault="00000000" w:rsidP="007A2ED7">
            <w:pPr>
              <w:spacing w:after="160"/>
            </w:pPr>
            <w:hyperlink r:id="rId8" w:history="1">
              <w:r w:rsidR="007A2ED7" w:rsidRPr="007A2ED7">
                <w:rPr>
                  <w:rStyle w:val="Hyperlink"/>
                  <w:i/>
                  <w:iCs/>
                </w:rPr>
                <w:t>Artículo 1 del Reglamento Interno del Consejo</w:t>
              </w:r>
            </w:hyperlink>
            <w:r w:rsidR="007A2ED7" w:rsidRPr="007A2ED7">
              <w:rPr>
                <w:i/>
                <w:iCs/>
              </w:rPr>
              <w:t xml:space="preserve">; Resolución 77 (Rev. Bucarest, 2022) y </w:t>
            </w:r>
            <w:hyperlink r:id="rId9" w:history="1">
              <w:r w:rsidR="007A2ED7" w:rsidRPr="007A2ED7">
                <w:rPr>
                  <w:rStyle w:val="Hyperlink"/>
                  <w:i/>
                  <w:iCs/>
                </w:rPr>
                <w:t>Resolución 111 (Rev. Busán, 2014)</w:t>
              </w:r>
            </w:hyperlink>
            <w:r w:rsidR="007A2ED7" w:rsidRPr="007A2ED7">
              <w:rPr>
                <w:i/>
                <w:iCs/>
              </w:rPr>
              <w:t xml:space="preserve"> de la Conferencia de Plenipotenciarios; </w:t>
            </w:r>
            <w:hyperlink r:id="rId10" w:history="1">
              <w:r w:rsidR="007A2ED7" w:rsidRPr="007A2ED7">
                <w:rPr>
                  <w:rStyle w:val="Hyperlink"/>
                  <w:i/>
                  <w:iCs/>
                </w:rPr>
                <w:t>Acuerdo 626</w:t>
              </w:r>
            </w:hyperlink>
            <w:r w:rsidR="007A2ED7" w:rsidRPr="007A2ED7">
              <w:rPr>
                <w:i/>
                <w:iCs/>
              </w:rPr>
              <w:t xml:space="preserve"> (C22) del Consejo; </w:t>
            </w:r>
            <w:r w:rsidR="003501B5" w:rsidRPr="007A2ED7">
              <w:rPr>
                <w:i/>
                <w:iCs/>
              </w:rPr>
              <w:t>Documentos</w:t>
            </w:r>
            <w:r w:rsidR="001631CA">
              <w:rPr>
                <w:i/>
                <w:iCs/>
              </w:rPr>
              <w:t> </w:t>
            </w:r>
            <w:hyperlink r:id="rId11" w:history="1">
              <w:r w:rsidR="007A2ED7" w:rsidRPr="007A2ED7">
                <w:rPr>
                  <w:rStyle w:val="Hyperlink"/>
                  <w:i/>
                  <w:iCs/>
                </w:rPr>
                <w:t>C22/2</w:t>
              </w:r>
            </w:hyperlink>
            <w:r w:rsidR="007A2ED7" w:rsidRPr="007A2ED7">
              <w:rPr>
                <w:i/>
                <w:iCs/>
              </w:rPr>
              <w:t xml:space="preserve">, </w:t>
            </w:r>
            <w:hyperlink r:id="rId12" w:history="1">
              <w:r w:rsidR="007A2ED7" w:rsidRPr="007A2ED7">
                <w:rPr>
                  <w:rStyle w:val="Hyperlink"/>
                  <w:i/>
                  <w:iCs/>
                </w:rPr>
                <w:t>C23/37</w:t>
              </w:r>
            </w:hyperlink>
            <w:r w:rsidR="007A2ED7" w:rsidRPr="007A2ED7">
              <w:rPr>
                <w:i/>
                <w:iCs/>
              </w:rPr>
              <w:t xml:space="preserve"> y </w:t>
            </w:r>
            <w:hyperlink r:id="rId13" w:history="1">
              <w:r w:rsidR="007A2ED7" w:rsidRPr="007A2ED7">
                <w:rPr>
                  <w:rStyle w:val="Hyperlink"/>
                  <w:i/>
                  <w:iCs/>
                </w:rPr>
                <w:t>C23/7</w:t>
              </w:r>
            </w:hyperlink>
            <w:r w:rsidR="007A2ED7" w:rsidRPr="007A2ED7">
              <w:rPr>
                <w:i/>
                <w:iCs/>
              </w:rPr>
              <w:t xml:space="preserve"> del Consejo</w:t>
            </w:r>
          </w:p>
        </w:tc>
      </w:tr>
      <w:bookmarkEnd w:id="0"/>
    </w:tbl>
    <w:p w14:paraId="42E6DDCE" w14:textId="77777777" w:rsidR="001559F5" w:rsidRDefault="001559F5" w:rsidP="007A2ED7">
      <w:r>
        <w:lastRenderedPageBreak/>
        <w:br w:type="page"/>
      </w:r>
    </w:p>
    <w:p w14:paraId="72663517" w14:textId="77777777" w:rsidR="007A2ED7" w:rsidRPr="007A2ED7" w:rsidRDefault="007A2ED7" w:rsidP="007A2ED7">
      <w:pPr>
        <w:pStyle w:val="Headingb"/>
      </w:pPr>
      <w:r w:rsidRPr="007A2ED7">
        <w:lastRenderedPageBreak/>
        <w:t>Introducción</w:t>
      </w:r>
    </w:p>
    <w:p w14:paraId="560F9CDA" w14:textId="38D80C06" w:rsidR="007A2ED7" w:rsidRPr="007A2ED7" w:rsidRDefault="007A2ED7" w:rsidP="007A2ED7">
      <w:r w:rsidRPr="007A2ED7">
        <w:t>1</w:t>
      </w:r>
      <w:r w:rsidRPr="007A2ED7">
        <w:tab/>
        <w:t>En su reunión de 2022, el Consejo de la UIT adoptó</w:t>
      </w:r>
      <w:r w:rsidR="003501B5">
        <w:t xml:space="preserve"> el</w:t>
      </w:r>
      <w:r w:rsidRPr="007A2ED7">
        <w:t xml:space="preserve"> </w:t>
      </w:r>
      <w:hyperlink r:id="rId14" w:history="1">
        <w:r w:rsidR="003501B5">
          <w:rPr>
            <w:rStyle w:val="Hyperlink"/>
          </w:rPr>
          <w:t>Acuerdo 626</w:t>
        </w:r>
      </w:hyperlink>
      <w:r w:rsidRPr="007A2ED7">
        <w:t>, relativo a las fechas y duración propuestas tanto para las reuniones de 2023, 2024, 2025 y 2026 del Consejo, como para las series de reuniones de los Grupos de Trabajo y Grupos de Expertos del Consejo para 2023, 2024 y 2025.</w:t>
      </w:r>
    </w:p>
    <w:p w14:paraId="30014DCF" w14:textId="604A7FF3" w:rsidR="007A2ED7" w:rsidRPr="007A2ED7" w:rsidRDefault="007A2ED7" w:rsidP="007A2ED7">
      <w:r w:rsidRPr="007A2ED7">
        <w:t>2</w:t>
      </w:r>
      <w:r w:rsidRPr="007A2ED7">
        <w:tab/>
        <w:t>A la hora de fijar las fechas de las reuniones del Consejo y de sus Grupos de Trabajo aprobadas en virtud del Acuerdo</w:t>
      </w:r>
      <w:r w:rsidR="006057E2">
        <w:t> </w:t>
      </w:r>
      <w:r w:rsidRPr="007A2ED7">
        <w:t>626, se tuvieron en cuenta los principales periodos religiosos y la disponibilidad del Centro Internacional de Conferencias de Ginebra (CICG) durante la fase de demolición y la primera fase de construcción del proyecto de sede.</w:t>
      </w:r>
    </w:p>
    <w:p w14:paraId="7D6586A3" w14:textId="1F53DDA8" w:rsidR="007A2ED7" w:rsidRPr="007A2ED7" w:rsidRDefault="007A2ED7" w:rsidP="0094643B">
      <w:r w:rsidRPr="007A2ED7">
        <w:t>3</w:t>
      </w:r>
      <w:r w:rsidRPr="007A2ED7">
        <w:tab/>
      </w:r>
      <w:r w:rsidR="0094643B">
        <w:t>Se propone modificar el Acuerdo 626 de la siguiente manera:</w:t>
      </w:r>
      <w:bookmarkStart w:id="1" w:name="here"/>
    </w:p>
    <w:bookmarkEnd w:id="1"/>
    <w:p w14:paraId="3AEB03BE" w14:textId="725A14B8" w:rsidR="007A2ED7" w:rsidRDefault="00C14E25" w:rsidP="007A2ED7">
      <w:r>
        <w:t>–</w:t>
      </w:r>
      <w:r w:rsidR="0094643B">
        <w:tab/>
      </w:r>
      <w:r w:rsidR="007A2ED7" w:rsidRPr="007A2ED7">
        <w:t>Habida cuenta de las fechas de los periodos religiosos</w:t>
      </w:r>
      <w:r w:rsidR="0094643B">
        <w:t>,</w:t>
      </w:r>
      <w:r w:rsidR="007A2ED7" w:rsidRPr="007A2ED7">
        <w:t xml:space="preserve"> del Salón del Automóvil de Ginebra, que se celebrará del 26 de febrero al 3 de marzo de 2024, y </w:t>
      </w:r>
      <w:r w:rsidR="0094643B">
        <w:t>de</w:t>
      </w:r>
      <w:r w:rsidR="007A2ED7" w:rsidRPr="007A2ED7">
        <w:t xml:space="preserve"> la disponibilidad de la </w:t>
      </w:r>
      <w:r w:rsidR="006057E2" w:rsidRPr="007A2ED7">
        <w:t xml:space="preserve">Sede </w:t>
      </w:r>
      <w:r w:rsidR="007A2ED7" w:rsidRPr="007A2ED7">
        <w:t>de la UIT</w:t>
      </w:r>
      <w:r w:rsidR="0094643B">
        <w:t xml:space="preserve"> en 2024:</w:t>
      </w:r>
      <w:r w:rsidR="007A2ED7" w:rsidRPr="007A2ED7">
        <w:t xml:space="preserve"> </w:t>
      </w:r>
      <w:r w:rsidR="0094643B">
        <w:t>celebrar</w:t>
      </w:r>
      <w:r w:rsidR="007A2ED7" w:rsidRPr="007A2ED7">
        <w:t xml:space="preserve"> la primera serie de reuniones de los Grupos de Trabajo del Consejo </w:t>
      </w:r>
      <w:r w:rsidR="0094643B">
        <w:t xml:space="preserve">del </w:t>
      </w:r>
      <w:r w:rsidR="0094643B">
        <w:rPr>
          <w:b/>
          <w:bCs/>
        </w:rPr>
        <w:t>lunes 22 de enero al viernes 2 de febrero de 2024</w:t>
      </w:r>
      <w:r w:rsidR="007A2ED7" w:rsidRPr="007A2ED7">
        <w:t>.</w:t>
      </w:r>
    </w:p>
    <w:p w14:paraId="62C2069A" w14:textId="101251CF" w:rsidR="0094643B" w:rsidRDefault="00C14E25" w:rsidP="007A2ED7">
      <w:r>
        <w:t>–</w:t>
      </w:r>
      <w:r w:rsidR="0094643B">
        <w:tab/>
        <w:t>A la luz de los avances en la implementación del proyecto de Sede de la Unión y de la posibilidad de organizar la reunión ordinaria del Consejo de 2024 en junio en la Sede de la</w:t>
      </w:r>
      <w:r w:rsidR="00DB3AF8">
        <w:t> </w:t>
      </w:r>
      <w:r w:rsidR="0094643B">
        <w:t xml:space="preserve">UIT: celebrar la reunión del </w:t>
      </w:r>
      <w:r w:rsidR="0094643B">
        <w:rPr>
          <w:b/>
          <w:bCs/>
        </w:rPr>
        <w:t>martes 4 de junio al viernes 14 de junio de 2024.</w:t>
      </w:r>
    </w:p>
    <w:p w14:paraId="6EDDF8BA" w14:textId="2B8F0945" w:rsidR="0094643B" w:rsidRPr="00DB3AF8" w:rsidRDefault="00C14E25" w:rsidP="007A2ED7">
      <w:pPr>
        <w:rPr>
          <w:b/>
          <w:bCs/>
        </w:rPr>
      </w:pPr>
      <w:r>
        <w:t>–</w:t>
      </w:r>
      <w:r w:rsidR="0094643B">
        <w:tab/>
      </w:r>
      <w:r>
        <w:t>A</w:t>
      </w:r>
      <w:r w:rsidR="0094643B">
        <w:t xml:space="preserve"> fin de evitar un periodo religioso en 2026: celebrar la reunión del Consejo de 2026 del </w:t>
      </w:r>
      <w:r w:rsidR="0094643B">
        <w:rPr>
          <w:b/>
          <w:bCs/>
        </w:rPr>
        <w:t>martes 28 e abril al viernes 8 de mayo de 2026.</w:t>
      </w:r>
    </w:p>
    <w:p w14:paraId="7117BF7D" w14:textId="1AD8E472" w:rsidR="007A2ED7" w:rsidRPr="007A2ED7" w:rsidRDefault="00360B88" w:rsidP="007A2ED7">
      <w:r>
        <w:t>3</w:t>
      </w:r>
      <w:r w:rsidR="007A2ED7" w:rsidRPr="007A2ED7">
        <w:tab/>
        <w:t xml:space="preserve">Se invita al Consejo a </w:t>
      </w:r>
      <w:r w:rsidR="007A2ED7" w:rsidRPr="007A2ED7">
        <w:rPr>
          <w:b/>
          <w:bCs/>
        </w:rPr>
        <w:t xml:space="preserve">adoptar </w:t>
      </w:r>
      <w:r w:rsidR="007A2ED7" w:rsidRPr="007A2ED7">
        <w:t>el proyecto de Acuerdo que figura en el Anexo, en virtud del cual se acuerdan las fechas de las reuniones del Consejo y de las series de reuniones de sus Grupos de Trabajo y Grupos de Expertos.</w:t>
      </w:r>
    </w:p>
    <w:p w14:paraId="3B313B8A" w14:textId="77777777" w:rsidR="007A2ED7" w:rsidRDefault="007A2ED7" w:rsidP="007A2ED7">
      <w:pPr>
        <w:spacing w:before="1680"/>
        <w:rPr>
          <w:b/>
          <w:bCs/>
          <w:i/>
          <w:iCs/>
        </w:rPr>
      </w:pPr>
      <w:r w:rsidRPr="007A2ED7">
        <w:rPr>
          <w:i/>
          <w:iCs/>
        </w:rPr>
        <w:t xml:space="preserve">Anexo: </w:t>
      </w:r>
      <w:r w:rsidRPr="007A2ED7">
        <w:rPr>
          <w:b/>
          <w:bCs/>
          <w:i/>
          <w:iCs/>
        </w:rPr>
        <w:t>1</w:t>
      </w:r>
    </w:p>
    <w:p w14:paraId="371A0942" w14:textId="77A2CA21" w:rsidR="007A2ED7" w:rsidRPr="007A2ED7" w:rsidRDefault="007A2ED7" w:rsidP="007A2ED7">
      <w:r w:rsidRPr="007A2ED7">
        <w:br w:type="page"/>
      </w:r>
    </w:p>
    <w:p w14:paraId="7CE203B6" w14:textId="77777777" w:rsidR="007A2ED7" w:rsidRPr="007A2ED7" w:rsidRDefault="007A2ED7" w:rsidP="007A2ED7">
      <w:pPr>
        <w:pStyle w:val="AnnexNo"/>
      </w:pPr>
      <w:bookmarkStart w:id="2" w:name="_Hlk37226918"/>
      <w:r w:rsidRPr="007A2ED7">
        <w:lastRenderedPageBreak/>
        <w:t>Anexo</w:t>
      </w:r>
    </w:p>
    <w:p w14:paraId="05B55C0D" w14:textId="77777777" w:rsidR="007A2ED7" w:rsidRPr="007A2ED7" w:rsidRDefault="007A2ED7" w:rsidP="001631CA">
      <w:pPr>
        <w:pStyle w:val="RecNo"/>
      </w:pPr>
      <w:r w:rsidRPr="007A2ED7">
        <w:t>Proyecto de acuerdo [...]</w:t>
      </w:r>
    </w:p>
    <w:p w14:paraId="199906D0" w14:textId="5FA8CB96" w:rsidR="007A2ED7" w:rsidRPr="007A2ED7" w:rsidRDefault="007A2ED7" w:rsidP="001631CA">
      <w:pPr>
        <w:pStyle w:val="Rectitle"/>
      </w:pPr>
      <w:r w:rsidRPr="007A2ED7">
        <w:t xml:space="preserve">Fechas y duración propuestas para las reuniones de 2024, 2025 y 2026 </w:t>
      </w:r>
      <w:r w:rsidR="006057E2">
        <w:br/>
      </w:r>
      <w:r w:rsidRPr="007A2ED7">
        <w:t>del Consejo y fechas propuestas para las series de reuniones</w:t>
      </w:r>
      <w:r w:rsidRPr="007A2ED7">
        <w:br/>
        <w:t>de los Grupos de Trabajo y Grupos de Expertos</w:t>
      </w:r>
      <w:r w:rsidRPr="007A2ED7">
        <w:br/>
        <w:t>del Consejo para 2024, 2025 y 2026</w:t>
      </w:r>
    </w:p>
    <w:bookmarkEnd w:id="2"/>
    <w:p w14:paraId="1EA713DC" w14:textId="77777777" w:rsidR="007A2ED7" w:rsidRPr="007A2ED7" w:rsidRDefault="007A2ED7" w:rsidP="007A2ED7">
      <w:pPr>
        <w:pStyle w:val="Normalaftertitle"/>
      </w:pPr>
      <w:r w:rsidRPr="007A2ED7">
        <w:t>El Consejo de la UIT,</w:t>
      </w:r>
    </w:p>
    <w:p w14:paraId="0AB19E8A" w14:textId="77777777" w:rsidR="007A2ED7" w:rsidRPr="007A2ED7" w:rsidRDefault="007A2ED7" w:rsidP="007A2ED7">
      <w:pPr>
        <w:pStyle w:val="Call"/>
      </w:pPr>
      <w:r w:rsidRPr="007A2ED7">
        <w:t>teniendo presente</w:t>
      </w:r>
    </w:p>
    <w:p w14:paraId="5B1BCFC6" w14:textId="51C91CF5" w:rsidR="007A2ED7" w:rsidRPr="007A2ED7" w:rsidRDefault="007A2ED7" w:rsidP="007A2ED7">
      <w:r w:rsidRPr="007A2ED7">
        <w:rPr>
          <w:i/>
          <w:iCs/>
        </w:rPr>
        <w:t>a)</w:t>
      </w:r>
      <w:r w:rsidRPr="007A2ED7">
        <w:tab/>
        <w:t>la Resolución</w:t>
      </w:r>
      <w:r w:rsidR="006057E2">
        <w:t> </w:t>
      </w:r>
      <w:r w:rsidRPr="007A2ED7">
        <w:t>77 (Rev. Bucarest, 2022) de la Conferencia de Plenipotenciarios, en la que se encarga al Consejo "que, en cada reunión ordinaria, planifique sus próximas tres reuniones ordinarias para el periodo junio-julio y examine dicha planificación de manera continua";</w:t>
      </w:r>
    </w:p>
    <w:p w14:paraId="54FECF3F" w14:textId="4429B1B8" w:rsidR="007A2ED7" w:rsidRPr="007A2ED7" w:rsidRDefault="007A2ED7" w:rsidP="007A2ED7">
      <w:r w:rsidRPr="007A2ED7">
        <w:rPr>
          <w:i/>
          <w:iCs/>
        </w:rPr>
        <w:t>b)</w:t>
      </w:r>
      <w:r w:rsidRPr="007A2ED7">
        <w:rPr>
          <w:i/>
          <w:iCs/>
        </w:rPr>
        <w:tab/>
      </w:r>
      <w:r w:rsidRPr="007A2ED7">
        <w:t>la Resolución</w:t>
      </w:r>
      <w:r w:rsidR="006057E2">
        <w:t> </w:t>
      </w:r>
      <w:r w:rsidRPr="007A2ED7">
        <w:t>111 (Rev. Busán, 2014) de la Conferencia de Plenipotenciarios, en la que se resuelve "que la Unión y los Estados Miembros del Consejo hagan, en la medida de lo posible, todo lo que esté en su mano para que las reuniones del Consejo de la UIT no coincidan con un periodo religioso importante para un Estado Miembro del Consejo";</w:t>
      </w:r>
    </w:p>
    <w:p w14:paraId="4E618871" w14:textId="68178425" w:rsidR="007A2ED7" w:rsidRPr="007A2ED7" w:rsidRDefault="007A2ED7" w:rsidP="007A2ED7">
      <w:r w:rsidRPr="007A2ED7">
        <w:rPr>
          <w:i/>
        </w:rPr>
        <w:t>c)</w:t>
      </w:r>
      <w:r w:rsidRPr="007A2ED7">
        <w:tab/>
        <w:t>el Acuerdo</w:t>
      </w:r>
      <w:r w:rsidR="006057E2">
        <w:t> </w:t>
      </w:r>
      <w:r w:rsidRPr="007A2ED7">
        <w:t>619 sobre el Edificio de la Sede adoptado en la reunión adicional del Consejo de 2019,</w:t>
      </w:r>
    </w:p>
    <w:p w14:paraId="0EBC27C0" w14:textId="77777777" w:rsidR="007A2ED7" w:rsidRPr="007A2ED7" w:rsidRDefault="007A2ED7" w:rsidP="007A2ED7">
      <w:pPr>
        <w:pStyle w:val="Call"/>
      </w:pPr>
      <w:r w:rsidRPr="007A2ED7">
        <w:t>recordando</w:t>
      </w:r>
    </w:p>
    <w:p w14:paraId="634DBC47" w14:textId="6B300700" w:rsidR="007A2ED7" w:rsidRPr="007A2ED7" w:rsidRDefault="007A2ED7" w:rsidP="007A2ED7">
      <w:r w:rsidRPr="007A2ED7">
        <w:t>que, en el Acuerdo</w:t>
      </w:r>
      <w:r w:rsidR="006057E2">
        <w:t> </w:t>
      </w:r>
      <w:r w:rsidRPr="007A2ED7">
        <w:t>626 (C22) del Consejo, se confirman las fechas y duración de las reuniones de 2023, 2024, 2025 y 2026 del Consejo, y de las series de reuniones de los Grupos de Trabajo y Grupos de Expertos del Consejo para 2023, 2024 y 2025,</w:t>
      </w:r>
    </w:p>
    <w:p w14:paraId="383CCD3B" w14:textId="77777777" w:rsidR="007A2ED7" w:rsidRPr="007A2ED7" w:rsidRDefault="007A2ED7" w:rsidP="007A2ED7">
      <w:pPr>
        <w:pStyle w:val="Call"/>
      </w:pPr>
      <w:r w:rsidRPr="007A2ED7">
        <w:t>considerando</w:t>
      </w:r>
    </w:p>
    <w:p w14:paraId="0F9A1752" w14:textId="77777777" w:rsidR="007A2ED7" w:rsidRPr="007A2ED7" w:rsidRDefault="007A2ED7" w:rsidP="007A2ED7">
      <w:r w:rsidRPr="007A2ED7">
        <w:t>la necesidad de programar las reuniones ordinarias del Consejo, dentro de lo posible, en la misma época del año para facilitar la disposición de los demás eventos de la UIT,</w:t>
      </w:r>
    </w:p>
    <w:p w14:paraId="257D51D3" w14:textId="77777777" w:rsidR="007A2ED7" w:rsidRPr="007A2ED7" w:rsidRDefault="007A2ED7" w:rsidP="007A2ED7">
      <w:pPr>
        <w:pStyle w:val="Call"/>
      </w:pPr>
      <w:r w:rsidRPr="007A2ED7">
        <w:t>considerando además</w:t>
      </w:r>
    </w:p>
    <w:p w14:paraId="53B8C57F" w14:textId="77777777" w:rsidR="007A2ED7" w:rsidRPr="007A2ED7" w:rsidRDefault="007A2ED7" w:rsidP="007A2ED7">
      <w:r w:rsidRPr="007A2ED7">
        <w:t>la necesidad de organizar la reunión ordinaria del Consejo del año en que se celebra la Conferencia de Plenipotenciarios (PP) con suficiente antelación para permitir que los informes del Consejo que deban ser objeto de examen la PP se publiquen con un margen de tiempo razonable,</w:t>
      </w:r>
    </w:p>
    <w:p w14:paraId="727D7BAA" w14:textId="77777777" w:rsidR="007A2ED7" w:rsidRPr="007A2ED7" w:rsidRDefault="007A2ED7" w:rsidP="007A2ED7">
      <w:pPr>
        <w:pStyle w:val="Call"/>
      </w:pPr>
      <w:r w:rsidRPr="007A2ED7">
        <w:t>destacando</w:t>
      </w:r>
    </w:p>
    <w:p w14:paraId="52FE237D" w14:textId="77777777" w:rsidR="007A2ED7" w:rsidRPr="007A2ED7" w:rsidRDefault="007A2ED7" w:rsidP="007A2ED7">
      <w:r w:rsidRPr="007A2ED7">
        <w:t>que la programación de las series de reuniones de Grupos de Trabajo y Grupos de Expertos del Consejo (GTC y GE) para los tres próximos años no sólo mejoraría la planificación global de los eventos de la UIT, sino que también reduciría el riesgo de solapamiento,</w:t>
      </w:r>
    </w:p>
    <w:p w14:paraId="7AA460A0" w14:textId="77777777" w:rsidR="007A2ED7" w:rsidRPr="007A2ED7" w:rsidRDefault="007A2ED7" w:rsidP="007A2ED7">
      <w:pPr>
        <w:pStyle w:val="Call"/>
      </w:pPr>
      <w:r w:rsidRPr="007A2ED7">
        <w:lastRenderedPageBreak/>
        <w:t>reconociendo</w:t>
      </w:r>
    </w:p>
    <w:p w14:paraId="0F1BE1C0" w14:textId="33BF5ADD" w:rsidR="007A2ED7" w:rsidRPr="007A2ED7" w:rsidRDefault="007A2ED7" w:rsidP="007A2ED7">
      <w:r w:rsidRPr="007A2ED7">
        <w:t xml:space="preserve">las limitaciones inherentes a la disponibilidad de salas de reunión durante la fase de demolición y la primera fase de construcción de las instalaciones de la </w:t>
      </w:r>
      <w:r w:rsidR="006057E2" w:rsidRPr="007A2ED7">
        <w:t>Sede</w:t>
      </w:r>
      <w:r w:rsidRPr="007A2ED7">
        <w:t>,</w:t>
      </w:r>
    </w:p>
    <w:p w14:paraId="3BB02D89" w14:textId="77777777" w:rsidR="007A2ED7" w:rsidRPr="007A2ED7" w:rsidRDefault="007A2ED7" w:rsidP="007A2ED7">
      <w:pPr>
        <w:pStyle w:val="Call"/>
      </w:pPr>
      <w:bookmarkStart w:id="3" w:name="_Hlk70323209"/>
      <w:r w:rsidRPr="007A2ED7">
        <w:t>consciente</w:t>
      </w:r>
    </w:p>
    <w:p w14:paraId="70CFAFBE" w14:textId="254A6CF4" w:rsidR="007A2ED7" w:rsidRPr="007A2ED7" w:rsidRDefault="007A2ED7" w:rsidP="007A2ED7">
      <w:r w:rsidRPr="007A2ED7">
        <w:t>de la Decisión</w:t>
      </w:r>
      <w:r w:rsidR="006057E2">
        <w:t> </w:t>
      </w:r>
      <w:r w:rsidRPr="007A2ED7">
        <w:t>11 (Rev. Bucarest, 2022) de la Conferencia de Plenipotenciarios, relativa a la creación y gestión de los Grupos de Trabajo del Consejo, que remite al Anexo</w:t>
      </w:r>
      <w:r w:rsidR="006057E2">
        <w:t> </w:t>
      </w:r>
      <w:r w:rsidRPr="007A2ED7">
        <w:t>2 a la Decisión</w:t>
      </w:r>
      <w:r>
        <w:t> </w:t>
      </w:r>
      <w:r w:rsidRPr="007A2ED7">
        <w:t>5 (Rev. Bucarest, 2022) de la misma Conferencia, sobre medidas destinadas a reducir gastos,</w:t>
      </w:r>
    </w:p>
    <w:p w14:paraId="6A95F718" w14:textId="77777777" w:rsidR="007A2ED7" w:rsidRPr="007A2ED7" w:rsidRDefault="007A2ED7" w:rsidP="007A2ED7">
      <w:pPr>
        <w:pStyle w:val="Call"/>
      </w:pPr>
      <w:r w:rsidRPr="007A2ED7">
        <w:t>acuerda</w:t>
      </w:r>
    </w:p>
    <w:bookmarkEnd w:id="3"/>
    <w:p w14:paraId="1635434A" w14:textId="0DC0A0F0" w:rsidR="007A2ED7" w:rsidRPr="007A2ED7" w:rsidRDefault="007A2ED7" w:rsidP="007A2ED7">
      <w:r w:rsidRPr="007A2ED7">
        <w:t>1</w:t>
      </w:r>
      <w:r w:rsidRPr="007A2ED7">
        <w:tab/>
        <w:t xml:space="preserve">que la reunión de 2024 del Consejo se celebre en Ginebra durante un periodo de </w:t>
      </w:r>
      <w:r w:rsidR="00360B88">
        <w:t>nueve</w:t>
      </w:r>
      <w:r w:rsidRPr="007A2ED7">
        <w:t> días laborables y que las series de reuniones de los GTC y GE se celebren en las fechas siguientes:</w:t>
      </w:r>
    </w:p>
    <w:p w14:paraId="1463331F" w14:textId="47875701" w:rsidR="007A2ED7" w:rsidRPr="007A2ED7" w:rsidRDefault="007A2ED7" w:rsidP="007A2ED7">
      <w:pPr>
        <w:pStyle w:val="enumlev1"/>
      </w:pPr>
      <w:r>
        <w:t>–</w:t>
      </w:r>
      <w:r>
        <w:tab/>
      </w:r>
      <w:r w:rsidRPr="007A2ED7">
        <w:t>primera serie de reuniones: del lunes 22 de enero al viernes 2 de febrero</w:t>
      </w:r>
      <w:r w:rsidR="006057E2">
        <w:t>;</w:t>
      </w:r>
    </w:p>
    <w:p w14:paraId="3CACD972" w14:textId="7F7B71AC" w:rsidR="007A2ED7" w:rsidRPr="007A2ED7" w:rsidRDefault="007A2ED7" w:rsidP="007A2ED7">
      <w:pPr>
        <w:pStyle w:val="enumlev1"/>
      </w:pPr>
      <w:r>
        <w:t>–</w:t>
      </w:r>
      <w:r>
        <w:tab/>
      </w:r>
      <w:r w:rsidRPr="007A2ED7">
        <w:rPr>
          <w:b/>
          <w:bCs/>
        </w:rPr>
        <w:t xml:space="preserve">reunión de 2024 del Consejo: del </w:t>
      </w:r>
      <w:r w:rsidR="00360B88">
        <w:rPr>
          <w:b/>
          <w:bCs/>
        </w:rPr>
        <w:t>viernes</w:t>
      </w:r>
      <w:r w:rsidRPr="007A2ED7">
        <w:rPr>
          <w:b/>
          <w:bCs/>
        </w:rPr>
        <w:t xml:space="preserve"> 4 de junio al </w:t>
      </w:r>
      <w:r w:rsidR="00360B88">
        <w:rPr>
          <w:b/>
          <w:bCs/>
        </w:rPr>
        <w:t>viernes 14</w:t>
      </w:r>
      <w:r w:rsidRPr="007A2ED7">
        <w:rPr>
          <w:b/>
          <w:bCs/>
        </w:rPr>
        <w:t xml:space="preserve"> de junio de 2024</w:t>
      </w:r>
      <w:r w:rsidR="006057E2">
        <w:t>;</w:t>
      </w:r>
    </w:p>
    <w:p w14:paraId="4E1EB232" w14:textId="3DC4D6AF" w:rsidR="007A2ED7" w:rsidRPr="007A2ED7" w:rsidRDefault="007A2ED7" w:rsidP="007A2ED7">
      <w:pPr>
        <w:pStyle w:val="enumlev1"/>
      </w:pPr>
      <w:r>
        <w:t>–</w:t>
      </w:r>
      <w:r>
        <w:tab/>
      </w:r>
      <w:r w:rsidRPr="007A2ED7">
        <w:t>segunda serie de reuniones: del lunes 30 de septiembre al viernes 11 de octubre de</w:t>
      </w:r>
      <w:r w:rsidR="006057E2">
        <w:t> </w:t>
      </w:r>
      <w:r w:rsidRPr="007A2ED7">
        <w:t>2024;</w:t>
      </w:r>
    </w:p>
    <w:p w14:paraId="0AA70275" w14:textId="436CD383" w:rsidR="007A2ED7" w:rsidRPr="007A2ED7" w:rsidRDefault="007A2ED7" w:rsidP="007A2ED7">
      <w:r w:rsidRPr="007A2ED7">
        <w:t>2</w:t>
      </w:r>
      <w:r w:rsidRPr="007A2ED7">
        <w:tab/>
        <w:t xml:space="preserve">que la reunión ordinaria del Consejo de 2025 se celebre en Ginebra durante un periodo de </w:t>
      </w:r>
      <w:r w:rsidR="00360B88">
        <w:t>nueve</w:t>
      </w:r>
      <w:r w:rsidRPr="007A2ED7">
        <w:t> días laborables y que las series de reuniones de los GTC y GE se celebren en las fechas siguientes:</w:t>
      </w:r>
    </w:p>
    <w:p w14:paraId="4415F142" w14:textId="40FB1D8F" w:rsidR="007A2ED7" w:rsidRPr="007A2ED7" w:rsidRDefault="007A2ED7" w:rsidP="007A2ED7">
      <w:pPr>
        <w:pStyle w:val="enumlev1"/>
      </w:pPr>
      <w:r>
        <w:t>–</w:t>
      </w:r>
      <w:r>
        <w:tab/>
      </w:r>
      <w:r w:rsidRPr="007A2ED7">
        <w:t>primera serie de reuniones: del lunes 10 de febrero al viernes 21 de febrero de 2025</w:t>
      </w:r>
      <w:r w:rsidR="006057E2">
        <w:t>;</w:t>
      </w:r>
    </w:p>
    <w:p w14:paraId="18D55801" w14:textId="5E1EFD84" w:rsidR="007A2ED7" w:rsidRPr="007A2ED7" w:rsidRDefault="007A2ED7" w:rsidP="007A2ED7">
      <w:pPr>
        <w:pStyle w:val="enumlev1"/>
      </w:pPr>
      <w:r>
        <w:t>–</w:t>
      </w:r>
      <w:r>
        <w:tab/>
      </w:r>
      <w:r w:rsidRPr="007A2ED7">
        <w:rPr>
          <w:b/>
          <w:bCs/>
        </w:rPr>
        <w:t>reunión de 2025 del Consejo: del martes 1 de ju</w:t>
      </w:r>
      <w:r w:rsidR="00360B88">
        <w:rPr>
          <w:b/>
          <w:bCs/>
        </w:rPr>
        <w:t>l</w:t>
      </w:r>
      <w:r w:rsidRPr="007A2ED7">
        <w:rPr>
          <w:b/>
          <w:bCs/>
        </w:rPr>
        <w:t xml:space="preserve">io al </w:t>
      </w:r>
      <w:r w:rsidR="00360B88">
        <w:rPr>
          <w:b/>
          <w:bCs/>
        </w:rPr>
        <w:t>viernes 11 de julio</w:t>
      </w:r>
      <w:r w:rsidRPr="007A2ED7">
        <w:rPr>
          <w:b/>
          <w:bCs/>
        </w:rPr>
        <w:t xml:space="preserve"> de 2025</w:t>
      </w:r>
      <w:r w:rsidR="006057E2">
        <w:t>;</w:t>
      </w:r>
    </w:p>
    <w:p w14:paraId="4B9DEED6" w14:textId="65F09FEC" w:rsidR="007A2ED7" w:rsidRPr="007A2ED7" w:rsidRDefault="007A2ED7" w:rsidP="007A2ED7">
      <w:pPr>
        <w:pStyle w:val="enumlev1"/>
      </w:pPr>
      <w:r>
        <w:t>–</w:t>
      </w:r>
      <w:r>
        <w:tab/>
      </w:r>
      <w:r w:rsidRPr="007A2ED7">
        <w:t>segunda serie de reuniones: del lunes 8 de septiembre al viernes 19 de septiembre de</w:t>
      </w:r>
      <w:r w:rsidR="006057E2">
        <w:t> </w:t>
      </w:r>
      <w:r w:rsidRPr="007A2ED7">
        <w:t>2025;</w:t>
      </w:r>
    </w:p>
    <w:p w14:paraId="04E064BB" w14:textId="5B340955" w:rsidR="007A2ED7" w:rsidRPr="007A2ED7" w:rsidRDefault="007A2ED7" w:rsidP="007A2ED7">
      <w:r w:rsidRPr="007A2ED7">
        <w:t>3</w:t>
      </w:r>
      <w:r w:rsidRPr="007A2ED7">
        <w:tab/>
        <w:t xml:space="preserve">que la reunión ordinaria del Consejo de 2026 se celebre en Ginebra durante un periodo de </w:t>
      </w:r>
      <w:r w:rsidR="00360B88">
        <w:t>nueve</w:t>
      </w:r>
      <w:r w:rsidRPr="007A2ED7">
        <w:t> días laborables y que las series de reuniones de los GTC y GE se celebren en las fechas siguientes:</w:t>
      </w:r>
    </w:p>
    <w:p w14:paraId="2F851D5F" w14:textId="2ED6B091" w:rsidR="007A2ED7" w:rsidRPr="007A2ED7" w:rsidRDefault="007A2ED7" w:rsidP="007A2ED7">
      <w:pPr>
        <w:pStyle w:val="enumlev1"/>
      </w:pPr>
      <w:r>
        <w:t>–</w:t>
      </w:r>
      <w:r>
        <w:tab/>
      </w:r>
      <w:r w:rsidRPr="007A2ED7">
        <w:t>única serie de reuniones: del lunes 12 de enero al viernes 23 de enero de 2026</w:t>
      </w:r>
      <w:r w:rsidR="006057E2">
        <w:t>;</w:t>
      </w:r>
    </w:p>
    <w:p w14:paraId="20C48B46" w14:textId="2EA73EF3" w:rsidR="007A2ED7" w:rsidRPr="007A2ED7" w:rsidRDefault="007A2ED7" w:rsidP="007A2ED7">
      <w:pPr>
        <w:pStyle w:val="enumlev1"/>
      </w:pPr>
      <w:r>
        <w:t>–</w:t>
      </w:r>
      <w:r>
        <w:tab/>
      </w:r>
      <w:r w:rsidRPr="007A2ED7">
        <w:rPr>
          <w:b/>
          <w:bCs/>
        </w:rPr>
        <w:t xml:space="preserve">reunión de 2026 del Consejo: del martes 28 de abril al </w:t>
      </w:r>
      <w:r w:rsidR="00360B88">
        <w:rPr>
          <w:b/>
          <w:bCs/>
        </w:rPr>
        <w:t>viernes 8</w:t>
      </w:r>
      <w:r w:rsidRPr="007A2ED7">
        <w:rPr>
          <w:b/>
          <w:bCs/>
        </w:rPr>
        <w:t xml:space="preserve"> de mayo de 2026</w:t>
      </w:r>
      <w:r w:rsidRPr="007A2ED7">
        <w:t>; su última sesión se celebrará el sábado anterior a la apertura de la Conferencia de Plenipotenciarios de 2026.</w:t>
      </w:r>
    </w:p>
    <w:p w14:paraId="0F560A76" w14:textId="77777777" w:rsidR="007A2ED7" w:rsidRDefault="007A2ED7" w:rsidP="00411C49">
      <w:pPr>
        <w:pStyle w:val="Reasons"/>
      </w:pPr>
    </w:p>
    <w:p w14:paraId="72DC1AF8" w14:textId="77777777" w:rsidR="007A2ED7" w:rsidRDefault="007A2ED7">
      <w:pPr>
        <w:jc w:val="center"/>
      </w:pPr>
      <w:r>
        <w:t>______________</w:t>
      </w:r>
    </w:p>
    <w:sectPr w:rsidR="007A2ED7" w:rsidSect="00C538FC">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7A23" w14:textId="77777777" w:rsidR="00A27CD4" w:rsidRDefault="00A27CD4">
      <w:r>
        <w:separator/>
      </w:r>
    </w:p>
  </w:endnote>
  <w:endnote w:type="continuationSeparator" w:id="0">
    <w:p w14:paraId="46074632" w14:textId="77777777" w:rsidR="00A27CD4" w:rsidRDefault="00A2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8A383CB" w14:textId="77777777" w:rsidTr="00E31DCE">
      <w:trPr>
        <w:jc w:val="center"/>
      </w:trPr>
      <w:tc>
        <w:tcPr>
          <w:tcW w:w="1803" w:type="dxa"/>
          <w:vAlign w:val="center"/>
        </w:tcPr>
        <w:p w14:paraId="33D1BFB9" w14:textId="607A7DD3" w:rsidR="003273A4" w:rsidRDefault="003273A4" w:rsidP="003273A4">
          <w:pPr>
            <w:pStyle w:val="Header"/>
            <w:jc w:val="left"/>
            <w:rPr>
              <w:noProof/>
            </w:rPr>
          </w:pPr>
          <w:r>
            <w:rPr>
              <w:noProof/>
            </w:rPr>
            <w:t xml:space="preserve">DPS </w:t>
          </w:r>
          <w:r w:rsidR="00133A8C">
            <w:rPr>
              <w:noProof/>
            </w:rPr>
            <w:t>528192</w:t>
          </w:r>
        </w:p>
      </w:tc>
      <w:tc>
        <w:tcPr>
          <w:tcW w:w="8261" w:type="dxa"/>
        </w:tcPr>
        <w:p w14:paraId="10B4F18E" w14:textId="11466423" w:rsidR="003273A4" w:rsidRPr="00E06FD5" w:rsidRDefault="003273A4" w:rsidP="00133A8C">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23</w:t>
          </w:r>
          <w:r w:rsidR="00133A8C">
            <w:rPr>
              <w:bCs/>
            </w:rPr>
            <w:t>-ADD</w:t>
          </w:r>
          <w:r w:rsidRPr="00623AE3">
            <w:rPr>
              <w:bCs/>
            </w:rPr>
            <w:t>/</w:t>
          </w:r>
          <w:r w:rsidR="007A2ED7">
            <w:rPr>
              <w:bCs/>
            </w:rPr>
            <w:t>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403C6DC" w14:textId="2ED7B8BA" w:rsidR="00760F1C" w:rsidRPr="00CD4729" w:rsidRDefault="007A2ED7" w:rsidP="007A2ED7">
    <w:pPr>
      <w:pStyle w:val="Footer"/>
      <w:spacing w:before="120"/>
      <w:rPr>
        <w:lang w:val="fr-FR"/>
      </w:rPr>
    </w:pPr>
    <w:r w:rsidRPr="00CD4729">
      <w:rPr>
        <w:color w:val="F2F2F2" w:themeColor="background1" w:themeShade="F2"/>
      </w:rPr>
      <w:fldChar w:fldCharType="begin"/>
    </w:r>
    <w:r w:rsidRPr="00CD4729">
      <w:rPr>
        <w:color w:val="F2F2F2" w:themeColor="background1" w:themeShade="F2"/>
        <w:lang w:val="fr-FR"/>
      </w:rPr>
      <w:instrText xml:space="preserve"> FILENAME \p  \* MERGEFORMAT </w:instrText>
    </w:r>
    <w:r w:rsidRPr="00CD4729">
      <w:rPr>
        <w:color w:val="F2F2F2" w:themeColor="background1" w:themeShade="F2"/>
      </w:rPr>
      <w:fldChar w:fldCharType="separate"/>
    </w:r>
    <w:r w:rsidR="00133A8C" w:rsidRPr="00CD4729">
      <w:rPr>
        <w:color w:val="F2F2F2" w:themeColor="background1" w:themeShade="F2"/>
        <w:lang w:val="fr-FR"/>
      </w:rPr>
      <w:t>P:\ESP\SG\CONSEIL\C23-ADD\002S.docx</w:t>
    </w:r>
    <w:r w:rsidRPr="00CD4729">
      <w:rPr>
        <w:color w:val="F2F2F2" w:themeColor="background1" w:themeShade="F2"/>
      </w:rPr>
      <w:fldChar w:fldCharType="end"/>
    </w:r>
    <w:r w:rsidR="00133A8C" w:rsidRPr="00CD4729">
      <w:rPr>
        <w:color w:val="F2F2F2" w:themeColor="background1" w:themeShade="F2"/>
        <w:lang w:val="fr-FR"/>
      </w:rPr>
      <w:t xml:space="preserve"> (528192)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DAD0A3D" w14:textId="77777777" w:rsidTr="00E31DCE">
      <w:trPr>
        <w:jc w:val="center"/>
      </w:trPr>
      <w:tc>
        <w:tcPr>
          <w:tcW w:w="1803" w:type="dxa"/>
          <w:vAlign w:val="center"/>
        </w:tcPr>
        <w:p w14:paraId="200167C1" w14:textId="77777777" w:rsidR="00F24B71" w:rsidRDefault="00000000" w:rsidP="00F24B71">
          <w:pPr>
            <w:pStyle w:val="Header"/>
            <w:jc w:val="left"/>
            <w:rPr>
              <w:noProof/>
            </w:rPr>
          </w:pPr>
          <w:hyperlink r:id="rId1" w:history="1">
            <w:r w:rsidR="00F24B71" w:rsidRPr="00A514A4">
              <w:rPr>
                <w:rStyle w:val="Hyperlink"/>
                <w:szCs w:val="14"/>
              </w:rPr>
              <w:t>www.itu.int/council</w:t>
            </w:r>
          </w:hyperlink>
        </w:p>
      </w:tc>
      <w:tc>
        <w:tcPr>
          <w:tcW w:w="8261" w:type="dxa"/>
        </w:tcPr>
        <w:p w14:paraId="70F62317" w14:textId="73406A8F" w:rsidR="00F24B71" w:rsidRPr="00E06FD5" w:rsidRDefault="00F24B71" w:rsidP="00133A8C">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23</w:t>
          </w:r>
          <w:r w:rsidR="00133A8C">
            <w:rPr>
              <w:bCs/>
            </w:rPr>
            <w:t>-ADD</w:t>
          </w:r>
          <w:r w:rsidRPr="00623AE3">
            <w:rPr>
              <w:bCs/>
            </w:rPr>
            <w:t>/</w:t>
          </w:r>
          <w:r w:rsidR="007A2ED7">
            <w:rPr>
              <w:bCs/>
            </w:rPr>
            <w:t>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26E9AC1" w14:textId="09659921" w:rsidR="00760F1C" w:rsidRPr="00133A8C" w:rsidRDefault="007A2ED7" w:rsidP="007A2ED7">
    <w:pPr>
      <w:pStyle w:val="Footer"/>
      <w:spacing w:before="120"/>
      <w:rPr>
        <w:lang w:val="fr-FR"/>
      </w:rPr>
    </w:pPr>
    <w:r w:rsidRPr="00CD4729">
      <w:rPr>
        <w:color w:val="F2F2F2" w:themeColor="background1" w:themeShade="F2"/>
      </w:rPr>
      <w:fldChar w:fldCharType="begin"/>
    </w:r>
    <w:r w:rsidRPr="00CD4729">
      <w:rPr>
        <w:color w:val="F2F2F2" w:themeColor="background1" w:themeShade="F2"/>
        <w:lang w:val="fr-FR"/>
      </w:rPr>
      <w:instrText xml:space="preserve"> FILENAME \p  \* MERGEFORMAT </w:instrText>
    </w:r>
    <w:r w:rsidRPr="00CD4729">
      <w:rPr>
        <w:color w:val="F2F2F2" w:themeColor="background1" w:themeShade="F2"/>
      </w:rPr>
      <w:fldChar w:fldCharType="separate"/>
    </w:r>
    <w:r w:rsidR="00133A8C" w:rsidRPr="00CD4729">
      <w:rPr>
        <w:color w:val="F2F2F2" w:themeColor="background1" w:themeShade="F2"/>
        <w:lang w:val="fr-FR"/>
      </w:rPr>
      <w:t>P:\ESP\SG\CONSEIL\C23-ADD\002S.docx</w:t>
    </w:r>
    <w:r w:rsidRPr="00CD4729">
      <w:rPr>
        <w:color w:val="F2F2F2" w:themeColor="background1" w:themeShade="F2"/>
      </w:rPr>
      <w:fldChar w:fldCharType="end"/>
    </w:r>
    <w:r w:rsidRPr="00CD4729">
      <w:rPr>
        <w:color w:val="F2F2F2" w:themeColor="background1" w:themeShade="F2"/>
        <w:lang w:val="fr-FR"/>
      </w:rPr>
      <w:t xml:space="preserve"> (</w:t>
    </w:r>
    <w:r w:rsidR="00133A8C" w:rsidRPr="00CD4729">
      <w:rPr>
        <w:color w:val="F2F2F2" w:themeColor="background1" w:themeShade="F2"/>
        <w:lang w:val="fr-FR"/>
      </w:rPr>
      <w:t>528192</w:t>
    </w:r>
    <w:r w:rsidRPr="00CD4729">
      <w:rPr>
        <w:color w:val="F2F2F2" w:themeColor="background1" w:themeShade="F2"/>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4CA1" w14:textId="77777777" w:rsidR="00A27CD4" w:rsidRDefault="00A27CD4">
      <w:r>
        <w:t>____________________</w:t>
      </w:r>
    </w:p>
  </w:footnote>
  <w:footnote w:type="continuationSeparator" w:id="0">
    <w:p w14:paraId="349119EB" w14:textId="77777777" w:rsidR="00A27CD4" w:rsidRDefault="00A2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46699E2" w14:textId="77777777" w:rsidTr="00E31DCE">
      <w:trPr>
        <w:trHeight w:val="1104"/>
        <w:jc w:val="center"/>
      </w:trPr>
      <w:tc>
        <w:tcPr>
          <w:tcW w:w="4390" w:type="dxa"/>
          <w:vAlign w:val="center"/>
        </w:tcPr>
        <w:p w14:paraId="6CDD885A" w14:textId="77777777" w:rsidR="001559F5" w:rsidRPr="009621F8" w:rsidRDefault="001559F5" w:rsidP="001559F5">
          <w:pPr>
            <w:pStyle w:val="Header"/>
            <w:jc w:val="left"/>
            <w:rPr>
              <w:rFonts w:ascii="Arial" w:hAnsi="Arial" w:cs="Arial"/>
              <w:b/>
              <w:bCs/>
              <w:color w:val="009CD6"/>
              <w:sz w:val="36"/>
              <w:szCs w:val="36"/>
            </w:rPr>
          </w:pPr>
          <w:bookmarkStart w:id="4" w:name="_Hlk133422111"/>
          <w:r>
            <w:rPr>
              <w:noProof/>
            </w:rPr>
            <w:drawing>
              <wp:inline distT="0" distB="0" distL="0" distR="0" wp14:anchorId="28786D69" wp14:editId="2F0A0AD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9C4DFBB" w14:textId="77777777" w:rsidR="001559F5" w:rsidRDefault="001559F5" w:rsidP="001559F5">
          <w:pPr>
            <w:pStyle w:val="Header"/>
            <w:jc w:val="right"/>
            <w:rPr>
              <w:rFonts w:ascii="Arial" w:hAnsi="Arial" w:cs="Arial"/>
              <w:b/>
              <w:bCs/>
              <w:color w:val="009CD6"/>
              <w:szCs w:val="18"/>
            </w:rPr>
          </w:pPr>
        </w:p>
        <w:p w14:paraId="60C7C64C" w14:textId="77777777" w:rsidR="001559F5" w:rsidRDefault="001559F5" w:rsidP="001559F5">
          <w:pPr>
            <w:pStyle w:val="Header"/>
            <w:jc w:val="right"/>
            <w:rPr>
              <w:rFonts w:ascii="Arial" w:hAnsi="Arial" w:cs="Arial"/>
              <w:b/>
              <w:bCs/>
              <w:color w:val="009CD6"/>
              <w:szCs w:val="18"/>
            </w:rPr>
          </w:pPr>
        </w:p>
        <w:p w14:paraId="6B0F48BE"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2F2A4C7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F4FC98E" wp14:editId="22F41D7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B22AB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3B1892"/>
    <w:multiLevelType w:val="hybridMultilevel"/>
    <w:tmpl w:val="731ED5C0"/>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C34542"/>
    <w:multiLevelType w:val="hybridMultilevel"/>
    <w:tmpl w:val="C0A4E048"/>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0589001">
    <w:abstractNumId w:val="0"/>
  </w:num>
  <w:num w:numId="2" w16cid:durableId="835458261">
    <w:abstractNumId w:val="2"/>
  </w:num>
  <w:num w:numId="3" w16cid:durableId="198851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B9"/>
    <w:rsid w:val="000007D1"/>
    <w:rsid w:val="00060EAF"/>
    <w:rsid w:val="00093EEB"/>
    <w:rsid w:val="000B0D00"/>
    <w:rsid w:val="000B7C15"/>
    <w:rsid w:val="000D1D0F"/>
    <w:rsid w:val="000F5290"/>
    <w:rsid w:val="0010128F"/>
    <w:rsid w:val="0010165C"/>
    <w:rsid w:val="00133A8C"/>
    <w:rsid w:val="00146BFB"/>
    <w:rsid w:val="001559F5"/>
    <w:rsid w:val="001631CA"/>
    <w:rsid w:val="001F14A2"/>
    <w:rsid w:val="002801AA"/>
    <w:rsid w:val="002A514E"/>
    <w:rsid w:val="002C4676"/>
    <w:rsid w:val="002C70B0"/>
    <w:rsid w:val="002F3CC4"/>
    <w:rsid w:val="003273A4"/>
    <w:rsid w:val="003501B5"/>
    <w:rsid w:val="003518B9"/>
    <w:rsid w:val="00360B88"/>
    <w:rsid w:val="00473962"/>
    <w:rsid w:val="004B5D49"/>
    <w:rsid w:val="00513630"/>
    <w:rsid w:val="00560125"/>
    <w:rsid w:val="00584FA1"/>
    <w:rsid w:val="00585553"/>
    <w:rsid w:val="005B34D9"/>
    <w:rsid w:val="005D0CCF"/>
    <w:rsid w:val="005F3BCB"/>
    <w:rsid w:val="005F410F"/>
    <w:rsid w:val="0060149A"/>
    <w:rsid w:val="00601924"/>
    <w:rsid w:val="006057E2"/>
    <w:rsid w:val="006447EA"/>
    <w:rsid w:val="0064731F"/>
    <w:rsid w:val="00664572"/>
    <w:rsid w:val="006710F6"/>
    <w:rsid w:val="00676965"/>
    <w:rsid w:val="00677A97"/>
    <w:rsid w:val="006C1B56"/>
    <w:rsid w:val="006D4761"/>
    <w:rsid w:val="00726872"/>
    <w:rsid w:val="00760F1C"/>
    <w:rsid w:val="007657F0"/>
    <w:rsid w:val="0077252D"/>
    <w:rsid w:val="007955DA"/>
    <w:rsid w:val="007A2ED7"/>
    <w:rsid w:val="007E5DD3"/>
    <w:rsid w:val="007F350B"/>
    <w:rsid w:val="00820BE4"/>
    <w:rsid w:val="008451E8"/>
    <w:rsid w:val="00913B9C"/>
    <w:rsid w:val="00927F93"/>
    <w:rsid w:val="0094643B"/>
    <w:rsid w:val="00956E77"/>
    <w:rsid w:val="009F4811"/>
    <w:rsid w:val="00A27CD4"/>
    <w:rsid w:val="00A644FC"/>
    <w:rsid w:val="00AA390C"/>
    <w:rsid w:val="00B0200A"/>
    <w:rsid w:val="00B574DB"/>
    <w:rsid w:val="00B826C2"/>
    <w:rsid w:val="00B8298E"/>
    <w:rsid w:val="00BD0723"/>
    <w:rsid w:val="00BD2518"/>
    <w:rsid w:val="00BF1D1C"/>
    <w:rsid w:val="00C14E25"/>
    <w:rsid w:val="00C20C59"/>
    <w:rsid w:val="00C2727F"/>
    <w:rsid w:val="00C538FC"/>
    <w:rsid w:val="00C55B1F"/>
    <w:rsid w:val="00CD4729"/>
    <w:rsid w:val="00CF1A67"/>
    <w:rsid w:val="00D2750E"/>
    <w:rsid w:val="00D3475C"/>
    <w:rsid w:val="00D50A36"/>
    <w:rsid w:val="00D62446"/>
    <w:rsid w:val="00DA4EA2"/>
    <w:rsid w:val="00DB3AF8"/>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68E94"/>
  <w15:docId w15:val="{4A7447E5-878F-4817-8DAB-20864B31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2ED7"/>
    <w:rPr>
      <w:color w:val="605E5C"/>
      <w:shd w:val="clear" w:color="auto" w:fill="E1DFDD"/>
    </w:rPr>
  </w:style>
  <w:style w:type="paragraph" w:styleId="Revision">
    <w:name w:val="Revision"/>
    <w:hidden/>
    <w:uiPriority w:val="99"/>
    <w:semiHidden/>
    <w:rsid w:val="0094643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council/pd/rop-s.pdf" TargetMode="External"/><Relationship Id="rId13" Type="http://schemas.openxmlformats.org/officeDocument/2006/relationships/hyperlink" Target="https://www.itu.int/md/S23-CL-C-0007/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L-C-0037/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2/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2-CL-C-0098/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11-S.pdf" TargetMode="External"/><Relationship Id="rId14" Type="http://schemas.openxmlformats.org/officeDocument/2006/relationships/hyperlink" Target="https://www.itu.int/md/S22-CL-C-0098/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9004-6B06-44C2-9726-8A55172F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5</Pages>
  <Words>1188</Words>
  <Characters>6776</Characters>
  <Application>Microsoft Office Word</Application>
  <DocSecurity>0</DocSecurity>
  <Lines>56</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Fechas y duración propuestas para las reuniones de 2024, 2025 y 2026 del Consejo y fechas propuestas para las series de reuniones de los Grupos de Trabajo y los Grupos de Expertos del Consejo para el mismo periodo</vt:lpstr>
    </vt:vector>
  </TitlesOfParts>
  <Manager>Secretaría General - Pool</Manager>
  <Company>International Telecommunication Union</Company>
  <LinksUpToDate>false</LinksUpToDate>
  <CharactersWithSpaces>7949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propuestas para las reuniones de 2024, 2025 y 2026 del Consejo y fechas propuestas para las series de reuniones de los Grupos de Trabajo y los Grupos de Expertos del Consejo para el mismo periodo</dc:title>
  <dc:subject>Council 2023</dc:subject>
  <dc:creator>Spanish83</dc:creator>
  <cp:keywords>C2023, C23, Council-23</cp:keywords>
  <dc:description/>
  <cp:lastModifiedBy>Xue, Kun</cp:lastModifiedBy>
  <cp:revision>4</cp:revision>
  <cp:lastPrinted>2006-03-24T09:51:00Z</cp:lastPrinted>
  <dcterms:created xsi:type="dcterms:W3CDTF">2023-10-02T09:51:00Z</dcterms:created>
  <dcterms:modified xsi:type="dcterms:W3CDTF">2023-10-02T09:51:00Z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