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271F49" w14:paraId="151DC20B" w14:textId="77777777" w:rsidTr="00AD3606">
        <w:trPr>
          <w:cantSplit/>
          <w:trHeight w:val="23"/>
        </w:trPr>
        <w:tc>
          <w:tcPr>
            <w:tcW w:w="3969" w:type="dxa"/>
            <w:vMerge w:val="restart"/>
            <w:tcMar>
              <w:left w:w="0" w:type="dxa"/>
            </w:tcMar>
          </w:tcPr>
          <w:p w14:paraId="73A4A09C" w14:textId="7D952972" w:rsidR="00AD3606" w:rsidRPr="00271F49" w:rsidRDefault="00AD3606" w:rsidP="00472BAD">
            <w:pPr>
              <w:tabs>
                <w:tab w:val="left" w:pos="851"/>
              </w:tabs>
              <w:spacing w:before="0" w:line="240" w:lineRule="atLeast"/>
              <w:rPr>
                <w:b/>
              </w:rPr>
            </w:pPr>
            <w:bookmarkStart w:id="0" w:name="dmeeting" w:colFirst="0" w:colLast="0"/>
            <w:bookmarkStart w:id="1" w:name="dnum" w:colFirst="1" w:colLast="1"/>
            <w:r w:rsidRPr="00271F49">
              <w:rPr>
                <w:b/>
              </w:rPr>
              <w:t xml:space="preserve">Agenda item: </w:t>
            </w:r>
            <w:r w:rsidR="00BC01A0" w:rsidRPr="00271F49">
              <w:rPr>
                <w:b/>
              </w:rPr>
              <w:t>PL</w:t>
            </w:r>
          </w:p>
        </w:tc>
        <w:tc>
          <w:tcPr>
            <w:tcW w:w="5245" w:type="dxa"/>
          </w:tcPr>
          <w:p w14:paraId="0DB28826" w14:textId="12DD85B5" w:rsidR="00AD3606" w:rsidRPr="00271F49" w:rsidRDefault="00AD3606" w:rsidP="00472BAD">
            <w:pPr>
              <w:tabs>
                <w:tab w:val="left" w:pos="851"/>
              </w:tabs>
              <w:spacing w:before="0" w:line="240" w:lineRule="atLeast"/>
              <w:jc w:val="right"/>
              <w:rPr>
                <w:b/>
              </w:rPr>
            </w:pPr>
            <w:r w:rsidRPr="00271F49">
              <w:rPr>
                <w:b/>
              </w:rPr>
              <w:t>Document C23</w:t>
            </w:r>
            <w:r w:rsidR="00C91B06" w:rsidRPr="00271F49">
              <w:rPr>
                <w:b/>
              </w:rPr>
              <w:t>-ADD</w:t>
            </w:r>
            <w:r w:rsidRPr="00271F49">
              <w:rPr>
                <w:b/>
              </w:rPr>
              <w:t>/</w:t>
            </w:r>
            <w:r w:rsidR="00BC01A0" w:rsidRPr="00271F49">
              <w:rPr>
                <w:b/>
              </w:rPr>
              <w:t>6</w:t>
            </w:r>
            <w:r w:rsidRPr="00271F49">
              <w:rPr>
                <w:b/>
              </w:rPr>
              <w:t>-E</w:t>
            </w:r>
          </w:p>
        </w:tc>
      </w:tr>
      <w:tr w:rsidR="00AD3606" w:rsidRPr="00271F49" w14:paraId="2BC37F98" w14:textId="77777777" w:rsidTr="00AD3606">
        <w:trPr>
          <w:cantSplit/>
        </w:trPr>
        <w:tc>
          <w:tcPr>
            <w:tcW w:w="3969" w:type="dxa"/>
            <w:vMerge/>
          </w:tcPr>
          <w:p w14:paraId="31A9E83A" w14:textId="77777777" w:rsidR="00AD3606" w:rsidRPr="00271F49" w:rsidRDefault="00AD3606" w:rsidP="00AD3606">
            <w:pPr>
              <w:tabs>
                <w:tab w:val="left" w:pos="851"/>
              </w:tabs>
              <w:spacing w:line="240" w:lineRule="atLeast"/>
              <w:rPr>
                <w:b/>
              </w:rPr>
            </w:pPr>
            <w:bookmarkStart w:id="2" w:name="ddate" w:colFirst="1" w:colLast="1"/>
            <w:bookmarkEnd w:id="0"/>
            <w:bookmarkEnd w:id="1"/>
          </w:p>
        </w:tc>
        <w:tc>
          <w:tcPr>
            <w:tcW w:w="5245" w:type="dxa"/>
          </w:tcPr>
          <w:p w14:paraId="5E3ED6CE" w14:textId="39984DF3" w:rsidR="00AD3606" w:rsidRPr="00271F49" w:rsidRDefault="00BC01A0" w:rsidP="00AD3606">
            <w:pPr>
              <w:tabs>
                <w:tab w:val="left" w:pos="851"/>
              </w:tabs>
              <w:spacing w:before="0"/>
              <w:jc w:val="right"/>
              <w:rPr>
                <w:b/>
              </w:rPr>
            </w:pPr>
            <w:r w:rsidRPr="00271F49">
              <w:rPr>
                <w:b/>
              </w:rPr>
              <w:t>2 October</w:t>
            </w:r>
            <w:r w:rsidR="00AD3606" w:rsidRPr="00271F49">
              <w:rPr>
                <w:b/>
              </w:rPr>
              <w:t xml:space="preserve"> 2023</w:t>
            </w:r>
          </w:p>
        </w:tc>
      </w:tr>
      <w:tr w:rsidR="00AD3606" w:rsidRPr="00271F49" w14:paraId="5AC5FD1B" w14:textId="77777777" w:rsidTr="00AD3606">
        <w:trPr>
          <w:cantSplit/>
          <w:trHeight w:val="23"/>
        </w:trPr>
        <w:tc>
          <w:tcPr>
            <w:tcW w:w="3969" w:type="dxa"/>
            <w:vMerge/>
          </w:tcPr>
          <w:p w14:paraId="0602AD22" w14:textId="77777777" w:rsidR="00AD3606" w:rsidRPr="00271F49" w:rsidRDefault="00AD3606" w:rsidP="00AD3606">
            <w:pPr>
              <w:tabs>
                <w:tab w:val="left" w:pos="851"/>
              </w:tabs>
              <w:spacing w:line="240" w:lineRule="atLeast"/>
              <w:rPr>
                <w:b/>
              </w:rPr>
            </w:pPr>
            <w:bookmarkStart w:id="3" w:name="dorlang" w:colFirst="1" w:colLast="1"/>
            <w:bookmarkEnd w:id="2"/>
          </w:p>
        </w:tc>
        <w:tc>
          <w:tcPr>
            <w:tcW w:w="5245" w:type="dxa"/>
          </w:tcPr>
          <w:p w14:paraId="2FB8ACB2" w14:textId="7E8942E8" w:rsidR="00AD3606" w:rsidRPr="00271F49" w:rsidRDefault="00AD3606" w:rsidP="00AD3606">
            <w:pPr>
              <w:tabs>
                <w:tab w:val="left" w:pos="851"/>
              </w:tabs>
              <w:spacing w:before="0" w:line="240" w:lineRule="atLeast"/>
              <w:jc w:val="right"/>
              <w:rPr>
                <w:b/>
              </w:rPr>
            </w:pPr>
            <w:r w:rsidRPr="00271F49">
              <w:rPr>
                <w:b/>
              </w:rPr>
              <w:t xml:space="preserve">Original: </w:t>
            </w:r>
            <w:r w:rsidR="00BC01A0" w:rsidRPr="00271F49">
              <w:rPr>
                <w:rFonts w:eastAsia="Times New Roman"/>
                <w:b/>
              </w:rPr>
              <w:t>Russian</w:t>
            </w:r>
          </w:p>
        </w:tc>
      </w:tr>
      <w:tr w:rsidR="00472BAD" w:rsidRPr="00271F49" w14:paraId="7CDC8198" w14:textId="77777777" w:rsidTr="00AD3606">
        <w:trPr>
          <w:cantSplit/>
          <w:trHeight w:val="23"/>
        </w:trPr>
        <w:tc>
          <w:tcPr>
            <w:tcW w:w="3969" w:type="dxa"/>
          </w:tcPr>
          <w:p w14:paraId="788BE9D8" w14:textId="77777777" w:rsidR="00472BAD" w:rsidRPr="00271F49" w:rsidRDefault="00472BAD" w:rsidP="00AD3606">
            <w:pPr>
              <w:tabs>
                <w:tab w:val="left" w:pos="851"/>
              </w:tabs>
              <w:spacing w:line="240" w:lineRule="atLeast"/>
              <w:rPr>
                <w:b/>
              </w:rPr>
            </w:pPr>
          </w:p>
        </w:tc>
        <w:tc>
          <w:tcPr>
            <w:tcW w:w="5245" w:type="dxa"/>
          </w:tcPr>
          <w:p w14:paraId="2A96F908" w14:textId="77777777" w:rsidR="00472BAD" w:rsidRPr="00271F49" w:rsidRDefault="00472BAD" w:rsidP="00AD3606">
            <w:pPr>
              <w:tabs>
                <w:tab w:val="left" w:pos="851"/>
              </w:tabs>
              <w:spacing w:before="0" w:line="240" w:lineRule="atLeast"/>
              <w:jc w:val="right"/>
              <w:rPr>
                <w:b/>
              </w:rPr>
            </w:pPr>
          </w:p>
        </w:tc>
      </w:tr>
      <w:tr w:rsidR="00AD3606" w:rsidRPr="00271F49" w14:paraId="56B49B0E" w14:textId="77777777" w:rsidTr="00AD3606">
        <w:trPr>
          <w:cantSplit/>
        </w:trPr>
        <w:tc>
          <w:tcPr>
            <w:tcW w:w="9214" w:type="dxa"/>
            <w:gridSpan w:val="2"/>
            <w:tcMar>
              <w:left w:w="0" w:type="dxa"/>
            </w:tcMar>
          </w:tcPr>
          <w:p w14:paraId="32648E52" w14:textId="307EE3B9" w:rsidR="00AD3606" w:rsidRPr="00271F49" w:rsidRDefault="00146BAF" w:rsidP="00AD3606">
            <w:pPr>
              <w:pStyle w:val="Source"/>
              <w:framePr w:hSpace="0" w:wrap="auto" w:vAnchor="margin" w:hAnchor="text" w:yAlign="inline"/>
            </w:pPr>
            <w:bookmarkStart w:id="4" w:name="dsource" w:colFirst="0" w:colLast="0"/>
            <w:bookmarkEnd w:id="3"/>
            <w:r w:rsidRPr="00271F49">
              <w:t>Contribution</w:t>
            </w:r>
            <w:r w:rsidR="00AD3606" w:rsidRPr="00271F49">
              <w:t xml:space="preserve"> </w:t>
            </w:r>
            <w:r w:rsidR="002F6124" w:rsidRPr="00271F49">
              <w:t>from</w:t>
            </w:r>
            <w:r w:rsidR="00AD3606" w:rsidRPr="00271F49">
              <w:t xml:space="preserve"> </w:t>
            </w:r>
            <w:r w:rsidR="00B758E1" w:rsidRPr="00271F49">
              <w:t>the Russian Federation</w:t>
            </w:r>
          </w:p>
        </w:tc>
      </w:tr>
      <w:tr w:rsidR="00AD3606" w:rsidRPr="00271F49" w14:paraId="3AAC65E5" w14:textId="77777777" w:rsidTr="00AD3606">
        <w:trPr>
          <w:cantSplit/>
        </w:trPr>
        <w:tc>
          <w:tcPr>
            <w:tcW w:w="9214" w:type="dxa"/>
            <w:gridSpan w:val="2"/>
            <w:tcMar>
              <w:left w:w="0" w:type="dxa"/>
            </w:tcMar>
          </w:tcPr>
          <w:p w14:paraId="69AD5BEC" w14:textId="0C8756F4" w:rsidR="00AD3606" w:rsidRPr="00271F49" w:rsidRDefault="00B758E1" w:rsidP="00DF0189">
            <w:pPr>
              <w:pStyle w:val="Subtitle"/>
              <w:framePr w:hSpace="0" w:wrap="auto" w:hAnchor="text" w:xAlign="left" w:yAlign="inline"/>
            </w:pPr>
            <w:bookmarkStart w:id="5" w:name="dtitle1" w:colFirst="0" w:colLast="0"/>
            <w:bookmarkEnd w:id="4"/>
            <w:r w:rsidRPr="00271F49">
              <w:t>DATES AND DURATION OF THE 2024, 2025 AND 2026 SESSIONS OF THE COUNCIL</w:t>
            </w:r>
            <w:r w:rsidR="002F7EB2" w:rsidRPr="00271F49">
              <w:t>, THE</w:t>
            </w:r>
            <w:r w:rsidRPr="00271F49">
              <w:t xml:space="preserve"> CLUSTERS OF COUNCIL WORKING GROUPS AND EXPERT GROUPS FOR THE SAME PERIOD AND THE TELECOMMUNICATION STANDARDIZATION ADVISORY GROUP MEETING IN JANUARY 2024</w:t>
            </w:r>
          </w:p>
        </w:tc>
      </w:tr>
      <w:tr w:rsidR="00AD3606" w:rsidRPr="00271F49" w14:paraId="409BACA6" w14:textId="77777777" w:rsidTr="00AD3606">
        <w:trPr>
          <w:cantSplit/>
        </w:trPr>
        <w:tc>
          <w:tcPr>
            <w:tcW w:w="9214" w:type="dxa"/>
            <w:gridSpan w:val="2"/>
            <w:tcBorders>
              <w:top w:val="single" w:sz="4" w:space="0" w:color="auto"/>
              <w:bottom w:val="single" w:sz="4" w:space="0" w:color="auto"/>
            </w:tcBorders>
            <w:tcMar>
              <w:left w:w="0" w:type="dxa"/>
            </w:tcMar>
          </w:tcPr>
          <w:p w14:paraId="02CDD105" w14:textId="77777777" w:rsidR="00AD3606" w:rsidRPr="00271F49" w:rsidRDefault="00F16BAB" w:rsidP="00F16BAB">
            <w:pPr>
              <w:spacing w:before="160"/>
              <w:rPr>
                <w:b/>
                <w:bCs/>
                <w:sz w:val="26"/>
                <w:szCs w:val="26"/>
              </w:rPr>
            </w:pPr>
            <w:r w:rsidRPr="00271F49">
              <w:rPr>
                <w:b/>
                <w:bCs/>
                <w:sz w:val="26"/>
                <w:szCs w:val="26"/>
              </w:rPr>
              <w:t>Purpose</w:t>
            </w:r>
          </w:p>
          <w:p w14:paraId="2CD86397" w14:textId="785914FE" w:rsidR="00AD3606" w:rsidRPr="00271F49" w:rsidRDefault="00B758E1" w:rsidP="00F16BAB">
            <w:r w:rsidRPr="00271F49">
              <w:t>The Administration of the Russian Federation invites the ITU Council to examine the comments on the ITU Secretary-General’s proposed dates and duration of the 2024, 2025 and 2026 sessions of the Council and of clusters of Council working groups and expert groups for the same period and the Telecommunication Standardization Advisory Group meeting in January 2024, and to approve recommendations to the Secretary-General in that regard.</w:t>
            </w:r>
          </w:p>
          <w:p w14:paraId="0471693C" w14:textId="77777777" w:rsidR="00AD3606" w:rsidRPr="00271F49" w:rsidRDefault="00AD3606" w:rsidP="00F16BAB">
            <w:pPr>
              <w:spacing w:before="160"/>
              <w:rPr>
                <w:b/>
                <w:bCs/>
                <w:sz w:val="26"/>
                <w:szCs w:val="26"/>
              </w:rPr>
            </w:pPr>
            <w:r w:rsidRPr="00271F49">
              <w:rPr>
                <w:b/>
                <w:bCs/>
                <w:sz w:val="26"/>
                <w:szCs w:val="26"/>
              </w:rPr>
              <w:t>Action required</w:t>
            </w:r>
            <w:r w:rsidR="00F16BAB" w:rsidRPr="00271F49">
              <w:rPr>
                <w:b/>
                <w:bCs/>
                <w:sz w:val="26"/>
                <w:szCs w:val="26"/>
              </w:rPr>
              <w:t xml:space="preserve"> by the Council</w:t>
            </w:r>
          </w:p>
          <w:p w14:paraId="0DDED0F5" w14:textId="6A578701" w:rsidR="00AD3606" w:rsidRPr="00271F49" w:rsidRDefault="00B758E1" w:rsidP="00AD3606">
            <w:bookmarkStart w:id="6" w:name="lt_pId015"/>
            <w:r w:rsidRPr="00271F49">
              <w:t>The Council is invited to consider the proposals contained in this contribution and adopt the corresponding recommendations to the Secretary-General.</w:t>
            </w:r>
            <w:bookmarkEnd w:id="6"/>
          </w:p>
          <w:p w14:paraId="3802F649" w14:textId="77777777" w:rsidR="00AD3606" w:rsidRPr="00271F49" w:rsidRDefault="00AD3606" w:rsidP="00F16BAB">
            <w:pPr>
              <w:spacing w:before="160"/>
              <w:rPr>
                <w:caps/>
                <w:sz w:val="22"/>
              </w:rPr>
            </w:pPr>
            <w:r w:rsidRPr="00271F49">
              <w:rPr>
                <w:sz w:val="22"/>
              </w:rPr>
              <w:t>__________________</w:t>
            </w:r>
          </w:p>
          <w:p w14:paraId="64AF1999" w14:textId="77777777" w:rsidR="00AD3606" w:rsidRPr="00271F49" w:rsidRDefault="00AD3606" w:rsidP="00F16BAB">
            <w:pPr>
              <w:spacing w:before="160"/>
              <w:rPr>
                <w:b/>
                <w:bCs/>
                <w:sz w:val="26"/>
                <w:szCs w:val="26"/>
              </w:rPr>
            </w:pPr>
            <w:r w:rsidRPr="00271F49">
              <w:rPr>
                <w:b/>
                <w:bCs/>
                <w:sz w:val="26"/>
                <w:szCs w:val="26"/>
              </w:rPr>
              <w:t>References</w:t>
            </w:r>
          </w:p>
          <w:p w14:paraId="2C75DC93" w14:textId="1071C9D8" w:rsidR="00AD3606" w:rsidRPr="00271F49" w:rsidRDefault="00B758E1" w:rsidP="00B758E1">
            <w:pPr>
              <w:spacing w:after="160"/>
              <w:rPr>
                <w:i/>
                <w:iCs/>
              </w:rPr>
            </w:pPr>
            <w:r w:rsidRPr="00271F49">
              <w:rPr>
                <w:i/>
                <w:iCs/>
              </w:rPr>
              <w:t xml:space="preserve">Report by the Secretary-General on Council improvement (Document </w:t>
            </w:r>
            <w:hyperlink r:id="rId8" w:history="1">
              <w:r w:rsidRPr="00271F49">
                <w:rPr>
                  <w:rStyle w:val="Hyperlink"/>
                  <w:i/>
                  <w:iCs/>
                </w:rPr>
                <w:t>С23/32</w:t>
              </w:r>
            </w:hyperlink>
            <w:r w:rsidRPr="00271F49">
              <w:rPr>
                <w:i/>
                <w:iCs/>
              </w:rPr>
              <w:t>)</w:t>
            </w:r>
            <w:r w:rsidR="00BC01A0" w:rsidRPr="00271F49">
              <w:rPr>
                <w:rFonts w:eastAsia="Times New Roman"/>
                <w:i/>
                <w:iCs/>
                <w:sz w:val="22"/>
              </w:rPr>
              <w:br/>
            </w:r>
            <w:r w:rsidRPr="00271F49">
              <w:rPr>
                <w:i/>
                <w:iCs/>
              </w:rPr>
              <w:t xml:space="preserve">Report by the Secretary-General on proposed dates and duration of the 2024, 2025 and 2026 sessions of the Council along with the proposed dates of clusters of Council working groups and expert groups for the same period (Document </w:t>
            </w:r>
            <w:hyperlink r:id="rId9" w:history="1">
              <w:r w:rsidRPr="00271F49">
                <w:rPr>
                  <w:rStyle w:val="Hyperlink"/>
                  <w:i/>
                  <w:iCs/>
                </w:rPr>
                <w:t>С23/2</w:t>
              </w:r>
            </w:hyperlink>
            <w:r w:rsidRPr="00271F49">
              <w:rPr>
                <w:i/>
                <w:iCs/>
              </w:rPr>
              <w:t>)</w:t>
            </w:r>
            <w:r w:rsidR="00BC01A0" w:rsidRPr="00271F49">
              <w:rPr>
                <w:rFonts w:eastAsia="Times New Roman"/>
                <w:i/>
                <w:iCs/>
                <w:sz w:val="22"/>
              </w:rPr>
              <w:br/>
            </w:r>
            <w:r w:rsidRPr="00271F49">
              <w:rPr>
                <w:i/>
                <w:iCs/>
              </w:rPr>
              <w:t xml:space="preserve">Document </w:t>
            </w:r>
            <w:hyperlink r:id="rId10" w:history="1">
              <w:r w:rsidRPr="00271F49">
                <w:rPr>
                  <w:rStyle w:val="Hyperlink"/>
                  <w:i/>
                  <w:iCs/>
                </w:rPr>
                <w:t>С23-ADD/2</w:t>
              </w:r>
            </w:hyperlink>
            <w:r w:rsidR="001D22FE" w:rsidRPr="00271F49">
              <w:rPr>
                <w:i/>
                <w:iCs/>
              </w:rPr>
              <w:t xml:space="preserve"> to the 2023 additional session of the Council</w:t>
            </w:r>
          </w:p>
        </w:tc>
      </w:tr>
      <w:bookmarkEnd w:id="5"/>
    </w:tbl>
    <w:p w14:paraId="2F3B2D74" w14:textId="77777777" w:rsidR="0090147A" w:rsidRPr="00271F49"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271F49">
        <w:br w:type="page"/>
      </w:r>
    </w:p>
    <w:p w14:paraId="06073F99" w14:textId="6140F33C" w:rsidR="00BC01A0" w:rsidRPr="00271F49" w:rsidRDefault="00BC01A0" w:rsidP="00271F49">
      <w:pPr>
        <w:pStyle w:val="Heading1"/>
      </w:pPr>
      <w:r w:rsidRPr="00271F49">
        <w:lastRenderedPageBreak/>
        <w:t>1</w:t>
      </w:r>
      <w:r w:rsidRPr="00271F49">
        <w:tab/>
      </w:r>
      <w:r w:rsidR="001D22FE" w:rsidRPr="00271F49">
        <w:t>General</w:t>
      </w:r>
    </w:p>
    <w:p w14:paraId="5F1F8841" w14:textId="4A849B11" w:rsidR="00BC01A0" w:rsidRPr="00271F49" w:rsidRDefault="002F7EB2" w:rsidP="00271F49">
      <w:bookmarkStart w:id="7" w:name="lt_pId022"/>
      <w:r w:rsidRPr="00271F49">
        <w:t>During the 2023 regular session of the ITU Council, the secretariat proposed to consider shortening the duration of the 2024, 2025 and 2026 sessions of the Council and holding</w:t>
      </w:r>
      <w:r w:rsidR="00D07951" w:rsidRPr="00271F49">
        <w:t xml:space="preserve"> every year</w:t>
      </w:r>
      <w:r w:rsidRPr="00271F49">
        <w:t xml:space="preserve"> one cluster of Council working groups and expert groups (CWGs and EGs) </w:t>
      </w:r>
      <w:r w:rsidR="00D07951" w:rsidRPr="00271F49">
        <w:t>in a virtual format</w:t>
      </w:r>
      <w:r w:rsidR="001D22FE" w:rsidRPr="00271F49">
        <w:t>.</w:t>
      </w:r>
      <w:r w:rsidR="00BC01A0" w:rsidRPr="00271F49">
        <w:rPr>
          <w:rStyle w:val="FootnoteReference"/>
        </w:rPr>
        <w:footnoteReference w:id="1"/>
      </w:r>
      <w:bookmarkEnd w:id="7"/>
    </w:p>
    <w:p w14:paraId="57BAFDE1" w14:textId="13C7C1E1" w:rsidR="00BC01A0" w:rsidRPr="00271F49" w:rsidRDefault="002F7EB2" w:rsidP="00271F49">
      <w:bookmarkStart w:id="9" w:name="lt_pId023"/>
      <w:r w:rsidRPr="00271F49">
        <w:t xml:space="preserve">These proposals prompted </w:t>
      </w:r>
      <w:r w:rsidR="00694874" w:rsidRPr="00271F49">
        <w:t>lively debate</w:t>
      </w:r>
      <w:r w:rsidRPr="00271F49">
        <w:t xml:space="preserve">, which did not lead to consensus on whether it was </w:t>
      </w:r>
      <w:r w:rsidR="00694874" w:rsidRPr="00271F49">
        <w:t>appropriate</w:t>
      </w:r>
      <w:r w:rsidRPr="00271F49">
        <w:t xml:space="preserve"> to decide to shorten </w:t>
      </w:r>
      <w:r w:rsidR="00D8137C" w:rsidRPr="00271F49">
        <w:t>the duration of the three forthcoming sessions of the Council or to hold one CWG and EG cluster virtually</w:t>
      </w:r>
      <w:r w:rsidR="00BC01A0" w:rsidRPr="00271F49">
        <w:t>.</w:t>
      </w:r>
      <w:bookmarkEnd w:id="9"/>
    </w:p>
    <w:p w14:paraId="3BAA7987" w14:textId="5362CD7B" w:rsidR="00BC01A0" w:rsidRPr="00271F49" w:rsidRDefault="001D22FE" w:rsidP="00271F49">
      <w:bookmarkStart w:id="10" w:name="lt_pId024"/>
      <w:r w:rsidRPr="00271F49">
        <w:t>Document</w:t>
      </w:r>
      <w:r w:rsidR="00BC01A0" w:rsidRPr="00271F49">
        <w:t xml:space="preserve"> </w:t>
      </w:r>
      <w:hyperlink r:id="rId11" w:history="1">
        <w:r w:rsidR="00BC01A0" w:rsidRPr="00271F49">
          <w:rPr>
            <w:color w:val="0563C1"/>
            <w:u w:val="single"/>
          </w:rPr>
          <w:t>C23-ADD/2</w:t>
        </w:r>
      </w:hyperlink>
      <w:r w:rsidR="00BC01A0" w:rsidRPr="00271F49">
        <w:t xml:space="preserve"> </w:t>
      </w:r>
      <w:r w:rsidRPr="00271F49">
        <w:t xml:space="preserve">to the 2023 additional session of the Council contains the </w:t>
      </w:r>
      <w:r w:rsidR="002019EA" w:rsidRPr="00271F49">
        <w:t>s</w:t>
      </w:r>
      <w:r w:rsidRPr="00271F49">
        <w:t xml:space="preserve">ecretariat’s updated proposed dates and duration of the 2024, 2025 and 2026 sessions of the Council along with the proposed dates </w:t>
      </w:r>
      <w:r w:rsidR="00D8137C" w:rsidRPr="00271F49">
        <w:t xml:space="preserve">and formats </w:t>
      </w:r>
      <w:r w:rsidRPr="00271F49">
        <w:t xml:space="preserve">of </w:t>
      </w:r>
      <w:r w:rsidR="00D8137C" w:rsidRPr="00271F49">
        <w:t xml:space="preserve">CWG and EG </w:t>
      </w:r>
      <w:r w:rsidRPr="00271F49">
        <w:t>clusters for the same period</w:t>
      </w:r>
      <w:r w:rsidR="00BC01A0" w:rsidRPr="00271F49">
        <w:t>.</w:t>
      </w:r>
      <w:bookmarkEnd w:id="10"/>
      <w:r w:rsidR="00BC01A0" w:rsidRPr="00271F49">
        <w:t xml:space="preserve"> </w:t>
      </w:r>
    </w:p>
    <w:p w14:paraId="16051340" w14:textId="3ED6F6B9" w:rsidR="00BC01A0" w:rsidRPr="00271F49" w:rsidRDefault="00D8137C" w:rsidP="00271F49">
      <w:bookmarkStart w:id="11" w:name="lt_pId025"/>
      <w:r w:rsidRPr="00271F49">
        <w:t>The Russian Federation welcomes the secretariat’s proposal to hold the 2024, 2025 and 2026 sessions of the Council over nine days</w:t>
      </w:r>
      <w:r w:rsidR="006F7D68" w:rsidRPr="00271F49">
        <w:t xml:space="preserve"> and on dates which have </w:t>
      </w:r>
      <w:r w:rsidRPr="00271F49">
        <w:t>tak</w:t>
      </w:r>
      <w:r w:rsidR="006F7D68" w:rsidRPr="00271F49">
        <w:t>en</w:t>
      </w:r>
      <w:r w:rsidRPr="00271F49">
        <w:t xml:space="preserve"> into account major religious </w:t>
      </w:r>
      <w:r w:rsidR="006F7D68" w:rsidRPr="00271F49">
        <w:t>periods</w:t>
      </w:r>
      <w:r w:rsidRPr="00271F49">
        <w:t xml:space="preserve"> and the availability of the International Conference Centre Geneva (CICG) during the demolition and early construction phase </w:t>
      </w:r>
      <w:r w:rsidR="006F7D68" w:rsidRPr="00271F49">
        <w:t>of</w:t>
      </w:r>
      <w:r w:rsidRPr="00271F49">
        <w:t xml:space="preserve"> the headquarters premises</w:t>
      </w:r>
      <w:r w:rsidR="006F7D68" w:rsidRPr="00271F49">
        <w:t xml:space="preserve"> project</w:t>
      </w:r>
      <w:r w:rsidR="00BC01A0" w:rsidRPr="00271F49">
        <w:t>.</w:t>
      </w:r>
      <w:bookmarkEnd w:id="11"/>
    </w:p>
    <w:p w14:paraId="5BC0449B" w14:textId="66F2B8FA" w:rsidR="00BC01A0" w:rsidRPr="00271F49" w:rsidRDefault="00D8137C" w:rsidP="00271F49">
      <w:bookmarkStart w:id="12" w:name="lt_pId026"/>
      <w:r w:rsidRPr="00271F49">
        <w:t>Document</w:t>
      </w:r>
      <w:r w:rsidR="00BC01A0" w:rsidRPr="00271F49">
        <w:t xml:space="preserve"> </w:t>
      </w:r>
      <w:hyperlink r:id="rId12" w:history="1">
        <w:r w:rsidR="00BC01A0" w:rsidRPr="00271F49">
          <w:rPr>
            <w:color w:val="0563C1"/>
            <w:u w:val="single"/>
          </w:rPr>
          <w:t>C23-ADD/2</w:t>
        </w:r>
      </w:hyperlink>
      <w:r w:rsidRPr="00271F49">
        <w:t xml:space="preserve"> to</w:t>
      </w:r>
      <w:r w:rsidR="00BC01A0" w:rsidRPr="00271F49">
        <w:t xml:space="preserve"> </w:t>
      </w:r>
      <w:r w:rsidRPr="00271F49">
        <w:t>the 2023 additional session of the ITU Council, published on 18</w:t>
      </w:r>
      <w:r w:rsidR="00271F49" w:rsidRPr="00271F49">
        <w:t> </w:t>
      </w:r>
      <w:r w:rsidRPr="00271F49">
        <w:t>September 2023, contains a proposal to hold a working group cluster from 22 January to 2</w:t>
      </w:r>
      <w:r w:rsidR="00271F49" w:rsidRPr="00271F49">
        <w:t> </w:t>
      </w:r>
      <w:r w:rsidRPr="00271F49">
        <w:t>February 2024</w:t>
      </w:r>
      <w:r w:rsidR="002019EA" w:rsidRPr="00271F49">
        <w:t>, while</w:t>
      </w:r>
      <w:r w:rsidRPr="00271F49">
        <w:t xml:space="preserve"> </w:t>
      </w:r>
      <w:hyperlink r:id="rId13" w:history="1">
        <w:r w:rsidR="001D22FE" w:rsidRPr="00271F49">
          <w:rPr>
            <w:color w:val="0563C1"/>
            <w:u w:val="single"/>
          </w:rPr>
          <w:t>Collective Letter 3</w:t>
        </w:r>
      </w:hyperlink>
      <w:r w:rsidR="00BC01A0" w:rsidRPr="00271F49">
        <w:t xml:space="preserve"> </w:t>
      </w:r>
      <w:r w:rsidR="001D22FE" w:rsidRPr="00271F49">
        <w:t>of the Telecommunication Standardization Bureau</w:t>
      </w:r>
      <w:r w:rsidR="006F7D68" w:rsidRPr="00271F49">
        <w:t xml:space="preserve"> (TSB)</w:t>
      </w:r>
      <w:r w:rsidR="00C36DD4" w:rsidRPr="00271F49">
        <w:t>, dated 22 September 2023,</w:t>
      </w:r>
      <w:r w:rsidR="001D22FE" w:rsidRPr="00271F49">
        <w:t xml:space="preserve"> established the dates of the Telecommunication Standardization Advisory Group (TSAG) me</w:t>
      </w:r>
      <w:r w:rsidR="00C36DD4" w:rsidRPr="00271F49">
        <w:t>e</w:t>
      </w:r>
      <w:r w:rsidR="001D22FE" w:rsidRPr="00271F49">
        <w:t>ting as 22-26 January 2024</w:t>
      </w:r>
      <w:r w:rsidR="00BC01A0" w:rsidRPr="00271F49">
        <w:t>.</w:t>
      </w:r>
      <w:bookmarkEnd w:id="12"/>
    </w:p>
    <w:p w14:paraId="7A14DDA6" w14:textId="2CF325BD" w:rsidR="00BC01A0" w:rsidRPr="00271F49" w:rsidRDefault="00BC01A0" w:rsidP="00271F49">
      <w:pPr>
        <w:pStyle w:val="Heading1"/>
      </w:pPr>
      <w:r w:rsidRPr="00271F49">
        <w:t>2</w:t>
      </w:r>
      <w:r w:rsidRPr="00271F49">
        <w:tab/>
      </w:r>
      <w:r w:rsidR="001D22FE" w:rsidRPr="00271F49">
        <w:t>Rationale</w:t>
      </w:r>
    </w:p>
    <w:p w14:paraId="0D88265D" w14:textId="3C23B6F1" w:rsidR="00BC01A0" w:rsidRPr="00271F49" w:rsidRDefault="00BC01A0" w:rsidP="00271F49">
      <w:r w:rsidRPr="00271F49">
        <w:t>2.1</w:t>
      </w:r>
      <w:r w:rsidRPr="00271F49">
        <w:tab/>
      </w:r>
      <w:bookmarkStart w:id="13" w:name="lt_pId030"/>
      <w:r w:rsidR="00A747E5" w:rsidRPr="00271F49">
        <w:t xml:space="preserve">Given </w:t>
      </w:r>
      <w:r w:rsidR="006F7D68" w:rsidRPr="00271F49">
        <w:t>the</w:t>
      </w:r>
      <w:r w:rsidR="00A747E5" w:rsidRPr="00271F49">
        <w:t xml:space="preserve"> </w:t>
      </w:r>
      <w:r w:rsidR="005B4FC1" w:rsidRPr="00271F49">
        <w:t>intense</w:t>
      </w:r>
      <w:r w:rsidR="006F7D68" w:rsidRPr="00271F49">
        <w:t xml:space="preserve"> nature of</w:t>
      </w:r>
      <w:r w:rsidR="00A747E5" w:rsidRPr="00271F49">
        <w:t xml:space="preserve"> discussions surrounding the secretariat’s proposal to shorten the duration of Council sessions and hold one CWG and EG cluster virtually and </w:t>
      </w:r>
      <w:r w:rsidR="006F7D68" w:rsidRPr="00271F49">
        <w:t>the</w:t>
      </w:r>
      <w:r w:rsidR="00A747E5" w:rsidRPr="00271F49">
        <w:t xml:space="preserve"> divergent</w:t>
      </w:r>
      <w:r w:rsidR="005B4FC1" w:rsidRPr="00271F49">
        <w:t xml:space="preserve"> </w:t>
      </w:r>
      <w:r w:rsidR="00A747E5" w:rsidRPr="00271F49">
        <w:t>views</w:t>
      </w:r>
      <w:r w:rsidR="005B4FC1" w:rsidRPr="00271F49">
        <w:t xml:space="preserve"> </w:t>
      </w:r>
      <w:r w:rsidR="006F7D68" w:rsidRPr="00271F49">
        <w:t>of</w:t>
      </w:r>
      <w:r w:rsidR="00A747E5" w:rsidRPr="00271F49">
        <w:t xml:space="preserve"> those participating in </w:t>
      </w:r>
      <w:r w:rsidR="005B4FC1" w:rsidRPr="00271F49">
        <w:t>the debate</w:t>
      </w:r>
      <w:r w:rsidR="00A747E5" w:rsidRPr="00271F49">
        <w:t xml:space="preserve"> during the 2023 summer session of the Council, as well as </w:t>
      </w:r>
      <w:r w:rsidR="006F7D68" w:rsidRPr="00271F49">
        <w:t xml:space="preserve">the fact that </w:t>
      </w:r>
      <w:r w:rsidR="005B4FC1" w:rsidRPr="00271F49">
        <w:t>any</w:t>
      </w:r>
      <w:r w:rsidR="00A747E5" w:rsidRPr="00271F49">
        <w:t xml:space="preserve"> such decision would affect all Member States of the Union</w:t>
      </w:r>
      <w:bookmarkEnd w:id="13"/>
      <w:r w:rsidR="005B4FC1" w:rsidRPr="00271F49">
        <w:t xml:space="preserve">, it would be </w:t>
      </w:r>
      <w:r w:rsidR="006F7D68" w:rsidRPr="00271F49">
        <w:t>appropriate</w:t>
      </w:r>
      <w:r w:rsidR="005B4FC1" w:rsidRPr="00271F49">
        <w:t xml:space="preserve"> to </w:t>
      </w:r>
      <w:r w:rsidR="000905A9" w:rsidRPr="00271F49">
        <w:t>carry out</w:t>
      </w:r>
      <w:r w:rsidR="005B4FC1" w:rsidRPr="00271F49">
        <w:t xml:space="preserve"> consultations on the need for and appropriateness of such a decision on a broader, more transparent basis, involving all ITU Member States</w:t>
      </w:r>
      <w:r w:rsidR="000905A9" w:rsidRPr="00271F49">
        <w:t xml:space="preserve"> and</w:t>
      </w:r>
      <w:r w:rsidR="005B4FC1" w:rsidRPr="00271F49">
        <w:t xml:space="preserve"> </w:t>
      </w:r>
      <w:r w:rsidR="000905A9" w:rsidRPr="00271F49">
        <w:t xml:space="preserve">in accordance with No. 28 of Article 3 of the ITU Constitution, </w:t>
      </w:r>
      <w:r w:rsidR="005B4FC1" w:rsidRPr="00271F49">
        <w:t>rather</w:t>
      </w:r>
      <w:r w:rsidR="00787A95" w:rsidRPr="00271F49">
        <w:t xml:space="preserve"> than with the limited number of Council Member States.</w:t>
      </w:r>
    </w:p>
    <w:p w14:paraId="3B347768" w14:textId="31671093" w:rsidR="00BC01A0" w:rsidRPr="00271F49" w:rsidRDefault="00BC01A0" w:rsidP="00271F49">
      <w:pPr>
        <w:rPr>
          <w:rFonts w:cs="Calibri"/>
          <w:b/>
        </w:rPr>
      </w:pPr>
      <w:r w:rsidRPr="00271F49">
        <w:lastRenderedPageBreak/>
        <w:t>2.2</w:t>
      </w:r>
      <w:r w:rsidRPr="00271F49">
        <w:tab/>
      </w:r>
      <w:bookmarkStart w:id="14" w:name="lt_pId032"/>
      <w:r w:rsidR="001D22FE" w:rsidRPr="00271F49">
        <w:t xml:space="preserve">An analysis of Document </w:t>
      </w:r>
      <w:hyperlink r:id="rId14" w:history="1">
        <w:r w:rsidRPr="00271F49">
          <w:rPr>
            <w:color w:val="0563C1"/>
            <w:u w:val="single"/>
          </w:rPr>
          <w:t>C23-ADD/2</w:t>
        </w:r>
      </w:hyperlink>
      <w:r w:rsidRPr="00271F49">
        <w:t xml:space="preserve"> </w:t>
      </w:r>
      <w:r w:rsidR="001D22FE" w:rsidRPr="00271F49">
        <w:t xml:space="preserve">shows that the </w:t>
      </w:r>
      <w:r w:rsidR="00F5129C" w:rsidRPr="00271F49">
        <w:t xml:space="preserve">proposed dates for the CWG cluster in January 2024 </w:t>
      </w:r>
      <w:r w:rsidR="000905A9" w:rsidRPr="00271F49">
        <w:t>overlap</w:t>
      </w:r>
      <w:r w:rsidR="00F5129C" w:rsidRPr="00271F49">
        <w:t xml:space="preserve"> with th</w:t>
      </w:r>
      <w:r w:rsidR="000905A9" w:rsidRPr="00271F49">
        <w:t>ose</w:t>
      </w:r>
      <w:r w:rsidR="00F5129C" w:rsidRPr="00271F49">
        <w:t xml:space="preserve"> of the TSAG meeting</w:t>
      </w:r>
      <w:r w:rsidRPr="00271F49">
        <w:t>.</w:t>
      </w:r>
      <w:bookmarkEnd w:id="14"/>
    </w:p>
    <w:p w14:paraId="66D59E68" w14:textId="666E90EA" w:rsidR="00BC01A0" w:rsidRPr="00271F49" w:rsidRDefault="00787A95" w:rsidP="00271F49">
      <w:bookmarkStart w:id="15" w:name="lt_pId033"/>
      <w:r w:rsidRPr="00271F49">
        <w:t>Th</w:t>
      </w:r>
      <w:r w:rsidR="000905A9" w:rsidRPr="00271F49">
        <w:t>is demonstrates</w:t>
      </w:r>
      <w:r w:rsidRPr="00271F49">
        <w:t xml:space="preserve"> a continuing trend of holding CWG meetings and Sector advisory group meetings in parallel. The Plenipotentiary Conference brought attention to this practice in </w:t>
      </w:r>
      <w:r w:rsidR="000E5464" w:rsidRPr="00271F49">
        <w:rPr>
          <w:i/>
          <w:iCs/>
        </w:rPr>
        <w:t>decides</w:t>
      </w:r>
      <w:r w:rsidRPr="00271F49">
        <w:t xml:space="preserve"> 13 of Decision 11 (Rev. Bucharest, 2022)</w:t>
      </w:r>
      <w:r w:rsidR="000E5464" w:rsidRPr="00271F49">
        <w:t xml:space="preserve"> by deciding that </w:t>
      </w:r>
      <w:bookmarkStart w:id="16" w:name="lt_pId034"/>
      <w:bookmarkEnd w:id="15"/>
      <w:r w:rsidR="00BC01A0" w:rsidRPr="00271F49">
        <w:rPr>
          <w:szCs w:val="24"/>
        </w:rPr>
        <w:t>meetings of CWGs shall not be held during major conferences and assemblies of the Union, or during meetings of the Sector advisory groups</w:t>
      </w:r>
      <w:r w:rsidR="00BC01A0" w:rsidRPr="00271F49">
        <w:t>.</w:t>
      </w:r>
      <w:bookmarkEnd w:id="16"/>
      <w:r w:rsidR="000E5464" w:rsidRPr="00271F49">
        <w:t xml:space="preserve"> Thus, the propos</w:t>
      </w:r>
      <w:r w:rsidR="000905A9" w:rsidRPr="00271F49">
        <w:t xml:space="preserve">al to hold </w:t>
      </w:r>
      <w:r w:rsidR="000E5464" w:rsidRPr="00271F49">
        <w:t xml:space="preserve">the CWG cluster </w:t>
      </w:r>
      <w:r w:rsidR="000905A9" w:rsidRPr="00271F49">
        <w:t>from</w:t>
      </w:r>
      <w:r w:rsidR="000E5464" w:rsidRPr="00271F49">
        <w:t xml:space="preserve"> 22 January to 2</w:t>
      </w:r>
      <w:r w:rsidR="00271F49" w:rsidRPr="00271F49">
        <w:t> </w:t>
      </w:r>
      <w:r w:rsidR="000E5464" w:rsidRPr="00271F49">
        <w:t>February 2024 run</w:t>
      </w:r>
      <w:r w:rsidR="000905A9" w:rsidRPr="00271F49">
        <w:t>s</w:t>
      </w:r>
      <w:r w:rsidR="000E5464" w:rsidRPr="00271F49">
        <w:t xml:space="preserve"> counter to Decision 11 (Rev. Bucharest, 2022) of the Plenipotentiary Conference</w:t>
      </w:r>
      <w:bookmarkStart w:id="17" w:name="lt_pId035"/>
      <w:r w:rsidR="00BC01A0" w:rsidRPr="00271F49">
        <w:t>.</w:t>
      </w:r>
      <w:bookmarkEnd w:id="17"/>
    </w:p>
    <w:p w14:paraId="2C2ADC84" w14:textId="162EA594" w:rsidR="00BC01A0" w:rsidRPr="00271F49" w:rsidRDefault="00BC01A0" w:rsidP="00271F49">
      <w:pPr>
        <w:pStyle w:val="Heading1"/>
      </w:pPr>
      <w:r w:rsidRPr="00271F49">
        <w:t>3</w:t>
      </w:r>
      <w:r w:rsidRPr="00271F49">
        <w:tab/>
      </w:r>
      <w:r w:rsidR="001D22FE" w:rsidRPr="00271F49">
        <w:t>Proposal</w:t>
      </w:r>
    </w:p>
    <w:p w14:paraId="28A70047" w14:textId="70594E8F" w:rsidR="001D22FE" w:rsidRPr="00271F49" w:rsidRDefault="000905A9" w:rsidP="00271F49">
      <w:r w:rsidRPr="00271F49">
        <w:t>In view of</w:t>
      </w:r>
      <w:r w:rsidR="001D22FE" w:rsidRPr="00271F49">
        <w:t xml:space="preserve"> the above, the Russian Federation proposes that the Council:</w:t>
      </w:r>
    </w:p>
    <w:p w14:paraId="411BB7A8" w14:textId="774AFE20" w:rsidR="00BC01A0" w:rsidRPr="00271F49" w:rsidRDefault="00BC01A0" w:rsidP="00025ADB">
      <w:pPr>
        <w:pStyle w:val="enumlev1"/>
      </w:pPr>
      <w:r w:rsidRPr="00271F49">
        <w:t>1</w:t>
      </w:r>
      <w:r w:rsidR="00025ADB">
        <w:t>)</w:t>
      </w:r>
      <w:r w:rsidRPr="00271F49">
        <w:tab/>
      </w:r>
      <w:bookmarkStart w:id="18" w:name="lt_pId040"/>
      <w:r w:rsidR="002019EA" w:rsidRPr="00271F49">
        <w:t>if</w:t>
      </w:r>
      <w:r w:rsidR="000E5464" w:rsidRPr="00271F49">
        <w:t xml:space="preserve"> a decision affect</w:t>
      </w:r>
      <w:r w:rsidR="002019EA" w:rsidRPr="00271F49">
        <w:t>ing</w:t>
      </w:r>
      <w:r w:rsidR="000E5464" w:rsidRPr="00271F49">
        <w:t xml:space="preserve"> all Member States of the Union</w:t>
      </w:r>
      <w:r w:rsidR="002019EA" w:rsidRPr="00271F49">
        <w:t xml:space="preserve"> needs to be taken</w:t>
      </w:r>
      <w:r w:rsidR="000E5464" w:rsidRPr="00271F49">
        <w:t xml:space="preserve">, </w:t>
      </w:r>
      <w:r w:rsidR="000905A9" w:rsidRPr="00271F49">
        <w:t>carry out</w:t>
      </w:r>
      <w:r w:rsidR="000E5464" w:rsidRPr="00271F49">
        <w:t xml:space="preserve"> consultations on the need for and appropriateness of such a decision on a broader, more transparent basis, involving all ITU Member States</w:t>
      </w:r>
      <w:r w:rsidR="000905A9" w:rsidRPr="00271F49">
        <w:t xml:space="preserve"> and in accordance with No. 28 of Article 3 of the Constitution</w:t>
      </w:r>
      <w:r w:rsidR="000E5464" w:rsidRPr="00271F49">
        <w:t>, rather than with the limited number of Council Member States</w:t>
      </w:r>
      <w:r w:rsidRPr="00271F49">
        <w:t>;</w:t>
      </w:r>
      <w:bookmarkEnd w:id="18"/>
    </w:p>
    <w:p w14:paraId="5F61725C" w14:textId="13041128" w:rsidR="00BC01A0" w:rsidRPr="00271F49" w:rsidRDefault="00BC01A0" w:rsidP="00025ADB">
      <w:pPr>
        <w:pStyle w:val="enumlev1"/>
      </w:pPr>
      <w:r w:rsidRPr="00271F49">
        <w:t>2</w:t>
      </w:r>
      <w:r w:rsidR="00025ADB">
        <w:t>)</w:t>
      </w:r>
      <w:r w:rsidRPr="00271F49">
        <w:tab/>
      </w:r>
      <w:bookmarkStart w:id="19" w:name="lt_pId042"/>
      <w:r w:rsidR="000E5464" w:rsidRPr="00271F49">
        <w:t xml:space="preserve">recommend that the Secretary-General consult </w:t>
      </w:r>
      <w:r w:rsidR="008E3E9C" w:rsidRPr="00271F49">
        <w:t xml:space="preserve">with </w:t>
      </w:r>
      <w:r w:rsidR="002019EA" w:rsidRPr="00271F49">
        <w:t>TSB</w:t>
      </w:r>
      <w:r w:rsidR="008E3E9C" w:rsidRPr="00271F49">
        <w:t xml:space="preserve"> in order to avoid any </w:t>
      </w:r>
      <w:r w:rsidR="002019EA" w:rsidRPr="00271F49">
        <w:t>overlap of</w:t>
      </w:r>
      <w:r w:rsidR="008E3E9C" w:rsidRPr="00271F49">
        <w:t xml:space="preserve"> dates for </w:t>
      </w:r>
      <w:r w:rsidR="002019EA" w:rsidRPr="00271F49">
        <w:t xml:space="preserve">the </w:t>
      </w:r>
      <w:r w:rsidR="008E3E9C" w:rsidRPr="00271F49">
        <w:t>CWG and TSAG meetings</w:t>
      </w:r>
      <w:r w:rsidRPr="00271F49">
        <w:t>.</w:t>
      </w:r>
      <w:bookmarkEnd w:id="19"/>
    </w:p>
    <w:p w14:paraId="0C4B8A1E" w14:textId="77777777" w:rsidR="00A514A4" w:rsidRPr="00271F49" w:rsidRDefault="00A514A4" w:rsidP="00271F49"/>
    <w:p w14:paraId="57A3A567" w14:textId="77777777" w:rsidR="00BC01A0" w:rsidRDefault="00BC01A0" w:rsidP="00271F49">
      <w:pPr>
        <w:rPr>
          <w:lang w:val="es-ES"/>
        </w:rPr>
      </w:pPr>
    </w:p>
    <w:p w14:paraId="63585DF2" w14:textId="4DC7977D" w:rsidR="00BC01A0" w:rsidRPr="0090147A" w:rsidRDefault="00BC01A0" w:rsidP="00271F49">
      <w:pPr>
        <w:jc w:val="center"/>
        <w:rPr>
          <w:lang w:val="es-ES"/>
        </w:rPr>
      </w:pPr>
      <w:r>
        <w:rPr>
          <w:lang w:val="es-ES"/>
        </w:rPr>
        <w:t>______________</w:t>
      </w:r>
    </w:p>
    <w:sectPr w:rsidR="00BC01A0" w:rsidRPr="0090147A" w:rsidSect="00AD3606">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53625" w14:textId="77777777" w:rsidR="00E323D9" w:rsidRDefault="00E323D9">
      <w:r>
        <w:separator/>
      </w:r>
    </w:p>
  </w:endnote>
  <w:endnote w:type="continuationSeparator" w:id="0">
    <w:p w14:paraId="0083B2C7" w14:textId="77777777" w:rsidR="00E323D9" w:rsidRDefault="00E32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AB8FE2F" w14:textId="77777777" w:rsidTr="0042469C">
      <w:trPr>
        <w:jc w:val="center"/>
      </w:trPr>
      <w:tc>
        <w:tcPr>
          <w:tcW w:w="1803" w:type="dxa"/>
          <w:vAlign w:val="center"/>
        </w:tcPr>
        <w:p w14:paraId="02DA7312" w14:textId="77777777" w:rsidR="00EE49E8" w:rsidRDefault="00B92855" w:rsidP="00EE49E8">
          <w:pPr>
            <w:pStyle w:val="Header"/>
            <w:jc w:val="left"/>
            <w:rPr>
              <w:noProof/>
            </w:rPr>
          </w:pPr>
          <w:r w:rsidRPr="00B92855">
            <w:rPr>
              <w:noProof/>
            </w:rPr>
            <w:t>DPS</w:t>
          </w:r>
          <w:r>
            <w:rPr>
              <w:noProof/>
            </w:rPr>
            <w:t xml:space="preserve"> #</w:t>
          </w:r>
        </w:p>
      </w:tc>
      <w:tc>
        <w:tcPr>
          <w:tcW w:w="8261" w:type="dxa"/>
        </w:tcPr>
        <w:p w14:paraId="117D3077" w14:textId="6AFB0392" w:rsidR="00EE49E8" w:rsidRPr="00E06FD5" w:rsidRDefault="00EE49E8" w:rsidP="00C91B06">
          <w:pPr>
            <w:pStyle w:val="Header"/>
            <w:tabs>
              <w:tab w:val="left" w:pos="645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00C91B06">
            <w:rPr>
              <w:bCs/>
            </w:rPr>
            <w:t>-ADD</w:t>
          </w:r>
          <w:r w:rsidRPr="00623AE3">
            <w:rPr>
              <w:bCs/>
            </w:rPr>
            <w:t>/</w:t>
          </w:r>
          <w:r w:rsidR="00BC01A0">
            <w:rPr>
              <w:bCs/>
            </w:rPr>
            <w:t>6</w:t>
          </w:r>
          <w:r w:rsidRPr="00623AE3">
            <w:rPr>
              <w:bCs/>
            </w:rPr>
            <w:t>-E</w:t>
          </w:r>
          <w:r>
            <w:rPr>
              <w:bCs/>
            </w:rPr>
            <w:tab/>
          </w:r>
          <w:r>
            <w:fldChar w:fldCharType="begin"/>
          </w:r>
          <w:r>
            <w:instrText>PAGE</w:instrText>
          </w:r>
          <w:r>
            <w:fldChar w:fldCharType="separate"/>
          </w:r>
          <w:r>
            <w:t>1</w:t>
          </w:r>
          <w:r>
            <w:rPr>
              <w:noProof/>
            </w:rPr>
            <w:fldChar w:fldCharType="end"/>
          </w:r>
        </w:p>
      </w:tc>
    </w:tr>
  </w:tbl>
  <w:p w14:paraId="75FBF6FC"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43330C7" w14:textId="77777777" w:rsidTr="00EE49E8">
      <w:trPr>
        <w:jc w:val="center"/>
      </w:trPr>
      <w:tc>
        <w:tcPr>
          <w:tcW w:w="1803" w:type="dxa"/>
          <w:vAlign w:val="center"/>
        </w:tcPr>
        <w:p w14:paraId="5E576065" w14:textId="77777777" w:rsidR="00EE49E8" w:rsidRDefault="00C34499"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5919F75B" w14:textId="2479E3AD" w:rsidR="00EE49E8" w:rsidRPr="00E06FD5" w:rsidRDefault="00EE49E8" w:rsidP="00C91B06">
          <w:pPr>
            <w:pStyle w:val="Header"/>
            <w:tabs>
              <w:tab w:val="left" w:pos="645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00C91B06">
            <w:rPr>
              <w:bCs/>
            </w:rPr>
            <w:t>-ADD</w:t>
          </w:r>
          <w:r w:rsidRPr="00623AE3">
            <w:rPr>
              <w:bCs/>
            </w:rPr>
            <w:t>/</w:t>
          </w:r>
          <w:r w:rsidR="00BC01A0">
            <w:rPr>
              <w:bCs/>
            </w:rPr>
            <w:t>6</w:t>
          </w:r>
          <w:r w:rsidRPr="00623AE3">
            <w:rPr>
              <w:bCs/>
            </w:rPr>
            <w:t>-E</w:t>
          </w:r>
          <w:r>
            <w:rPr>
              <w:bCs/>
            </w:rPr>
            <w:tab/>
          </w:r>
          <w:r>
            <w:fldChar w:fldCharType="begin"/>
          </w:r>
          <w:r>
            <w:instrText>PAGE</w:instrText>
          </w:r>
          <w:r>
            <w:fldChar w:fldCharType="separate"/>
          </w:r>
          <w:r>
            <w:t>1</w:t>
          </w:r>
          <w:r>
            <w:rPr>
              <w:noProof/>
            </w:rPr>
            <w:fldChar w:fldCharType="end"/>
          </w:r>
        </w:p>
      </w:tc>
    </w:tr>
  </w:tbl>
  <w:p w14:paraId="4AE33083"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A161E" w14:textId="77777777" w:rsidR="00E323D9" w:rsidRDefault="00E323D9">
      <w:r>
        <w:t>____________________</w:t>
      </w:r>
    </w:p>
  </w:footnote>
  <w:footnote w:type="continuationSeparator" w:id="0">
    <w:p w14:paraId="38D6C71F" w14:textId="77777777" w:rsidR="00E323D9" w:rsidRDefault="00E323D9">
      <w:r>
        <w:continuationSeparator/>
      </w:r>
    </w:p>
  </w:footnote>
  <w:footnote w:id="1">
    <w:p w14:paraId="386D1474" w14:textId="4E6BB270" w:rsidR="00BC01A0" w:rsidRPr="00F5129C" w:rsidRDefault="00BC01A0" w:rsidP="00271F49">
      <w:pPr>
        <w:pStyle w:val="FootnoteText"/>
      </w:pPr>
      <w:r>
        <w:rPr>
          <w:rStyle w:val="FootnoteReference"/>
        </w:rPr>
        <w:footnoteRef/>
      </w:r>
      <w:r w:rsidRPr="00F5129C">
        <w:t xml:space="preserve"> </w:t>
      </w:r>
      <w:r w:rsidR="00F5129C" w:rsidRPr="00271F49">
        <w:rPr>
          <w:szCs w:val="24"/>
        </w:rPr>
        <w:t xml:space="preserve">The Secretary-General's report on Council improvement (Document </w:t>
      </w:r>
      <w:hyperlink r:id="rId1" w:history="1">
        <w:r w:rsidR="00F5129C" w:rsidRPr="00271F49">
          <w:rPr>
            <w:rStyle w:val="Hyperlink"/>
            <w:szCs w:val="24"/>
            <w:lang w:val="ru-RU"/>
          </w:rPr>
          <w:t>С</w:t>
        </w:r>
        <w:r w:rsidR="00F5129C" w:rsidRPr="00271F49">
          <w:rPr>
            <w:rStyle w:val="Hyperlink"/>
            <w:szCs w:val="24"/>
          </w:rPr>
          <w:t>23/32</w:t>
        </w:r>
      </w:hyperlink>
      <w:r w:rsidR="00F5129C" w:rsidRPr="00271F49">
        <w:rPr>
          <w:szCs w:val="24"/>
        </w:rPr>
        <w:t xml:space="preserve">) in the section on the proposed steps towards a results-focused Council, states, </w:t>
      </w:r>
      <w:r w:rsidR="00F5129C" w:rsidRPr="00271F49">
        <w:rPr>
          <w:i/>
          <w:iCs/>
          <w:szCs w:val="24"/>
        </w:rPr>
        <w:t>inter alia</w:t>
      </w:r>
      <w:r w:rsidR="00F5129C" w:rsidRPr="00271F49">
        <w:rPr>
          <w:szCs w:val="24"/>
        </w:rPr>
        <w:t xml:space="preserve">, “With an enhanced preparatory process and a more focused agenda, the secretariat would suggest consideration be given to reducing the duration of the Council (e.g. six days)”, including a reference to Document </w:t>
      </w:r>
      <w:hyperlink r:id="rId2" w:history="1">
        <w:r w:rsidR="00F5129C" w:rsidRPr="00271F49">
          <w:rPr>
            <w:rStyle w:val="Hyperlink"/>
            <w:szCs w:val="24"/>
          </w:rPr>
          <w:t>C23/2</w:t>
        </w:r>
      </w:hyperlink>
      <w:r w:rsidR="00F5129C" w:rsidRPr="00271F49">
        <w:rPr>
          <w:szCs w:val="24"/>
        </w:rPr>
        <w:t>.</w:t>
      </w:r>
      <w:r w:rsidRPr="00F5129C">
        <w:t xml:space="preserve"> </w:t>
      </w:r>
    </w:p>
    <w:p w14:paraId="4BB68899" w14:textId="6F120EA5" w:rsidR="00BC01A0" w:rsidRPr="00F5129C" w:rsidRDefault="00271F49" w:rsidP="00271F49">
      <w:pPr>
        <w:pStyle w:val="FootnoteText"/>
      </w:pPr>
      <w:bookmarkStart w:id="8" w:name="lt_pId045"/>
      <w:r>
        <w:rPr>
          <w:lang w:val="en-US"/>
        </w:rPr>
        <w:tab/>
      </w:r>
      <w:r w:rsidR="00F5129C" w:rsidRPr="00F5129C">
        <w:rPr>
          <w:lang w:val="en-US"/>
        </w:rPr>
        <w:t xml:space="preserve">The Secretary-General's report on the proposed dates and duration of the 2024, 2025 and 2026 sessions of the Council along with the </w:t>
      </w:r>
      <w:r w:rsidR="00F5129C" w:rsidRPr="00271F49">
        <w:t>proposed</w:t>
      </w:r>
      <w:r w:rsidR="00F5129C" w:rsidRPr="00F5129C">
        <w:rPr>
          <w:lang w:val="en-US"/>
        </w:rPr>
        <w:t xml:space="preserve"> dates of clusters of Council working groups and expert groups for the same </w:t>
      </w:r>
      <w:r w:rsidR="00F5129C" w:rsidRPr="00271F49">
        <w:rPr>
          <w:szCs w:val="24"/>
          <w:lang w:val="en-US"/>
        </w:rPr>
        <w:t xml:space="preserve">period (Document </w:t>
      </w:r>
      <w:hyperlink r:id="rId3" w:history="1">
        <w:r w:rsidR="00F5129C" w:rsidRPr="00271F49">
          <w:rPr>
            <w:rStyle w:val="Hyperlink"/>
            <w:rFonts w:eastAsia="Calibri"/>
            <w:szCs w:val="24"/>
            <w:lang w:val="en-US"/>
          </w:rPr>
          <w:t>C23/2</w:t>
        </w:r>
      </w:hyperlink>
      <w:r w:rsidR="00F5129C" w:rsidRPr="00271F49">
        <w:rPr>
          <w:szCs w:val="24"/>
          <w:lang w:val="en-US"/>
        </w:rPr>
        <w:t>) recommends</w:t>
      </w:r>
      <w:r w:rsidR="00F5129C" w:rsidRPr="00F5129C">
        <w:rPr>
          <w:lang w:val="en-US"/>
        </w:rPr>
        <w:t xml:space="preserve"> progressively reducing the duration of forthcoming ordinary Council sessions, and every year organizing one of the clusters of Council working groups and expert groups (CWGs and EGs) to be held in a virtual format.</w:t>
      </w:r>
      <w:r w:rsidR="00BC01A0" w:rsidRPr="00F5129C">
        <w:t xml:space="preserve"> </w:t>
      </w:r>
      <w:bookmarkEnd w:id="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2F58056E" w14:textId="77777777" w:rsidTr="00C91CFC">
      <w:trPr>
        <w:trHeight w:val="1104"/>
        <w:jc w:val="center"/>
      </w:trPr>
      <w:tc>
        <w:tcPr>
          <w:tcW w:w="4390" w:type="dxa"/>
          <w:vAlign w:val="center"/>
        </w:tcPr>
        <w:p w14:paraId="367A5A72" w14:textId="77777777" w:rsidR="00AD3606" w:rsidRPr="009621F8" w:rsidRDefault="00AD3606" w:rsidP="00AD3606">
          <w:pPr>
            <w:pStyle w:val="Header"/>
            <w:jc w:val="left"/>
            <w:rPr>
              <w:rFonts w:ascii="Arial" w:hAnsi="Arial" w:cs="Arial"/>
              <w:b/>
              <w:bCs/>
              <w:color w:val="009CD6"/>
              <w:sz w:val="36"/>
              <w:szCs w:val="36"/>
            </w:rPr>
          </w:pPr>
          <w:r>
            <w:rPr>
              <w:noProof/>
            </w:rPr>
            <w:drawing>
              <wp:anchor distT="0" distB="0" distL="114300" distR="114300" simplePos="0" relativeHeight="251660288" behindDoc="0" locked="0" layoutInCell="1" allowOverlap="1" wp14:anchorId="03B28F6C" wp14:editId="7434C8D2">
                <wp:simplePos x="0" y="0"/>
                <wp:positionH relativeFrom="column">
                  <wp:posOffset>6350</wp:posOffset>
                </wp:positionH>
                <wp:positionV relativeFrom="page">
                  <wp:posOffset>119380</wp:posOffset>
                </wp:positionV>
                <wp:extent cx="1901825" cy="535940"/>
                <wp:effectExtent l="0" t="0" r="3175"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1901825" cy="535940"/>
                        </a:xfrm>
                        <a:prstGeom prst="rect">
                          <a:avLst/>
                        </a:prstGeom>
                      </pic:spPr>
                    </pic:pic>
                  </a:graphicData>
                </a:graphic>
                <wp14:sizeRelH relativeFrom="margin">
                  <wp14:pctWidth>0</wp14:pctWidth>
                </wp14:sizeRelH>
                <wp14:sizeRelV relativeFrom="margin">
                  <wp14:pctHeight>0</wp14:pctHeight>
                </wp14:sizeRelV>
              </wp:anchor>
            </w:drawing>
          </w:r>
        </w:p>
      </w:tc>
      <w:tc>
        <w:tcPr>
          <w:tcW w:w="5630" w:type="dxa"/>
        </w:tcPr>
        <w:p w14:paraId="0EECA587" w14:textId="77777777" w:rsidR="00AD3606" w:rsidRDefault="00AD3606" w:rsidP="00AD3606">
          <w:pPr>
            <w:pStyle w:val="Header"/>
            <w:jc w:val="right"/>
            <w:rPr>
              <w:rFonts w:ascii="Arial" w:hAnsi="Arial" w:cs="Arial"/>
              <w:b/>
              <w:bCs/>
              <w:color w:val="009CD6"/>
              <w:szCs w:val="18"/>
            </w:rPr>
          </w:pPr>
        </w:p>
        <w:p w14:paraId="2796E4EA" w14:textId="77777777" w:rsidR="00AD3606" w:rsidRDefault="00AD3606" w:rsidP="00AD3606">
          <w:pPr>
            <w:pStyle w:val="Header"/>
            <w:jc w:val="right"/>
            <w:rPr>
              <w:rFonts w:ascii="Arial" w:hAnsi="Arial" w:cs="Arial"/>
              <w:b/>
              <w:bCs/>
              <w:color w:val="009CD6"/>
              <w:szCs w:val="18"/>
            </w:rPr>
          </w:pPr>
        </w:p>
        <w:p w14:paraId="62D8B9AD"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5ED50FCC" w14:textId="77777777" w:rsidR="00AD3606" w:rsidRDefault="00C91B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8090F09" wp14:editId="7E9291B9">
              <wp:simplePos x="0" y="0"/>
              <wp:positionH relativeFrom="page">
                <wp:posOffset>13845</wp:posOffset>
              </wp:positionH>
              <wp:positionV relativeFrom="topMargin">
                <wp:posOffset>636270</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45E6B" id="Rectangle 5" o:spid="_x0000_s1026" style="position:absolute;margin-left:1.1pt;margin-top:50.1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FnNiPTdAAAACAEAAA8AAABkcnMvZG93bnJldi54bWxMjz9PwzAQ&#10;xXckvoN1SGzUxkOANE6FEAxVGaB06ebG1yQQn0PstimfnssE0/15T+9+VyxG34kjDrENZOB2pkAg&#10;VcG1VBvYfLzc3IOIyZKzXSA0cMYIi/LyorC5Cyd6x+M61YJDKObWQJNSn0sZqwa9jbPQI7G2D4O3&#10;icehlm6wJw73ndRKZdLblvhCY3t8arD6Wh+8gbTV9d35bZX05nn1/fq5XLY/bmvM9dX4OAeRcEx/&#10;ZpjwGR1KZtqFA7koOgNas5HXSnEz6dkDiN1UdQayLOT/B8pfAAAA//8DAFBLAQItABQABgAIAAAA&#10;IQC2gziS/gAAAOEBAAATAAAAAAAAAAAAAAAAAAAAAABbQ29udGVudF9UeXBlc10ueG1sUEsBAi0A&#10;FAAGAAgAAAAhADj9If/WAAAAlAEAAAsAAAAAAAAAAAAAAAAALwEAAF9yZWxzLy5yZWxzUEsBAi0A&#10;FAAGAAgAAAAhAOt8QVLmAQAAswMAAA4AAAAAAAAAAAAAAAAALgIAAGRycy9lMm9Eb2MueG1sUEsB&#10;Ai0AFAAGAAgAAAAhAFnNiPTdAAAACAEAAA8AAAAAAAAAAAAAAAAAQAQAAGRycy9kb3ducmV2Lnht&#10;bFBLBQYAAAAABAAEAPMAAABK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10D4"/>
    <w:rsid w:val="00025ADB"/>
    <w:rsid w:val="00063016"/>
    <w:rsid w:val="00066795"/>
    <w:rsid w:val="00076AF6"/>
    <w:rsid w:val="00085CF2"/>
    <w:rsid w:val="000905A9"/>
    <w:rsid w:val="000B1705"/>
    <w:rsid w:val="000D75B2"/>
    <w:rsid w:val="000E5464"/>
    <w:rsid w:val="001121F5"/>
    <w:rsid w:val="001400DC"/>
    <w:rsid w:val="00140CE1"/>
    <w:rsid w:val="00146BAF"/>
    <w:rsid w:val="0017539C"/>
    <w:rsid w:val="00175AC2"/>
    <w:rsid w:val="0017609F"/>
    <w:rsid w:val="001A7D1D"/>
    <w:rsid w:val="001B51DD"/>
    <w:rsid w:val="001C628E"/>
    <w:rsid w:val="001D22FE"/>
    <w:rsid w:val="001E0F7B"/>
    <w:rsid w:val="002019EA"/>
    <w:rsid w:val="002119FD"/>
    <w:rsid w:val="002130E0"/>
    <w:rsid w:val="00226DDE"/>
    <w:rsid w:val="00264425"/>
    <w:rsid w:val="00265875"/>
    <w:rsid w:val="00271F49"/>
    <w:rsid w:val="0027303B"/>
    <w:rsid w:val="0028109B"/>
    <w:rsid w:val="002A2188"/>
    <w:rsid w:val="002B1F58"/>
    <w:rsid w:val="002C1C7A"/>
    <w:rsid w:val="002C54E2"/>
    <w:rsid w:val="002F6124"/>
    <w:rsid w:val="002F7EB2"/>
    <w:rsid w:val="0030160F"/>
    <w:rsid w:val="00320223"/>
    <w:rsid w:val="00322D0D"/>
    <w:rsid w:val="00361465"/>
    <w:rsid w:val="003877F5"/>
    <w:rsid w:val="003942D4"/>
    <w:rsid w:val="003958A8"/>
    <w:rsid w:val="003C2533"/>
    <w:rsid w:val="003D414D"/>
    <w:rsid w:val="003D5A7F"/>
    <w:rsid w:val="0040435A"/>
    <w:rsid w:val="00416A24"/>
    <w:rsid w:val="00431D9E"/>
    <w:rsid w:val="00433CE8"/>
    <w:rsid w:val="00434A5C"/>
    <w:rsid w:val="004544D9"/>
    <w:rsid w:val="00472BAD"/>
    <w:rsid w:val="00484009"/>
    <w:rsid w:val="00490E72"/>
    <w:rsid w:val="00491157"/>
    <w:rsid w:val="004921C8"/>
    <w:rsid w:val="00495B0B"/>
    <w:rsid w:val="004A1B8B"/>
    <w:rsid w:val="004B585C"/>
    <w:rsid w:val="004D1851"/>
    <w:rsid w:val="004D599D"/>
    <w:rsid w:val="004E2EA5"/>
    <w:rsid w:val="004E3AEB"/>
    <w:rsid w:val="0050223C"/>
    <w:rsid w:val="005243FF"/>
    <w:rsid w:val="00564FBC"/>
    <w:rsid w:val="005800BC"/>
    <w:rsid w:val="00582442"/>
    <w:rsid w:val="00586139"/>
    <w:rsid w:val="005B4FC1"/>
    <w:rsid w:val="005C11D3"/>
    <w:rsid w:val="005F3269"/>
    <w:rsid w:val="00623AE3"/>
    <w:rsid w:val="0064737F"/>
    <w:rsid w:val="006535F1"/>
    <w:rsid w:val="0065557D"/>
    <w:rsid w:val="00660D50"/>
    <w:rsid w:val="00661C03"/>
    <w:rsid w:val="00662984"/>
    <w:rsid w:val="006716BB"/>
    <w:rsid w:val="00675628"/>
    <w:rsid w:val="00694874"/>
    <w:rsid w:val="006B1859"/>
    <w:rsid w:val="006B6680"/>
    <w:rsid w:val="006B6DCC"/>
    <w:rsid w:val="006F7D68"/>
    <w:rsid w:val="00702DEF"/>
    <w:rsid w:val="00706861"/>
    <w:rsid w:val="0075051B"/>
    <w:rsid w:val="00787A95"/>
    <w:rsid w:val="00787F51"/>
    <w:rsid w:val="00793188"/>
    <w:rsid w:val="00794D34"/>
    <w:rsid w:val="00813E5E"/>
    <w:rsid w:val="0083581B"/>
    <w:rsid w:val="00863874"/>
    <w:rsid w:val="00864AFF"/>
    <w:rsid w:val="00865925"/>
    <w:rsid w:val="008B4A6A"/>
    <w:rsid w:val="008C7E27"/>
    <w:rsid w:val="008E3E9C"/>
    <w:rsid w:val="008F7448"/>
    <w:rsid w:val="0090147A"/>
    <w:rsid w:val="00903B96"/>
    <w:rsid w:val="009173EF"/>
    <w:rsid w:val="00932906"/>
    <w:rsid w:val="00961B0B"/>
    <w:rsid w:val="00966479"/>
    <w:rsid w:val="009B38C3"/>
    <w:rsid w:val="009E17BD"/>
    <w:rsid w:val="009E485A"/>
    <w:rsid w:val="00A04CEC"/>
    <w:rsid w:val="00A27F92"/>
    <w:rsid w:val="00A32257"/>
    <w:rsid w:val="00A36D20"/>
    <w:rsid w:val="00A44716"/>
    <w:rsid w:val="00A514A4"/>
    <w:rsid w:val="00A54171"/>
    <w:rsid w:val="00A55622"/>
    <w:rsid w:val="00A747E5"/>
    <w:rsid w:val="00A83502"/>
    <w:rsid w:val="00AD15B3"/>
    <w:rsid w:val="00AD3606"/>
    <w:rsid w:val="00AD4A3D"/>
    <w:rsid w:val="00AF6E49"/>
    <w:rsid w:val="00B04A67"/>
    <w:rsid w:val="00B0583C"/>
    <w:rsid w:val="00B40A81"/>
    <w:rsid w:val="00B44910"/>
    <w:rsid w:val="00B72267"/>
    <w:rsid w:val="00B758E1"/>
    <w:rsid w:val="00B76EB6"/>
    <w:rsid w:val="00B7737B"/>
    <w:rsid w:val="00B824C8"/>
    <w:rsid w:val="00B84B9D"/>
    <w:rsid w:val="00B92855"/>
    <w:rsid w:val="00BC01A0"/>
    <w:rsid w:val="00BC251A"/>
    <w:rsid w:val="00BD032B"/>
    <w:rsid w:val="00BE2640"/>
    <w:rsid w:val="00C01189"/>
    <w:rsid w:val="00C34499"/>
    <w:rsid w:val="00C36DD4"/>
    <w:rsid w:val="00C374DE"/>
    <w:rsid w:val="00C45268"/>
    <w:rsid w:val="00C47AD4"/>
    <w:rsid w:val="00C52D81"/>
    <w:rsid w:val="00C55198"/>
    <w:rsid w:val="00C91B06"/>
    <w:rsid w:val="00CA6393"/>
    <w:rsid w:val="00CB18FF"/>
    <w:rsid w:val="00CD0C08"/>
    <w:rsid w:val="00CE03FB"/>
    <w:rsid w:val="00CE433C"/>
    <w:rsid w:val="00CF0161"/>
    <w:rsid w:val="00CF33F3"/>
    <w:rsid w:val="00D06183"/>
    <w:rsid w:val="00D07951"/>
    <w:rsid w:val="00D22C42"/>
    <w:rsid w:val="00D65041"/>
    <w:rsid w:val="00D65FF9"/>
    <w:rsid w:val="00D8137C"/>
    <w:rsid w:val="00DB1936"/>
    <w:rsid w:val="00DB384B"/>
    <w:rsid w:val="00DF0189"/>
    <w:rsid w:val="00E06FD5"/>
    <w:rsid w:val="00E10E80"/>
    <w:rsid w:val="00E124F0"/>
    <w:rsid w:val="00E323D9"/>
    <w:rsid w:val="00E60F04"/>
    <w:rsid w:val="00E65B24"/>
    <w:rsid w:val="00E854E4"/>
    <w:rsid w:val="00E86DBF"/>
    <w:rsid w:val="00EB0D6F"/>
    <w:rsid w:val="00EB2232"/>
    <w:rsid w:val="00EC5337"/>
    <w:rsid w:val="00EE49E8"/>
    <w:rsid w:val="00F16BAB"/>
    <w:rsid w:val="00F2150A"/>
    <w:rsid w:val="00F231D8"/>
    <w:rsid w:val="00F44C00"/>
    <w:rsid w:val="00F46C5F"/>
    <w:rsid w:val="00F5129C"/>
    <w:rsid w:val="00F632C0"/>
    <w:rsid w:val="00F94A63"/>
    <w:rsid w:val="00FA1C28"/>
    <w:rsid w:val="00FB1279"/>
    <w:rsid w:val="00FB6B76"/>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AF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F51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32/en" TargetMode="External"/><Relationship Id="rId13" Type="http://schemas.openxmlformats.org/officeDocument/2006/relationships/hyperlink" Target="https://www.itu.int/dms_pub/itu-t/md/22/tsag/col/T22-TSAG-COL-0003!!MSW-E.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dms_pub/itu-s/md/23/c23add/c/S23-C23ADD-C-0002!!MSW-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pub/itu-s/md/23/c23add/c/S23-C23ADD-C-0002!!MSW-E.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dms_pub/itu-s/md/23/c23add/c/S23-C23ADD-C-0002!!MSW-E.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3-CL-C-0002/en" TargetMode="External"/><Relationship Id="rId14" Type="http://schemas.openxmlformats.org/officeDocument/2006/relationships/hyperlink" Target="https://www.itu.int/dms_pub/itu-s/md/23/c23add/c/S23-C23ADD-C-0002!!MSW-E.doc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S23-CL-C-0002/en" TargetMode="External"/><Relationship Id="rId2" Type="http://schemas.openxmlformats.org/officeDocument/2006/relationships/hyperlink" Target="https://www.itu.int/md/S23-CL-C-0002/en" TargetMode="External"/><Relationship Id="rId1" Type="http://schemas.openxmlformats.org/officeDocument/2006/relationships/hyperlink" Target="https://www.itu.int/md/S23-CL-C-0002/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4701</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5465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2023-10-05T14:03:00Z</dcterms:created>
  <dcterms:modified xsi:type="dcterms:W3CDTF">2023-10-05T14:03:00Z</dcterms:modified>
  <cp:category>Conference document</cp:category>
</cp:coreProperties>
</file>