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5F7259" w14:paraId="2592CC74" w14:textId="77777777" w:rsidTr="00D72F49">
        <w:trPr>
          <w:cantSplit/>
          <w:trHeight w:val="23"/>
        </w:trPr>
        <w:tc>
          <w:tcPr>
            <w:tcW w:w="3969" w:type="dxa"/>
            <w:vMerge w:val="restart"/>
            <w:tcMar>
              <w:left w:w="0" w:type="dxa"/>
            </w:tcMar>
          </w:tcPr>
          <w:p w14:paraId="27E56DEB" w14:textId="766EE0ED" w:rsidR="00D72F49" w:rsidRPr="005F7259" w:rsidRDefault="00D72F49" w:rsidP="00202150">
            <w:pPr>
              <w:tabs>
                <w:tab w:val="left" w:pos="851"/>
              </w:tabs>
              <w:spacing w:before="0"/>
              <w:rPr>
                <w:b/>
              </w:rPr>
            </w:pPr>
          </w:p>
        </w:tc>
        <w:tc>
          <w:tcPr>
            <w:tcW w:w="5245" w:type="dxa"/>
          </w:tcPr>
          <w:p w14:paraId="27B6A98A" w14:textId="076FDFE7" w:rsidR="00D72F49" w:rsidRPr="005F7259" w:rsidRDefault="00D72F49" w:rsidP="00202150">
            <w:pPr>
              <w:tabs>
                <w:tab w:val="left" w:pos="851"/>
              </w:tabs>
              <w:spacing w:before="0"/>
              <w:jc w:val="right"/>
              <w:rPr>
                <w:b/>
              </w:rPr>
            </w:pPr>
            <w:r w:rsidRPr="005F7259">
              <w:rPr>
                <w:b/>
              </w:rPr>
              <w:t xml:space="preserve">Document </w:t>
            </w:r>
            <w:r w:rsidR="003F031B" w:rsidRPr="005F7259">
              <w:rPr>
                <w:b/>
              </w:rPr>
              <w:t>C23-ADD/10</w:t>
            </w:r>
            <w:r w:rsidRPr="005F7259">
              <w:rPr>
                <w:b/>
              </w:rPr>
              <w:t>-F</w:t>
            </w:r>
          </w:p>
        </w:tc>
      </w:tr>
      <w:tr w:rsidR="00D72F49" w:rsidRPr="005F7259" w14:paraId="41096C77" w14:textId="77777777" w:rsidTr="00D72F49">
        <w:trPr>
          <w:cantSplit/>
        </w:trPr>
        <w:tc>
          <w:tcPr>
            <w:tcW w:w="3969" w:type="dxa"/>
            <w:vMerge/>
          </w:tcPr>
          <w:p w14:paraId="0BBA5643" w14:textId="77777777" w:rsidR="00D72F49" w:rsidRPr="005F7259" w:rsidRDefault="00D72F49" w:rsidP="00202150">
            <w:pPr>
              <w:tabs>
                <w:tab w:val="left" w:pos="851"/>
              </w:tabs>
              <w:rPr>
                <w:b/>
              </w:rPr>
            </w:pPr>
          </w:p>
        </w:tc>
        <w:tc>
          <w:tcPr>
            <w:tcW w:w="5245" w:type="dxa"/>
          </w:tcPr>
          <w:p w14:paraId="068BECD5" w14:textId="35E70B3C" w:rsidR="00D72F49" w:rsidRPr="005F7259" w:rsidRDefault="003F031B" w:rsidP="00202150">
            <w:pPr>
              <w:tabs>
                <w:tab w:val="left" w:pos="851"/>
              </w:tabs>
              <w:spacing w:before="0"/>
              <w:jc w:val="right"/>
              <w:rPr>
                <w:b/>
              </w:rPr>
            </w:pPr>
            <w:r w:rsidRPr="005F7259">
              <w:rPr>
                <w:b/>
              </w:rPr>
              <w:t>23 octobre</w:t>
            </w:r>
            <w:r w:rsidR="00BD28F2" w:rsidRPr="005F7259">
              <w:rPr>
                <w:b/>
              </w:rPr>
              <w:t xml:space="preserve"> 2023</w:t>
            </w:r>
          </w:p>
        </w:tc>
      </w:tr>
      <w:tr w:rsidR="00D72F49" w:rsidRPr="005F7259" w14:paraId="17E5B988" w14:textId="77777777" w:rsidTr="00D72F49">
        <w:trPr>
          <w:cantSplit/>
          <w:trHeight w:val="23"/>
        </w:trPr>
        <w:tc>
          <w:tcPr>
            <w:tcW w:w="3969" w:type="dxa"/>
            <w:vMerge/>
          </w:tcPr>
          <w:p w14:paraId="2192D6D7" w14:textId="77777777" w:rsidR="00D72F49" w:rsidRPr="005F7259" w:rsidRDefault="00D72F49" w:rsidP="00202150">
            <w:pPr>
              <w:tabs>
                <w:tab w:val="left" w:pos="851"/>
              </w:tabs>
              <w:rPr>
                <w:b/>
              </w:rPr>
            </w:pPr>
          </w:p>
        </w:tc>
        <w:tc>
          <w:tcPr>
            <w:tcW w:w="5245" w:type="dxa"/>
          </w:tcPr>
          <w:p w14:paraId="1948C622" w14:textId="77777777" w:rsidR="00D72F49" w:rsidRPr="005F7259" w:rsidRDefault="00D72F49" w:rsidP="00202150">
            <w:pPr>
              <w:tabs>
                <w:tab w:val="left" w:pos="851"/>
              </w:tabs>
              <w:spacing w:before="0"/>
              <w:jc w:val="right"/>
              <w:rPr>
                <w:b/>
              </w:rPr>
            </w:pPr>
            <w:r w:rsidRPr="005F7259">
              <w:rPr>
                <w:b/>
              </w:rPr>
              <w:t>Original: anglais</w:t>
            </w:r>
          </w:p>
        </w:tc>
      </w:tr>
      <w:tr w:rsidR="00D72F49" w:rsidRPr="005F7259" w14:paraId="53623BEE" w14:textId="77777777" w:rsidTr="00D72F49">
        <w:trPr>
          <w:cantSplit/>
          <w:trHeight w:val="23"/>
        </w:trPr>
        <w:tc>
          <w:tcPr>
            <w:tcW w:w="3969" w:type="dxa"/>
          </w:tcPr>
          <w:p w14:paraId="630B4C34" w14:textId="77777777" w:rsidR="00D72F49" w:rsidRPr="005F7259" w:rsidRDefault="00D72F49" w:rsidP="00202150">
            <w:pPr>
              <w:tabs>
                <w:tab w:val="left" w:pos="851"/>
              </w:tabs>
              <w:rPr>
                <w:b/>
              </w:rPr>
            </w:pPr>
          </w:p>
        </w:tc>
        <w:tc>
          <w:tcPr>
            <w:tcW w:w="5245" w:type="dxa"/>
          </w:tcPr>
          <w:p w14:paraId="437750C4" w14:textId="77777777" w:rsidR="00D72F49" w:rsidRPr="005F7259" w:rsidRDefault="00D72F49" w:rsidP="00202150">
            <w:pPr>
              <w:tabs>
                <w:tab w:val="left" w:pos="851"/>
              </w:tabs>
              <w:spacing w:before="0"/>
              <w:jc w:val="right"/>
              <w:rPr>
                <w:b/>
              </w:rPr>
            </w:pPr>
          </w:p>
        </w:tc>
      </w:tr>
      <w:tr w:rsidR="00D72F49" w:rsidRPr="005F7259" w14:paraId="31FFA2A5" w14:textId="77777777" w:rsidTr="00D72F49">
        <w:trPr>
          <w:cantSplit/>
        </w:trPr>
        <w:tc>
          <w:tcPr>
            <w:tcW w:w="9214" w:type="dxa"/>
            <w:gridSpan w:val="2"/>
            <w:tcMar>
              <w:left w:w="0" w:type="dxa"/>
            </w:tcMar>
          </w:tcPr>
          <w:p w14:paraId="09BDE12B" w14:textId="0410C3E1" w:rsidR="00BD28F2" w:rsidRPr="005F7259" w:rsidRDefault="00BD28F2" w:rsidP="00202150">
            <w:pPr>
              <w:pStyle w:val="Title1"/>
              <w:rPr>
                <w:sz w:val="34"/>
                <w:szCs w:val="34"/>
              </w:rPr>
            </w:pPr>
            <w:r w:rsidRPr="005F7259">
              <w:rPr>
                <w:sz w:val="34"/>
                <w:szCs w:val="34"/>
              </w:rPr>
              <w:t>COMPTE RENDU</w:t>
            </w:r>
          </w:p>
          <w:p w14:paraId="5473E16C" w14:textId="1516B1D5" w:rsidR="00BD28F2" w:rsidRPr="005F7259" w:rsidRDefault="00BD28F2" w:rsidP="00202150">
            <w:pPr>
              <w:pStyle w:val="Title1"/>
              <w:rPr>
                <w:sz w:val="34"/>
                <w:szCs w:val="34"/>
              </w:rPr>
            </w:pPr>
            <w:r w:rsidRPr="005F7259">
              <w:rPr>
                <w:sz w:val="34"/>
                <w:szCs w:val="34"/>
              </w:rPr>
              <w:t>DE LA</w:t>
            </w:r>
          </w:p>
          <w:p w14:paraId="7AA1F34C" w14:textId="680401D1" w:rsidR="00D72F49" w:rsidRPr="005F7259" w:rsidRDefault="006E31D1" w:rsidP="00202150">
            <w:pPr>
              <w:pStyle w:val="Title1"/>
              <w:rPr>
                <w:szCs w:val="34"/>
              </w:rPr>
            </w:pPr>
            <w:r w:rsidRPr="005F7259">
              <w:rPr>
                <w:caps w:val="0"/>
                <w:sz w:val="34"/>
                <w:szCs w:val="34"/>
              </w:rPr>
              <w:t xml:space="preserve">SÉANCE PLÉNIÈRE </w:t>
            </w:r>
            <w:r w:rsidR="00BD28F2" w:rsidRPr="005F7259">
              <w:rPr>
                <w:sz w:val="34"/>
                <w:szCs w:val="34"/>
              </w:rPr>
              <w:t>INAUGURALE</w:t>
            </w:r>
          </w:p>
        </w:tc>
      </w:tr>
      <w:tr w:rsidR="00D72F49" w:rsidRPr="005F7259" w14:paraId="65E7E3D8" w14:textId="77777777" w:rsidTr="00D72F49">
        <w:trPr>
          <w:cantSplit/>
        </w:trPr>
        <w:tc>
          <w:tcPr>
            <w:tcW w:w="9214" w:type="dxa"/>
            <w:gridSpan w:val="2"/>
            <w:tcMar>
              <w:left w:w="0" w:type="dxa"/>
            </w:tcMar>
          </w:tcPr>
          <w:p w14:paraId="017F97CE" w14:textId="77777777" w:rsidR="003F031B" w:rsidRPr="005F7259" w:rsidRDefault="003F031B" w:rsidP="00202150">
            <w:pPr>
              <w:pStyle w:val="Subtitle"/>
              <w:framePr w:hSpace="0" w:wrap="auto" w:hAnchor="text" w:xAlign="left" w:yAlign="inline"/>
              <w:jc w:val="center"/>
              <w:rPr>
                <w:sz w:val="24"/>
                <w:szCs w:val="24"/>
                <w:lang w:val="fr-FR"/>
              </w:rPr>
            </w:pPr>
            <w:r w:rsidRPr="005F7259">
              <w:rPr>
                <w:sz w:val="24"/>
                <w:szCs w:val="24"/>
                <w:lang w:val="fr-FR"/>
              </w:rPr>
              <w:t>Jeudi 19 octobre 2023</w:t>
            </w:r>
            <w:r w:rsidR="00BD28F2" w:rsidRPr="005F7259">
              <w:rPr>
                <w:sz w:val="24"/>
                <w:szCs w:val="24"/>
                <w:lang w:val="fr-FR"/>
              </w:rPr>
              <w:t xml:space="preserve">, de 9 h </w:t>
            </w:r>
            <w:r w:rsidRPr="005F7259">
              <w:rPr>
                <w:sz w:val="24"/>
                <w:szCs w:val="24"/>
                <w:lang w:val="fr-FR"/>
              </w:rPr>
              <w:t>4</w:t>
            </w:r>
            <w:r w:rsidR="00BD28F2" w:rsidRPr="005F7259">
              <w:rPr>
                <w:sz w:val="24"/>
                <w:szCs w:val="24"/>
                <w:lang w:val="fr-FR"/>
              </w:rPr>
              <w:t>0 à 1</w:t>
            </w:r>
            <w:r w:rsidRPr="005F7259">
              <w:rPr>
                <w:sz w:val="24"/>
                <w:szCs w:val="24"/>
                <w:lang w:val="fr-FR"/>
              </w:rPr>
              <w:t>1</w:t>
            </w:r>
            <w:r w:rsidR="00BD28F2" w:rsidRPr="005F7259">
              <w:rPr>
                <w:sz w:val="24"/>
                <w:szCs w:val="24"/>
                <w:lang w:val="fr-FR"/>
              </w:rPr>
              <w:t xml:space="preserve"> h </w:t>
            </w:r>
            <w:r w:rsidRPr="005F7259">
              <w:rPr>
                <w:sz w:val="24"/>
                <w:szCs w:val="24"/>
                <w:lang w:val="fr-FR"/>
              </w:rPr>
              <w:t>15</w:t>
            </w:r>
          </w:p>
          <w:p w14:paraId="370F6D7B" w14:textId="6E181A43" w:rsidR="00D72F49" w:rsidRPr="005F7259" w:rsidRDefault="00BD28F2" w:rsidP="00202150">
            <w:pPr>
              <w:pStyle w:val="Subtitle"/>
              <w:framePr w:hSpace="0" w:wrap="auto" w:hAnchor="text" w:xAlign="left" w:yAlign="inline"/>
              <w:jc w:val="center"/>
              <w:rPr>
                <w:lang w:val="fr-FR"/>
              </w:rPr>
            </w:pPr>
            <w:r w:rsidRPr="005F7259">
              <w:rPr>
                <w:b/>
                <w:bCs/>
                <w:sz w:val="24"/>
                <w:szCs w:val="24"/>
                <w:lang w:val="fr-FR"/>
              </w:rPr>
              <w:t>Président</w:t>
            </w:r>
            <w:r w:rsidRPr="005F7259">
              <w:rPr>
                <w:sz w:val="24"/>
                <w:szCs w:val="24"/>
                <w:lang w:val="fr-FR"/>
              </w:rPr>
              <w:t>: M. C. MARTINEZ (Paraguay)</w:t>
            </w:r>
          </w:p>
        </w:tc>
      </w:tr>
      <w:tr w:rsidR="00D72F49" w:rsidRPr="005F7259"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A49C415" w14:textId="77777777" w:rsidR="003F031B" w:rsidRPr="005F7259" w:rsidRDefault="003F031B" w:rsidP="00202150"/>
          <w:tbl>
            <w:tblPr>
              <w:tblW w:w="9639" w:type="dxa"/>
              <w:tblLayout w:type="fixed"/>
              <w:tblLook w:val="0000" w:firstRow="0" w:lastRow="0" w:firstColumn="0" w:lastColumn="0" w:noHBand="0" w:noVBand="0"/>
            </w:tblPr>
            <w:tblGrid>
              <w:gridCol w:w="484"/>
              <w:gridCol w:w="6038"/>
              <w:gridCol w:w="3117"/>
            </w:tblGrid>
            <w:tr w:rsidR="00BD28F2" w:rsidRPr="005F7259" w14:paraId="1D6F9F8F" w14:textId="77777777" w:rsidTr="003F031B">
              <w:trPr>
                <w:trHeight w:val="397"/>
              </w:trPr>
              <w:tc>
                <w:tcPr>
                  <w:tcW w:w="251" w:type="pct"/>
                </w:tcPr>
                <w:p w14:paraId="49317175" w14:textId="77777777" w:rsidR="00BD28F2" w:rsidRPr="005F7259" w:rsidRDefault="00BD28F2" w:rsidP="00D20F38">
                  <w:pPr>
                    <w:framePr w:hSpace="181" w:wrap="around" w:vAnchor="page" w:hAnchor="page" w:x="1821" w:y="2314"/>
                    <w:spacing w:before="240"/>
                    <w:rPr>
                      <w:b/>
                      <w:bCs/>
                      <w:szCs w:val="24"/>
                    </w:rPr>
                  </w:pPr>
                  <w:bookmarkStart w:id="0" w:name="_Hlk141438382"/>
                  <w:r w:rsidRPr="005F7259">
                    <w:rPr>
                      <w:b/>
                      <w:bCs/>
                      <w:szCs w:val="24"/>
                    </w:rPr>
                    <w:br w:type="page"/>
                  </w:r>
                  <w:r w:rsidRPr="005F7259">
                    <w:rPr>
                      <w:b/>
                      <w:bCs/>
                      <w:szCs w:val="24"/>
                    </w:rPr>
                    <w:br w:type="page"/>
                  </w:r>
                </w:p>
              </w:tc>
              <w:tc>
                <w:tcPr>
                  <w:tcW w:w="3132" w:type="pct"/>
                </w:tcPr>
                <w:p w14:paraId="08DA629C" w14:textId="3BF7D34B" w:rsidR="00BD28F2" w:rsidRPr="005F7259" w:rsidRDefault="00BD28F2" w:rsidP="00D20F38">
                  <w:pPr>
                    <w:framePr w:hSpace="181" w:wrap="around" w:vAnchor="page" w:hAnchor="page" w:x="1821" w:y="2314"/>
                    <w:spacing w:before="240"/>
                    <w:rPr>
                      <w:b/>
                      <w:bCs/>
                      <w:szCs w:val="24"/>
                    </w:rPr>
                  </w:pPr>
                  <w:r w:rsidRPr="005F7259">
                    <w:rPr>
                      <w:b/>
                      <w:bCs/>
                      <w:szCs w:val="24"/>
                    </w:rPr>
                    <w:t>Sujets traités</w:t>
                  </w:r>
                </w:p>
              </w:tc>
              <w:tc>
                <w:tcPr>
                  <w:tcW w:w="1617" w:type="pct"/>
                </w:tcPr>
                <w:p w14:paraId="3D05AAA0" w14:textId="6F8A121A" w:rsidR="00BD28F2" w:rsidRPr="005F7259" w:rsidRDefault="00BD28F2" w:rsidP="00D20F38">
                  <w:pPr>
                    <w:framePr w:hSpace="181" w:wrap="around" w:vAnchor="page" w:hAnchor="page" w:x="1821" w:y="2314"/>
                    <w:tabs>
                      <w:tab w:val="clear" w:pos="567"/>
                      <w:tab w:val="clear" w:pos="1134"/>
                      <w:tab w:val="clear" w:pos="1701"/>
                      <w:tab w:val="clear" w:pos="2268"/>
                    </w:tabs>
                    <w:spacing w:before="240"/>
                    <w:ind w:right="605"/>
                    <w:jc w:val="center"/>
                    <w:rPr>
                      <w:b/>
                      <w:bCs/>
                      <w:szCs w:val="24"/>
                    </w:rPr>
                  </w:pPr>
                  <w:r w:rsidRPr="005F7259">
                    <w:rPr>
                      <w:b/>
                      <w:bCs/>
                      <w:szCs w:val="24"/>
                    </w:rPr>
                    <w:t>Documents</w:t>
                  </w:r>
                </w:p>
              </w:tc>
            </w:tr>
            <w:tr w:rsidR="00BD28F2" w:rsidRPr="005F7259" w14:paraId="408FCD95" w14:textId="77777777" w:rsidTr="003F031B">
              <w:trPr>
                <w:trHeight w:val="20"/>
              </w:trPr>
              <w:tc>
                <w:tcPr>
                  <w:tcW w:w="251" w:type="pct"/>
                </w:tcPr>
                <w:p w14:paraId="5E48E5D9" w14:textId="77777777" w:rsidR="00BD28F2" w:rsidRPr="005F7259" w:rsidRDefault="00BD28F2" w:rsidP="00D20F38">
                  <w:pPr>
                    <w:framePr w:hSpace="181" w:wrap="around" w:vAnchor="page" w:hAnchor="page" w:x="1821" w:y="2314"/>
                    <w:spacing w:after="40"/>
                    <w:rPr>
                      <w:szCs w:val="24"/>
                    </w:rPr>
                  </w:pPr>
                  <w:r w:rsidRPr="005F7259">
                    <w:rPr>
                      <w:szCs w:val="24"/>
                    </w:rPr>
                    <w:t>1</w:t>
                  </w:r>
                </w:p>
              </w:tc>
              <w:tc>
                <w:tcPr>
                  <w:tcW w:w="3132" w:type="pct"/>
                </w:tcPr>
                <w:p w14:paraId="2DA698D0" w14:textId="4E7F293B" w:rsidR="00BD28F2" w:rsidRPr="005F7259" w:rsidRDefault="00BD28F2" w:rsidP="00D20F38">
                  <w:pPr>
                    <w:framePr w:hSpace="181" w:wrap="around" w:vAnchor="page" w:hAnchor="page" w:x="1821" w:y="2314"/>
                    <w:spacing w:after="40"/>
                    <w:rPr>
                      <w:szCs w:val="24"/>
                    </w:rPr>
                  </w:pPr>
                  <w:r w:rsidRPr="005F7259">
                    <w:rPr>
                      <w:szCs w:val="24"/>
                    </w:rPr>
                    <w:t>Ouverture de la session</w:t>
                  </w:r>
                  <w:r w:rsidR="006537DD" w:rsidRPr="005F7259">
                    <w:rPr>
                      <w:szCs w:val="24"/>
                    </w:rPr>
                    <w:t xml:space="preserve"> additionnelle</w:t>
                  </w:r>
                  <w:r w:rsidRPr="005F7259">
                    <w:rPr>
                      <w:szCs w:val="24"/>
                    </w:rPr>
                    <w:t xml:space="preserve"> de 2023 du Conseil</w:t>
                  </w:r>
                </w:p>
              </w:tc>
              <w:tc>
                <w:tcPr>
                  <w:tcW w:w="1617" w:type="pct"/>
                </w:tcPr>
                <w:p w14:paraId="6B413B60" w14:textId="64AB8069" w:rsidR="00BD28F2" w:rsidRPr="005F7259" w:rsidRDefault="00037434" w:rsidP="00D20F38">
                  <w:pPr>
                    <w:framePr w:hSpace="181" w:wrap="around" w:vAnchor="page" w:hAnchor="page" w:x="1821" w:y="2314"/>
                    <w:tabs>
                      <w:tab w:val="clear" w:pos="567"/>
                      <w:tab w:val="clear" w:pos="1134"/>
                      <w:tab w:val="clear" w:pos="1701"/>
                      <w:tab w:val="clear" w:pos="2268"/>
                    </w:tabs>
                    <w:spacing w:after="40"/>
                    <w:ind w:right="605"/>
                    <w:jc w:val="center"/>
                    <w:rPr>
                      <w:szCs w:val="24"/>
                    </w:rPr>
                  </w:pPr>
                  <w:r w:rsidRPr="005F7259">
                    <w:rPr>
                      <w:szCs w:val="24"/>
                    </w:rPr>
                    <w:t>–</w:t>
                  </w:r>
                </w:p>
              </w:tc>
            </w:tr>
            <w:tr w:rsidR="00BD28F2" w:rsidRPr="005F7259" w14:paraId="555EB32A" w14:textId="77777777" w:rsidTr="003F031B">
              <w:trPr>
                <w:trHeight w:val="20"/>
              </w:trPr>
              <w:tc>
                <w:tcPr>
                  <w:tcW w:w="251" w:type="pct"/>
                </w:tcPr>
                <w:p w14:paraId="67CEA2C5" w14:textId="77777777" w:rsidR="00BD28F2" w:rsidRPr="005F7259" w:rsidRDefault="00BD28F2" w:rsidP="00D20F38">
                  <w:pPr>
                    <w:framePr w:hSpace="181" w:wrap="around" w:vAnchor="page" w:hAnchor="page" w:x="1821" w:y="2314"/>
                    <w:spacing w:after="40"/>
                    <w:rPr>
                      <w:szCs w:val="24"/>
                    </w:rPr>
                  </w:pPr>
                  <w:r w:rsidRPr="005F7259">
                    <w:rPr>
                      <w:szCs w:val="24"/>
                    </w:rPr>
                    <w:t>2</w:t>
                  </w:r>
                </w:p>
              </w:tc>
              <w:tc>
                <w:tcPr>
                  <w:tcW w:w="3132" w:type="pct"/>
                </w:tcPr>
                <w:p w14:paraId="7D475101" w14:textId="49E52BA5" w:rsidR="00BD28F2" w:rsidRPr="005F7259" w:rsidRDefault="00814B61" w:rsidP="00D20F38">
                  <w:pPr>
                    <w:framePr w:hSpace="181" w:wrap="around" w:vAnchor="page" w:hAnchor="page" w:x="1821" w:y="2314"/>
                    <w:spacing w:after="40"/>
                    <w:rPr>
                      <w:szCs w:val="24"/>
                    </w:rPr>
                  </w:pPr>
                  <w:r w:rsidRPr="005F7259">
                    <w:t>Remarques liminaires de la Secrétaire générale</w:t>
                  </w:r>
                </w:p>
              </w:tc>
              <w:tc>
                <w:tcPr>
                  <w:tcW w:w="1617" w:type="pct"/>
                </w:tcPr>
                <w:p w14:paraId="33FB93B7" w14:textId="39483E4C" w:rsidR="00BD28F2" w:rsidRPr="005F7259" w:rsidRDefault="00037434" w:rsidP="00D20F38">
                  <w:pPr>
                    <w:framePr w:hSpace="181" w:wrap="around" w:vAnchor="page" w:hAnchor="page" w:x="1821" w:y="2314"/>
                    <w:tabs>
                      <w:tab w:val="clear" w:pos="567"/>
                      <w:tab w:val="clear" w:pos="1134"/>
                      <w:tab w:val="clear" w:pos="1701"/>
                      <w:tab w:val="clear" w:pos="2268"/>
                    </w:tabs>
                    <w:spacing w:after="40"/>
                    <w:ind w:right="605"/>
                    <w:jc w:val="center"/>
                    <w:rPr>
                      <w:szCs w:val="24"/>
                    </w:rPr>
                  </w:pPr>
                  <w:r w:rsidRPr="005F7259">
                    <w:rPr>
                      <w:szCs w:val="24"/>
                    </w:rPr>
                    <w:t>–</w:t>
                  </w:r>
                </w:p>
              </w:tc>
            </w:tr>
            <w:tr w:rsidR="00BD28F2" w:rsidRPr="005F7259" w14:paraId="729D6B6C" w14:textId="77777777" w:rsidTr="003F031B">
              <w:trPr>
                <w:trHeight w:val="20"/>
              </w:trPr>
              <w:tc>
                <w:tcPr>
                  <w:tcW w:w="251" w:type="pct"/>
                </w:tcPr>
                <w:p w14:paraId="2D0C2A60" w14:textId="77777777" w:rsidR="00BD28F2" w:rsidRPr="005F7259" w:rsidRDefault="00BD28F2" w:rsidP="00D20F38">
                  <w:pPr>
                    <w:framePr w:hSpace="181" w:wrap="around" w:vAnchor="page" w:hAnchor="page" w:x="1821" w:y="2314"/>
                    <w:spacing w:after="40"/>
                    <w:rPr>
                      <w:szCs w:val="24"/>
                    </w:rPr>
                  </w:pPr>
                  <w:r w:rsidRPr="005F7259">
                    <w:rPr>
                      <w:szCs w:val="24"/>
                    </w:rPr>
                    <w:t>3</w:t>
                  </w:r>
                </w:p>
              </w:tc>
              <w:tc>
                <w:tcPr>
                  <w:tcW w:w="3132" w:type="pct"/>
                </w:tcPr>
                <w:p w14:paraId="46C26FBA" w14:textId="65C302EF" w:rsidR="00BD28F2" w:rsidRPr="005F7259" w:rsidRDefault="00814B61" w:rsidP="00D20F38">
                  <w:pPr>
                    <w:framePr w:hSpace="181" w:wrap="around" w:vAnchor="page" w:hAnchor="page" w:x="1821" w:y="2314"/>
                    <w:spacing w:after="40"/>
                    <w:rPr>
                      <w:szCs w:val="24"/>
                    </w:rPr>
                  </w:pPr>
                  <w:r w:rsidRPr="005F7259">
                    <w:rPr>
                      <w:rFonts w:asciiTheme="minorHAnsi" w:hAnsiTheme="minorHAnsi"/>
                      <w:bCs/>
                      <w:szCs w:val="24"/>
                    </w:rPr>
                    <w:t>Déclarations d'Israël et de l'État de Palestine</w:t>
                  </w:r>
                </w:p>
              </w:tc>
              <w:tc>
                <w:tcPr>
                  <w:tcW w:w="1617" w:type="pct"/>
                </w:tcPr>
                <w:p w14:paraId="2C451E05" w14:textId="1D8743CE" w:rsidR="00BD28F2" w:rsidRPr="005F7259" w:rsidRDefault="00037434" w:rsidP="00D20F38">
                  <w:pPr>
                    <w:framePr w:hSpace="181" w:wrap="around" w:vAnchor="page" w:hAnchor="page" w:x="1821" w:y="2314"/>
                    <w:tabs>
                      <w:tab w:val="clear" w:pos="567"/>
                      <w:tab w:val="clear" w:pos="1134"/>
                      <w:tab w:val="clear" w:pos="1701"/>
                      <w:tab w:val="clear" w:pos="2268"/>
                    </w:tabs>
                    <w:spacing w:after="40"/>
                    <w:ind w:right="605"/>
                    <w:jc w:val="center"/>
                    <w:rPr>
                      <w:szCs w:val="24"/>
                    </w:rPr>
                  </w:pPr>
                  <w:r w:rsidRPr="005F7259">
                    <w:rPr>
                      <w:szCs w:val="24"/>
                    </w:rPr>
                    <w:t>–</w:t>
                  </w:r>
                </w:p>
              </w:tc>
            </w:tr>
            <w:tr w:rsidR="003F031B" w:rsidRPr="005F7259" w14:paraId="1CA2F93A" w14:textId="77777777" w:rsidTr="003F031B">
              <w:trPr>
                <w:trHeight w:val="20"/>
              </w:trPr>
              <w:tc>
                <w:tcPr>
                  <w:tcW w:w="251" w:type="pct"/>
                </w:tcPr>
                <w:p w14:paraId="1C2F04A0" w14:textId="77777777" w:rsidR="003F031B" w:rsidRPr="005F7259" w:rsidRDefault="003F031B" w:rsidP="00D20F38">
                  <w:pPr>
                    <w:framePr w:hSpace="181" w:wrap="around" w:vAnchor="page" w:hAnchor="page" w:x="1821" w:y="2314"/>
                    <w:spacing w:after="40"/>
                    <w:rPr>
                      <w:szCs w:val="24"/>
                    </w:rPr>
                  </w:pPr>
                  <w:r w:rsidRPr="005F7259">
                    <w:rPr>
                      <w:szCs w:val="24"/>
                    </w:rPr>
                    <w:t>4</w:t>
                  </w:r>
                </w:p>
              </w:tc>
              <w:tc>
                <w:tcPr>
                  <w:tcW w:w="3132" w:type="pct"/>
                </w:tcPr>
                <w:p w14:paraId="52D1214D" w14:textId="7FEC6C2B" w:rsidR="003F031B" w:rsidRPr="005F7259" w:rsidRDefault="003F031B" w:rsidP="00D20F38">
                  <w:pPr>
                    <w:framePr w:hSpace="181" w:wrap="around" w:vAnchor="page" w:hAnchor="page" w:x="1821" w:y="2314"/>
                    <w:spacing w:after="40"/>
                    <w:rPr>
                      <w:szCs w:val="24"/>
                    </w:rPr>
                  </w:pPr>
                  <w:r w:rsidRPr="005F7259">
                    <w:rPr>
                      <w:szCs w:val="24"/>
                    </w:rPr>
                    <w:t xml:space="preserve">Approbation du projet d'ordre du jour de la Session </w:t>
                  </w:r>
                  <w:r w:rsidR="0011507A" w:rsidRPr="005F7259">
                    <w:rPr>
                      <w:szCs w:val="24"/>
                    </w:rPr>
                    <w:t xml:space="preserve">additionnelle </w:t>
                  </w:r>
                  <w:r w:rsidRPr="005F7259">
                    <w:rPr>
                      <w:szCs w:val="24"/>
                    </w:rPr>
                    <w:t>de 2023 du Conseil</w:t>
                  </w:r>
                </w:p>
              </w:tc>
              <w:tc>
                <w:tcPr>
                  <w:tcW w:w="1617" w:type="pct"/>
                </w:tcPr>
                <w:p w14:paraId="3BF76323" w14:textId="4FBD2EEB" w:rsidR="003F031B" w:rsidRPr="005F7259" w:rsidRDefault="004116CA" w:rsidP="00D20F38">
                  <w:pPr>
                    <w:framePr w:hSpace="181" w:wrap="around" w:vAnchor="page" w:hAnchor="page" w:x="1821" w:y="2314"/>
                    <w:tabs>
                      <w:tab w:val="clear" w:pos="567"/>
                      <w:tab w:val="clear" w:pos="1134"/>
                      <w:tab w:val="clear" w:pos="1701"/>
                      <w:tab w:val="clear" w:pos="2268"/>
                    </w:tabs>
                    <w:spacing w:after="40"/>
                    <w:ind w:right="605"/>
                    <w:jc w:val="center"/>
                    <w:rPr>
                      <w:rStyle w:val="Hyperlink"/>
                      <w:szCs w:val="24"/>
                    </w:rPr>
                  </w:pPr>
                  <w:hyperlink r:id="rId8" w:history="1">
                    <w:r w:rsidR="003F031B" w:rsidRPr="005F7259">
                      <w:rPr>
                        <w:rStyle w:val="Hyperlink"/>
                        <w:rFonts w:asciiTheme="minorHAnsi" w:hAnsiTheme="minorHAnsi" w:cstheme="minorHAnsi"/>
                        <w:szCs w:val="24"/>
                      </w:rPr>
                      <w:t>C23-ADD/1(Rév.3)</w:t>
                    </w:r>
                  </w:hyperlink>
                </w:p>
              </w:tc>
            </w:tr>
            <w:tr w:rsidR="003F031B" w:rsidRPr="005F7259" w14:paraId="6E3B6FAA" w14:textId="77777777" w:rsidTr="003F031B">
              <w:trPr>
                <w:trHeight w:val="20"/>
              </w:trPr>
              <w:tc>
                <w:tcPr>
                  <w:tcW w:w="251" w:type="pct"/>
                </w:tcPr>
                <w:p w14:paraId="333FF2CC" w14:textId="77777777" w:rsidR="003F031B" w:rsidRPr="005F7259" w:rsidRDefault="003F031B" w:rsidP="00D20F38">
                  <w:pPr>
                    <w:framePr w:hSpace="181" w:wrap="around" w:vAnchor="page" w:hAnchor="page" w:x="1821" w:y="2314"/>
                    <w:spacing w:after="40"/>
                    <w:rPr>
                      <w:szCs w:val="24"/>
                    </w:rPr>
                  </w:pPr>
                  <w:r w:rsidRPr="005F7259">
                    <w:rPr>
                      <w:szCs w:val="24"/>
                    </w:rPr>
                    <w:t>5</w:t>
                  </w:r>
                </w:p>
              </w:tc>
              <w:tc>
                <w:tcPr>
                  <w:tcW w:w="3132" w:type="pct"/>
                </w:tcPr>
                <w:p w14:paraId="375255F3" w14:textId="37033D15" w:rsidR="003F031B" w:rsidRPr="005F7259" w:rsidRDefault="005B7547" w:rsidP="00D20F38">
                  <w:pPr>
                    <w:framePr w:hSpace="181" w:wrap="around" w:vAnchor="page" w:hAnchor="page" w:x="1821" w:y="2314"/>
                    <w:spacing w:after="40"/>
                    <w:rPr>
                      <w:szCs w:val="24"/>
                    </w:rPr>
                  </w:pPr>
                  <w:r w:rsidRPr="005F7259">
                    <w:rPr>
                      <w:szCs w:val="24"/>
                    </w:rPr>
                    <w:t>Projet de programme de gestion du temps</w:t>
                  </w:r>
                </w:p>
              </w:tc>
              <w:tc>
                <w:tcPr>
                  <w:tcW w:w="1617" w:type="pct"/>
                </w:tcPr>
                <w:p w14:paraId="6CB81CF2" w14:textId="5C37801D" w:rsidR="003F031B" w:rsidRPr="005F7259" w:rsidRDefault="004116CA" w:rsidP="00D20F38">
                  <w:pPr>
                    <w:framePr w:hSpace="181" w:wrap="around" w:vAnchor="page" w:hAnchor="page" w:x="1821" w:y="2314"/>
                    <w:tabs>
                      <w:tab w:val="clear" w:pos="567"/>
                      <w:tab w:val="clear" w:pos="1134"/>
                      <w:tab w:val="clear" w:pos="1701"/>
                      <w:tab w:val="clear" w:pos="2268"/>
                    </w:tabs>
                    <w:spacing w:after="40"/>
                    <w:ind w:right="605"/>
                    <w:jc w:val="center"/>
                    <w:rPr>
                      <w:rStyle w:val="Hyperlink"/>
                      <w:szCs w:val="24"/>
                    </w:rPr>
                  </w:pPr>
                  <w:hyperlink r:id="rId9" w:history="1">
                    <w:r w:rsidR="003F031B" w:rsidRPr="005F7259">
                      <w:rPr>
                        <w:rStyle w:val="Hyperlink"/>
                        <w:rFonts w:asciiTheme="minorHAnsi" w:hAnsiTheme="minorHAnsi" w:cstheme="minorHAnsi"/>
                        <w:szCs w:val="24"/>
                      </w:rPr>
                      <w:t>C23-ADD/DT/1(Rév.3)</w:t>
                    </w:r>
                  </w:hyperlink>
                </w:p>
              </w:tc>
            </w:tr>
            <w:tr w:rsidR="003F031B" w:rsidRPr="005F7259" w14:paraId="35877704" w14:textId="77777777" w:rsidTr="003F031B">
              <w:trPr>
                <w:trHeight w:val="20"/>
              </w:trPr>
              <w:tc>
                <w:tcPr>
                  <w:tcW w:w="251" w:type="pct"/>
                </w:tcPr>
                <w:p w14:paraId="7937C16B" w14:textId="77777777" w:rsidR="003F031B" w:rsidRPr="005F7259" w:rsidRDefault="003F031B" w:rsidP="00D20F38">
                  <w:pPr>
                    <w:framePr w:hSpace="181" w:wrap="around" w:vAnchor="page" w:hAnchor="page" w:x="1821" w:y="2314"/>
                    <w:spacing w:after="40"/>
                    <w:rPr>
                      <w:szCs w:val="24"/>
                    </w:rPr>
                  </w:pPr>
                  <w:r w:rsidRPr="005F7259">
                    <w:rPr>
                      <w:szCs w:val="24"/>
                    </w:rPr>
                    <w:t>6</w:t>
                  </w:r>
                </w:p>
              </w:tc>
              <w:tc>
                <w:tcPr>
                  <w:tcW w:w="3132" w:type="pct"/>
                </w:tcPr>
                <w:p w14:paraId="6B041F07" w14:textId="47729D5A" w:rsidR="003F031B" w:rsidRPr="005F7259" w:rsidRDefault="005B7547" w:rsidP="00D20F38">
                  <w:pPr>
                    <w:framePr w:hSpace="181" w:wrap="around" w:vAnchor="page" w:hAnchor="page" w:x="1821" w:y="2314"/>
                    <w:spacing w:after="40"/>
                    <w:rPr>
                      <w:szCs w:val="24"/>
                    </w:rPr>
                  </w:pPr>
                  <w:r w:rsidRPr="005F7259">
                    <w:t>Questions d'organisation</w:t>
                  </w:r>
                </w:p>
              </w:tc>
              <w:tc>
                <w:tcPr>
                  <w:tcW w:w="1617" w:type="pct"/>
                </w:tcPr>
                <w:p w14:paraId="182744CF" w14:textId="5D9665B6" w:rsidR="003F031B" w:rsidRPr="005F7259" w:rsidRDefault="003F031B" w:rsidP="00D20F38">
                  <w:pPr>
                    <w:framePr w:hSpace="181" w:wrap="around" w:vAnchor="page" w:hAnchor="page" w:x="1821" w:y="2314"/>
                    <w:tabs>
                      <w:tab w:val="clear" w:pos="567"/>
                      <w:tab w:val="clear" w:pos="1134"/>
                      <w:tab w:val="clear" w:pos="1701"/>
                      <w:tab w:val="clear" w:pos="2268"/>
                    </w:tabs>
                    <w:spacing w:after="40"/>
                    <w:ind w:right="605"/>
                    <w:jc w:val="center"/>
                    <w:rPr>
                      <w:rStyle w:val="Hyperlink"/>
                      <w:szCs w:val="24"/>
                    </w:rPr>
                  </w:pPr>
                  <w:r w:rsidRPr="005F7259">
                    <w:rPr>
                      <w:szCs w:val="24"/>
                    </w:rPr>
                    <w:t>–</w:t>
                  </w:r>
                </w:p>
              </w:tc>
            </w:tr>
            <w:tr w:rsidR="003F031B" w:rsidRPr="005F7259" w14:paraId="0771BBDC" w14:textId="77777777" w:rsidTr="003F031B">
              <w:trPr>
                <w:trHeight w:val="20"/>
              </w:trPr>
              <w:tc>
                <w:tcPr>
                  <w:tcW w:w="251" w:type="pct"/>
                </w:tcPr>
                <w:p w14:paraId="28EDA8AD" w14:textId="77777777" w:rsidR="003F031B" w:rsidRPr="005F7259" w:rsidRDefault="003F031B" w:rsidP="00D20F38">
                  <w:pPr>
                    <w:framePr w:hSpace="181" w:wrap="around" w:vAnchor="page" w:hAnchor="page" w:x="1821" w:y="2314"/>
                    <w:spacing w:after="40"/>
                    <w:rPr>
                      <w:szCs w:val="24"/>
                    </w:rPr>
                  </w:pPr>
                  <w:r w:rsidRPr="005F7259">
                    <w:rPr>
                      <w:szCs w:val="24"/>
                    </w:rPr>
                    <w:t>7</w:t>
                  </w:r>
                </w:p>
              </w:tc>
              <w:tc>
                <w:tcPr>
                  <w:tcW w:w="3132" w:type="pct"/>
                </w:tcPr>
                <w:p w14:paraId="406CAE9E" w14:textId="151F7D1C" w:rsidR="003F031B" w:rsidRPr="005F7259" w:rsidRDefault="003F031B" w:rsidP="00D20F38">
                  <w:pPr>
                    <w:framePr w:hSpace="181" w:wrap="around" w:vAnchor="page" w:hAnchor="page" w:x="1821" w:y="2314"/>
                    <w:spacing w:after="40"/>
                    <w:rPr>
                      <w:szCs w:val="24"/>
                    </w:rPr>
                  </w:pPr>
                  <w:r w:rsidRPr="005F7259">
                    <w:rPr>
                      <w:rFonts w:asciiTheme="minorHAnsi" w:hAnsiTheme="minorHAnsi"/>
                      <w:snapToGrid w:val="0"/>
                    </w:rPr>
                    <w:t>Lieu précis et dates exactes de la Conférence de plénipotentiaires de 2026</w:t>
                  </w:r>
                </w:p>
              </w:tc>
              <w:tc>
                <w:tcPr>
                  <w:tcW w:w="1617" w:type="pct"/>
                </w:tcPr>
                <w:p w14:paraId="2473BEF6" w14:textId="37E6583A" w:rsidR="003F031B" w:rsidRPr="005F7259" w:rsidRDefault="004116CA" w:rsidP="00D20F38">
                  <w:pPr>
                    <w:framePr w:hSpace="181" w:wrap="around" w:vAnchor="page" w:hAnchor="page" w:x="1821" w:y="2314"/>
                    <w:tabs>
                      <w:tab w:val="clear" w:pos="567"/>
                      <w:tab w:val="clear" w:pos="1134"/>
                      <w:tab w:val="clear" w:pos="1701"/>
                      <w:tab w:val="clear" w:pos="2268"/>
                    </w:tabs>
                    <w:spacing w:after="40"/>
                    <w:ind w:right="605"/>
                    <w:jc w:val="center"/>
                    <w:rPr>
                      <w:szCs w:val="24"/>
                    </w:rPr>
                  </w:pPr>
                  <w:hyperlink r:id="rId10" w:history="1">
                    <w:r w:rsidR="003F031B" w:rsidRPr="005F7259">
                      <w:rPr>
                        <w:rStyle w:val="Hyperlink"/>
                        <w:szCs w:val="24"/>
                      </w:rPr>
                      <w:t>C23-ADD/4</w:t>
                    </w:r>
                  </w:hyperlink>
                </w:p>
              </w:tc>
            </w:tr>
            <w:bookmarkEnd w:id="0"/>
          </w:tbl>
          <w:p w14:paraId="3B399B5C" w14:textId="77777777" w:rsidR="00D72F49" w:rsidRPr="005F7259" w:rsidRDefault="00D72F49" w:rsidP="00202150">
            <w:pPr>
              <w:spacing w:before="160"/>
            </w:pPr>
          </w:p>
        </w:tc>
      </w:tr>
    </w:tbl>
    <w:p w14:paraId="3B7150AC" w14:textId="77777777" w:rsidR="00A51849" w:rsidRPr="005F7259" w:rsidRDefault="00A51849" w:rsidP="00202150">
      <w:pPr>
        <w:tabs>
          <w:tab w:val="clear" w:pos="567"/>
          <w:tab w:val="clear" w:pos="1134"/>
          <w:tab w:val="clear" w:pos="1701"/>
          <w:tab w:val="clear" w:pos="2268"/>
          <w:tab w:val="clear" w:pos="2835"/>
        </w:tabs>
        <w:overflowPunct/>
        <w:autoSpaceDE/>
        <w:autoSpaceDN/>
        <w:adjustRightInd/>
        <w:spacing w:before="0"/>
        <w:textAlignment w:val="auto"/>
      </w:pPr>
      <w:r w:rsidRPr="005F7259">
        <w:br w:type="page"/>
      </w:r>
    </w:p>
    <w:p w14:paraId="22481E23" w14:textId="590D37C5" w:rsidR="00742914" w:rsidRPr="005F7259" w:rsidRDefault="00742914" w:rsidP="00202150">
      <w:pPr>
        <w:pStyle w:val="Heading1"/>
      </w:pPr>
      <w:r w:rsidRPr="005F7259">
        <w:lastRenderedPageBreak/>
        <w:t>1</w:t>
      </w:r>
      <w:r w:rsidRPr="005F7259">
        <w:tab/>
        <w:t xml:space="preserve">Ouverture de la session </w:t>
      </w:r>
      <w:r w:rsidR="00E52CE3" w:rsidRPr="005F7259">
        <w:t xml:space="preserve">additionnelle </w:t>
      </w:r>
      <w:r w:rsidRPr="005F7259">
        <w:t>de 2023 du Conseil</w:t>
      </w:r>
    </w:p>
    <w:p w14:paraId="4426E8BF" w14:textId="553C6F7C" w:rsidR="00871071" w:rsidRPr="005F7259" w:rsidRDefault="00742914" w:rsidP="00202150">
      <w:r w:rsidRPr="005F7259">
        <w:t>1.1</w:t>
      </w:r>
      <w:r w:rsidRPr="005F7259">
        <w:tab/>
      </w:r>
      <w:r w:rsidR="00093A84" w:rsidRPr="005F7259">
        <w:t xml:space="preserve">Le </w:t>
      </w:r>
      <w:r w:rsidR="00330E77" w:rsidRPr="005F7259">
        <w:t>Président déclare ouverte la session additionnelle de 2023 du Conseil</w:t>
      </w:r>
      <w:r w:rsidR="00E52CE3" w:rsidRPr="005F7259">
        <w:t xml:space="preserve"> et </w:t>
      </w:r>
      <w:r w:rsidR="000F35E1" w:rsidRPr="005F7259">
        <w:t>souhaite la bienvenue à l'ensemble des délégués.</w:t>
      </w:r>
    </w:p>
    <w:p w14:paraId="3852C3B3" w14:textId="05548453" w:rsidR="00742914" w:rsidRPr="005F7259" w:rsidRDefault="00742914" w:rsidP="00202150">
      <w:pPr>
        <w:pStyle w:val="Heading1"/>
      </w:pPr>
      <w:r w:rsidRPr="005F7259">
        <w:t>2</w:t>
      </w:r>
      <w:r w:rsidRPr="005F7259">
        <w:tab/>
      </w:r>
      <w:r w:rsidR="0032271C" w:rsidRPr="005F7259">
        <w:t>Remarque</w:t>
      </w:r>
      <w:r w:rsidR="00814B61" w:rsidRPr="005F7259">
        <w:t>s</w:t>
      </w:r>
      <w:r w:rsidR="0032271C" w:rsidRPr="005F7259">
        <w:t xml:space="preserve"> liminaires de la Secrétaire générale</w:t>
      </w:r>
    </w:p>
    <w:p w14:paraId="254A8EBE" w14:textId="6F055EF1" w:rsidR="00742914" w:rsidRPr="005F7259" w:rsidRDefault="00742914" w:rsidP="00202150">
      <w:r w:rsidRPr="005F7259">
        <w:t>2.1</w:t>
      </w:r>
      <w:r w:rsidRPr="005F7259">
        <w:tab/>
      </w:r>
      <w:r w:rsidR="00B8250D" w:rsidRPr="005F7259">
        <w:t xml:space="preserve">La Secrétaire générale </w:t>
      </w:r>
      <w:r w:rsidR="000B094B" w:rsidRPr="005F7259">
        <w:t>souligne</w:t>
      </w:r>
      <w:r w:rsidR="006B0A68" w:rsidRPr="005F7259">
        <w:t xml:space="preserve"> </w:t>
      </w:r>
      <w:r w:rsidR="00C37096" w:rsidRPr="005F7259">
        <w:t xml:space="preserve">que le Conseil se réunit dans un contexte difficile </w:t>
      </w:r>
      <w:r w:rsidR="002F79F5" w:rsidRPr="005F7259">
        <w:t>pour la paix</w:t>
      </w:r>
      <w:r w:rsidR="000B094B" w:rsidRPr="005F7259">
        <w:t>,</w:t>
      </w:r>
      <w:r w:rsidR="002F79F5" w:rsidRPr="005F7259">
        <w:t xml:space="preserve"> </w:t>
      </w:r>
      <w:r w:rsidR="0072040D" w:rsidRPr="005F7259">
        <w:t xml:space="preserve">qui met à </w:t>
      </w:r>
      <w:r w:rsidR="00F701F3" w:rsidRPr="005F7259">
        <w:t xml:space="preserve">rude </w:t>
      </w:r>
      <w:r w:rsidR="0072040D" w:rsidRPr="005F7259">
        <w:t xml:space="preserve">épreuve </w:t>
      </w:r>
      <w:r w:rsidR="003926CA" w:rsidRPr="005F7259">
        <w:t>la volont</w:t>
      </w:r>
      <w:r w:rsidR="00BE4E48" w:rsidRPr="005F7259">
        <w:t>é</w:t>
      </w:r>
      <w:r w:rsidR="007B52A5" w:rsidRPr="005F7259">
        <w:t xml:space="preserve"> de travailler ensemble. </w:t>
      </w:r>
      <w:r w:rsidR="00000E03" w:rsidRPr="005F7259">
        <w:t>Elle reprend à son compte l'appel du Secrétaire général des Nations Unies</w:t>
      </w:r>
      <w:r w:rsidR="009B4CF6" w:rsidRPr="005F7259">
        <w:t xml:space="preserve"> à protéger et à respecter </w:t>
      </w:r>
      <w:r w:rsidR="009C3732" w:rsidRPr="005F7259">
        <w:t xml:space="preserve">en permanence </w:t>
      </w:r>
      <w:r w:rsidR="009B4CF6" w:rsidRPr="005F7259">
        <w:t xml:space="preserve">les </w:t>
      </w:r>
      <w:r w:rsidR="0014719C" w:rsidRPr="005F7259">
        <w:t xml:space="preserve">civils et les infrastructures civiles </w:t>
      </w:r>
      <w:r w:rsidR="00846057" w:rsidRPr="005F7259">
        <w:t xml:space="preserve">au Moyen-Orient. </w:t>
      </w:r>
      <w:r w:rsidR="00AF6F6D" w:rsidRPr="005F7259">
        <w:t xml:space="preserve">Rappelant l'objet et la responsabilité de l'UIT de promouvoir l'utilisation de la technologie pour faciliter les relations pacifiques et la coopération internationale, comme le prévoit la Constitution de l'UIT, l'oratrice </w:t>
      </w:r>
      <w:r w:rsidR="00B9776A" w:rsidRPr="005F7259">
        <w:t>souligne l'</w:t>
      </w:r>
      <w:r w:rsidR="00AF6F6D" w:rsidRPr="005F7259">
        <w:t>importan</w:t>
      </w:r>
      <w:r w:rsidR="00B9776A" w:rsidRPr="005F7259">
        <w:t>ce</w:t>
      </w:r>
      <w:r w:rsidR="00AF6F6D" w:rsidRPr="005F7259">
        <w:t xml:space="preserve"> de garder à l</w:t>
      </w:r>
      <w:r w:rsidR="00B9776A" w:rsidRPr="005F7259">
        <w:t>'</w:t>
      </w:r>
      <w:r w:rsidR="00AF6F6D" w:rsidRPr="005F7259">
        <w:t>esprit la nécessité de protéger l</w:t>
      </w:r>
      <w:r w:rsidR="00B9776A" w:rsidRPr="005F7259">
        <w:t>'</w:t>
      </w:r>
      <w:r w:rsidR="00AF6F6D" w:rsidRPr="005F7259">
        <w:t>infrastructure des télécommunications et le droit de communiquer.</w:t>
      </w:r>
      <w:r w:rsidR="00B9776A" w:rsidRPr="005F7259">
        <w:t xml:space="preserve"> </w:t>
      </w:r>
      <w:r w:rsidR="006D451A" w:rsidRPr="005F7259">
        <w:t xml:space="preserve">Elle propose </w:t>
      </w:r>
      <w:r w:rsidR="009C3732" w:rsidRPr="005F7259">
        <w:t>d'observer</w:t>
      </w:r>
      <w:r w:rsidR="006D451A" w:rsidRPr="005F7259">
        <w:t xml:space="preserve"> un</w:t>
      </w:r>
      <w:r w:rsidR="00165871" w:rsidRPr="005F7259">
        <w:t>e minute</w:t>
      </w:r>
      <w:r w:rsidR="006D451A" w:rsidRPr="005F7259">
        <w:t xml:space="preserve"> de silence </w:t>
      </w:r>
      <w:r w:rsidR="003D56C1" w:rsidRPr="005F7259">
        <w:t xml:space="preserve">à la mémoire des civils innocents </w:t>
      </w:r>
      <w:r w:rsidR="009C3732" w:rsidRPr="005F7259">
        <w:t xml:space="preserve">qui ont </w:t>
      </w:r>
      <w:r w:rsidR="003D56C1" w:rsidRPr="005F7259">
        <w:t xml:space="preserve">perdu </w:t>
      </w:r>
      <w:r w:rsidR="009C3732" w:rsidRPr="005F7259">
        <w:t xml:space="preserve">la vie </w:t>
      </w:r>
      <w:r w:rsidR="003D56C1" w:rsidRPr="005F7259">
        <w:t>dans les conflits à travers le monde.</w:t>
      </w:r>
    </w:p>
    <w:p w14:paraId="6DA3B56E" w14:textId="7676289A" w:rsidR="007D75D7" w:rsidRPr="005F7259" w:rsidRDefault="00883889" w:rsidP="00202150">
      <w:pPr>
        <w:pStyle w:val="Headingb"/>
      </w:pPr>
      <w:r w:rsidRPr="005F7259">
        <w:t>Une minute de silence est observée.</w:t>
      </w:r>
    </w:p>
    <w:p w14:paraId="664D0631" w14:textId="6D95FA95" w:rsidR="007D75D7" w:rsidRPr="005F7259" w:rsidRDefault="007D75D7" w:rsidP="00202150">
      <w:r w:rsidRPr="005F7259">
        <w:t>2.2</w:t>
      </w:r>
      <w:r w:rsidRPr="005F7259">
        <w:tab/>
      </w:r>
      <w:r w:rsidR="00B475E6" w:rsidRPr="005F7259">
        <w:t xml:space="preserve">La Secrétaire générale présente ensuite les résultats des réunions des groupes de travail et d'experts du Conseil qui viennent de s'achever et </w:t>
      </w:r>
      <w:r w:rsidR="00481CC3" w:rsidRPr="005F7259">
        <w:t xml:space="preserve">assure </w:t>
      </w:r>
      <w:r w:rsidR="00B475E6" w:rsidRPr="005F7259">
        <w:t>les conseillers que l</w:t>
      </w:r>
      <w:r w:rsidR="00481CC3" w:rsidRPr="005F7259">
        <w:t>'</w:t>
      </w:r>
      <w:r w:rsidR="00B475E6" w:rsidRPr="005F7259">
        <w:t>équipe de direction rest</w:t>
      </w:r>
      <w:r w:rsidR="00481CC3" w:rsidRPr="005F7259">
        <w:t>e</w:t>
      </w:r>
      <w:r w:rsidR="00B475E6" w:rsidRPr="005F7259">
        <w:t xml:space="preserve"> pleinement déterminée à renforcer la transparence, la responsabilisation, la bonne gouvernance et l</w:t>
      </w:r>
      <w:r w:rsidR="00481CC3" w:rsidRPr="005F7259">
        <w:t>'</w:t>
      </w:r>
      <w:r w:rsidR="00B475E6" w:rsidRPr="005F7259">
        <w:t>excellence opérationnelle dans l</w:t>
      </w:r>
      <w:r w:rsidR="00481CC3" w:rsidRPr="005F7259">
        <w:t>'</w:t>
      </w:r>
      <w:r w:rsidR="00B475E6" w:rsidRPr="005F7259">
        <w:t xml:space="preserve">ensemble </w:t>
      </w:r>
      <w:r w:rsidR="00DF2D8A" w:rsidRPr="005F7259">
        <w:t xml:space="preserve">des services </w:t>
      </w:r>
      <w:r w:rsidR="00B475E6" w:rsidRPr="005F7259">
        <w:t>de l</w:t>
      </w:r>
      <w:r w:rsidR="00212231" w:rsidRPr="005F7259">
        <w:t>'</w:t>
      </w:r>
      <w:r w:rsidR="00B475E6" w:rsidRPr="005F7259">
        <w:t>UIT.</w:t>
      </w:r>
      <w:r w:rsidR="00212231" w:rsidRPr="005F7259">
        <w:t xml:space="preserve"> </w:t>
      </w:r>
      <w:r w:rsidR="001C3E1B" w:rsidRPr="005F7259">
        <w:t>Des progrès sont accomplis dans plusieurs domaines, notamment en ce qui concerne la stratégie de mobilisation des ressources et les critères applicables à la création de futurs bureaux de zone, et l</w:t>
      </w:r>
      <w:r w:rsidR="006A0E57" w:rsidRPr="005F7259">
        <w:t>'</w:t>
      </w:r>
      <w:r w:rsidR="001C3E1B" w:rsidRPr="005F7259">
        <w:t xml:space="preserve">équilibre entre les </w:t>
      </w:r>
      <w:r w:rsidR="00C23C0D" w:rsidRPr="005F7259">
        <w:t xml:space="preserve">hommes et les femmes </w:t>
      </w:r>
      <w:r w:rsidR="001C3E1B" w:rsidRPr="005F7259">
        <w:t xml:space="preserve">a été atteint </w:t>
      </w:r>
      <w:r w:rsidR="008845A6" w:rsidRPr="005F7259">
        <w:t xml:space="preserve">dans tous les </w:t>
      </w:r>
      <w:r w:rsidR="00C23C0D" w:rsidRPr="005F7259">
        <w:t>postes de</w:t>
      </w:r>
      <w:r w:rsidR="00243429" w:rsidRPr="005F7259">
        <w:t xml:space="preserve"> </w:t>
      </w:r>
      <w:r w:rsidR="008A7B35" w:rsidRPr="005F7259">
        <w:t>niveau</w:t>
      </w:r>
      <w:r w:rsidR="001C3E1B" w:rsidRPr="005F7259">
        <w:t xml:space="preserve"> D2.</w:t>
      </w:r>
      <w:r w:rsidR="008B113F" w:rsidRPr="005F7259">
        <w:t xml:space="preserve"> Les décisions que prendra le Conseil au cours des deux prochains jours </w:t>
      </w:r>
      <w:r w:rsidR="004A5C6A" w:rsidRPr="005F7259">
        <w:t xml:space="preserve">entraîneront </w:t>
      </w:r>
      <w:r w:rsidR="008B113F" w:rsidRPr="005F7259">
        <w:t xml:space="preserve">des changements </w:t>
      </w:r>
      <w:r w:rsidR="00AF12D6" w:rsidRPr="005F7259">
        <w:t xml:space="preserve">conséquents </w:t>
      </w:r>
      <w:r w:rsidR="008B113F" w:rsidRPr="005F7259">
        <w:t>à l</w:t>
      </w:r>
      <w:r w:rsidR="004A5C6A" w:rsidRPr="005F7259">
        <w:t>'</w:t>
      </w:r>
      <w:r w:rsidR="008B113F" w:rsidRPr="005F7259">
        <w:t>intérieur et à l</w:t>
      </w:r>
      <w:r w:rsidR="004A5C6A" w:rsidRPr="005F7259">
        <w:t>'</w:t>
      </w:r>
      <w:r w:rsidR="008B113F" w:rsidRPr="005F7259">
        <w:t>extérieur de l</w:t>
      </w:r>
      <w:r w:rsidR="004A5C6A" w:rsidRPr="005F7259">
        <w:t>'</w:t>
      </w:r>
      <w:r w:rsidR="008B113F" w:rsidRPr="005F7259">
        <w:t>UIT, à un moment où la technologie numérique n</w:t>
      </w:r>
      <w:r w:rsidR="004A5C6A" w:rsidRPr="005F7259">
        <w:t>'</w:t>
      </w:r>
      <w:r w:rsidR="008B113F" w:rsidRPr="005F7259">
        <w:t xml:space="preserve">a jamais </w:t>
      </w:r>
      <w:r w:rsidR="008845A6" w:rsidRPr="005F7259">
        <w:t xml:space="preserve">figuré </w:t>
      </w:r>
      <w:r w:rsidR="003249D1" w:rsidRPr="005F7259">
        <w:t xml:space="preserve">si haut dans la liste des </w:t>
      </w:r>
      <w:r w:rsidR="008B113F" w:rsidRPr="005F7259">
        <w:t>priorités mondiales, comme l</w:t>
      </w:r>
      <w:r w:rsidR="00CF0A90" w:rsidRPr="005F7259">
        <w:t>'</w:t>
      </w:r>
      <w:r w:rsidR="008B113F" w:rsidRPr="005F7259">
        <w:t xml:space="preserve">ont montré la récente </w:t>
      </w:r>
      <w:r w:rsidR="00E71FF4" w:rsidRPr="005F7259">
        <w:t xml:space="preserve">manifestation intitulée "Le numérique au service des ODD" </w:t>
      </w:r>
      <w:r w:rsidR="008B113F" w:rsidRPr="005F7259">
        <w:t>et le Forum sur la gouvernance de l</w:t>
      </w:r>
      <w:r w:rsidR="00CF0A90" w:rsidRPr="005F7259">
        <w:t>'</w:t>
      </w:r>
      <w:r w:rsidR="008B113F" w:rsidRPr="005F7259">
        <w:t xml:space="preserve">Internet, où </w:t>
      </w:r>
      <w:r w:rsidR="008845A6" w:rsidRPr="005F7259">
        <w:t xml:space="preserve">les </w:t>
      </w:r>
      <w:r w:rsidR="008B113F" w:rsidRPr="005F7259">
        <w:t xml:space="preserve">TIC </w:t>
      </w:r>
      <w:r w:rsidR="00A03208" w:rsidRPr="005F7259">
        <w:t xml:space="preserve">occupent un rôle prépondérant </w:t>
      </w:r>
      <w:r w:rsidR="008B113F" w:rsidRPr="005F7259">
        <w:t>dans la réalisation des Objectifs de développement durable (ODD) et dans la réduction de la fracture numérique.</w:t>
      </w:r>
      <w:r w:rsidR="00237269" w:rsidRPr="005F7259">
        <w:t xml:space="preserve"> En outre, le 800ème engagement pris dans le cadre de la Coalition pour le numérique "Partner2Connect" a été célébré lors du Forum régional de l'UIT sur le développement pour l'Afrique, ce qui porte à 32 milliards USD le montant total des engagements pris.</w:t>
      </w:r>
      <w:r w:rsidR="00D418F0" w:rsidRPr="005F7259">
        <w:t xml:space="preserve"> L'UIT participera activement à la vingt-huitième session de la Conférence des Parties à la Convention-</w:t>
      </w:r>
      <w:r w:rsidR="007B7C51" w:rsidRPr="005F7259">
        <w:t>C</w:t>
      </w:r>
      <w:r w:rsidR="00D418F0" w:rsidRPr="005F7259">
        <w:t>adre des Nations Unies sur les changements climatiques (COP28).</w:t>
      </w:r>
      <w:r w:rsidR="00994116" w:rsidRPr="005F7259">
        <w:t xml:space="preserve"> En outre, la CMR-23 exposera ce que le multilatéralisme en action permet de réaliser et offrira une occasion unique d</w:t>
      </w:r>
      <w:r w:rsidR="0049400A" w:rsidRPr="005F7259">
        <w:t>'</w:t>
      </w:r>
      <w:r w:rsidR="00994116" w:rsidRPr="005F7259">
        <w:t>utiliser le numérique pour remettre les ODD sur les rails et contribuer à instaurer la paix, le progrès, la prospérité et la durabilité pour tous, partout dans le monde.</w:t>
      </w:r>
      <w:r w:rsidR="0049400A" w:rsidRPr="005F7259">
        <w:t xml:space="preserve"> </w:t>
      </w:r>
      <w:r w:rsidR="00F30AE1" w:rsidRPr="005F7259">
        <w:t xml:space="preserve">L'oratrice se réjouit de continuer </w:t>
      </w:r>
      <w:r w:rsidR="00803174" w:rsidRPr="005F7259">
        <w:t xml:space="preserve">à bâtir </w:t>
      </w:r>
      <w:r w:rsidR="0006553E" w:rsidRPr="005F7259">
        <w:t xml:space="preserve">une UIT que les membres appellent de leurs vœux et dont le monde a besoin, qui soit </w:t>
      </w:r>
      <w:r w:rsidR="00EE6505" w:rsidRPr="005F7259">
        <w:t>en adéquation avec sa mission et prête à affronter l'avenir</w:t>
      </w:r>
      <w:r w:rsidR="00F30AE1" w:rsidRPr="005F7259">
        <w:t>.</w:t>
      </w:r>
    </w:p>
    <w:p w14:paraId="223ABE90" w14:textId="05B73F66" w:rsidR="00742914" w:rsidRPr="005F7259" w:rsidRDefault="00742914" w:rsidP="00202150">
      <w:pPr>
        <w:pStyle w:val="Heading1"/>
      </w:pPr>
      <w:r w:rsidRPr="005F7259">
        <w:lastRenderedPageBreak/>
        <w:t>3</w:t>
      </w:r>
      <w:r w:rsidRPr="005F7259">
        <w:tab/>
      </w:r>
      <w:r w:rsidR="004A6B2F" w:rsidRPr="005F7259">
        <w:rPr>
          <w:rFonts w:asciiTheme="minorHAnsi" w:hAnsiTheme="minorHAnsi"/>
          <w:bCs/>
          <w:szCs w:val="24"/>
        </w:rPr>
        <w:t>Déclarations d'</w:t>
      </w:r>
      <w:r w:rsidR="007D75D7" w:rsidRPr="005F7259">
        <w:rPr>
          <w:rFonts w:asciiTheme="minorHAnsi" w:hAnsiTheme="minorHAnsi"/>
          <w:bCs/>
          <w:szCs w:val="24"/>
        </w:rPr>
        <w:t>Isra</w:t>
      </w:r>
      <w:r w:rsidR="004A6B2F" w:rsidRPr="005F7259">
        <w:rPr>
          <w:rFonts w:asciiTheme="minorHAnsi" w:hAnsiTheme="minorHAnsi"/>
          <w:bCs/>
          <w:szCs w:val="24"/>
        </w:rPr>
        <w:t>ë</w:t>
      </w:r>
      <w:r w:rsidR="007D75D7" w:rsidRPr="005F7259">
        <w:rPr>
          <w:rFonts w:asciiTheme="minorHAnsi" w:hAnsiTheme="minorHAnsi"/>
          <w:bCs/>
          <w:szCs w:val="24"/>
        </w:rPr>
        <w:t xml:space="preserve">l </w:t>
      </w:r>
      <w:r w:rsidR="004A6B2F" w:rsidRPr="005F7259">
        <w:rPr>
          <w:rFonts w:asciiTheme="minorHAnsi" w:hAnsiTheme="minorHAnsi"/>
          <w:bCs/>
          <w:szCs w:val="24"/>
        </w:rPr>
        <w:t>et de l'État de Palestine</w:t>
      </w:r>
    </w:p>
    <w:p w14:paraId="1430F8AC" w14:textId="423C9BE2" w:rsidR="00742914" w:rsidRPr="005F7259" w:rsidRDefault="00742914" w:rsidP="00202150">
      <w:r w:rsidRPr="005F7259">
        <w:t>3.1</w:t>
      </w:r>
      <w:r w:rsidRPr="005F7259">
        <w:tab/>
      </w:r>
      <w:r w:rsidR="00722339" w:rsidRPr="005F7259">
        <w:t>L'observat</w:t>
      </w:r>
      <w:r w:rsidR="00083ECE" w:rsidRPr="005F7259">
        <w:t>rice</w:t>
      </w:r>
      <w:r w:rsidR="00722339" w:rsidRPr="005F7259">
        <w:t xml:space="preserve"> d'Israël</w:t>
      </w:r>
      <w:r w:rsidR="009A1481" w:rsidRPr="005F7259">
        <w:t xml:space="preserve"> prononce la déclaration suivante</w:t>
      </w:r>
      <w:r w:rsidR="00B06F42" w:rsidRPr="005F7259">
        <w:t>,</w:t>
      </w:r>
      <w:r w:rsidR="00CD2F16" w:rsidRPr="005F7259">
        <w:t xml:space="preserve"> dans laquelle </w:t>
      </w:r>
      <w:r w:rsidR="00064BFF" w:rsidRPr="005F7259">
        <w:t>elle</w:t>
      </w:r>
      <w:r w:rsidR="00CD2F16" w:rsidRPr="005F7259">
        <w:t xml:space="preserve"> condamne les récents actes d'agression perpétrés contre son pays par le Hamas: </w:t>
      </w:r>
      <w:hyperlink r:id="rId11" w:history="1">
        <w:r w:rsidR="00F93574" w:rsidRPr="005F7259">
          <w:rPr>
            <w:rStyle w:val="Hyperlink"/>
            <w:rFonts w:asciiTheme="minorHAnsi" w:hAnsiTheme="minorHAnsi"/>
            <w:szCs w:val="24"/>
          </w:rPr>
          <w:t>http://council.itu.int/2023-additional/wp-content/uploads/sites/3/2023/11/Israel-Statement-e.pdf</w:t>
        </w:r>
      </w:hyperlink>
      <w:r w:rsidR="00202150" w:rsidRPr="005F7259">
        <w:t>.</w:t>
      </w:r>
    </w:p>
    <w:p w14:paraId="69AB3977" w14:textId="4F2C4DDF" w:rsidR="007D75D7" w:rsidRPr="005F7259" w:rsidRDefault="007D75D7" w:rsidP="00202150">
      <w:r w:rsidRPr="005F7259">
        <w:t>3.2</w:t>
      </w:r>
      <w:r w:rsidRPr="005F7259">
        <w:tab/>
      </w:r>
      <w:r w:rsidR="00C439AE" w:rsidRPr="005F7259">
        <w:t>L'observateur de l</w:t>
      </w:r>
      <w:r w:rsidR="00064BFF" w:rsidRPr="005F7259">
        <w:t>'</w:t>
      </w:r>
      <w:r w:rsidR="0049384A" w:rsidRPr="005F7259">
        <w:t>É</w:t>
      </w:r>
      <w:r w:rsidR="00C439AE" w:rsidRPr="005F7259">
        <w:t xml:space="preserve">tat de Palestine prononce la déclaration suivante sur la situation des télécommunications et </w:t>
      </w:r>
      <w:r w:rsidR="00FD0870" w:rsidRPr="005F7259">
        <w:t xml:space="preserve">appelle </w:t>
      </w:r>
      <w:r w:rsidR="00C439AE" w:rsidRPr="005F7259">
        <w:t xml:space="preserve">l'UIT </w:t>
      </w:r>
      <w:r w:rsidR="00FD0870" w:rsidRPr="005F7259">
        <w:t xml:space="preserve">à garantir </w:t>
      </w:r>
      <w:r w:rsidR="00C439AE" w:rsidRPr="005F7259">
        <w:t>le droit des Palestiniens d</w:t>
      </w:r>
      <w:r w:rsidR="00FD0870" w:rsidRPr="005F7259">
        <w:t>'</w:t>
      </w:r>
      <w:r w:rsidR="00C439AE" w:rsidRPr="005F7259">
        <w:t>accéder aux télécommunications et à l</w:t>
      </w:r>
      <w:r w:rsidR="00FD0870" w:rsidRPr="005F7259">
        <w:t>'</w:t>
      </w:r>
      <w:r w:rsidR="00C439AE" w:rsidRPr="005F7259">
        <w:t>Internet</w:t>
      </w:r>
      <w:r w:rsidR="00FD0870" w:rsidRPr="005F7259">
        <w:t xml:space="preserve">: </w:t>
      </w:r>
      <w:hyperlink r:id="rId12" w:history="1">
        <w:r w:rsidR="00C337F1" w:rsidRPr="005F7259">
          <w:rPr>
            <w:rStyle w:val="Hyperlink"/>
            <w:rFonts w:asciiTheme="minorHAnsi" w:hAnsiTheme="minorHAnsi"/>
            <w:spacing w:val="2"/>
            <w:szCs w:val="24"/>
          </w:rPr>
          <w:t>http://council.itu.int/2023-additional/wp-</w:t>
        </w:r>
        <w:r w:rsidR="00C337F1" w:rsidRPr="005F7259">
          <w:rPr>
            <w:rStyle w:val="Hyperlink"/>
            <w:rFonts w:asciiTheme="minorHAnsi" w:hAnsiTheme="minorHAnsi"/>
            <w:szCs w:val="24"/>
          </w:rPr>
          <w:t>content/uploads/sites/3/2023/11/Palestine-statement-e.pdf</w:t>
        </w:r>
      </w:hyperlink>
      <w:r w:rsidR="00202150" w:rsidRPr="005F7259">
        <w:t>.</w:t>
      </w:r>
    </w:p>
    <w:p w14:paraId="18047575" w14:textId="06983AC2" w:rsidR="007D75D7" w:rsidRPr="005F7259" w:rsidRDefault="007D75D7" w:rsidP="00202150">
      <w:pPr>
        <w:rPr>
          <w:b/>
          <w:bCs/>
        </w:rPr>
      </w:pPr>
      <w:r w:rsidRPr="005F7259">
        <w:t>3.3</w:t>
      </w:r>
      <w:r w:rsidRPr="005F7259">
        <w:tab/>
      </w:r>
      <w:r w:rsidR="00C337F1" w:rsidRPr="005F7259">
        <w:t xml:space="preserve">Il </w:t>
      </w:r>
      <w:r w:rsidR="00C337F1" w:rsidRPr="005F7259">
        <w:rPr>
          <w:b/>
          <w:bCs/>
        </w:rPr>
        <w:t xml:space="preserve">est pris note </w:t>
      </w:r>
      <w:r w:rsidR="00C337F1" w:rsidRPr="005F7259">
        <w:t>de ces déclarations.</w:t>
      </w:r>
    </w:p>
    <w:p w14:paraId="4F2B656D" w14:textId="2DBB0823" w:rsidR="00EA13BC" w:rsidRPr="005F7259" w:rsidRDefault="007D75D7" w:rsidP="00202150">
      <w:r w:rsidRPr="005F7259">
        <w:t>3.4</w:t>
      </w:r>
      <w:r w:rsidRPr="005F7259">
        <w:tab/>
      </w:r>
      <w:r w:rsidR="00D60865" w:rsidRPr="005F7259">
        <w:t xml:space="preserve">Les conseillers de l'Arabie saoudite, de l'Égypte, des </w:t>
      </w:r>
      <w:r w:rsidR="0049384A" w:rsidRPr="005F7259">
        <w:t>É</w:t>
      </w:r>
      <w:r w:rsidR="00D60865" w:rsidRPr="005F7259">
        <w:t>mirats arabes unis, de la Tunisie et de l'Algérie et l'observateur de la République islamique d'Iran réaffirment le droit inaliénable du peuple palestinien à la légitime défense et à l'autodétermination, à la création d'un État palestinien indépendant fondé sur les frontières de juin 1967 avec Jérusalem-Est pour capitale, et à reprendre le contrôle des lieux saints.</w:t>
      </w:r>
      <w:r w:rsidR="006130A2" w:rsidRPr="005F7259">
        <w:t xml:space="preserve"> </w:t>
      </w:r>
      <w:r w:rsidR="009D5BAB" w:rsidRPr="005F7259">
        <w:t xml:space="preserve">Ils condamnent les crimes perpétrés par l'autorité </w:t>
      </w:r>
      <w:r w:rsidR="00450442" w:rsidRPr="005F7259">
        <w:t xml:space="preserve">d'occupation </w:t>
      </w:r>
      <w:r w:rsidR="009D5BAB" w:rsidRPr="005F7259">
        <w:t>israélienne contre des Palestiniens innocents, la destruction d</w:t>
      </w:r>
      <w:r w:rsidR="00450442" w:rsidRPr="005F7259">
        <w:t>'</w:t>
      </w:r>
      <w:r w:rsidR="009D5BAB" w:rsidRPr="005F7259">
        <w:t xml:space="preserve">infrastructures de communication </w:t>
      </w:r>
      <w:r w:rsidR="003B20E3" w:rsidRPr="005F7259">
        <w:t xml:space="preserve">vitales </w:t>
      </w:r>
      <w:r w:rsidR="009D5BAB" w:rsidRPr="005F7259">
        <w:t>et la perte de vies civiles</w:t>
      </w:r>
      <w:r w:rsidR="003B20E3" w:rsidRPr="005F7259">
        <w:t>,</w:t>
      </w:r>
      <w:r w:rsidR="009D5BAB" w:rsidRPr="005F7259">
        <w:t xml:space="preserve"> et se déclar</w:t>
      </w:r>
      <w:r w:rsidR="003B20E3" w:rsidRPr="005F7259">
        <w:t>ent</w:t>
      </w:r>
      <w:r w:rsidR="009D5BAB" w:rsidRPr="005F7259">
        <w:t xml:space="preserve"> gravement préoccupés par la situation humanitaire.</w:t>
      </w:r>
      <w:r w:rsidR="005F7565" w:rsidRPr="005F7259">
        <w:t xml:space="preserve"> Ils appellent au respect du droit international humanitaire, à la cessation immédiate des hostilités, à la levée du blocus de la bande de Gaza</w:t>
      </w:r>
      <w:r w:rsidR="00BE30E9" w:rsidRPr="005F7259">
        <w:t xml:space="preserve"> et demandent que des efforts soient déployés</w:t>
      </w:r>
      <w:r w:rsidR="005F7565" w:rsidRPr="005F7259">
        <w:t xml:space="preserve"> </w:t>
      </w:r>
      <w:r w:rsidR="00A478A6" w:rsidRPr="005F7259">
        <w:t xml:space="preserve">afin de </w:t>
      </w:r>
      <w:r w:rsidR="00AA73DB" w:rsidRPr="005F7259">
        <w:t xml:space="preserve">parvenir à une </w:t>
      </w:r>
      <w:r w:rsidR="00F84311" w:rsidRPr="005F7259">
        <w:t xml:space="preserve">désescalade </w:t>
      </w:r>
      <w:r w:rsidR="00AE3AE3" w:rsidRPr="005F7259">
        <w:t>du conflit</w:t>
      </w:r>
      <w:r w:rsidR="00F84311" w:rsidRPr="005F7259">
        <w:t xml:space="preserve">, de </w:t>
      </w:r>
      <w:r w:rsidR="005F7565" w:rsidRPr="005F7259">
        <w:t xml:space="preserve">rétablir la stabilité et </w:t>
      </w:r>
      <w:r w:rsidR="00F84311" w:rsidRPr="005F7259">
        <w:t xml:space="preserve">de </w:t>
      </w:r>
      <w:r w:rsidR="005F7565" w:rsidRPr="005F7259">
        <w:t>progresser vers une paix juste, globale et durable.</w:t>
      </w:r>
      <w:r w:rsidR="006914FE" w:rsidRPr="005F7259">
        <w:t xml:space="preserve"> Il est demandé à l'UIT de poursuivre le développement du secteur palestinien des télécommunications.</w:t>
      </w:r>
    </w:p>
    <w:p w14:paraId="0A96D450" w14:textId="77777777" w:rsidR="004C69AE" w:rsidRPr="005F7259" w:rsidRDefault="004C69AE" w:rsidP="00202150">
      <w:r w:rsidRPr="005F7259">
        <w:t>3.5</w:t>
      </w:r>
      <w:r w:rsidRPr="005F7259">
        <w:tab/>
        <w:t xml:space="preserve">Le conseiller de la Chine prononce la déclaration suivante: </w:t>
      </w:r>
      <w:hyperlink r:id="rId13" w:history="1">
        <w:bookmarkStart w:id="1" w:name="lt_pId060"/>
        <w:r w:rsidRPr="005F7259">
          <w:rPr>
            <w:rStyle w:val="Hyperlink"/>
            <w:rFonts w:asciiTheme="minorHAnsi" w:hAnsiTheme="minorHAnsi"/>
            <w:szCs w:val="24"/>
          </w:rPr>
          <w:t>http://council.itu.int/2023-additional/wp-content/uploads/sites/3/2023/10/China-Statement-e.docx</w:t>
        </w:r>
        <w:bookmarkEnd w:id="1"/>
      </w:hyperlink>
      <w:r w:rsidRPr="005F7259">
        <w:rPr>
          <w:rStyle w:val="Hyperlink"/>
          <w:rFonts w:asciiTheme="minorHAnsi" w:hAnsiTheme="minorHAnsi"/>
          <w:color w:val="auto"/>
          <w:szCs w:val="24"/>
          <w:u w:val="none"/>
        </w:rPr>
        <w:t>.</w:t>
      </w:r>
    </w:p>
    <w:p w14:paraId="575BC76B" w14:textId="77777777" w:rsidR="004C69AE" w:rsidRPr="005F7259" w:rsidRDefault="004C69AE" w:rsidP="00202150">
      <w:r w:rsidRPr="005F7259">
        <w:t>3.6</w:t>
      </w:r>
      <w:r w:rsidRPr="005F7259">
        <w:tab/>
        <w:t xml:space="preserve">Le conseiller de l'Espagne prononce la déclaration suivante au nom de l'Union européenne et de ses États Membres: </w:t>
      </w:r>
      <w:hyperlink r:id="rId14" w:history="1">
        <w:r w:rsidRPr="005F7259">
          <w:rPr>
            <w:rStyle w:val="Hyperlink"/>
            <w:rFonts w:asciiTheme="minorHAnsi" w:hAnsiTheme="minorHAnsi"/>
            <w:spacing w:val="2"/>
            <w:szCs w:val="24"/>
          </w:rPr>
          <w:t>http://council.itu.int/2023-additional/wp-</w:t>
        </w:r>
        <w:r w:rsidRPr="005F7259">
          <w:rPr>
            <w:rStyle w:val="Hyperlink"/>
            <w:rFonts w:asciiTheme="minorHAnsi" w:hAnsiTheme="minorHAnsi"/>
            <w:szCs w:val="24"/>
          </w:rPr>
          <w:t>content/uploads/sites/3/2023/10/Spain-on-behalf-of-EU-e.docx</w:t>
        </w:r>
      </w:hyperlink>
      <w:r w:rsidRPr="005F7259">
        <w:rPr>
          <w:rStyle w:val="Hyperlink"/>
          <w:rFonts w:asciiTheme="minorHAnsi" w:hAnsiTheme="minorHAnsi"/>
          <w:color w:val="auto"/>
          <w:szCs w:val="24"/>
          <w:u w:val="none"/>
        </w:rPr>
        <w:t>.</w:t>
      </w:r>
    </w:p>
    <w:p w14:paraId="76FE4336" w14:textId="77777777" w:rsidR="004C69AE" w:rsidRPr="005F7259" w:rsidRDefault="004C69AE" w:rsidP="00202150">
      <w:r w:rsidRPr="005F7259">
        <w:t>3.7</w:t>
      </w:r>
      <w:r w:rsidRPr="005F7259">
        <w:tab/>
        <w:t>Le conseiller des États-Unis prononce la déclaration suivante:</w:t>
      </w:r>
      <w:bookmarkStart w:id="2" w:name="lt_pId063"/>
      <w:r w:rsidRPr="005F7259">
        <w:t xml:space="preserve"> </w:t>
      </w:r>
      <w:hyperlink r:id="rId15" w:history="1">
        <w:r w:rsidRPr="005F7259">
          <w:rPr>
            <w:rStyle w:val="Hyperlink"/>
            <w:rFonts w:asciiTheme="minorHAnsi" w:hAnsiTheme="minorHAnsi"/>
            <w:szCs w:val="24"/>
          </w:rPr>
          <w:t>http://council.itu.int/2023-additional/wp-content/uploads/sites/3/2023/10/USA-Statement-e.docx</w:t>
        </w:r>
      </w:hyperlink>
      <w:bookmarkEnd w:id="2"/>
      <w:r w:rsidRPr="005F7259">
        <w:rPr>
          <w:rStyle w:val="Hyperlink"/>
          <w:rFonts w:asciiTheme="minorHAnsi" w:hAnsiTheme="minorHAnsi"/>
          <w:color w:val="auto"/>
          <w:szCs w:val="24"/>
          <w:u w:val="none"/>
        </w:rPr>
        <w:t>.</w:t>
      </w:r>
    </w:p>
    <w:p w14:paraId="13656BAD" w14:textId="77777777" w:rsidR="004C69AE" w:rsidRPr="005F7259" w:rsidRDefault="004C69AE" w:rsidP="00202150">
      <w:r w:rsidRPr="005F7259">
        <w:t>3.8</w:t>
      </w:r>
      <w:r w:rsidRPr="005F7259">
        <w:tab/>
        <w:t>La conseillère du Royaume-Uni condamne les actes terroristes perpétrés par le Hamas et manifeste son soutien sans équivoque au droit souverain d'Israël de se défendre de manière proportionnée conformément au droit international. Son pays reste favorable à une sortie de conflit négociée, afin de parvenir à une situation où Israël vivrait en sûreté et en sécurité à côté d'un État palestinien souverain. L'aide humanitaire et l'accès à Gaza doivent être maintenus.</w:t>
      </w:r>
    </w:p>
    <w:p w14:paraId="34E08578" w14:textId="77777777" w:rsidR="004C69AE" w:rsidRPr="005F7259" w:rsidRDefault="004C69AE" w:rsidP="00202150">
      <w:r w:rsidRPr="005F7259">
        <w:t>3.9</w:t>
      </w:r>
      <w:r w:rsidRPr="005F7259">
        <w:tab/>
        <w:t xml:space="preserve">Le conseiller de la Türkiye prononce la déclaration suivante: </w:t>
      </w:r>
      <w:hyperlink r:id="rId16" w:history="1">
        <w:bookmarkStart w:id="3" w:name="lt_pId068"/>
        <w:r w:rsidRPr="005F7259">
          <w:rPr>
            <w:rStyle w:val="Hyperlink"/>
            <w:rFonts w:asciiTheme="minorHAnsi" w:hAnsiTheme="minorHAnsi"/>
            <w:szCs w:val="24"/>
          </w:rPr>
          <w:t>http://council.itu.int/2023-additional/wp-content/uploads/sites/3/2023/10/Turkiye-statement-e.docx</w:t>
        </w:r>
        <w:bookmarkEnd w:id="3"/>
      </w:hyperlink>
      <w:r w:rsidRPr="005F7259">
        <w:rPr>
          <w:rStyle w:val="Hyperlink"/>
          <w:rFonts w:asciiTheme="minorHAnsi" w:hAnsiTheme="minorHAnsi"/>
          <w:color w:val="auto"/>
          <w:szCs w:val="24"/>
          <w:u w:val="none"/>
        </w:rPr>
        <w:t>.</w:t>
      </w:r>
    </w:p>
    <w:p w14:paraId="246D1A39" w14:textId="77777777" w:rsidR="004C69AE" w:rsidRPr="005F7259" w:rsidRDefault="004C69AE" w:rsidP="00202150">
      <w:r w:rsidRPr="005F7259">
        <w:t>3.10</w:t>
      </w:r>
      <w:r w:rsidRPr="005F7259">
        <w:tab/>
        <w:t>L'observateur de la Guinée appelle l'UIT et toutes les organisations internationales à ne ménager aucun effort pour mettre un terme à tous les conflits dans le monde.</w:t>
      </w:r>
    </w:p>
    <w:p w14:paraId="0893B714" w14:textId="2D0C015D" w:rsidR="004C69AE" w:rsidRPr="005F7259" w:rsidRDefault="004C69AE" w:rsidP="00202150">
      <w:pPr>
        <w:pStyle w:val="Heading1"/>
      </w:pPr>
      <w:r w:rsidRPr="005F7259">
        <w:t>4</w:t>
      </w:r>
      <w:r w:rsidRPr="005F7259">
        <w:tab/>
        <w:t>Approbation du projet d'ordre du jour de la session additionnelle de 2023 du Conseil</w:t>
      </w:r>
      <w:r w:rsidR="00202150" w:rsidRPr="005F7259">
        <w:t xml:space="preserve"> </w:t>
      </w:r>
      <w:bookmarkStart w:id="4" w:name="lt_pId064"/>
      <w:r w:rsidRPr="005F7259">
        <w:t xml:space="preserve">(Document </w:t>
      </w:r>
      <w:hyperlink r:id="rId17" w:history="1">
        <w:r w:rsidRPr="005F7259">
          <w:rPr>
            <w:rStyle w:val="Hyperlink"/>
            <w:rFonts w:asciiTheme="minorHAnsi" w:hAnsiTheme="minorHAnsi"/>
            <w:bCs/>
            <w:szCs w:val="24"/>
          </w:rPr>
          <w:t>C23-ADD/1(Rév.3)</w:t>
        </w:r>
      </w:hyperlink>
      <w:r w:rsidRPr="005F7259">
        <w:t>)</w:t>
      </w:r>
      <w:bookmarkEnd w:id="4"/>
    </w:p>
    <w:p w14:paraId="25E340DA" w14:textId="77777777" w:rsidR="004C69AE" w:rsidRPr="005F7259" w:rsidRDefault="004C69AE" w:rsidP="00202150">
      <w:r w:rsidRPr="005F7259">
        <w:t>4.1</w:t>
      </w:r>
      <w:r w:rsidRPr="005F7259">
        <w:tab/>
        <w:t xml:space="preserve">La Secrétaire de la plénière présente le Document </w:t>
      </w:r>
      <w:r w:rsidRPr="005F7259">
        <w:rPr>
          <w:rFonts w:asciiTheme="minorHAnsi" w:hAnsiTheme="minorHAnsi"/>
          <w:szCs w:val="24"/>
        </w:rPr>
        <w:t>C23-ADD/1(Rév.3). Elle précise que le Secrétariat a reçu une contribution de l'Inde après la date limite fixée au 5 octobre 2023.</w:t>
      </w:r>
    </w:p>
    <w:p w14:paraId="1A3BA2B8" w14:textId="77777777" w:rsidR="004C69AE" w:rsidRPr="005F7259" w:rsidRDefault="004C69AE" w:rsidP="00202150">
      <w:r w:rsidRPr="005F7259">
        <w:t>4.2</w:t>
      </w:r>
      <w:r w:rsidRPr="005F7259">
        <w:tab/>
        <w:t xml:space="preserve">À l'issue d'un bref débat, il est </w:t>
      </w:r>
      <w:r w:rsidRPr="005F7259">
        <w:rPr>
          <w:b/>
          <w:bCs/>
        </w:rPr>
        <w:t>décidé</w:t>
      </w:r>
      <w:r w:rsidRPr="005F7259">
        <w:t xml:space="preserve"> d'examiner, au titre du point "Divers", la contribution de l'Inde relative à la méthode d'élaboration de l'Indice de développement des TIC, disponible en anglais uniquement dans le Document C23-ADD/8.</w:t>
      </w:r>
    </w:p>
    <w:p w14:paraId="7CDE372B" w14:textId="77777777" w:rsidR="004C69AE" w:rsidRPr="005F7259" w:rsidRDefault="004C69AE" w:rsidP="00202150">
      <w:r w:rsidRPr="005F7259">
        <w:t>4.3</w:t>
      </w:r>
      <w:r w:rsidRPr="005F7259">
        <w:tab/>
        <w:t xml:space="preserve">Compte tenu de ce qui précède, le Document </w:t>
      </w:r>
      <w:r w:rsidRPr="005F7259">
        <w:rPr>
          <w:rFonts w:asciiTheme="minorHAnsi" w:hAnsiTheme="minorHAnsi"/>
          <w:szCs w:val="24"/>
        </w:rPr>
        <w:t xml:space="preserve">C23-ADD/1(Rév.3) est </w:t>
      </w:r>
      <w:r w:rsidRPr="005F7259">
        <w:rPr>
          <w:rFonts w:asciiTheme="minorHAnsi" w:hAnsiTheme="minorHAnsi"/>
          <w:b/>
          <w:bCs/>
          <w:szCs w:val="24"/>
        </w:rPr>
        <w:t>approuvé</w:t>
      </w:r>
      <w:r w:rsidRPr="005F7259">
        <w:rPr>
          <w:rFonts w:asciiTheme="minorHAnsi" w:hAnsiTheme="minorHAnsi"/>
          <w:szCs w:val="24"/>
        </w:rPr>
        <w:t>.</w:t>
      </w:r>
    </w:p>
    <w:p w14:paraId="73F77404" w14:textId="409D231A" w:rsidR="004C69AE" w:rsidRPr="005F7259" w:rsidRDefault="004C69AE" w:rsidP="00202150">
      <w:pPr>
        <w:pStyle w:val="Heading1"/>
      </w:pPr>
      <w:r w:rsidRPr="005F7259">
        <w:t>5</w:t>
      </w:r>
      <w:r w:rsidRPr="005F7259">
        <w:tab/>
      </w:r>
      <w:r w:rsidRPr="005F7259">
        <w:rPr>
          <w:szCs w:val="28"/>
        </w:rPr>
        <w:t>Projet de programme de gestion du temps</w:t>
      </w:r>
      <w:r w:rsidRPr="005F7259">
        <w:t xml:space="preserve"> (Document</w:t>
      </w:r>
      <w:hyperlink r:id="rId18" w:history="1">
        <w:r w:rsidRPr="005F7259">
          <w:rPr>
            <w:rStyle w:val="Hyperlink"/>
            <w:rFonts w:asciiTheme="minorHAnsi" w:hAnsiTheme="minorHAnsi"/>
            <w:bCs/>
            <w:szCs w:val="24"/>
          </w:rPr>
          <w:t>C23</w:t>
        </w:r>
        <w:r w:rsidRPr="005F7259">
          <w:rPr>
            <w:rStyle w:val="Hyperlink"/>
            <w:rFonts w:asciiTheme="minorHAnsi" w:hAnsiTheme="minorHAnsi"/>
            <w:bCs/>
            <w:szCs w:val="24"/>
          </w:rPr>
          <w:noBreakHyphen/>
          <w:t>ADD/DT/1(Rév.3)</w:t>
        </w:r>
      </w:hyperlink>
      <w:r w:rsidRPr="005F7259">
        <w:t>)</w:t>
      </w:r>
    </w:p>
    <w:p w14:paraId="772A9FFB" w14:textId="0341C810" w:rsidR="004C69AE" w:rsidRPr="005F7259" w:rsidRDefault="004C69AE" w:rsidP="00202150">
      <w:r w:rsidRPr="005F7259">
        <w:t>5.1</w:t>
      </w:r>
      <w:r w:rsidRPr="005F7259">
        <w:tab/>
        <w:t xml:space="preserve">La Secrétaire de la plénière présente le </w:t>
      </w:r>
      <w:r w:rsidR="00202150" w:rsidRPr="005F7259">
        <w:t>D</w:t>
      </w:r>
      <w:r w:rsidRPr="005F7259">
        <w:t xml:space="preserve">ocument </w:t>
      </w:r>
      <w:r w:rsidRPr="005F7259">
        <w:rPr>
          <w:rFonts w:asciiTheme="minorHAnsi" w:hAnsiTheme="minorHAnsi"/>
          <w:szCs w:val="24"/>
        </w:rPr>
        <w:t>C23-ADD/DT/1(Rév.3)</w:t>
      </w:r>
      <w:r w:rsidRPr="005F7259">
        <w:t xml:space="preserve">, qui est </w:t>
      </w:r>
      <w:r w:rsidRPr="005F7259">
        <w:rPr>
          <w:b/>
          <w:bCs/>
        </w:rPr>
        <w:t>approuvé</w:t>
      </w:r>
      <w:r w:rsidRPr="005F7259">
        <w:t>.</w:t>
      </w:r>
    </w:p>
    <w:p w14:paraId="39485AFE" w14:textId="77777777" w:rsidR="004C69AE" w:rsidRPr="005F7259" w:rsidRDefault="004C69AE" w:rsidP="00202150">
      <w:pPr>
        <w:pStyle w:val="Heading1"/>
      </w:pPr>
      <w:r w:rsidRPr="005F7259">
        <w:t>6</w:t>
      </w:r>
      <w:r w:rsidRPr="005F7259">
        <w:tab/>
      </w:r>
      <w:bookmarkStart w:id="5" w:name="lt_pId072"/>
      <w:r w:rsidRPr="005F7259">
        <w:t>Questions d'organisation</w:t>
      </w:r>
      <w:bookmarkEnd w:id="5"/>
    </w:p>
    <w:p w14:paraId="27D79106" w14:textId="77777777" w:rsidR="004C69AE" w:rsidRPr="005F7259" w:rsidRDefault="004C69AE" w:rsidP="00202150">
      <w:r w:rsidRPr="005F7259">
        <w:t>6.1</w:t>
      </w:r>
      <w:r w:rsidRPr="005F7259">
        <w:tab/>
        <w:t>La Secrétaire de la plénière confirme que les séances suivront les horaires de travail habituels et indique que les services d'interprétation et la documentation seront fournis dans les six langues officielles de l'Union. Des modalités de participation à distance sont en place et le Président sollicitera d'abord les personnes présentes physiquement dans la salle, puis les participants à distance. Les décisions ne seront prises que par les conseillers présents physiquement. Il est rappelé aux participants qu'il existe des normes de conduite, d'intégrité, de respect de la diversité et de professionnalisme que tout un chacun peut raisonnablement attendre dans le cadre des discussions, sans discrimination ni harcèlement. Le Code de conduite pour la prévention du harcèlement, y compris le harcèlement sexuel, lors des événements du système des Nations Unies, est applicable à toutes les réunions de l'UIT.</w:t>
      </w:r>
    </w:p>
    <w:p w14:paraId="13E3695A" w14:textId="77777777" w:rsidR="004C69AE" w:rsidRPr="005F7259" w:rsidRDefault="004C69AE" w:rsidP="00202150">
      <w:r w:rsidRPr="005F7259">
        <w:t>6.2</w:t>
      </w:r>
      <w:r w:rsidRPr="005F7259">
        <w:tab/>
        <w:t xml:space="preserve">Il est </w:t>
      </w:r>
      <w:r w:rsidRPr="005F7259">
        <w:rPr>
          <w:b/>
        </w:rPr>
        <w:t>pris note</w:t>
      </w:r>
      <w:r w:rsidRPr="005F7259">
        <w:t xml:space="preserve"> des informations relatives à l'organisation des travaux de la session additionnelle de 2023.</w:t>
      </w:r>
    </w:p>
    <w:p w14:paraId="164D50D4" w14:textId="77777777" w:rsidR="004C69AE" w:rsidRPr="005F7259" w:rsidRDefault="004C69AE" w:rsidP="00202150">
      <w:pPr>
        <w:pStyle w:val="Heading1"/>
        <w:rPr>
          <w:rFonts w:asciiTheme="minorHAnsi" w:hAnsiTheme="minorHAnsi"/>
          <w:bCs/>
          <w:szCs w:val="24"/>
        </w:rPr>
      </w:pPr>
      <w:r w:rsidRPr="005F7259">
        <w:t>7</w:t>
      </w:r>
      <w:r w:rsidRPr="005F7259">
        <w:tab/>
      </w:r>
      <w:r w:rsidRPr="005F7259">
        <w:rPr>
          <w:snapToGrid w:val="0"/>
        </w:rPr>
        <w:t xml:space="preserve">Lieu précis et dates exactes de la Conférence de plénipotentiaires de 2026 </w:t>
      </w:r>
      <w:r w:rsidRPr="005F7259">
        <w:rPr>
          <w:rFonts w:asciiTheme="minorHAnsi" w:hAnsiTheme="minorHAnsi"/>
          <w:bCs/>
          <w:szCs w:val="24"/>
        </w:rPr>
        <w:t xml:space="preserve">(Document </w:t>
      </w:r>
      <w:hyperlink r:id="rId19" w:history="1">
        <w:r w:rsidRPr="005F7259">
          <w:rPr>
            <w:rStyle w:val="Hyperlink"/>
            <w:rFonts w:asciiTheme="minorHAnsi" w:hAnsiTheme="minorHAnsi"/>
            <w:bCs/>
            <w:szCs w:val="24"/>
          </w:rPr>
          <w:t>C23-ADD/4</w:t>
        </w:r>
      </w:hyperlink>
      <w:r w:rsidRPr="005F7259">
        <w:rPr>
          <w:rFonts w:asciiTheme="minorHAnsi" w:hAnsiTheme="minorHAnsi"/>
          <w:bCs/>
          <w:szCs w:val="24"/>
        </w:rPr>
        <w:t>)</w:t>
      </w:r>
    </w:p>
    <w:p w14:paraId="2F229229" w14:textId="77777777" w:rsidR="004C69AE" w:rsidRPr="005F7259" w:rsidRDefault="004C69AE" w:rsidP="00202150">
      <w:pPr>
        <w:rPr>
          <w:bCs/>
          <w:szCs w:val="24"/>
        </w:rPr>
      </w:pPr>
      <w:r w:rsidRPr="005F7259">
        <w:rPr>
          <w:bCs/>
          <w:szCs w:val="24"/>
        </w:rPr>
        <w:t>7.1</w:t>
      </w:r>
      <w:r w:rsidRPr="005F7259">
        <w:rPr>
          <w:bCs/>
          <w:szCs w:val="24"/>
        </w:rPr>
        <w:tab/>
        <w:t>La Secrétaire de la plénière présente le Document C23-ADD/4, qui informe les conseillers de l'invitation du Gouvernement du Qatar à tenir la Conférence de plénipotentiaires de 2026 (PP-26) du lundi 9 novembre au vendredi 27 novembre 2026 au Centre d'expositions et de congrès de Doha. Le Conseil est invité à se prononcer sur le lieu précis et les dates exactes en adoptant le projet de décision reproduit dans l'Annexe B. Une consultation sera alors lancée pour obtenir l'accord des États Membres de l'UIT, conformément au numéro 2 de la Convention de l'UIT.</w:t>
      </w:r>
    </w:p>
    <w:p w14:paraId="5C4DEAC3" w14:textId="77777777" w:rsidR="004C69AE" w:rsidRPr="005F7259" w:rsidRDefault="004C69AE" w:rsidP="00202150">
      <w:pPr>
        <w:keepLines/>
        <w:rPr>
          <w:bCs/>
          <w:szCs w:val="24"/>
        </w:rPr>
      </w:pPr>
      <w:r w:rsidRPr="005F7259">
        <w:rPr>
          <w:bCs/>
          <w:szCs w:val="24"/>
        </w:rPr>
        <w:t>7.2</w:t>
      </w:r>
      <w:r w:rsidRPr="005F7259">
        <w:rPr>
          <w:bCs/>
          <w:szCs w:val="24"/>
        </w:rPr>
        <w:tab/>
        <w:t>L'observateur du Qatar déclare que son pays serait honoré d'accueillir la PP-26. La Coupe du Monde de la FIFA 2022 a mis en valeur les prouesses du Qatar dans les domaines de l'intelligence artificielle (IA), de l'Internet des objets (IoT) et les diverses innovations conçues pour améliorer la mobilité, la santé publique et la cybersécurité, et a démontré l'engagement du pays en faveur de l'inclusion numérique et du progrès numérique durable à l'échelle mondiale. La voie tracée à la PP-26 aura des incidences importantes sur l'avenir numérique commun au niveau mondial et l'orateur a bon espoir que la Conférence élaborera une feuille de route pour une ère numérique plus inclusive, durable et interconnectée à l'horizon 2030 – date charnière pour la réalisation des Objectifs de développement durable (ODD).</w:t>
      </w:r>
    </w:p>
    <w:p w14:paraId="343419B3" w14:textId="77777777" w:rsidR="004C69AE" w:rsidRPr="005F7259" w:rsidRDefault="004C69AE" w:rsidP="00202150">
      <w:pPr>
        <w:rPr>
          <w:bCs/>
          <w:szCs w:val="24"/>
        </w:rPr>
      </w:pPr>
      <w:r w:rsidRPr="005F7259">
        <w:rPr>
          <w:bCs/>
          <w:szCs w:val="24"/>
        </w:rPr>
        <w:t>7.3</w:t>
      </w:r>
      <w:r w:rsidRPr="005F7259">
        <w:rPr>
          <w:bCs/>
          <w:szCs w:val="24"/>
        </w:rPr>
        <w:tab/>
        <w:t>Une brève vidéo est diffusée pour mettre en avant les atouts du Qatar et de Doha.</w:t>
      </w:r>
    </w:p>
    <w:p w14:paraId="4DCAC038" w14:textId="77777777" w:rsidR="004C69AE" w:rsidRPr="005F7259" w:rsidRDefault="004C69AE" w:rsidP="00202150">
      <w:pPr>
        <w:rPr>
          <w:bCs/>
          <w:szCs w:val="24"/>
        </w:rPr>
      </w:pPr>
      <w:r w:rsidRPr="005F7259">
        <w:rPr>
          <w:bCs/>
          <w:szCs w:val="24"/>
        </w:rPr>
        <w:t>7.4</w:t>
      </w:r>
      <w:r w:rsidRPr="005F7259">
        <w:rPr>
          <w:bCs/>
          <w:szCs w:val="24"/>
        </w:rPr>
        <w:tab/>
        <w:t>De nombreux conseillers et un observateur remercient le Gouvernement du Qatar de sa généreuse invitation, qu'ils sont heureux d'accepter, et attirent l'attention sur le fait que le Qatar a fait ses preuves en accueillant des manifestations internationales.</w:t>
      </w:r>
    </w:p>
    <w:p w14:paraId="763CF62A" w14:textId="77777777" w:rsidR="004C69AE" w:rsidRPr="005F7259" w:rsidRDefault="004C69AE" w:rsidP="00202150">
      <w:pPr>
        <w:rPr>
          <w:szCs w:val="24"/>
        </w:rPr>
      </w:pPr>
      <w:r w:rsidRPr="005F7259">
        <w:rPr>
          <w:bCs/>
          <w:szCs w:val="24"/>
        </w:rPr>
        <w:t>7.5</w:t>
      </w:r>
      <w:r w:rsidRPr="005F7259">
        <w:rPr>
          <w:bCs/>
          <w:szCs w:val="24"/>
        </w:rPr>
        <w:tab/>
        <w:t xml:space="preserve">Le projet de décision reproduit dans l'Annexe B du Document </w:t>
      </w:r>
      <w:r w:rsidRPr="005F7259">
        <w:rPr>
          <w:rFonts w:asciiTheme="minorHAnsi" w:hAnsiTheme="minorHAnsi"/>
          <w:szCs w:val="24"/>
        </w:rPr>
        <w:t xml:space="preserve">C23-ADD/4 est </w:t>
      </w:r>
      <w:r w:rsidRPr="005F7259">
        <w:rPr>
          <w:rFonts w:asciiTheme="minorHAnsi" w:hAnsiTheme="minorHAnsi"/>
          <w:b/>
          <w:bCs/>
          <w:szCs w:val="24"/>
        </w:rPr>
        <w:t>adopté</w:t>
      </w:r>
      <w:r w:rsidRPr="005F7259">
        <w:rPr>
          <w:rFonts w:asciiTheme="minorHAnsi" w:hAnsiTheme="minorHAnsi"/>
          <w:szCs w:val="24"/>
        </w:rPr>
        <w:t>.</w:t>
      </w:r>
    </w:p>
    <w:p w14:paraId="1BBC9096" w14:textId="77777777" w:rsidR="004C69AE" w:rsidRPr="005F7259" w:rsidRDefault="004C69AE" w:rsidP="00202150">
      <w:pPr>
        <w:rPr>
          <w:bCs/>
          <w:szCs w:val="24"/>
        </w:rPr>
      </w:pPr>
      <w:r w:rsidRPr="005F7259">
        <w:rPr>
          <w:bCs/>
          <w:szCs w:val="24"/>
        </w:rPr>
        <w:t>7.6</w:t>
      </w:r>
      <w:r w:rsidRPr="005F7259">
        <w:rPr>
          <w:bCs/>
          <w:szCs w:val="24"/>
        </w:rPr>
        <w:tab/>
        <w:t>La Secrétaire générale se félicite que l'invitation du Qatar ait été acceptée par le Conseil. Le Qatar a déjà accueilli un certain nombre de manifestations importantes de l'UIT et la Secrétaire générale se réjouit à la perspective d'une Conférence passionnante et fructueuse.</w:t>
      </w:r>
    </w:p>
    <w:p w14:paraId="2C03908D" w14:textId="77777777" w:rsidR="004C69AE" w:rsidRPr="005F7259" w:rsidRDefault="004C69AE" w:rsidP="00202150">
      <w:pPr>
        <w:rPr>
          <w:bCs/>
          <w:szCs w:val="24"/>
        </w:rPr>
      </w:pPr>
      <w:r w:rsidRPr="005F7259">
        <w:rPr>
          <w:bCs/>
          <w:szCs w:val="24"/>
        </w:rPr>
        <w:t>7.7</w:t>
      </w:r>
      <w:r w:rsidRPr="005F7259">
        <w:rPr>
          <w:bCs/>
          <w:szCs w:val="24"/>
        </w:rPr>
        <w:tab/>
        <w:t>L'observateur du Qatar remercie les conseillers de leur appui. Son Gouvernement est déterminé à faire en sorte que la PP-26 soit couronnée de succès.</w:t>
      </w:r>
    </w:p>
    <w:p w14:paraId="1FCD44B2" w14:textId="77777777" w:rsidR="004C69AE" w:rsidRPr="005F7259" w:rsidRDefault="004C69AE" w:rsidP="00202150">
      <w:pPr>
        <w:tabs>
          <w:tab w:val="clear" w:pos="567"/>
          <w:tab w:val="clear" w:pos="1134"/>
          <w:tab w:val="clear" w:pos="1701"/>
          <w:tab w:val="clear" w:pos="2268"/>
          <w:tab w:val="clear" w:pos="2835"/>
          <w:tab w:val="left" w:pos="6237"/>
        </w:tabs>
        <w:spacing w:before="840"/>
      </w:pPr>
      <w:r w:rsidRPr="005F7259">
        <w:t>La Secrétaire générale:</w:t>
      </w:r>
      <w:r w:rsidRPr="005F7259">
        <w:tab/>
        <w:t>Le Président:</w:t>
      </w:r>
    </w:p>
    <w:p w14:paraId="20D1217B" w14:textId="77777777" w:rsidR="004C69AE" w:rsidRPr="005F7259" w:rsidRDefault="004C69AE" w:rsidP="00202150">
      <w:pPr>
        <w:tabs>
          <w:tab w:val="clear" w:pos="567"/>
          <w:tab w:val="clear" w:pos="1134"/>
          <w:tab w:val="clear" w:pos="1701"/>
          <w:tab w:val="clear" w:pos="2268"/>
          <w:tab w:val="clear" w:pos="2835"/>
          <w:tab w:val="left" w:pos="6237"/>
        </w:tabs>
        <w:spacing w:before="0"/>
        <w:rPr>
          <w:rFonts w:asciiTheme="minorHAnsi" w:hAnsiTheme="minorHAnsi" w:cstheme="minorHAnsi"/>
          <w:color w:val="000000"/>
          <w:u w:color="000000"/>
        </w:rPr>
      </w:pPr>
      <w:r w:rsidRPr="005F7259">
        <w:t>D. BOGDAN-MARTIN</w:t>
      </w:r>
      <w:r w:rsidRPr="005F7259">
        <w:tab/>
      </w:r>
      <w:r w:rsidRPr="005F7259">
        <w:rPr>
          <w:rFonts w:asciiTheme="minorHAnsi" w:hAnsiTheme="minorHAnsi" w:cstheme="minorHAnsi"/>
          <w:color w:val="000000"/>
          <w:u w:color="000000"/>
        </w:rPr>
        <w:t>C. MARTINEZ</w:t>
      </w:r>
    </w:p>
    <w:p w14:paraId="7DE30DD6" w14:textId="77777777" w:rsidR="004C69AE" w:rsidRPr="005F7259" w:rsidRDefault="004C69AE" w:rsidP="00202150"/>
    <w:sectPr w:rsidR="004C69AE" w:rsidRPr="005F7259" w:rsidSect="00D72F49">
      <w:headerReference w:type="even" r:id="rId20"/>
      <w:footerReference w:type="even" r:id="rId21"/>
      <w:footerReference w:type="default" r:id="rId22"/>
      <w:headerReference w:type="first" r:id="rId23"/>
      <w:footerReference w:type="first" r:id="rId2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7738" w14:textId="77777777" w:rsidR="00EC0128" w:rsidRPr="000B021C" w:rsidRDefault="00EC0128">
      <w:r w:rsidRPr="000B021C">
        <w:separator/>
      </w:r>
    </w:p>
  </w:endnote>
  <w:endnote w:type="continuationSeparator" w:id="0">
    <w:p w14:paraId="0F6310F9" w14:textId="77777777" w:rsidR="00EC0128" w:rsidRPr="000B021C" w:rsidRDefault="00EC0128">
      <w:r w:rsidRPr="000B021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38C73417" w:rsidR="00732045" w:rsidRPr="000B021C" w:rsidRDefault="000B021C">
    <w:pPr>
      <w:pStyle w:val="Footer"/>
      <w:rPr>
        <w:noProof w:val="0"/>
      </w:rPr>
    </w:pPr>
    <w:r w:rsidRPr="000B021C">
      <w:rPr>
        <w:noProof w:val="0"/>
      </w:rPr>
      <w:fldChar w:fldCharType="begin"/>
    </w:r>
    <w:r w:rsidRPr="000B021C">
      <w:rPr>
        <w:noProof w:val="0"/>
      </w:rPr>
      <w:instrText xml:space="preserve"> FILENAME \p \* MERGEFORMAT </w:instrText>
    </w:r>
    <w:r w:rsidRPr="000B021C">
      <w:rPr>
        <w:noProof w:val="0"/>
      </w:rPr>
      <w:fldChar w:fldCharType="separate"/>
    </w:r>
    <w:r w:rsidR="00977FE4">
      <w:t>P:\TRAD\F\SG\CONSEIL\C23-ADD\010FMontage.docx</w:t>
    </w:r>
    <w:r w:rsidRPr="000B021C">
      <w:rPr>
        <w:noProof w:val="0"/>
      </w:rPr>
      <w:fldChar w:fldCharType="end"/>
    </w:r>
    <w:r w:rsidR="00732045" w:rsidRPr="000B021C">
      <w:rPr>
        <w:noProof w:val="0"/>
      </w:rPr>
      <w:tab/>
    </w:r>
    <w:r w:rsidR="002F1B76" w:rsidRPr="000B021C">
      <w:rPr>
        <w:noProof w:val="0"/>
      </w:rPr>
      <w:fldChar w:fldCharType="begin"/>
    </w:r>
    <w:r w:rsidR="00732045" w:rsidRPr="000B021C">
      <w:rPr>
        <w:noProof w:val="0"/>
      </w:rPr>
      <w:instrText xml:space="preserve"> savedate \@ dd.MM.yy </w:instrText>
    </w:r>
    <w:r w:rsidR="002F1B76" w:rsidRPr="000B021C">
      <w:rPr>
        <w:noProof w:val="0"/>
      </w:rPr>
      <w:fldChar w:fldCharType="separate"/>
    </w:r>
    <w:r w:rsidR="00D20F38">
      <w:t>18.12.23</w:t>
    </w:r>
    <w:r w:rsidR="002F1B76" w:rsidRPr="000B021C">
      <w:rPr>
        <w:noProof w:val="0"/>
      </w:rPr>
      <w:fldChar w:fldCharType="end"/>
    </w:r>
    <w:r w:rsidR="00732045" w:rsidRPr="000B021C">
      <w:rPr>
        <w:noProof w:val="0"/>
      </w:rPr>
      <w:tab/>
    </w:r>
    <w:r w:rsidR="002F1B76" w:rsidRPr="000B021C">
      <w:rPr>
        <w:noProof w:val="0"/>
      </w:rPr>
      <w:fldChar w:fldCharType="begin"/>
    </w:r>
    <w:r w:rsidR="00732045" w:rsidRPr="000B021C">
      <w:rPr>
        <w:noProof w:val="0"/>
      </w:rPr>
      <w:instrText xml:space="preserve"> printdate \@ dd.MM.yy </w:instrText>
    </w:r>
    <w:r w:rsidR="002F1B76" w:rsidRPr="000B021C">
      <w:rPr>
        <w:noProof w:val="0"/>
      </w:rPr>
      <w:fldChar w:fldCharType="separate"/>
    </w:r>
    <w:r w:rsidR="00977FE4">
      <w:t>18.07.00</w:t>
    </w:r>
    <w:r w:rsidR="002F1B76" w:rsidRPr="000B021C">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0B021C" w14:paraId="4C87AA90" w14:textId="77777777" w:rsidTr="00E31DCE">
      <w:trPr>
        <w:jc w:val="center"/>
      </w:trPr>
      <w:tc>
        <w:tcPr>
          <w:tcW w:w="1803" w:type="dxa"/>
          <w:vAlign w:val="center"/>
        </w:tcPr>
        <w:p w14:paraId="2C2E77A4" w14:textId="3B748D38" w:rsidR="00A51849" w:rsidRPr="000B021C" w:rsidRDefault="00A51849" w:rsidP="00A51849">
          <w:pPr>
            <w:pStyle w:val="Header"/>
            <w:jc w:val="left"/>
          </w:pPr>
          <w:r w:rsidRPr="000B021C">
            <w:t xml:space="preserve">DPS </w:t>
          </w:r>
          <w:r w:rsidR="00BD28F2" w:rsidRPr="000B021C">
            <w:t>52</w:t>
          </w:r>
          <w:r w:rsidR="007D75D7">
            <w:t>9987</w:t>
          </w:r>
        </w:p>
      </w:tc>
      <w:tc>
        <w:tcPr>
          <w:tcW w:w="8261" w:type="dxa"/>
        </w:tcPr>
        <w:p w14:paraId="0DB0A3C6" w14:textId="026043EF" w:rsidR="00A51849" w:rsidRPr="000B021C" w:rsidRDefault="00A51849" w:rsidP="007D75D7">
          <w:pPr>
            <w:pStyle w:val="Header"/>
            <w:tabs>
              <w:tab w:val="left" w:pos="6731"/>
              <w:tab w:val="right" w:pos="8505"/>
              <w:tab w:val="right" w:pos="9639"/>
            </w:tabs>
            <w:jc w:val="left"/>
            <w:rPr>
              <w:rFonts w:ascii="Arial" w:hAnsi="Arial" w:cs="Arial"/>
              <w:b/>
              <w:bCs/>
              <w:szCs w:val="18"/>
            </w:rPr>
          </w:pPr>
          <w:r w:rsidRPr="000B021C">
            <w:rPr>
              <w:bCs/>
            </w:rPr>
            <w:tab/>
          </w:r>
          <w:r w:rsidR="007D75D7" w:rsidRPr="000B021C">
            <w:rPr>
              <w:bCs/>
            </w:rPr>
            <w:t>C23</w:t>
          </w:r>
          <w:r w:rsidR="007D75D7">
            <w:rPr>
              <w:bCs/>
            </w:rPr>
            <w:t>-ADD</w:t>
          </w:r>
          <w:r w:rsidR="007D75D7" w:rsidRPr="000B021C">
            <w:rPr>
              <w:bCs/>
            </w:rPr>
            <w:t>/10-F</w:t>
          </w:r>
          <w:r w:rsidR="007D75D7" w:rsidRPr="000B021C">
            <w:rPr>
              <w:bCs/>
            </w:rPr>
            <w:tab/>
          </w:r>
          <w:r w:rsidRPr="000B021C">
            <w:fldChar w:fldCharType="begin"/>
          </w:r>
          <w:r w:rsidRPr="000B021C">
            <w:instrText>PAGE</w:instrText>
          </w:r>
          <w:r w:rsidRPr="000B021C">
            <w:fldChar w:fldCharType="separate"/>
          </w:r>
          <w:r w:rsidRPr="000B021C">
            <w:t>1</w:t>
          </w:r>
          <w:r w:rsidRPr="000B021C">
            <w:fldChar w:fldCharType="end"/>
          </w:r>
        </w:p>
      </w:tc>
    </w:tr>
  </w:tbl>
  <w:p w14:paraId="6CAB0436" w14:textId="3F6912EE" w:rsidR="00895668" w:rsidRPr="00EA13BC" w:rsidRDefault="00895668" w:rsidP="00895668">
    <w:pPr>
      <w:pStyle w:val="Footer"/>
      <w:rPr>
        <w:noProof w:val="0"/>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0B021C" w14:paraId="5C9C0095" w14:textId="77777777" w:rsidTr="00E31DCE">
      <w:trPr>
        <w:jc w:val="center"/>
      </w:trPr>
      <w:tc>
        <w:tcPr>
          <w:tcW w:w="1803" w:type="dxa"/>
          <w:vAlign w:val="center"/>
        </w:tcPr>
        <w:p w14:paraId="5151DAA0" w14:textId="2721DCE5" w:rsidR="00A51849" w:rsidRPr="000B021C" w:rsidRDefault="004116CA" w:rsidP="00A51849">
          <w:pPr>
            <w:pStyle w:val="Header"/>
            <w:jc w:val="left"/>
          </w:pPr>
          <w:hyperlink r:id="rId1" w:history="1">
            <w:r w:rsidR="00A51849" w:rsidRPr="000B021C">
              <w:rPr>
                <w:rStyle w:val="Hyperlink"/>
                <w:szCs w:val="14"/>
              </w:rPr>
              <w:t>www.itu.int/council</w:t>
            </w:r>
          </w:hyperlink>
        </w:p>
      </w:tc>
      <w:tc>
        <w:tcPr>
          <w:tcW w:w="8261" w:type="dxa"/>
        </w:tcPr>
        <w:p w14:paraId="4C3D0956" w14:textId="1CDCBB1B" w:rsidR="00A51849" w:rsidRPr="000B021C" w:rsidRDefault="00A51849" w:rsidP="007D75D7">
          <w:pPr>
            <w:pStyle w:val="Header"/>
            <w:tabs>
              <w:tab w:val="left" w:pos="6731"/>
              <w:tab w:val="right" w:pos="8505"/>
              <w:tab w:val="right" w:pos="9639"/>
            </w:tabs>
            <w:jc w:val="left"/>
            <w:rPr>
              <w:rFonts w:ascii="Arial" w:hAnsi="Arial" w:cs="Arial"/>
              <w:b/>
              <w:bCs/>
              <w:szCs w:val="18"/>
            </w:rPr>
          </w:pPr>
          <w:r w:rsidRPr="000B021C">
            <w:rPr>
              <w:bCs/>
            </w:rPr>
            <w:tab/>
            <w:t>C23</w:t>
          </w:r>
          <w:r w:rsidR="007D75D7">
            <w:rPr>
              <w:bCs/>
            </w:rPr>
            <w:t>-ADD</w:t>
          </w:r>
          <w:r w:rsidRPr="000B021C">
            <w:rPr>
              <w:bCs/>
            </w:rPr>
            <w:t>/</w:t>
          </w:r>
          <w:r w:rsidR="00BD28F2" w:rsidRPr="000B021C">
            <w:rPr>
              <w:bCs/>
            </w:rPr>
            <w:t>10</w:t>
          </w:r>
          <w:r w:rsidRPr="000B021C">
            <w:rPr>
              <w:bCs/>
            </w:rPr>
            <w:t>-</w:t>
          </w:r>
          <w:r w:rsidR="00D72F49" w:rsidRPr="000B021C">
            <w:rPr>
              <w:bCs/>
            </w:rPr>
            <w:t>F</w:t>
          </w:r>
          <w:r w:rsidRPr="000B021C">
            <w:rPr>
              <w:bCs/>
            </w:rPr>
            <w:tab/>
          </w:r>
          <w:r w:rsidRPr="000B021C">
            <w:fldChar w:fldCharType="begin"/>
          </w:r>
          <w:r w:rsidRPr="000B021C">
            <w:instrText>PAGE</w:instrText>
          </w:r>
          <w:r w:rsidRPr="000B021C">
            <w:fldChar w:fldCharType="separate"/>
          </w:r>
          <w:r w:rsidRPr="000B021C">
            <w:t>1</w:t>
          </w:r>
          <w:r w:rsidRPr="000B021C">
            <w:fldChar w:fldCharType="end"/>
          </w:r>
        </w:p>
      </w:tc>
    </w:tr>
  </w:tbl>
  <w:p w14:paraId="67CF33E3" w14:textId="2ED513E5" w:rsidR="00732045" w:rsidRPr="00EA13BC" w:rsidRDefault="00732045" w:rsidP="00BD28F2">
    <w:pPr>
      <w:pStyle w:val="Footer"/>
      <w:rPr>
        <w:noProof w:val="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5B20" w14:textId="77777777" w:rsidR="00EC0128" w:rsidRPr="000B021C" w:rsidRDefault="00EC0128">
      <w:r w:rsidRPr="000B021C">
        <w:t>____________________</w:t>
      </w:r>
    </w:p>
  </w:footnote>
  <w:footnote w:type="continuationSeparator" w:id="0">
    <w:p w14:paraId="2E1F1439" w14:textId="77777777" w:rsidR="00EC0128" w:rsidRPr="000B021C" w:rsidRDefault="00EC0128">
      <w:r w:rsidRPr="000B021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Pr="000B021C" w:rsidRDefault="00732045">
    <w:pPr>
      <w:pStyle w:val="Header"/>
    </w:pPr>
    <w:r w:rsidRPr="000B021C">
      <w:t xml:space="preserve">- </w:t>
    </w:r>
    <w:r w:rsidR="00C27A7C" w:rsidRPr="000B021C">
      <w:fldChar w:fldCharType="begin"/>
    </w:r>
    <w:r w:rsidR="00C27A7C" w:rsidRPr="000B021C">
      <w:instrText>PAGE</w:instrText>
    </w:r>
    <w:r w:rsidR="00C27A7C" w:rsidRPr="000B021C">
      <w:fldChar w:fldCharType="separate"/>
    </w:r>
    <w:r w:rsidRPr="000B021C">
      <w:t>2</w:t>
    </w:r>
    <w:r w:rsidR="00C27A7C" w:rsidRPr="000B021C">
      <w:fldChar w:fldCharType="end"/>
    </w:r>
    <w:r w:rsidRPr="000B021C">
      <w:t xml:space="preserve"> -</w:t>
    </w:r>
  </w:p>
  <w:p w14:paraId="40E3D5AC" w14:textId="77777777" w:rsidR="00732045" w:rsidRPr="000B021C" w:rsidRDefault="00732045">
    <w:pPr>
      <w:pStyle w:val="Header"/>
    </w:pPr>
    <w:r w:rsidRPr="000B021C">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0B021C" w14:paraId="33F25067" w14:textId="77777777" w:rsidTr="00E31DCE">
      <w:trPr>
        <w:trHeight w:val="1104"/>
        <w:jc w:val="center"/>
      </w:trPr>
      <w:tc>
        <w:tcPr>
          <w:tcW w:w="4390" w:type="dxa"/>
          <w:vAlign w:val="center"/>
        </w:tcPr>
        <w:p w14:paraId="113CB22E" w14:textId="0A00A51C" w:rsidR="00A51849" w:rsidRPr="000B021C" w:rsidRDefault="000C0EBA" w:rsidP="00A51849">
          <w:pPr>
            <w:pStyle w:val="Header"/>
            <w:jc w:val="left"/>
            <w:rPr>
              <w:rFonts w:ascii="Arial" w:hAnsi="Arial" w:cs="Arial"/>
              <w:b/>
              <w:bCs/>
              <w:color w:val="009CD6"/>
              <w:sz w:val="36"/>
              <w:szCs w:val="36"/>
            </w:rPr>
          </w:pPr>
          <w:r>
            <w:rPr>
              <w:noProof/>
            </w:rPr>
            <w:drawing>
              <wp:inline distT="0" distB="0" distL="0" distR="0" wp14:anchorId="55CACDCE" wp14:editId="60463F3C">
                <wp:extent cx="1912753" cy="536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2753" cy="536930"/>
                        </a:xfrm>
                        <a:prstGeom prst="rect">
                          <a:avLst/>
                        </a:prstGeom>
                        <a:noFill/>
                        <a:ln>
                          <a:noFill/>
                        </a:ln>
                      </pic:spPr>
                    </pic:pic>
                  </a:graphicData>
                </a:graphic>
              </wp:inline>
            </w:drawing>
          </w:r>
        </w:p>
      </w:tc>
      <w:tc>
        <w:tcPr>
          <w:tcW w:w="5630" w:type="dxa"/>
        </w:tcPr>
        <w:p w14:paraId="608C3FDD" w14:textId="77777777" w:rsidR="00A51849" w:rsidRPr="000B021C" w:rsidRDefault="00A51849" w:rsidP="00A51849">
          <w:pPr>
            <w:pStyle w:val="Header"/>
            <w:jc w:val="right"/>
            <w:rPr>
              <w:rFonts w:ascii="Arial" w:hAnsi="Arial" w:cs="Arial"/>
              <w:b/>
              <w:bCs/>
              <w:color w:val="009CD6"/>
              <w:szCs w:val="18"/>
            </w:rPr>
          </w:pPr>
        </w:p>
        <w:p w14:paraId="7F7AE11D" w14:textId="77777777" w:rsidR="00A51849" w:rsidRPr="000B021C" w:rsidRDefault="00A51849" w:rsidP="00A51849">
          <w:pPr>
            <w:pStyle w:val="Header"/>
            <w:jc w:val="right"/>
            <w:rPr>
              <w:rFonts w:ascii="Arial" w:hAnsi="Arial" w:cs="Arial"/>
              <w:b/>
              <w:bCs/>
              <w:color w:val="009CD6"/>
              <w:szCs w:val="18"/>
            </w:rPr>
          </w:pPr>
        </w:p>
        <w:p w14:paraId="281B21F4" w14:textId="77777777" w:rsidR="00A51849" w:rsidRPr="000B021C" w:rsidRDefault="00A51849" w:rsidP="00A51849">
          <w:pPr>
            <w:pStyle w:val="Header"/>
            <w:jc w:val="right"/>
            <w:rPr>
              <w:rFonts w:ascii="Arial" w:hAnsi="Arial" w:cs="Arial"/>
              <w:color w:val="009CD6"/>
              <w:szCs w:val="18"/>
            </w:rPr>
          </w:pPr>
          <w:r w:rsidRPr="000B021C">
            <w:rPr>
              <w:rFonts w:ascii="Arial" w:hAnsi="Arial" w:cs="Arial"/>
              <w:b/>
              <w:bCs/>
              <w:color w:val="009CD6"/>
              <w:szCs w:val="18"/>
            </w:rPr>
            <w:t xml:space="preserve"> </w:t>
          </w:r>
        </w:p>
      </w:tc>
    </w:tr>
  </w:tbl>
  <w:p w14:paraId="7203532F" w14:textId="77777777" w:rsidR="00A51849" w:rsidRPr="000B021C" w:rsidRDefault="00A51849">
    <w:pPr>
      <w:pStyle w:val="Header"/>
    </w:pPr>
    <w:r w:rsidRPr="000B021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A6801"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6AF4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1E2A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6823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AA3F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A04A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5421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CAA8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0C09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2C2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18E2A8"/>
    <w:lvl w:ilvl="0">
      <w:start w:val="1"/>
      <w:numFmt w:val="bullet"/>
      <w:lvlText w:val=""/>
      <w:lvlJc w:val="left"/>
      <w:pPr>
        <w:tabs>
          <w:tab w:val="num" w:pos="360"/>
        </w:tabs>
        <w:ind w:left="360" w:hanging="360"/>
      </w:pPr>
      <w:rPr>
        <w:rFonts w:ascii="Symbol" w:hAnsi="Symbol" w:hint="default"/>
      </w:rPr>
    </w:lvl>
  </w:abstractNum>
  <w:num w:numId="1" w16cid:durableId="969558255">
    <w:abstractNumId w:val="9"/>
  </w:num>
  <w:num w:numId="2" w16cid:durableId="1864397251">
    <w:abstractNumId w:val="7"/>
  </w:num>
  <w:num w:numId="3" w16cid:durableId="1620407799">
    <w:abstractNumId w:val="6"/>
  </w:num>
  <w:num w:numId="4" w16cid:durableId="2083483695">
    <w:abstractNumId w:val="5"/>
  </w:num>
  <w:num w:numId="5" w16cid:durableId="671377619">
    <w:abstractNumId w:val="4"/>
  </w:num>
  <w:num w:numId="6" w16cid:durableId="821388307">
    <w:abstractNumId w:val="8"/>
  </w:num>
  <w:num w:numId="7" w16cid:durableId="537662821">
    <w:abstractNumId w:val="3"/>
  </w:num>
  <w:num w:numId="8" w16cid:durableId="568925298">
    <w:abstractNumId w:val="2"/>
  </w:num>
  <w:num w:numId="9" w16cid:durableId="385376912">
    <w:abstractNumId w:val="1"/>
  </w:num>
  <w:num w:numId="10" w16cid:durableId="199537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0E03"/>
    <w:rsid w:val="00037434"/>
    <w:rsid w:val="00053FBE"/>
    <w:rsid w:val="00064BFF"/>
    <w:rsid w:val="0006553E"/>
    <w:rsid w:val="00072D66"/>
    <w:rsid w:val="00076A2C"/>
    <w:rsid w:val="00077ABD"/>
    <w:rsid w:val="00083ECE"/>
    <w:rsid w:val="00093A84"/>
    <w:rsid w:val="00095672"/>
    <w:rsid w:val="000B021C"/>
    <w:rsid w:val="000B094B"/>
    <w:rsid w:val="000C0EBA"/>
    <w:rsid w:val="000D0D0A"/>
    <w:rsid w:val="000E1A5F"/>
    <w:rsid w:val="000F35E1"/>
    <w:rsid w:val="00101F0E"/>
    <w:rsid w:val="00103163"/>
    <w:rsid w:val="00106B19"/>
    <w:rsid w:val="00112101"/>
    <w:rsid w:val="0011507A"/>
    <w:rsid w:val="00115D93"/>
    <w:rsid w:val="001247A8"/>
    <w:rsid w:val="001378C0"/>
    <w:rsid w:val="0014719C"/>
    <w:rsid w:val="00162462"/>
    <w:rsid w:val="00165871"/>
    <w:rsid w:val="001828B0"/>
    <w:rsid w:val="0018694A"/>
    <w:rsid w:val="001A3287"/>
    <w:rsid w:val="001A6508"/>
    <w:rsid w:val="001C3E1B"/>
    <w:rsid w:val="001D2096"/>
    <w:rsid w:val="001D4C31"/>
    <w:rsid w:val="001E4D21"/>
    <w:rsid w:val="001F6823"/>
    <w:rsid w:val="00200421"/>
    <w:rsid w:val="00202150"/>
    <w:rsid w:val="00207CD1"/>
    <w:rsid w:val="00212231"/>
    <w:rsid w:val="00226657"/>
    <w:rsid w:val="00237269"/>
    <w:rsid w:val="00243429"/>
    <w:rsid w:val="002477A2"/>
    <w:rsid w:val="00263A51"/>
    <w:rsid w:val="00267E02"/>
    <w:rsid w:val="002A49AD"/>
    <w:rsid w:val="002A5D44"/>
    <w:rsid w:val="002B7061"/>
    <w:rsid w:val="002D4F08"/>
    <w:rsid w:val="002E0BC4"/>
    <w:rsid w:val="002E6AAF"/>
    <w:rsid w:val="002F1B76"/>
    <w:rsid w:val="002F79F5"/>
    <w:rsid w:val="0032271C"/>
    <w:rsid w:val="003249D1"/>
    <w:rsid w:val="003261BB"/>
    <w:rsid w:val="00330E77"/>
    <w:rsid w:val="0033568E"/>
    <w:rsid w:val="00337C45"/>
    <w:rsid w:val="0035155A"/>
    <w:rsid w:val="00353947"/>
    <w:rsid w:val="00354F60"/>
    <w:rsid w:val="00355FF5"/>
    <w:rsid w:val="00361350"/>
    <w:rsid w:val="00373E14"/>
    <w:rsid w:val="003926CA"/>
    <w:rsid w:val="0039383C"/>
    <w:rsid w:val="003B20E3"/>
    <w:rsid w:val="003C3FAE"/>
    <w:rsid w:val="003D56C1"/>
    <w:rsid w:val="003F031B"/>
    <w:rsid w:val="00403834"/>
    <w:rsid w:val="004038CB"/>
    <w:rsid w:val="0040546F"/>
    <w:rsid w:val="004116CA"/>
    <w:rsid w:val="0042404A"/>
    <w:rsid w:val="0044618F"/>
    <w:rsid w:val="00450442"/>
    <w:rsid w:val="0046769A"/>
    <w:rsid w:val="00475FB3"/>
    <w:rsid w:val="00481CC3"/>
    <w:rsid w:val="0049384A"/>
    <w:rsid w:val="0049400A"/>
    <w:rsid w:val="004A5C6A"/>
    <w:rsid w:val="004A6B2F"/>
    <w:rsid w:val="004C37A9"/>
    <w:rsid w:val="004C69AE"/>
    <w:rsid w:val="004D1D50"/>
    <w:rsid w:val="004F259E"/>
    <w:rsid w:val="00507F1B"/>
    <w:rsid w:val="00510DA6"/>
    <w:rsid w:val="00511F1D"/>
    <w:rsid w:val="00520A41"/>
    <w:rsid w:val="00520F36"/>
    <w:rsid w:val="005231DC"/>
    <w:rsid w:val="00534E13"/>
    <w:rsid w:val="00540615"/>
    <w:rsid w:val="00540A6D"/>
    <w:rsid w:val="00541DBC"/>
    <w:rsid w:val="00550064"/>
    <w:rsid w:val="00565C24"/>
    <w:rsid w:val="00566679"/>
    <w:rsid w:val="00571EEA"/>
    <w:rsid w:val="00575417"/>
    <w:rsid w:val="005768E1"/>
    <w:rsid w:val="00581198"/>
    <w:rsid w:val="005B1938"/>
    <w:rsid w:val="005B6F94"/>
    <w:rsid w:val="005B7547"/>
    <w:rsid w:val="005C175B"/>
    <w:rsid w:val="005C3890"/>
    <w:rsid w:val="005F7259"/>
    <w:rsid w:val="005F7565"/>
    <w:rsid w:val="005F7BFE"/>
    <w:rsid w:val="00600017"/>
    <w:rsid w:val="0060395F"/>
    <w:rsid w:val="00606AA4"/>
    <w:rsid w:val="006130A2"/>
    <w:rsid w:val="006235CA"/>
    <w:rsid w:val="006537DD"/>
    <w:rsid w:val="006643AB"/>
    <w:rsid w:val="00681E08"/>
    <w:rsid w:val="00686884"/>
    <w:rsid w:val="006914FE"/>
    <w:rsid w:val="006A0D73"/>
    <w:rsid w:val="006A0E57"/>
    <w:rsid w:val="006A2C45"/>
    <w:rsid w:val="006B0A68"/>
    <w:rsid w:val="006B46ED"/>
    <w:rsid w:val="006D451A"/>
    <w:rsid w:val="006E31D1"/>
    <w:rsid w:val="006F0A53"/>
    <w:rsid w:val="0072040D"/>
    <w:rsid w:val="007210CD"/>
    <w:rsid w:val="00722339"/>
    <w:rsid w:val="007260D9"/>
    <w:rsid w:val="00732045"/>
    <w:rsid w:val="007369DB"/>
    <w:rsid w:val="00742914"/>
    <w:rsid w:val="007956C2"/>
    <w:rsid w:val="007A187E"/>
    <w:rsid w:val="007A2BA7"/>
    <w:rsid w:val="007B52A5"/>
    <w:rsid w:val="007B7C51"/>
    <w:rsid w:val="007C72C2"/>
    <w:rsid w:val="007D4436"/>
    <w:rsid w:val="007D75D7"/>
    <w:rsid w:val="007E12E6"/>
    <w:rsid w:val="007F257A"/>
    <w:rsid w:val="007F3665"/>
    <w:rsid w:val="00800037"/>
    <w:rsid w:val="0080116C"/>
    <w:rsid w:val="00803174"/>
    <w:rsid w:val="00814B61"/>
    <w:rsid w:val="0083391C"/>
    <w:rsid w:val="00833B14"/>
    <w:rsid w:val="00846057"/>
    <w:rsid w:val="00861D73"/>
    <w:rsid w:val="00871071"/>
    <w:rsid w:val="00883889"/>
    <w:rsid w:val="008845A6"/>
    <w:rsid w:val="00895668"/>
    <w:rsid w:val="00897553"/>
    <w:rsid w:val="008A4E87"/>
    <w:rsid w:val="008A765F"/>
    <w:rsid w:val="008A7B35"/>
    <w:rsid w:val="008B113F"/>
    <w:rsid w:val="008D569B"/>
    <w:rsid w:val="008D76E6"/>
    <w:rsid w:val="0092392D"/>
    <w:rsid w:val="0093234A"/>
    <w:rsid w:val="00956A78"/>
    <w:rsid w:val="00962F73"/>
    <w:rsid w:val="0097363B"/>
    <w:rsid w:val="00973F53"/>
    <w:rsid w:val="00977FE4"/>
    <w:rsid w:val="00994116"/>
    <w:rsid w:val="009A1481"/>
    <w:rsid w:val="009B4CF6"/>
    <w:rsid w:val="009C307F"/>
    <w:rsid w:val="009C353C"/>
    <w:rsid w:val="009C3732"/>
    <w:rsid w:val="009D42C6"/>
    <w:rsid w:val="009D5BAB"/>
    <w:rsid w:val="009E041D"/>
    <w:rsid w:val="00A03208"/>
    <w:rsid w:val="00A059DF"/>
    <w:rsid w:val="00A2113E"/>
    <w:rsid w:val="00A23A51"/>
    <w:rsid w:val="00A24607"/>
    <w:rsid w:val="00A25CD3"/>
    <w:rsid w:val="00A348C2"/>
    <w:rsid w:val="00A37257"/>
    <w:rsid w:val="00A478A6"/>
    <w:rsid w:val="00A51849"/>
    <w:rsid w:val="00A709FE"/>
    <w:rsid w:val="00A73C60"/>
    <w:rsid w:val="00A8210C"/>
    <w:rsid w:val="00A82767"/>
    <w:rsid w:val="00A9208F"/>
    <w:rsid w:val="00AA332F"/>
    <w:rsid w:val="00AA62AA"/>
    <w:rsid w:val="00AA73DB"/>
    <w:rsid w:val="00AA7BBB"/>
    <w:rsid w:val="00AB601F"/>
    <w:rsid w:val="00AB64A8"/>
    <w:rsid w:val="00AC0266"/>
    <w:rsid w:val="00AD24EC"/>
    <w:rsid w:val="00AE3AE3"/>
    <w:rsid w:val="00AF12D6"/>
    <w:rsid w:val="00AF6F6D"/>
    <w:rsid w:val="00AF7F30"/>
    <w:rsid w:val="00B06F42"/>
    <w:rsid w:val="00B309F9"/>
    <w:rsid w:val="00B32B60"/>
    <w:rsid w:val="00B475E6"/>
    <w:rsid w:val="00B61619"/>
    <w:rsid w:val="00B705B8"/>
    <w:rsid w:val="00B8250D"/>
    <w:rsid w:val="00B936EE"/>
    <w:rsid w:val="00B9776A"/>
    <w:rsid w:val="00BB4545"/>
    <w:rsid w:val="00BD28F2"/>
    <w:rsid w:val="00BD5873"/>
    <w:rsid w:val="00BE30E9"/>
    <w:rsid w:val="00BE4E48"/>
    <w:rsid w:val="00C04BE3"/>
    <w:rsid w:val="00C23C0D"/>
    <w:rsid w:val="00C25D29"/>
    <w:rsid w:val="00C27A7C"/>
    <w:rsid w:val="00C32DBB"/>
    <w:rsid w:val="00C337F1"/>
    <w:rsid w:val="00C37096"/>
    <w:rsid w:val="00C42437"/>
    <w:rsid w:val="00C439AE"/>
    <w:rsid w:val="00C9668F"/>
    <w:rsid w:val="00CA08ED"/>
    <w:rsid w:val="00CD2F16"/>
    <w:rsid w:val="00CE6568"/>
    <w:rsid w:val="00CF0A90"/>
    <w:rsid w:val="00CF183B"/>
    <w:rsid w:val="00D20F38"/>
    <w:rsid w:val="00D375CD"/>
    <w:rsid w:val="00D418F0"/>
    <w:rsid w:val="00D553A2"/>
    <w:rsid w:val="00D60865"/>
    <w:rsid w:val="00D7267E"/>
    <w:rsid w:val="00D72F49"/>
    <w:rsid w:val="00D774D3"/>
    <w:rsid w:val="00D904E8"/>
    <w:rsid w:val="00D90C2F"/>
    <w:rsid w:val="00DA08C3"/>
    <w:rsid w:val="00DB5A3E"/>
    <w:rsid w:val="00DC22AA"/>
    <w:rsid w:val="00DE352D"/>
    <w:rsid w:val="00DF2D8A"/>
    <w:rsid w:val="00DF74DD"/>
    <w:rsid w:val="00E067F4"/>
    <w:rsid w:val="00E25AD0"/>
    <w:rsid w:val="00E33788"/>
    <w:rsid w:val="00E4428F"/>
    <w:rsid w:val="00E52CE3"/>
    <w:rsid w:val="00E549FA"/>
    <w:rsid w:val="00E71FF4"/>
    <w:rsid w:val="00E73751"/>
    <w:rsid w:val="00E93668"/>
    <w:rsid w:val="00E93E6C"/>
    <w:rsid w:val="00E95647"/>
    <w:rsid w:val="00EA13BC"/>
    <w:rsid w:val="00EA612A"/>
    <w:rsid w:val="00EB0242"/>
    <w:rsid w:val="00EB6350"/>
    <w:rsid w:val="00EC0128"/>
    <w:rsid w:val="00EE6505"/>
    <w:rsid w:val="00F15B57"/>
    <w:rsid w:val="00F30AE1"/>
    <w:rsid w:val="00F31C9E"/>
    <w:rsid w:val="00F35EF4"/>
    <w:rsid w:val="00F37FE5"/>
    <w:rsid w:val="00F427DB"/>
    <w:rsid w:val="00F47762"/>
    <w:rsid w:val="00F701F3"/>
    <w:rsid w:val="00F71C0A"/>
    <w:rsid w:val="00F84311"/>
    <w:rsid w:val="00F93574"/>
    <w:rsid w:val="00FA5EB1"/>
    <w:rsid w:val="00FA7439"/>
    <w:rsid w:val="00FB02FE"/>
    <w:rsid w:val="00FC4EC0"/>
    <w:rsid w:val="00FD0870"/>
    <w:rsid w:val="00FF0181"/>
    <w:rsid w:val="00FF5F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Heading1Char">
    <w:name w:val="Heading 1 Char"/>
    <w:basedOn w:val="DefaultParagraphFont"/>
    <w:link w:val="Heading1"/>
    <w:rsid w:val="00742914"/>
    <w:rPr>
      <w:rFonts w:ascii="Calibri" w:hAnsi="Calibri"/>
      <w:b/>
      <w:sz w:val="28"/>
      <w:lang w:val="fr-FR" w:eastAsia="en-US"/>
    </w:rPr>
  </w:style>
  <w:style w:type="character" w:styleId="UnresolvedMention">
    <w:name w:val="Unresolved Mention"/>
    <w:basedOn w:val="DefaultParagraphFont"/>
    <w:uiPriority w:val="99"/>
    <w:semiHidden/>
    <w:unhideWhenUsed/>
    <w:rsid w:val="00742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01/en" TargetMode="External"/><Relationship Id="rId13" Type="http://schemas.openxmlformats.org/officeDocument/2006/relationships/hyperlink" Target="http://council.itu.int/2023-additional/wp-content/uploads/sites/3/2023/10/China-Statement-e.docx" TargetMode="External"/><Relationship Id="rId18" Type="http://schemas.openxmlformats.org/officeDocument/2006/relationships/hyperlink" Target="https://www.itu.int/md/S23-C23ADD-231019-TD-0001/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uncil.itu.int/2023-additional/wp-content/uploads/sites/3/2023/11/Palestine-statement-e.pdf" TargetMode="External"/><Relationship Id="rId17" Type="http://schemas.openxmlformats.org/officeDocument/2006/relationships/hyperlink" Target="https://www.itu.int/md/S23-C23ADD-C-0001/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uncil.itu.int/2023-additional/wp-content/uploads/sites/3/2023/10/Turkiye-statement-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uncil.itu.int/2023-additional/wp-content/uploads/sites/3/2023/11/Israel-Statement-e.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council.itu.int/2023-additional/wp-content/uploads/sites/3/2023/10/USA-Statement-e.docx" TargetMode="External"/><Relationship Id="rId23" Type="http://schemas.openxmlformats.org/officeDocument/2006/relationships/header" Target="header2.xml"/><Relationship Id="rId10" Type="http://schemas.openxmlformats.org/officeDocument/2006/relationships/hyperlink" Target="https://www.itu.int/md/S23-C23ADD-C-0004/en" TargetMode="External"/><Relationship Id="rId19" Type="http://schemas.openxmlformats.org/officeDocument/2006/relationships/hyperlink" Target="https://www.itu.int/md/S23-C23ADD-C-0004/en" TargetMode="External"/><Relationship Id="rId4" Type="http://schemas.openxmlformats.org/officeDocument/2006/relationships/settings" Target="settings.xml"/><Relationship Id="rId9" Type="http://schemas.openxmlformats.org/officeDocument/2006/relationships/hyperlink" Target="https://www.itu.int/md/S23-C23ADD-231019-TD-0001/en" TargetMode="External"/><Relationship Id="rId14" Type="http://schemas.openxmlformats.org/officeDocument/2006/relationships/hyperlink" Target="http://council.itu.int/2023-additional/wp-content/uploads/sites/3/2023/10/Spain-on-behalf-of-EU-e.docx"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067AD-8442-41A7-AD3E-1B5996CB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1651</Words>
  <Characters>10678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Compte rendu de la séance plénière inaugurale</vt:lpstr>
    </vt:vector>
  </TitlesOfParts>
  <Manager>Secrétariat général - Pool</Manager>
  <Company>Union internationale des télécommunications (UIT)</Company>
  <LinksUpToDate>false</LinksUpToDate>
  <CharactersWithSpaces>12305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séance plénière inaugurale</dc:title>
  <dc:subject>Conseil 2023</dc:subject>
  <dc:creator>Xue, Kun</dc:creator>
  <cp:keywords>C2023, C23, Council-23</cp:keywords>
  <dc:description/>
  <cp:lastModifiedBy>Brouard, Ricarda</cp:lastModifiedBy>
  <cp:revision>3</cp:revision>
  <cp:lastPrinted>2000-07-18T08:55:00Z</cp:lastPrinted>
  <dcterms:created xsi:type="dcterms:W3CDTF">2023-12-18T15:31:00Z</dcterms:created>
  <dcterms:modified xsi:type="dcterms:W3CDTF">2023-12-18T15:32:00Z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