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page" w:tblpX="1821" w:tblpY="2317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AD3606" w:rsidRPr="009E2D42" w14:paraId="1591300A" w14:textId="77777777" w:rsidTr="00AD3606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4F2DE73B" w14:textId="605FB8E3" w:rsidR="00AD3606" w:rsidRPr="009E2D42" w:rsidRDefault="00AD3606" w:rsidP="00472BAD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bookmarkStart w:id="0" w:name="dmeeting" w:colFirst="0" w:colLast="0"/>
            <w:bookmarkStart w:id="1" w:name="dnum" w:colFirst="1" w:colLast="1"/>
            <w:r w:rsidRPr="009E2D42">
              <w:rPr>
                <w:b/>
              </w:rPr>
              <w:t xml:space="preserve">Agenda item: </w:t>
            </w:r>
            <w:r w:rsidR="00A12551" w:rsidRPr="009E2D42">
              <w:rPr>
                <w:b/>
              </w:rPr>
              <w:t>ADM 1</w:t>
            </w:r>
          </w:p>
        </w:tc>
        <w:tc>
          <w:tcPr>
            <w:tcW w:w="5245" w:type="dxa"/>
          </w:tcPr>
          <w:p w14:paraId="2F0CB53A" w14:textId="745ED2B8" w:rsidR="00AD3606" w:rsidRPr="009E2D42" w:rsidRDefault="00AD3606" w:rsidP="00472BAD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 w:rsidRPr="009E2D42">
              <w:rPr>
                <w:b/>
              </w:rPr>
              <w:t>Document C23/</w:t>
            </w:r>
            <w:r w:rsidR="008531B3" w:rsidRPr="009E2D42">
              <w:rPr>
                <w:b/>
              </w:rPr>
              <w:t>9</w:t>
            </w:r>
            <w:r w:rsidRPr="009E2D42">
              <w:rPr>
                <w:b/>
              </w:rPr>
              <w:t>-E</w:t>
            </w:r>
          </w:p>
        </w:tc>
      </w:tr>
      <w:tr w:rsidR="00AD3606" w:rsidRPr="009E2D42" w14:paraId="777833CB" w14:textId="77777777" w:rsidTr="00AD3606">
        <w:trPr>
          <w:cantSplit/>
        </w:trPr>
        <w:tc>
          <w:tcPr>
            <w:tcW w:w="3969" w:type="dxa"/>
            <w:vMerge/>
          </w:tcPr>
          <w:p w14:paraId="7DECAB6C" w14:textId="77777777" w:rsidR="00AD3606" w:rsidRPr="009E2D42" w:rsidRDefault="00AD3606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2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7B794C7C" w14:textId="5EF87FCD" w:rsidR="00AD3606" w:rsidRPr="009E2D42" w:rsidRDefault="00A12551" w:rsidP="00AD3606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 w:rsidRPr="009E2D42">
              <w:rPr>
                <w:b/>
              </w:rPr>
              <w:t>1</w:t>
            </w:r>
            <w:r w:rsidR="002306EA">
              <w:rPr>
                <w:b/>
              </w:rPr>
              <w:t>6</w:t>
            </w:r>
            <w:r w:rsidRPr="009E2D42">
              <w:rPr>
                <w:b/>
              </w:rPr>
              <w:t xml:space="preserve"> May 2023</w:t>
            </w:r>
          </w:p>
        </w:tc>
      </w:tr>
      <w:tr w:rsidR="00AD3606" w:rsidRPr="009E2D42" w14:paraId="082C2282" w14:textId="77777777" w:rsidTr="00AD3606">
        <w:trPr>
          <w:cantSplit/>
          <w:trHeight w:val="23"/>
        </w:trPr>
        <w:tc>
          <w:tcPr>
            <w:tcW w:w="3969" w:type="dxa"/>
            <w:vMerge/>
          </w:tcPr>
          <w:p w14:paraId="5967F199" w14:textId="77777777" w:rsidR="00AD3606" w:rsidRPr="009E2D42" w:rsidRDefault="00AD3606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3" w:name="dorlang" w:colFirst="1" w:colLast="1"/>
            <w:bookmarkEnd w:id="2"/>
          </w:p>
        </w:tc>
        <w:tc>
          <w:tcPr>
            <w:tcW w:w="5245" w:type="dxa"/>
          </w:tcPr>
          <w:p w14:paraId="03AC685B" w14:textId="1D3CFD19" w:rsidR="00AD3606" w:rsidRPr="009E2D42" w:rsidRDefault="00AD3606" w:rsidP="00AD3606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 w:rsidRPr="009E2D42">
              <w:rPr>
                <w:b/>
              </w:rPr>
              <w:t>Original: English</w:t>
            </w:r>
          </w:p>
        </w:tc>
      </w:tr>
      <w:tr w:rsidR="00472BAD" w:rsidRPr="009E2D42" w14:paraId="3C9C7706" w14:textId="77777777" w:rsidTr="00AD3606">
        <w:trPr>
          <w:cantSplit/>
          <w:trHeight w:val="23"/>
        </w:trPr>
        <w:tc>
          <w:tcPr>
            <w:tcW w:w="3969" w:type="dxa"/>
          </w:tcPr>
          <w:p w14:paraId="20349897" w14:textId="77777777" w:rsidR="00472BAD" w:rsidRPr="009E2D42" w:rsidRDefault="00472BAD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1CCE97A6" w14:textId="77777777" w:rsidR="00472BAD" w:rsidRPr="009E2D42" w:rsidRDefault="00472BAD" w:rsidP="00AD3606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</w:p>
        </w:tc>
      </w:tr>
      <w:tr w:rsidR="00AD3606" w:rsidRPr="009E2D42" w14:paraId="5BEAAFE0" w14:textId="77777777" w:rsidTr="00AD3606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598EF21A" w14:textId="77777777" w:rsidR="00AD3606" w:rsidRPr="009E2D42" w:rsidRDefault="00AD3606" w:rsidP="00AD3606">
            <w:pPr>
              <w:pStyle w:val="Source"/>
              <w:framePr w:hSpace="0" w:wrap="auto" w:vAnchor="margin" w:hAnchor="text" w:yAlign="inline"/>
            </w:pPr>
            <w:bookmarkStart w:id="4" w:name="dsource" w:colFirst="0" w:colLast="0"/>
            <w:bookmarkEnd w:id="3"/>
            <w:r w:rsidRPr="009E2D42">
              <w:t>Report by the Secretary-General</w:t>
            </w:r>
          </w:p>
        </w:tc>
      </w:tr>
      <w:tr w:rsidR="00AD3606" w:rsidRPr="009E2D42" w14:paraId="62B9C291" w14:textId="77777777" w:rsidTr="00AD3606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556A1BCF" w14:textId="223E5881" w:rsidR="00AD3606" w:rsidRPr="009E2D42" w:rsidRDefault="00A12551" w:rsidP="00DF0189">
            <w:pPr>
              <w:pStyle w:val="Subtitle"/>
              <w:framePr w:hSpace="0" w:wrap="auto" w:hAnchor="text" w:xAlign="left" w:yAlign="inline"/>
            </w:pPr>
            <w:bookmarkStart w:id="5" w:name="dtitle1" w:colFirst="0" w:colLast="0"/>
            <w:bookmarkEnd w:id="4"/>
            <w:r w:rsidRPr="009E2D42">
              <w:t xml:space="preserve">ANNUAL REVIEW OF REVENUE AND EXPENSES </w:t>
            </w:r>
            <w:r w:rsidRPr="009E2D42">
              <w:br/>
              <w:t>OF THE IMPLEMENTATION OF THE 2023 BUDGET</w:t>
            </w:r>
          </w:p>
        </w:tc>
      </w:tr>
      <w:tr w:rsidR="00AD3606" w:rsidRPr="009E2D42" w14:paraId="59287389" w14:textId="77777777" w:rsidTr="00AD3606">
        <w:trPr>
          <w:cantSplit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0B6A23DF" w14:textId="48AF9D16" w:rsidR="00AD3606" w:rsidRPr="009E2D42" w:rsidRDefault="00F16BAB" w:rsidP="00F16BAB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9E2D42">
              <w:rPr>
                <w:b/>
                <w:bCs/>
                <w:sz w:val="26"/>
                <w:szCs w:val="26"/>
              </w:rPr>
              <w:t>Purpose</w:t>
            </w:r>
          </w:p>
          <w:p w14:paraId="558765CD" w14:textId="4392631F" w:rsidR="00197584" w:rsidRPr="009E2D42" w:rsidRDefault="00197584" w:rsidP="00F16BAB">
            <w:pPr>
              <w:spacing w:before="160"/>
            </w:pPr>
            <w:r w:rsidRPr="009E2D42">
              <w:t>This document presents the key elements of 202</w:t>
            </w:r>
            <w:r w:rsidR="000714B7" w:rsidRPr="009E2D42">
              <w:t>3</w:t>
            </w:r>
            <w:r w:rsidRPr="009E2D42">
              <w:t xml:space="preserve"> </w:t>
            </w:r>
            <w:r w:rsidR="003E350E" w:rsidRPr="009E2D42">
              <w:t>b</w:t>
            </w:r>
            <w:r w:rsidRPr="009E2D42">
              <w:t>udget implementation, pursuant to No</w:t>
            </w:r>
            <w:r w:rsidR="009E2D42" w:rsidRPr="009E2D42">
              <w:t>. </w:t>
            </w:r>
            <w:r w:rsidRPr="009E2D42">
              <w:t xml:space="preserve">73 of the ITU Convention, which stipulates that an annual review of revenue and expenses shall be carried out by the </w:t>
            </w:r>
            <w:r w:rsidR="009E2D42" w:rsidRPr="009E2D42">
              <w:t xml:space="preserve">ITU </w:t>
            </w:r>
            <w:r w:rsidRPr="009E2D42">
              <w:t>Council.</w:t>
            </w:r>
          </w:p>
          <w:p w14:paraId="45B1495A" w14:textId="13CA5E11" w:rsidR="00AD3606" w:rsidRPr="009E2D42" w:rsidRDefault="00AD3606" w:rsidP="00F16BAB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9E2D42">
              <w:rPr>
                <w:b/>
                <w:bCs/>
                <w:sz w:val="26"/>
                <w:szCs w:val="26"/>
              </w:rPr>
              <w:t>Action required</w:t>
            </w:r>
            <w:r w:rsidR="00F16BAB" w:rsidRPr="009E2D42">
              <w:rPr>
                <w:b/>
                <w:bCs/>
                <w:sz w:val="26"/>
                <w:szCs w:val="26"/>
              </w:rPr>
              <w:t xml:space="preserve"> by the </w:t>
            </w:r>
            <w:proofErr w:type="gramStart"/>
            <w:r w:rsidR="00F16BAB" w:rsidRPr="009E2D42">
              <w:rPr>
                <w:b/>
                <w:bCs/>
                <w:sz w:val="26"/>
                <w:szCs w:val="26"/>
              </w:rPr>
              <w:t>Council</w:t>
            </w:r>
            <w:proofErr w:type="gramEnd"/>
          </w:p>
          <w:p w14:paraId="3D57EDF8" w14:textId="1A6786FD" w:rsidR="00AD3606" w:rsidRPr="009E2D42" w:rsidRDefault="00197584" w:rsidP="00AD3606">
            <w:r w:rsidRPr="009E2D42">
              <w:t xml:space="preserve">The Council is invited </w:t>
            </w:r>
            <w:r w:rsidRPr="009E2D42">
              <w:rPr>
                <w:b/>
                <w:bCs/>
              </w:rPr>
              <w:t xml:space="preserve">to </w:t>
            </w:r>
            <w:r w:rsidR="00941694" w:rsidRPr="009E2D42">
              <w:rPr>
                <w:b/>
                <w:bCs/>
              </w:rPr>
              <w:t>note</w:t>
            </w:r>
            <w:r w:rsidRPr="009E2D42">
              <w:t xml:space="preserve"> this document.</w:t>
            </w:r>
          </w:p>
          <w:p w14:paraId="71511FA1" w14:textId="1F544385" w:rsidR="00F16BAB" w:rsidRPr="009E2D42" w:rsidRDefault="00F16BAB" w:rsidP="00F16BAB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9E2D42">
              <w:rPr>
                <w:b/>
                <w:bCs/>
                <w:sz w:val="26"/>
                <w:szCs w:val="26"/>
              </w:rPr>
              <w:t>Relevant link</w:t>
            </w:r>
            <w:r w:rsidR="00A54171" w:rsidRPr="009E2D42">
              <w:rPr>
                <w:b/>
                <w:bCs/>
                <w:sz w:val="26"/>
                <w:szCs w:val="26"/>
              </w:rPr>
              <w:t>(s)</w:t>
            </w:r>
            <w:r w:rsidRPr="009E2D42">
              <w:rPr>
                <w:b/>
                <w:bCs/>
                <w:sz w:val="26"/>
                <w:szCs w:val="26"/>
              </w:rPr>
              <w:t xml:space="preserve"> with the Strategic Plan</w:t>
            </w:r>
          </w:p>
          <w:p w14:paraId="503749D7" w14:textId="399D0BBC" w:rsidR="00F16BAB" w:rsidRPr="009E2D42" w:rsidRDefault="00002D75" w:rsidP="00F16BAB">
            <w:r w:rsidRPr="00002D75">
              <w:t>The budget of the Union provides funding for the overall strategic plan.</w:t>
            </w:r>
          </w:p>
          <w:p w14:paraId="74189BBD" w14:textId="5422BFB4" w:rsidR="00F16BAB" w:rsidRPr="009E2D42" w:rsidRDefault="00F16BAB" w:rsidP="00F16BAB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9E2D42">
              <w:rPr>
                <w:b/>
                <w:bCs/>
                <w:sz w:val="26"/>
                <w:szCs w:val="26"/>
              </w:rPr>
              <w:t>Financial implications</w:t>
            </w:r>
          </w:p>
          <w:p w14:paraId="7936A1FC" w14:textId="4D3CAC05" w:rsidR="008531B3" w:rsidRPr="009E2D42" w:rsidRDefault="000714B7" w:rsidP="00F16BAB">
            <w:pPr>
              <w:spacing w:before="160"/>
              <w:rPr>
                <w:szCs w:val="24"/>
              </w:rPr>
            </w:pPr>
            <w:r w:rsidRPr="009E2D42">
              <w:rPr>
                <w:szCs w:val="24"/>
              </w:rPr>
              <w:t>ITU management will take all necessary measure</w:t>
            </w:r>
            <w:r w:rsidR="009E2D42" w:rsidRPr="009E2D42">
              <w:rPr>
                <w:szCs w:val="24"/>
              </w:rPr>
              <w:t>s</w:t>
            </w:r>
            <w:r w:rsidRPr="009E2D42">
              <w:rPr>
                <w:szCs w:val="24"/>
              </w:rPr>
              <w:t xml:space="preserve"> to avoid any deficit in the implementation of the 2023 budget.</w:t>
            </w:r>
          </w:p>
          <w:p w14:paraId="0EBC340A" w14:textId="2EB1E1F8" w:rsidR="00AD3606" w:rsidRPr="009E2D42" w:rsidRDefault="00AD3606" w:rsidP="00F16BAB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9E2D42">
              <w:rPr>
                <w:b/>
                <w:bCs/>
                <w:sz w:val="26"/>
                <w:szCs w:val="26"/>
              </w:rPr>
              <w:t>References</w:t>
            </w:r>
          </w:p>
          <w:p w14:paraId="65250B1E" w14:textId="15C58694" w:rsidR="00AD3606" w:rsidRPr="009E2D42" w:rsidRDefault="00982D76" w:rsidP="00F16BAB">
            <w:pPr>
              <w:spacing w:after="160"/>
              <w:rPr>
                <w:i/>
                <w:iCs/>
              </w:rPr>
            </w:pPr>
            <w:hyperlink r:id="rId8" w:history="1">
              <w:r w:rsidR="00A12551" w:rsidRPr="009E2D42">
                <w:rPr>
                  <w:rStyle w:val="Hyperlink"/>
                  <w:i/>
                  <w:iCs/>
                </w:rPr>
                <w:t>Council Resolution 1405 (C21)</w:t>
              </w:r>
            </w:hyperlink>
          </w:p>
        </w:tc>
      </w:tr>
      <w:bookmarkEnd w:id="5"/>
    </w:tbl>
    <w:p w14:paraId="7FE52F59" w14:textId="77777777" w:rsidR="0090147A" w:rsidRPr="00634A26" w:rsidRDefault="0090147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b/>
        </w:rPr>
      </w:pPr>
      <w:r w:rsidRPr="00634A26">
        <w:br w:type="page"/>
      </w:r>
    </w:p>
    <w:p w14:paraId="61E5AA25" w14:textId="77777777" w:rsidR="00CE3353" w:rsidRPr="00634A26" w:rsidRDefault="00CE3353" w:rsidP="00CE3353">
      <w:pPr>
        <w:numPr>
          <w:ilvl w:val="0"/>
          <w:numId w:val="2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snapToGrid w:val="0"/>
        <w:spacing w:before="720" w:after="120"/>
        <w:ind w:left="709" w:hanging="709"/>
        <w:textAlignment w:val="auto"/>
        <w:rPr>
          <w:rFonts w:asciiTheme="minorHAnsi" w:hAnsiTheme="minorHAnsi" w:cstheme="minorHAnsi"/>
          <w:b/>
          <w:bCs/>
        </w:rPr>
      </w:pPr>
      <w:r w:rsidRPr="00634A26">
        <w:rPr>
          <w:rFonts w:asciiTheme="minorHAnsi" w:hAnsiTheme="minorHAnsi" w:cstheme="minorHAnsi"/>
          <w:b/>
          <w:bCs/>
        </w:rPr>
        <w:lastRenderedPageBreak/>
        <w:t>Introduction</w:t>
      </w:r>
    </w:p>
    <w:p w14:paraId="42BD3EA9" w14:textId="1B77062A" w:rsidR="00CE3353" w:rsidRPr="009E2D42" w:rsidRDefault="00CE3353" w:rsidP="00CE3353">
      <w:pPr>
        <w:snapToGrid w:val="0"/>
        <w:spacing w:before="240" w:after="120"/>
        <w:jc w:val="both"/>
        <w:rPr>
          <w:rFonts w:asciiTheme="minorHAnsi" w:hAnsiTheme="minorHAnsi" w:cstheme="minorHAnsi"/>
        </w:rPr>
      </w:pPr>
      <w:r w:rsidRPr="009E2D42">
        <w:rPr>
          <w:rFonts w:asciiTheme="minorHAnsi" w:hAnsiTheme="minorHAnsi" w:cstheme="minorHAnsi"/>
        </w:rPr>
        <w:t>1.1</w:t>
      </w:r>
      <w:r w:rsidRPr="009E2D42">
        <w:rPr>
          <w:rFonts w:asciiTheme="minorHAnsi" w:hAnsiTheme="minorHAnsi" w:cstheme="minorHAnsi"/>
        </w:rPr>
        <w:tab/>
        <w:t xml:space="preserve">The purpose of this document is to report on </w:t>
      </w:r>
      <w:r w:rsidR="009E2D42" w:rsidRPr="009E2D42">
        <w:rPr>
          <w:rFonts w:asciiTheme="minorHAnsi" w:hAnsiTheme="minorHAnsi" w:cstheme="minorHAnsi"/>
        </w:rPr>
        <w:t xml:space="preserve">revenue and expenses </w:t>
      </w:r>
      <w:r w:rsidRPr="009E2D42">
        <w:rPr>
          <w:rFonts w:asciiTheme="minorHAnsi" w:hAnsiTheme="minorHAnsi" w:cstheme="minorHAnsi"/>
        </w:rPr>
        <w:t xml:space="preserve">of the implementation of the second year of the 2022-2023 </w:t>
      </w:r>
      <w:r w:rsidR="004A76EB" w:rsidRPr="009E2D42">
        <w:rPr>
          <w:rFonts w:asciiTheme="minorHAnsi" w:hAnsiTheme="minorHAnsi" w:cstheme="minorHAnsi"/>
        </w:rPr>
        <w:t>b</w:t>
      </w:r>
      <w:r w:rsidRPr="009E2D42">
        <w:rPr>
          <w:rFonts w:asciiTheme="minorHAnsi" w:hAnsiTheme="minorHAnsi" w:cstheme="minorHAnsi"/>
        </w:rPr>
        <w:t>udget of the Union.</w:t>
      </w:r>
    </w:p>
    <w:p w14:paraId="71199E7A" w14:textId="485AFF84" w:rsidR="00CE3353" w:rsidRPr="009E2D42" w:rsidRDefault="00CE3353" w:rsidP="00CE3353">
      <w:pPr>
        <w:numPr>
          <w:ilvl w:val="0"/>
          <w:numId w:val="2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snapToGrid w:val="0"/>
        <w:spacing w:before="360" w:after="120"/>
        <w:ind w:left="709" w:hanging="709"/>
        <w:jc w:val="both"/>
        <w:textAlignment w:val="auto"/>
        <w:rPr>
          <w:rFonts w:asciiTheme="minorHAnsi" w:hAnsiTheme="minorHAnsi" w:cstheme="minorHAnsi"/>
          <w:b/>
          <w:bCs/>
        </w:rPr>
      </w:pPr>
      <w:r w:rsidRPr="009E2D42">
        <w:rPr>
          <w:rFonts w:asciiTheme="minorHAnsi" w:hAnsiTheme="minorHAnsi" w:cstheme="minorHAnsi"/>
          <w:b/>
          <w:bCs/>
        </w:rPr>
        <w:t xml:space="preserve">Budget of the Union for 2022-2023 </w:t>
      </w:r>
      <w:r w:rsidR="009E2D42" w:rsidRPr="009E2D42">
        <w:rPr>
          <w:rFonts w:asciiTheme="minorHAnsi" w:hAnsiTheme="minorHAnsi" w:cstheme="minorHAnsi"/>
          <w:b/>
          <w:bCs/>
        </w:rPr>
        <w:t xml:space="preserve">pursuant to </w:t>
      </w:r>
      <w:r w:rsidR="00A12551" w:rsidRPr="009E2D42">
        <w:rPr>
          <w:rFonts w:asciiTheme="minorHAnsi" w:hAnsiTheme="minorHAnsi" w:cstheme="minorHAnsi"/>
          <w:b/>
          <w:bCs/>
        </w:rPr>
        <w:t xml:space="preserve">Council </w:t>
      </w:r>
      <w:r w:rsidRPr="009E2D42">
        <w:rPr>
          <w:rFonts w:asciiTheme="minorHAnsi" w:hAnsiTheme="minorHAnsi" w:cstheme="minorHAnsi"/>
          <w:b/>
          <w:bCs/>
        </w:rPr>
        <w:t>Resolution 1405</w:t>
      </w:r>
      <w:r w:rsidR="00A12551" w:rsidRPr="009E2D42">
        <w:rPr>
          <w:rFonts w:asciiTheme="minorHAnsi" w:hAnsiTheme="minorHAnsi" w:cstheme="minorHAnsi"/>
          <w:b/>
          <w:bCs/>
        </w:rPr>
        <w:t xml:space="preserve"> (C21)</w:t>
      </w:r>
    </w:p>
    <w:p w14:paraId="7EE19A4A" w14:textId="2078ABE8" w:rsidR="00CE3353" w:rsidRPr="009E2D42" w:rsidRDefault="00CE3353" w:rsidP="00CE3353">
      <w:pPr>
        <w:numPr>
          <w:ilvl w:val="1"/>
          <w:numId w:val="2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snapToGrid w:val="0"/>
        <w:spacing w:before="240" w:after="120"/>
        <w:ind w:left="0" w:firstLine="0"/>
        <w:jc w:val="both"/>
        <w:textAlignment w:val="auto"/>
        <w:rPr>
          <w:rFonts w:asciiTheme="minorHAnsi" w:hAnsiTheme="minorHAnsi" w:cstheme="minorHAnsi"/>
        </w:rPr>
      </w:pPr>
      <w:r w:rsidRPr="009E2D42">
        <w:rPr>
          <w:rFonts w:asciiTheme="minorHAnsi" w:hAnsiTheme="minorHAnsi" w:cstheme="minorHAnsi"/>
        </w:rPr>
        <w:t xml:space="preserve">The 2022-2023 </w:t>
      </w:r>
      <w:r w:rsidR="00E30941" w:rsidRPr="009E2D42">
        <w:rPr>
          <w:rFonts w:asciiTheme="minorHAnsi" w:hAnsiTheme="minorHAnsi" w:cstheme="minorHAnsi"/>
        </w:rPr>
        <w:t>b</w:t>
      </w:r>
      <w:r w:rsidRPr="009E2D42">
        <w:rPr>
          <w:rFonts w:asciiTheme="minorHAnsi" w:hAnsiTheme="minorHAnsi" w:cstheme="minorHAnsi"/>
        </w:rPr>
        <w:t xml:space="preserve">udget of the Union was adopted </w:t>
      </w:r>
      <w:r w:rsidR="009E2D42" w:rsidRPr="009E2D42">
        <w:rPr>
          <w:rFonts w:asciiTheme="minorHAnsi" w:hAnsiTheme="minorHAnsi" w:cstheme="minorHAnsi"/>
        </w:rPr>
        <w:t xml:space="preserve">in Resolution 1405 </w:t>
      </w:r>
      <w:r w:rsidRPr="009E2D42">
        <w:rPr>
          <w:rFonts w:asciiTheme="minorHAnsi" w:hAnsiTheme="minorHAnsi" w:cstheme="minorHAnsi"/>
        </w:rPr>
        <w:t xml:space="preserve">by the </w:t>
      </w:r>
      <w:r w:rsidR="009E2D42" w:rsidRPr="009E2D42">
        <w:rPr>
          <w:rFonts w:asciiTheme="minorHAnsi" w:hAnsiTheme="minorHAnsi" w:cstheme="minorHAnsi"/>
        </w:rPr>
        <w:t>v</w:t>
      </w:r>
      <w:r w:rsidRPr="009E2D42">
        <w:rPr>
          <w:rFonts w:asciiTheme="minorHAnsi" w:hAnsiTheme="minorHAnsi" w:cstheme="minorHAnsi"/>
        </w:rPr>
        <w:t xml:space="preserve">irtual </w:t>
      </w:r>
      <w:r w:rsidR="009E2D42" w:rsidRPr="009E2D42">
        <w:rPr>
          <w:rFonts w:asciiTheme="minorHAnsi" w:hAnsiTheme="minorHAnsi" w:cstheme="minorHAnsi"/>
        </w:rPr>
        <w:t xml:space="preserve">consultation of Councillors during the 2021 </w:t>
      </w:r>
      <w:r w:rsidRPr="009E2D42">
        <w:rPr>
          <w:rFonts w:asciiTheme="minorHAnsi" w:hAnsiTheme="minorHAnsi" w:cstheme="minorHAnsi"/>
        </w:rPr>
        <w:t xml:space="preserve">session of the </w:t>
      </w:r>
      <w:r w:rsidR="009E2D42" w:rsidRPr="009E2D42">
        <w:rPr>
          <w:rFonts w:asciiTheme="minorHAnsi" w:hAnsiTheme="minorHAnsi" w:cstheme="minorHAnsi"/>
        </w:rPr>
        <w:t xml:space="preserve">ITU </w:t>
      </w:r>
      <w:r w:rsidRPr="009E2D42">
        <w:rPr>
          <w:rFonts w:asciiTheme="minorHAnsi" w:hAnsiTheme="minorHAnsi" w:cstheme="minorHAnsi"/>
        </w:rPr>
        <w:t>Council. The updated biennial budget amounts to KCHF 163,</w:t>
      </w:r>
      <w:r w:rsidR="00281D4B" w:rsidRPr="009E2D42">
        <w:rPr>
          <w:rFonts w:asciiTheme="minorHAnsi" w:hAnsiTheme="minorHAnsi" w:cstheme="minorHAnsi"/>
        </w:rPr>
        <w:t>861</w:t>
      </w:r>
      <w:r w:rsidRPr="009E2D42">
        <w:rPr>
          <w:rFonts w:asciiTheme="minorHAnsi" w:hAnsiTheme="minorHAnsi" w:cstheme="minorHAnsi"/>
        </w:rPr>
        <w:t xml:space="preserve"> for 2023. </w:t>
      </w:r>
      <w:r w:rsidR="009E2D42" w:rsidRPr="009E2D42">
        <w:rPr>
          <w:rFonts w:asciiTheme="minorHAnsi" w:hAnsiTheme="minorHAnsi" w:cstheme="minorHAnsi"/>
        </w:rPr>
        <w:t>This</w:t>
      </w:r>
      <w:r w:rsidRPr="009E2D42">
        <w:rPr>
          <w:rFonts w:asciiTheme="minorHAnsi" w:hAnsiTheme="minorHAnsi" w:cstheme="minorHAnsi"/>
        </w:rPr>
        <w:t xml:space="preserve"> is based on an annual contributory unit amount of CHF 318,000 for Member States, </w:t>
      </w:r>
      <w:r w:rsidR="009E2D42" w:rsidRPr="009E2D42">
        <w:rPr>
          <w:rFonts w:asciiTheme="minorHAnsi" w:hAnsiTheme="minorHAnsi" w:cstheme="minorHAnsi"/>
        </w:rPr>
        <w:t>which represents</w:t>
      </w:r>
      <w:r w:rsidRPr="009E2D42">
        <w:rPr>
          <w:rFonts w:asciiTheme="minorHAnsi" w:hAnsiTheme="minorHAnsi" w:cstheme="minorHAnsi"/>
        </w:rPr>
        <w:t xml:space="preserve"> zero nominal growth since 2006. The </w:t>
      </w:r>
      <w:r w:rsidR="00E64FDC" w:rsidRPr="009E2D42">
        <w:rPr>
          <w:rFonts w:asciiTheme="minorHAnsi" w:hAnsiTheme="minorHAnsi" w:cstheme="minorHAnsi"/>
        </w:rPr>
        <w:t>b</w:t>
      </w:r>
      <w:r w:rsidRPr="009E2D42">
        <w:rPr>
          <w:rFonts w:asciiTheme="minorHAnsi" w:hAnsiTheme="minorHAnsi" w:cstheme="minorHAnsi"/>
        </w:rPr>
        <w:t xml:space="preserve">udget of the Union is being implemented in conformity with Article 10 of the </w:t>
      </w:r>
      <w:r w:rsidR="009E2D42" w:rsidRPr="009E2D42">
        <w:rPr>
          <w:rFonts w:asciiTheme="minorHAnsi" w:hAnsiTheme="minorHAnsi" w:cstheme="minorHAnsi"/>
        </w:rPr>
        <w:t xml:space="preserve">ITU </w:t>
      </w:r>
      <w:r w:rsidRPr="009E2D42">
        <w:rPr>
          <w:rFonts w:asciiTheme="minorHAnsi" w:hAnsiTheme="minorHAnsi" w:cstheme="minorHAnsi"/>
        </w:rPr>
        <w:t>Financial Regulations and Financial Rules.</w:t>
      </w:r>
    </w:p>
    <w:p w14:paraId="2FE8FF59" w14:textId="6A746F47" w:rsidR="00CE3353" w:rsidRPr="009E2D42" w:rsidRDefault="00CE3353" w:rsidP="00CE3353">
      <w:pPr>
        <w:numPr>
          <w:ilvl w:val="1"/>
          <w:numId w:val="2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snapToGrid w:val="0"/>
        <w:spacing w:before="240" w:after="120"/>
        <w:ind w:left="0" w:firstLine="0"/>
        <w:jc w:val="both"/>
        <w:textAlignment w:val="auto"/>
        <w:rPr>
          <w:rFonts w:asciiTheme="minorHAnsi" w:hAnsiTheme="minorHAnsi" w:cstheme="minorHAnsi"/>
        </w:rPr>
      </w:pPr>
      <w:r w:rsidRPr="009E2D42">
        <w:rPr>
          <w:rFonts w:asciiTheme="minorHAnsi" w:hAnsiTheme="minorHAnsi" w:cstheme="minorHAnsi"/>
        </w:rPr>
        <w:t xml:space="preserve">The </w:t>
      </w:r>
      <w:r w:rsidR="00281D4B" w:rsidRPr="009E2D42">
        <w:rPr>
          <w:rFonts w:asciiTheme="minorHAnsi" w:hAnsiTheme="minorHAnsi" w:cstheme="minorHAnsi"/>
        </w:rPr>
        <w:t xml:space="preserve">initial </w:t>
      </w:r>
      <w:r w:rsidRPr="009E2D42">
        <w:rPr>
          <w:rFonts w:asciiTheme="minorHAnsi" w:hAnsiTheme="minorHAnsi" w:cstheme="minorHAnsi"/>
        </w:rPr>
        <w:t>budget for 2023</w:t>
      </w:r>
      <w:r w:rsidR="009E2D42" w:rsidRPr="009E2D42">
        <w:rPr>
          <w:rFonts w:asciiTheme="minorHAnsi" w:hAnsiTheme="minorHAnsi" w:cstheme="minorHAnsi"/>
        </w:rPr>
        <w:t xml:space="preserve"> of</w:t>
      </w:r>
      <w:r w:rsidR="00281D4B" w:rsidRPr="009E2D42">
        <w:rPr>
          <w:rFonts w:asciiTheme="minorHAnsi" w:hAnsiTheme="minorHAnsi" w:cstheme="minorHAnsi"/>
        </w:rPr>
        <w:t xml:space="preserve"> KCHF 163,194</w:t>
      </w:r>
      <w:r w:rsidRPr="009E2D42">
        <w:rPr>
          <w:rFonts w:asciiTheme="minorHAnsi" w:hAnsiTheme="minorHAnsi" w:cstheme="minorHAnsi"/>
        </w:rPr>
        <w:t xml:space="preserve"> </w:t>
      </w:r>
      <w:r w:rsidR="009E2D42" w:rsidRPr="009E2D42">
        <w:rPr>
          <w:rFonts w:asciiTheme="minorHAnsi" w:hAnsiTheme="minorHAnsi" w:cstheme="minorHAnsi"/>
        </w:rPr>
        <w:t xml:space="preserve">was </w:t>
      </w:r>
      <w:r w:rsidRPr="009E2D42">
        <w:rPr>
          <w:rFonts w:asciiTheme="minorHAnsi" w:hAnsiTheme="minorHAnsi" w:cstheme="minorHAnsi"/>
        </w:rPr>
        <w:t>increased by KCHF</w:t>
      </w:r>
      <w:r w:rsidR="00A12551" w:rsidRPr="009E2D42">
        <w:rPr>
          <w:rFonts w:asciiTheme="minorHAnsi" w:hAnsiTheme="minorHAnsi" w:cstheme="minorHAnsi"/>
        </w:rPr>
        <w:t> </w:t>
      </w:r>
      <w:r w:rsidRPr="009E2D42">
        <w:rPr>
          <w:rFonts w:asciiTheme="minorHAnsi" w:hAnsiTheme="minorHAnsi" w:cstheme="minorHAnsi"/>
        </w:rPr>
        <w:t>6</w:t>
      </w:r>
      <w:r w:rsidR="009C50C4" w:rsidRPr="009E2D42">
        <w:rPr>
          <w:rFonts w:asciiTheme="minorHAnsi" w:hAnsiTheme="minorHAnsi" w:cstheme="minorHAnsi"/>
        </w:rPr>
        <w:t>6</w:t>
      </w:r>
      <w:r w:rsidRPr="009E2D42">
        <w:rPr>
          <w:rFonts w:asciiTheme="minorHAnsi" w:hAnsiTheme="minorHAnsi" w:cstheme="minorHAnsi"/>
        </w:rPr>
        <w:t>7 on account of the</w:t>
      </w:r>
      <w:r w:rsidR="00281D4B" w:rsidRPr="009E2D42">
        <w:rPr>
          <w:rFonts w:asciiTheme="minorHAnsi" w:hAnsiTheme="minorHAnsi" w:cstheme="minorHAnsi"/>
        </w:rPr>
        <w:t xml:space="preserve"> new area office </w:t>
      </w:r>
      <w:r w:rsidR="00E64FDC" w:rsidRPr="009E2D42">
        <w:rPr>
          <w:rFonts w:asciiTheme="minorHAnsi" w:hAnsiTheme="minorHAnsi" w:cstheme="minorHAnsi"/>
        </w:rPr>
        <w:t>in</w:t>
      </w:r>
      <w:r w:rsidR="00281D4B" w:rsidRPr="009E2D42">
        <w:rPr>
          <w:rFonts w:asciiTheme="minorHAnsi" w:hAnsiTheme="minorHAnsi" w:cstheme="minorHAnsi"/>
        </w:rPr>
        <w:t xml:space="preserve"> New Delhi</w:t>
      </w:r>
      <w:r w:rsidRPr="009E2D42">
        <w:rPr>
          <w:rFonts w:asciiTheme="minorHAnsi" w:hAnsiTheme="minorHAnsi" w:cstheme="minorHAnsi"/>
        </w:rPr>
        <w:t>. The updated budget for</w:t>
      </w:r>
      <w:r w:rsidR="009E2D42" w:rsidRPr="009E2D42">
        <w:rPr>
          <w:rFonts w:asciiTheme="minorHAnsi" w:hAnsiTheme="minorHAnsi" w:cstheme="minorHAnsi"/>
        </w:rPr>
        <w:t xml:space="preserve"> </w:t>
      </w:r>
      <w:r w:rsidRPr="009E2D42">
        <w:rPr>
          <w:rFonts w:asciiTheme="minorHAnsi" w:hAnsiTheme="minorHAnsi" w:cstheme="minorHAnsi"/>
        </w:rPr>
        <w:t>202</w:t>
      </w:r>
      <w:r w:rsidR="00AD424E" w:rsidRPr="009E2D42">
        <w:rPr>
          <w:rFonts w:asciiTheme="minorHAnsi" w:hAnsiTheme="minorHAnsi" w:cstheme="minorHAnsi"/>
        </w:rPr>
        <w:t>3</w:t>
      </w:r>
      <w:r w:rsidRPr="009E2D42">
        <w:rPr>
          <w:rFonts w:asciiTheme="minorHAnsi" w:hAnsiTheme="minorHAnsi" w:cstheme="minorHAnsi"/>
        </w:rPr>
        <w:t xml:space="preserve"> amounts to KCHF 163,</w:t>
      </w:r>
      <w:r w:rsidR="00281D4B" w:rsidRPr="009E2D42">
        <w:rPr>
          <w:rFonts w:asciiTheme="minorHAnsi" w:hAnsiTheme="minorHAnsi" w:cstheme="minorHAnsi"/>
        </w:rPr>
        <w:t>861</w:t>
      </w:r>
      <w:r w:rsidR="00A635BE" w:rsidRPr="009E2D42">
        <w:rPr>
          <w:rFonts w:asciiTheme="minorHAnsi" w:hAnsiTheme="minorHAnsi" w:cstheme="minorHAnsi"/>
        </w:rPr>
        <w:t>.</w:t>
      </w:r>
    </w:p>
    <w:p w14:paraId="1C74395D" w14:textId="7877FD24" w:rsidR="00281D4B" w:rsidRPr="00634A26" w:rsidRDefault="00CE3353" w:rsidP="00CE3353">
      <w:pPr>
        <w:numPr>
          <w:ilvl w:val="1"/>
          <w:numId w:val="2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napToGrid w:val="0"/>
        <w:spacing w:before="240" w:after="120"/>
        <w:ind w:left="0" w:firstLine="0"/>
        <w:jc w:val="both"/>
        <w:textAlignment w:val="auto"/>
        <w:rPr>
          <w:rFonts w:asciiTheme="minorHAnsi" w:hAnsiTheme="minorHAnsi" w:cstheme="minorHAnsi"/>
        </w:rPr>
      </w:pPr>
      <w:r w:rsidRPr="009E2D42">
        <w:rPr>
          <w:rFonts w:asciiTheme="minorHAnsi" w:hAnsiTheme="minorHAnsi" w:cstheme="minorHAnsi"/>
        </w:rPr>
        <w:t xml:space="preserve">Tables 1 and 2 </w:t>
      </w:r>
      <w:r w:rsidR="009E2D42" w:rsidRPr="00634A26">
        <w:rPr>
          <w:rFonts w:asciiTheme="minorHAnsi" w:hAnsiTheme="minorHAnsi" w:cstheme="minorHAnsi"/>
        </w:rPr>
        <w:t xml:space="preserve">show </w:t>
      </w:r>
      <w:r w:rsidRPr="00634A26">
        <w:rPr>
          <w:rFonts w:asciiTheme="minorHAnsi" w:hAnsiTheme="minorHAnsi" w:cstheme="minorHAnsi"/>
        </w:rPr>
        <w:t>the status of the 202</w:t>
      </w:r>
      <w:r w:rsidR="00281D4B" w:rsidRPr="00634A26">
        <w:rPr>
          <w:rFonts w:asciiTheme="minorHAnsi" w:hAnsiTheme="minorHAnsi" w:cstheme="minorHAnsi"/>
        </w:rPr>
        <w:t>3</w:t>
      </w:r>
      <w:r w:rsidRPr="00634A26">
        <w:rPr>
          <w:rFonts w:asciiTheme="minorHAnsi" w:hAnsiTheme="minorHAnsi" w:cstheme="minorHAnsi"/>
        </w:rPr>
        <w:t xml:space="preserve"> </w:t>
      </w:r>
      <w:r w:rsidR="00E64FDC" w:rsidRPr="00634A26">
        <w:rPr>
          <w:rFonts w:asciiTheme="minorHAnsi" w:hAnsiTheme="minorHAnsi" w:cstheme="minorHAnsi"/>
        </w:rPr>
        <w:t>b</w:t>
      </w:r>
      <w:r w:rsidRPr="00634A26">
        <w:rPr>
          <w:rFonts w:asciiTheme="minorHAnsi" w:hAnsiTheme="minorHAnsi" w:cstheme="minorHAnsi"/>
        </w:rPr>
        <w:t>udget</w:t>
      </w:r>
      <w:r w:rsidR="009E2D42" w:rsidRPr="00634A26">
        <w:rPr>
          <w:rFonts w:asciiTheme="minorHAnsi" w:hAnsiTheme="minorHAnsi" w:cstheme="minorHAnsi"/>
        </w:rPr>
        <w:t>, giving</w:t>
      </w:r>
      <w:r w:rsidRPr="00634A26">
        <w:rPr>
          <w:rFonts w:asciiTheme="minorHAnsi" w:hAnsiTheme="minorHAnsi" w:cstheme="minorHAnsi"/>
        </w:rPr>
        <w:t xml:space="preserve"> </w:t>
      </w:r>
      <w:r w:rsidR="00E5453F" w:rsidRPr="00634A26">
        <w:rPr>
          <w:rFonts w:asciiTheme="minorHAnsi" w:hAnsiTheme="minorHAnsi" w:cstheme="minorHAnsi"/>
        </w:rPr>
        <w:t>revenue and</w:t>
      </w:r>
      <w:r w:rsidRPr="00634A26">
        <w:rPr>
          <w:rFonts w:asciiTheme="minorHAnsi" w:hAnsiTheme="minorHAnsi" w:cstheme="minorHAnsi"/>
        </w:rPr>
        <w:t xml:space="preserve"> </w:t>
      </w:r>
      <w:r w:rsidR="00E5453F" w:rsidRPr="00634A26">
        <w:rPr>
          <w:rFonts w:asciiTheme="minorHAnsi" w:hAnsiTheme="minorHAnsi" w:cstheme="minorHAnsi"/>
        </w:rPr>
        <w:t>expenses</w:t>
      </w:r>
      <w:r w:rsidRPr="00634A26">
        <w:rPr>
          <w:rFonts w:asciiTheme="minorHAnsi" w:hAnsiTheme="minorHAnsi" w:cstheme="minorHAnsi"/>
        </w:rPr>
        <w:t xml:space="preserve"> a</w:t>
      </w:r>
      <w:r w:rsidR="00E5453F" w:rsidRPr="00634A26">
        <w:rPr>
          <w:rFonts w:asciiTheme="minorHAnsi" w:hAnsiTheme="minorHAnsi" w:cstheme="minorHAnsi"/>
        </w:rPr>
        <w:t>s</w:t>
      </w:r>
      <w:r w:rsidRPr="00634A26">
        <w:rPr>
          <w:rFonts w:asciiTheme="minorHAnsi" w:hAnsiTheme="minorHAnsi" w:cstheme="minorHAnsi"/>
        </w:rPr>
        <w:t xml:space="preserve"> </w:t>
      </w:r>
      <w:proofErr w:type="gramStart"/>
      <w:r w:rsidR="000F492A" w:rsidRPr="00634A26">
        <w:rPr>
          <w:rFonts w:asciiTheme="minorHAnsi" w:hAnsiTheme="minorHAnsi" w:cstheme="minorHAnsi"/>
        </w:rPr>
        <w:t>at</w:t>
      </w:r>
      <w:proofErr w:type="gramEnd"/>
      <w:r w:rsidRPr="00634A26">
        <w:rPr>
          <w:rFonts w:asciiTheme="minorHAnsi" w:hAnsiTheme="minorHAnsi" w:cstheme="minorHAnsi"/>
        </w:rPr>
        <w:t xml:space="preserve"> 31</w:t>
      </w:r>
      <w:r w:rsidR="00E64FDC" w:rsidRPr="00634A26">
        <w:rPr>
          <w:rFonts w:asciiTheme="minorHAnsi" w:hAnsiTheme="minorHAnsi" w:cstheme="minorHAnsi"/>
        </w:rPr>
        <w:t> </w:t>
      </w:r>
      <w:r w:rsidR="00281D4B" w:rsidRPr="00634A26">
        <w:rPr>
          <w:rFonts w:asciiTheme="minorHAnsi" w:hAnsiTheme="minorHAnsi" w:cstheme="minorHAnsi"/>
        </w:rPr>
        <w:t>March</w:t>
      </w:r>
      <w:r w:rsidRPr="00634A26">
        <w:rPr>
          <w:rFonts w:asciiTheme="minorHAnsi" w:hAnsiTheme="minorHAnsi" w:cstheme="minorHAnsi"/>
        </w:rPr>
        <w:t xml:space="preserve"> </w:t>
      </w:r>
      <w:r w:rsidR="00C94D5F" w:rsidRPr="00634A26">
        <w:rPr>
          <w:rFonts w:asciiTheme="minorHAnsi" w:hAnsiTheme="minorHAnsi" w:cstheme="minorHAnsi"/>
        </w:rPr>
        <w:t xml:space="preserve">2023 </w:t>
      </w:r>
      <w:r w:rsidR="00E5453F" w:rsidRPr="00634A26">
        <w:rPr>
          <w:rFonts w:asciiTheme="minorHAnsi" w:hAnsiTheme="minorHAnsi" w:cstheme="minorHAnsi"/>
        </w:rPr>
        <w:t>together with</w:t>
      </w:r>
      <w:r w:rsidRPr="00634A26">
        <w:rPr>
          <w:rFonts w:asciiTheme="minorHAnsi" w:hAnsiTheme="minorHAnsi" w:cstheme="minorHAnsi"/>
        </w:rPr>
        <w:t xml:space="preserve"> a forecast of revenue and expenses up to</w:t>
      </w:r>
      <w:r w:rsidR="00E64FDC" w:rsidRPr="00634A26">
        <w:rPr>
          <w:rFonts w:asciiTheme="minorHAnsi" w:hAnsiTheme="minorHAnsi" w:cstheme="minorHAnsi"/>
        </w:rPr>
        <w:t xml:space="preserve"> </w:t>
      </w:r>
      <w:r w:rsidRPr="00634A26">
        <w:rPr>
          <w:rFonts w:asciiTheme="minorHAnsi" w:hAnsiTheme="minorHAnsi" w:cstheme="minorHAnsi"/>
        </w:rPr>
        <w:t>31</w:t>
      </w:r>
      <w:r w:rsidR="00E64FDC" w:rsidRPr="00634A26">
        <w:rPr>
          <w:rFonts w:asciiTheme="minorHAnsi" w:hAnsiTheme="minorHAnsi" w:cstheme="minorHAnsi"/>
        </w:rPr>
        <w:t> </w:t>
      </w:r>
      <w:r w:rsidRPr="00634A26">
        <w:rPr>
          <w:rFonts w:asciiTheme="minorHAnsi" w:hAnsiTheme="minorHAnsi" w:cstheme="minorHAnsi"/>
        </w:rPr>
        <w:t>December 202</w:t>
      </w:r>
      <w:r w:rsidR="00281D4B" w:rsidRPr="00634A26">
        <w:rPr>
          <w:rFonts w:asciiTheme="minorHAnsi" w:hAnsiTheme="minorHAnsi" w:cstheme="minorHAnsi"/>
        </w:rPr>
        <w:t>3</w:t>
      </w:r>
      <w:r w:rsidRPr="00634A26">
        <w:rPr>
          <w:rFonts w:asciiTheme="minorHAnsi" w:hAnsiTheme="minorHAnsi" w:cstheme="minorHAnsi"/>
        </w:rPr>
        <w:t>.</w:t>
      </w:r>
    </w:p>
    <w:p w14:paraId="1898B38E" w14:textId="219AEA24" w:rsidR="00CE3353" w:rsidRPr="00634A26" w:rsidRDefault="00CE3353" w:rsidP="00CE3353">
      <w:pPr>
        <w:numPr>
          <w:ilvl w:val="1"/>
          <w:numId w:val="2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napToGrid w:val="0"/>
        <w:spacing w:before="240" w:after="120"/>
        <w:ind w:left="0" w:firstLine="0"/>
        <w:jc w:val="both"/>
        <w:textAlignment w:val="auto"/>
        <w:rPr>
          <w:rFonts w:asciiTheme="minorHAnsi" w:hAnsiTheme="minorHAnsi" w:cstheme="minorHAnsi"/>
        </w:rPr>
      </w:pPr>
      <w:r w:rsidRPr="00634A26">
        <w:rPr>
          <w:rFonts w:asciiTheme="minorHAnsi" w:hAnsiTheme="minorHAnsi" w:cstheme="minorHAnsi"/>
        </w:rPr>
        <w:t>The preliminary forecast for 202</w:t>
      </w:r>
      <w:r w:rsidR="00281D4B" w:rsidRPr="00634A26">
        <w:rPr>
          <w:rFonts w:asciiTheme="minorHAnsi" w:hAnsiTheme="minorHAnsi" w:cstheme="minorHAnsi"/>
        </w:rPr>
        <w:t>3</w:t>
      </w:r>
      <w:r w:rsidRPr="00634A26">
        <w:rPr>
          <w:rFonts w:asciiTheme="minorHAnsi" w:hAnsiTheme="minorHAnsi" w:cstheme="minorHAnsi"/>
        </w:rPr>
        <w:t xml:space="preserve"> shows </w:t>
      </w:r>
      <w:r w:rsidR="00E5453F" w:rsidRPr="00634A26">
        <w:rPr>
          <w:rFonts w:asciiTheme="minorHAnsi" w:hAnsiTheme="minorHAnsi" w:cstheme="minorHAnsi"/>
        </w:rPr>
        <w:t>a</w:t>
      </w:r>
      <w:r w:rsidRPr="00634A26">
        <w:rPr>
          <w:rFonts w:asciiTheme="minorHAnsi" w:hAnsiTheme="minorHAnsi" w:cstheme="minorHAnsi"/>
        </w:rPr>
        <w:t xml:space="preserve"> </w:t>
      </w:r>
      <w:r w:rsidR="00E5453F" w:rsidRPr="00634A26">
        <w:rPr>
          <w:rFonts w:asciiTheme="minorHAnsi" w:hAnsiTheme="minorHAnsi" w:cstheme="minorHAnsi"/>
        </w:rPr>
        <w:t xml:space="preserve">limited </w:t>
      </w:r>
      <w:r w:rsidR="00281D4B" w:rsidRPr="00634A26">
        <w:rPr>
          <w:rFonts w:asciiTheme="minorHAnsi" w:hAnsiTheme="minorHAnsi" w:cstheme="minorHAnsi"/>
        </w:rPr>
        <w:t>anticipated deficit of KCHF</w:t>
      </w:r>
      <w:r w:rsidR="00E64FDC" w:rsidRPr="00634A26">
        <w:rPr>
          <w:rFonts w:asciiTheme="minorHAnsi" w:hAnsiTheme="minorHAnsi" w:cstheme="minorHAnsi"/>
        </w:rPr>
        <w:t> </w:t>
      </w:r>
      <w:r w:rsidR="008F6059" w:rsidRPr="00634A26">
        <w:rPr>
          <w:rFonts w:asciiTheme="minorHAnsi" w:hAnsiTheme="minorHAnsi" w:cstheme="minorHAnsi"/>
        </w:rPr>
        <w:t>2</w:t>
      </w:r>
      <w:r w:rsidR="00281D4B" w:rsidRPr="00634A26">
        <w:rPr>
          <w:rFonts w:asciiTheme="minorHAnsi" w:hAnsiTheme="minorHAnsi" w:cstheme="minorHAnsi"/>
        </w:rPr>
        <w:t>,</w:t>
      </w:r>
      <w:r w:rsidR="008F6059" w:rsidRPr="00634A26">
        <w:rPr>
          <w:rFonts w:asciiTheme="minorHAnsi" w:hAnsiTheme="minorHAnsi" w:cstheme="minorHAnsi"/>
        </w:rPr>
        <w:t>398</w:t>
      </w:r>
      <w:r w:rsidRPr="00634A26">
        <w:rPr>
          <w:rFonts w:asciiTheme="minorHAnsi" w:hAnsiTheme="minorHAnsi" w:cstheme="minorHAnsi"/>
        </w:rPr>
        <w:t>.</w:t>
      </w:r>
      <w:r w:rsidR="00281D4B" w:rsidRPr="00634A26">
        <w:rPr>
          <w:rFonts w:asciiTheme="minorHAnsi" w:hAnsiTheme="minorHAnsi" w:cstheme="minorHAnsi"/>
        </w:rPr>
        <w:t xml:space="preserve"> </w:t>
      </w:r>
      <w:r w:rsidR="00281D4B" w:rsidRPr="00775B78">
        <w:rPr>
          <w:rFonts w:asciiTheme="minorHAnsi" w:hAnsiTheme="minorHAnsi" w:cstheme="minorHAnsi"/>
        </w:rPr>
        <w:t xml:space="preserve">Several efficiency and </w:t>
      </w:r>
      <w:r w:rsidR="009E2D42" w:rsidRPr="00775B78">
        <w:rPr>
          <w:rFonts w:asciiTheme="minorHAnsi" w:hAnsiTheme="minorHAnsi" w:cstheme="minorHAnsi"/>
        </w:rPr>
        <w:t>cost-</w:t>
      </w:r>
      <w:r w:rsidR="00281D4B" w:rsidRPr="00775B78">
        <w:rPr>
          <w:rFonts w:asciiTheme="minorHAnsi" w:hAnsiTheme="minorHAnsi" w:cstheme="minorHAnsi"/>
        </w:rPr>
        <w:t xml:space="preserve">optimization measures </w:t>
      </w:r>
      <w:r w:rsidR="009F1FFF" w:rsidRPr="00775B78">
        <w:rPr>
          <w:rFonts w:asciiTheme="minorHAnsi" w:hAnsiTheme="minorHAnsi" w:cstheme="minorHAnsi"/>
        </w:rPr>
        <w:t xml:space="preserve">are under consideration </w:t>
      </w:r>
      <w:r w:rsidR="00E64FDC" w:rsidRPr="00775B78">
        <w:rPr>
          <w:rFonts w:asciiTheme="minorHAnsi" w:hAnsiTheme="minorHAnsi" w:cstheme="minorHAnsi"/>
        </w:rPr>
        <w:t>to assist in balancing the budget implementation</w:t>
      </w:r>
      <w:r w:rsidR="009E2D42" w:rsidRPr="00775B78">
        <w:rPr>
          <w:rFonts w:asciiTheme="minorHAnsi" w:hAnsiTheme="minorHAnsi" w:cstheme="minorHAnsi"/>
        </w:rPr>
        <w:t xml:space="preserve"> for 2023</w:t>
      </w:r>
      <w:r w:rsidR="00E64FDC" w:rsidRPr="00775B78">
        <w:rPr>
          <w:rFonts w:asciiTheme="minorHAnsi" w:hAnsiTheme="minorHAnsi" w:cstheme="minorHAnsi"/>
        </w:rPr>
        <w:t>.</w:t>
      </w:r>
    </w:p>
    <w:p w14:paraId="75B91475" w14:textId="7E6874D2" w:rsidR="00E5453F" w:rsidRPr="00634A26" w:rsidRDefault="00E5453F" w:rsidP="00E5453F">
      <w:pPr>
        <w:numPr>
          <w:ilvl w:val="1"/>
          <w:numId w:val="2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napToGrid w:val="0"/>
        <w:spacing w:before="240" w:after="120"/>
        <w:ind w:left="0" w:firstLine="0"/>
        <w:jc w:val="both"/>
        <w:textAlignment w:val="auto"/>
        <w:rPr>
          <w:rFonts w:asciiTheme="minorHAnsi" w:hAnsiTheme="minorHAnsi" w:cstheme="minorHAnsi"/>
          <w:b/>
          <w:bCs/>
        </w:rPr>
      </w:pPr>
      <w:r w:rsidRPr="00634A26">
        <w:rPr>
          <w:rFonts w:asciiTheme="minorHAnsi" w:hAnsiTheme="minorHAnsi" w:cstheme="minorHAnsi"/>
          <w:b/>
          <w:bCs/>
        </w:rPr>
        <w:t>Table 1</w:t>
      </w:r>
      <w:r w:rsidR="009E2D42" w:rsidRPr="00634A26">
        <w:rPr>
          <w:rFonts w:asciiTheme="minorHAnsi" w:hAnsiTheme="minorHAnsi" w:cstheme="minorHAnsi"/>
          <w:b/>
          <w:bCs/>
        </w:rPr>
        <w:t>.</w:t>
      </w:r>
      <w:r w:rsidRPr="00634A26">
        <w:rPr>
          <w:rFonts w:asciiTheme="minorHAnsi" w:hAnsiTheme="minorHAnsi" w:cstheme="minorHAnsi"/>
          <w:b/>
          <w:bCs/>
        </w:rPr>
        <w:t xml:space="preserve"> </w:t>
      </w:r>
      <w:r w:rsidR="004704D8" w:rsidRPr="00634A26">
        <w:rPr>
          <w:rFonts w:asciiTheme="minorHAnsi" w:hAnsiTheme="minorHAnsi" w:cstheme="minorHAnsi"/>
          <w:b/>
          <w:bCs/>
        </w:rPr>
        <w:t>Revenue</w:t>
      </w:r>
      <w:r w:rsidRPr="00634A26">
        <w:rPr>
          <w:rFonts w:asciiTheme="minorHAnsi" w:hAnsiTheme="minorHAnsi" w:cstheme="minorHAnsi"/>
          <w:b/>
          <w:bCs/>
        </w:rPr>
        <w:t xml:space="preserve"> </w:t>
      </w:r>
      <w:r w:rsidR="004704D8" w:rsidRPr="00634A26">
        <w:rPr>
          <w:rFonts w:asciiTheme="minorHAnsi" w:hAnsiTheme="minorHAnsi" w:cstheme="minorHAnsi"/>
          <w:b/>
          <w:bCs/>
        </w:rPr>
        <w:t>s</w:t>
      </w:r>
      <w:r w:rsidRPr="00634A26">
        <w:rPr>
          <w:rFonts w:asciiTheme="minorHAnsi" w:hAnsiTheme="minorHAnsi" w:cstheme="minorHAnsi"/>
          <w:b/>
          <w:bCs/>
        </w:rPr>
        <w:t xml:space="preserve">tatement as </w:t>
      </w:r>
      <w:proofErr w:type="gramStart"/>
      <w:r w:rsidRPr="00634A26">
        <w:rPr>
          <w:rFonts w:asciiTheme="minorHAnsi" w:hAnsiTheme="minorHAnsi" w:cstheme="minorHAnsi"/>
          <w:b/>
          <w:bCs/>
        </w:rPr>
        <w:t>at</w:t>
      </w:r>
      <w:proofErr w:type="gramEnd"/>
      <w:r w:rsidRPr="00634A26">
        <w:rPr>
          <w:rFonts w:asciiTheme="minorHAnsi" w:hAnsiTheme="minorHAnsi" w:cstheme="minorHAnsi"/>
          <w:b/>
          <w:bCs/>
        </w:rPr>
        <w:t xml:space="preserve"> 31 March 2023</w:t>
      </w:r>
      <w:r w:rsidR="009E2D42" w:rsidRPr="00634A26">
        <w:rPr>
          <w:rFonts w:asciiTheme="minorHAnsi" w:hAnsiTheme="minorHAnsi" w:cstheme="minorHAnsi"/>
          <w:b/>
          <w:bCs/>
        </w:rPr>
        <w:t xml:space="preserve"> in thousands of Swiss francs (kCHF)</w:t>
      </w:r>
    </w:p>
    <w:p w14:paraId="16BBE796" w14:textId="2F7D802C" w:rsidR="00E5453F" w:rsidRPr="00634A26" w:rsidRDefault="00E5453F" w:rsidP="000714B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napToGrid w:val="0"/>
        <w:spacing w:before="240" w:after="120"/>
        <w:jc w:val="center"/>
        <w:textAlignment w:val="auto"/>
        <w:rPr>
          <w:rFonts w:asciiTheme="minorHAnsi" w:hAnsiTheme="minorHAnsi" w:cstheme="minorHAnsi"/>
        </w:rPr>
      </w:pPr>
      <w:r w:rsidRPr="00634A26">
        <w:rPr>
          <w:rFonts w:asciiTheme="minorHAnsi" w:hAnsiTheme="minorHAnsi" w:cstheme="minorHAnsi"/>
          <w:noProof/>
        </w:rPr>
        <w:drawing>
          <wp:inline distT="0" distB="0" distL="0" distR="0" wp14:anchorId="7CAAF6C4" wp14:editId="50872750">
            <wp:extent cx="5760085" cy="2950845"/>
            <wp:effectExtent l="0" t="0" r="571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2950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F8A00C" w14:textId="77777777" w:rsidR="00E5453F" w:rsidRPr="00634A26" w:rsidRDefault="00E5453F" w:rsidP="00E5453F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napToGrid w:val="0"/>
        <w:spacing w:before="240" w:after="120"/>
        <w:jc w:val="both"/>
        <w:textAlignment w:val="auto"/>
        <w:rPr>
          <w:rFonts w:asciiTheme="minorHAnsi" w:hAnsiTheme="minorHAnsi" w:cstheme="minorHAnsi"/>
        </w:rPr>
      </w:pPr>
    </w:p>
    <w:p w14:paraId="78E800A6" w14:textId="56DBB123" w:rsidR="00E5453F" w:rsidRPr="00634A26" w:rsidRDefault="00E5453F" w:rsidP="00E5453F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napToGrid w:val="0"/>
        <w:spacing w:before="240" w:after="120"/>
        <w:jc w:val="both"/>
        <w:textAlignment w:val="auto"/>
        <w:rPr>
          <w:rFonts w:asciiTheme="minorHAnsi" w:hAnsiTheme="minorHAnsi" w:cstheme="minorHAnsi"/>
        </w:rPr>
      </w:pPr>
    </w:p>
    <w:p w14:paraId="45276B19" w14:textId="77777777" w:rsidR="009E2D42" w:rsidRPr="00634A26" w:rsidRDefault="009E2D42" w:rsidP="00E5453F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napToGrid w:val="0"/>
        <w:spacing w:before="240" w:after="120"/>
        <w:jc w:val="both"/>
        <w:textAlignment w:val="auto"/>
        <w:rPr>
          <w:rFonts w:asciiTheme="minorHAnsi" w:hAnsiTheme="minorHAnsi" w:cstheme="minorHAnsi"/>
        </w:rPr>
      </w:pPr>
    </w:p>
    <w:p w14:paraId="434C6B57" w14:textId="7EA4332C" w:rsidR="00E5453F" w:rsidRPr="00634A26" w:rsidRDefault="00E5453F" w:rsidP="00E5453F">
      <w:pPr>
        <w:numPr>
          <w:ilvl w:val="1"/>
          <w:numId w:val="2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napToGrid w:val="0"/>
        <w:spacing w:before="240" w:after="120"/>
        <w:ind w:left="0" w:firstLine="0"/>
        <w:jc w:val="both"/>
        <w:textAlignment w:val="auto"/>
        <w:rPr>
          <w:rFonts w:asciiTheme="minorHAnsi" w:hAnsiTheme="minorHAnsi" w:cstheme="minorHAnsi"/>
        </w:rPr>
      </w:pPr>
      <w:r w:rsidRPr="00634A26">
        <w:rPr>
          <w:rFonts w:asciiTheme="minorHAnsi" w:hAnsiTheme="minorHAnsi" w:cstheme="minorHAnsi"/>
          <w:b/>
          <w:bCs/>
        </w:rPr>
        <w:lastRenderedPageBreak/>
        <w:t xml:space="preserve">Table </w:t>
      </w:r>
      <w:r w:rsidR="00C94D5F" w:rsidRPr="00634A26">
        <w:rPr>
          <w:rFonts w:asciiTheme="minorHAnsi" w:hAnsiTheme="minorHAnsi" w:cstheme="minorHAnsi"/>
          <w:b/>
          <w:bCs/>
        </w:rPr>
        <w:t>2</w:t>
      </w:r>
      <w:r w:rsidR="009E2D42" w:rsidRPr="00634A26">
        <w:rPr>
          <w:rFonts w:asciiTheme="minorHAnsi" w:hAnsiTheme="minorHAnsi" w:cstheme="minorHAnsi"/>
          <w:b/>
          <w:bCs/>
        </w:rPr>
        <w:t xml:space="preserve">. </w:t>
      </w:r>
      <w:r w:rsidR="004704D8" w:rsidRPr="00634A26">
        <w:rPr>
          <w:rFonts w:asciiTheme="minorHAnsi" w:hAnsiTheme="minorHAnsi" w:cstheme="minorHAnsi"/>
          <w:b/>
          <w:bCs/>
        </w:rPr>
        <w:t>Expense</w:t>
      </w:r>
      <w:r w:rsidRPr="00634A26">
        <w:rPr>
          <w:rFonts w:asciiTheme="minorHAnsi" w:hAnsiTheme="minorHAnsi" w:cstheme="minorHAnsi"/>
          <w:b/>
          <w:bCs/>
        </w:rPr>
        <w:t xml:space="preserve"> </w:t>
      </w:r>
      <w:r w:rsidR="004704D8" w:rsidRPr="00634A26">
        <w:rPr>
          <w:rFonts w:asciiTheme="minorHAnsi" w:hAnsiTheme="minorHAnsi" w:cstheme="minorHAnsi"/>
          <w:b/>
          <w:bCs/>
        </w:rPr>
        <w:t>s</w:t>
      </w:r>
      <w:r w:rsidRPr="00634A26">
        <w:rPr>
          <w:rFonts w:asciiTheme="minorHAnsi" w:hAnsiTheme="minorHAnsi" w:cstheme="minorHAnsi"/>
          <w:b/>
          <w:bCs/>
        </w:rPr>
        <w:t xml:space="preserve">tatement as </w:t>
      </w:r>
      <w:proofErr w:type="gramStart"/>
      <w:r w:rsidR="00674655" w:rsidRPr="00634A26">
        <w:rPr>
          <w:rFonts w:asciiTheme="minorHAnsi" w:hAnsiTheme="minorHAnsi" w:cstheme="minorHAnsi"/>
          <w:b/>
          <w:bCs/>
        </w:rPr>
        <w:t>at</w:t>
      </w:r>
      <w:proofErr w:type="gramEnd"/>
      <w:r w:rsidRPr="00634A26">
        <w:rPr>
          <w:rFonts w:asciiTheme="minorHAnsi" w:hAnsiTheme="minorHAnsi" w:cstheme="minorHAnsi"/>
          <w:b/>
          <w:bCs/>
        </w:rPr>
        <w:t xml:space="preserve"> 31 March 2023</w:t>
      </w:r>
      <w:r w:rsidR="009E2D42" w:rsidRPr="00634A26">
        <w:rPr>
          <w:rFonts w:asciiTheme="minorHAnsi" w:hAnsiTheme="minorHAnsi" w:cstheme="minorHAnsi"/>
          <w:b/>
          <w:bCs/>
        </w:rPr>
        <w:t xml:space="preserve"> in kCHF</w:t>
      </w:r>
    </w:p>
    <w:p w14:paraId="60CF1140" w14:textId="441812F1" w:rsidR="00E5453F" w:rsidRPr="00634A26" w:rsidRDefault="008F6059" w:rsidP="000714B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napToGrid w:val="0"/>
        <w:spacing w:before="240" w:after="120"/>
        <w:jc w:val="center"/>
        <w:textAlignment w:val="auto"/>
        <w:rPr>
          <w:rFonts w:asciiTheme="minorHAnsi" w:hAnsiTheme="minorHAnsi" w:cstheme="minorHAnsi"/>
        </w:rPr>
      </w:pPr>
      <w:r w:rsidRPr="00634A26">
        <w:rPr>
          <w:rFonts w:asciiTheme="minorHAnsi" w:hAnsiTheme="minorHAnsi" w:cstheme="minorHAnsi"/>
          <w:noProof/>
        </w:rPr>
        <w:drawing>
          <wp:inline distT="0" distB="0" distL="0" distR="0" wp14:anchorId="6A9B764C" wp14:editId="23DBAABB">
            <wp:extent cx="5760085" cy="2240915"/>
            <wp:effectExtent l="0" t="0" r="5715" b="0"/>
            <wp:docPr id="140857406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8574063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2240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839142" w14:textId="77777777" w:rsidR="004704D8" w:rsidRPr="00634A26" w:rsidRDefault="004704D8" w:rsidP="00C00636">
      <w:pPr>
        <w:pStyle w:val="Header"/>
        <w:snapToGrid w:val="0"/>
        <w:jc w:val="left"/>
        <w:rPr>
          <w:rFonts w:asciiTheme="minorHAnsi" w:hAnsiTheme="minorHAnsi" w:cstheme="minorHAnsi"/>
          <w:b/>
          <w:bCs/>
          <w:sz w:val="24"/>
          <w:szCs w:val="24"/>
        </w:rPr>
      </w:pPr>
    </w:p>
    <w:p w14:paraId="3A03439C" w14:textId="72CD42AB" w:rsidR="004704D8" w:rsidRPr="00634A26" w:rsidRDefault="004704D8" w:rsidP="00C00636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napToGrid w:val="0"/>
        <w:spacing w:after="120"/>
        <w:jc w:val="both"/>
        <w:textAlignment w:val="auto"/>
        <w:rPr>
          <w:rFonts w:asciiTheme="minorHAnsi" w:hAnsiTheme="minorHAnsi" w:cstheme="minorHAnsi"/>
          <w:b/>
          <w:bCs/>
        </w:rPr>
      </w:pPr>
      <w:r w:rsidRPr="00634A26">
        <w:rPr>
          <w:rFonts w:asciiTheme="minorHAnsi" w:hAnsiTheme="minorHAnsi" w:cstheme="minorHAnsi"/>
          <w:b/>
          <w:bCs/>
        </w:rPr>
        <w:t>3</w:t>
      </w:r>
      <w:r w:rsidRPr="00634A26">
        <w:rPr>
          <w:rFonts w:asciiTheme="minorHAnsi" w:hAnsiTheme="minorHAnsi" w:cstheme="minorHAnsi"/>
          <w:b/>
          <w:bCs/>
        </w:rPr>
        <w:tab/>
        <w:t>Revenue</w:t>
      </w:r>
    </w:p>
    <w:p w14:paraId="2A458393" w14:textId="22F6BD4E" w:rsidR="004704D8" w:rsidRPr="00634A26" w:rsidRDefault="004704D8" w:rsidP="004704D8">
      <w:pPr>
        <w:pStyle w:val="Header"/>
        <w:snapToGrid w:val="0"/>
        <w:spacing w:before="120" w:after="120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634A26">
        <w:rPr>
          <w:rFonts w:asciiTheme="minorHAnsi" w:hAnsiTheme="minorHAnsi" w:cstheme="minorHAnsi"/>
          <w:color w:val="auto"/>
          <w:sz w:val="24"/>
          <w:szCs w:val="24"/>
        </w:rPr>
        <w:t>3.1</w:t>
      </w:r>
      <w:r w:rsidRPr="00634A26">
        <w:rPr>
          <w:rFonts w:asciiTheme="minorHAnsi" w:hAnsiTheme="minorHAnsi" w:cstheme="minorHAnsi"/>
          <w:color w:val="auto"/>
          <w:sz w:val="24"/>
          <w:szCs w:val="24"/>
        </w:rPr>
        <w:tab/>
        <w:t>The revenue of the Union consists of assessed contributions, cost recovery, interest/other revenue, and savings from budget implementation. The predicted shortfall in revenue for 2023 is estimated at KCHF -6,351.</w:t>
      </w:r>
    </w:p>
    <w:p w14:paraId="47D57851" w14:textId="40B5B951" w:rsidR="004704D8" w:rsidRPr="00634A26" w:rsidRDefault="004704D8" w:rsidP="00C00636">
      <w:pPr>
        <w:pStyle w:val="Header"/>
        <w:snapToGrid w:val="0"/>
        <w:spacing w:before="120" w:after="120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634A26">
        <w:rPr>
          <w:rFonts w:asciiTheme="minorHAnsi" w:hAnsiTheme="minorHAnsi" w:cstheme="minorHAnsi"/>
          <w:color w:val="auto"/>
          <w:sz w:val="24"/>
          <w:szCs w:val="24"/>
        </w:rPr>
        <w:t>3.2</w:t>
      </w:r>
      <w:r w:rsidRPr="00634A26">
        <w:rPr>
          <w:rFonts w:asciiTheme="minorHAnsi" w:hAnsiTheme="minorHAnsi" w:cstheme="minorHAnsi"/>
          <w:color w:val="auto"/>
          <w:sz w:val="24"/>
          <w:szCs w:val="24"/>
        </w:rPr>
        <w:tab/>
      </w:r>
      <w:r w:rsidR="009E2D42" w:rsidRPr="00634A26">
        <w:rPr>
          <w:rFonts w:asciiTheme="minorHAnsi" w:hAnsiTheme="minorHAnsi" w:cstheme="minorHAnsi"/>
          <w:color w:val="auto"/>
          <w:sz w:val="24"/>
          <w:szCs w:val="24"/>
        </w:rPr>
        <w:t>A</w:t>
      </w:r>
      <w:r w:rsidRPr="00634A26">
        <w:rPr>
          <w:rFonts w:asciiTheme="minorHAnsi" w:hAnsiTheme="minorHAnsi" w:cstheme="minorHAnsi"/>
          <w:color w:val="auto"/>
          <w:sz w:val="24"/>
          <w:szCs w:val="24"/>
        </w:rPr>
        <w:t>ssessed contributions represent some 77 per</w:t>
      </w:r>
      <w:r w:rsidR="00A12551" w:rsidRPr="00634A26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634A26">
        <w:rPr>
          <w:rFonts w:asciiTheme="minorHAnsi" w:hAnsiTheme="minorHAnsi" w:cstheme="minorHAnsi"/>
          <w:color w:val="auto"/>
          <w:sz w:val="24"/>
          <w:szCs w:val="24"/>
        </w:rPr>
        <w:t>cent of total planned revenue for 2023</w:t>
      </w:r>
      <w:r w:rsidR="009E2D42">
        <w:rPr>
          <w:rFonts w:asciiTheme="minorHAnsi" w:hAnsiTheme="minorHAnsi" w:cstheme="minorHAnsi"/>
          <w:color w:val="auto"/>
          <w:sz w:val="24"/>
          <w:szCs w:val="24"/>
        </w:rPr>
        <w:t>,</w:t>
      </w:r>
      <w:r w:rsidR="009E2D42" w:rsidRPr="00634A26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634A26">
        <w:rPr>
          <w:rFonts w:asciiTheme="minorHAnsi" w:hAnsiTheme="minorHAnsi" w:cstheme="minorHAnsi"/>
          <w:color w:val="auto"/>
          <w:sz w:val="24"/>
          <w:szCs w:val="24"/>
        </w:rPr>
        <w:t>includ</w:t>
      </w:r>
      <w:r w:rsidR="009E2D42">
        <w:rPr>
          <w:rFonts w:asciiTheme="minorHAnsi" w:hAnsiTheme="minorHAnsi" w:cstheme="minorHAnsi"/>
          <w:color w:val="auto"/>
          <w:sz w:val="24"/>
          <w:szCs w:val="24"/>
        </w:rPr>
        <w:t>ing</w:t>
      </w:r>
      <w:r w:rsidRPr="00634A26">
        <w:rPr>
          <w:rFonts w:asciiTheme="minorHAnsi" w:hAnsiTheme="minorHAnsi" w:cstheme="minorHAnsi"/>
          <w:color w:val="auto"/>
          <w:sz w:val="24"/>
          <w:szCs w:val="24"/>
        </w:rPr>
        <w:t xml:space="preserve"> contributions from Member States, Sector Members, Associates and Academia. Table 3 </w:t>
      </w:r>
      <w:r w:rsidR="009E2D42" w:rsidRPr="00634A26">
        <w:rPr>
          <w:rFonts w:asciiTheme="minorHAnsi" w:hAnsiTheme="minorHAnsi" w:cstheme="minorHAnsi"/>
          <w:color w:val="auto"/>
          <w:sz w:val="24"/>
          <w:szCs w:val="24"/>
        </w:rPr>
        <w:t>gives a</w:t>
      </w:r>
      <w:r w:rsidRPr="00634A26">
        <w:rPr>
          <w:rFonts w:asciiTheme="minorHAnsi" w:hAnsiTheme="minorHAnsi" w:cstheme="minorHAnsi"/>
          <w:color w:val="auto"/>
          <w:sz w:val="24"/>
          <w:szCs w:val="24"/>
        </w:rPr>
        <w:t xml:space="preserve"> breakdown of assessed contributions.</w:t>
      </w:r>
    </w:p>
    <w:p w14:paraId="11760AEB" w14:textId="65F27809" w:rsidR="004704D8" w:rsidRPr="00634A26" w:rsidRDefault="004704D8" w:rsidP="004704D8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napToGrid w:val="0"/>
        <w:spacing w:before="240" w:after="120"/>
        <w:jc w:val="both"/>
        <w:textAlignment w:val="auto"/>
        <w:rPr>
          <w:rFonts w:asciiTheme="minorHAnsi" w:hAnsiTheme="minorHAnsi" w:cstheme="minorHAnsi"/>
          <w:szCs w:val="24"/>
        </w:rPr>
      </w:pPr>
      <w:r w:rsidRPr="00634A26">
        <w:rPr>
          <w:rFonts w:asciiTheme="minorHAnsi" w:hAnsiTheme="minorHAnsi" w:cstheme="minorHAnsi"/>
          <w:szCs w:val="24"/>
        </w:rPr>
        <w:t>3.3</w:t>
      </w:r>
      <w:r w:rsidRPr="00634A26">
        <w:rPr>
          <w:rFonts w:asciiTheme="minorHAnsi" w:hAnsiTheme="minorHAnsi" w:cstheme="minorHAnsi"/>
          <w:szCs w:val="24"/>
        </w:rPr>
        <w:tab/>
      </w:r>
      <w:r w:rsidRPr="00634A26">
        <w:rPr>
          <w:rFonts w:asciiTheme="minorHAnsi" w:hAnsiTheme="minorHAnsi" w:cstheme="minorHAnsi"/>
          <w:b/>
          <w:bCs/>
          <w:szCs w:val="24"/>
        </w:rPr>
        <w:t>Table 3</w:t>
      </w:r>
      <w:r w:rsidR="009E2D42" w:rsidRPr="00634A26">
        <w:rPr>
          <w:rFonts w:asciiTheme="minorHAnsi" w:hAnsiTheme="minorHAnsi" w:cstheme="minorHAnsi"/>
          <w:b/>
          <w:bCs/>
          <w:szCs w:val="24"/>
        </w:rPr>
        <w:t>.</w:t>
      </w:r>
      <w:r w:rsidRPr="00634A26">
        <w:rPr>
          <w:rFonts w:asciiTheme="minorHAnsi" w:hAnsiTheme="minorHAnsi" w:cstheme="minorHAnsi"/>
          <w:b/>
          <w:bCs/>
          <w:szCs w:val="24"/>
        </w:rPr>
        <w:t xml:space="preserve"> Assessed</w:t>
      </w:r>
      <w:r w:rsidR="009E2D42" w:rsidRPr="00775B78">
        <w:rPr>
          <w:rFonts w:asciiTheme="minorHAnsi" w:hAnsiTheme="minorHAnsi" w:cstheme="minorHAnsi"/>
          <w:b/>
          <w:bCs/>
          <w:szCs w:val="24"/>
        </w:rPr>
        <w:t>-</w:t>
      </w:r>
      <w:r w:rsidRPr="00634A26">
        <w:rPr>
          <w:rFonts w:asciiTheme="minorHAnsi" w:hAnsiTheme="minorHAnsi" w:cstheme="minorHAnsi"/>
          <w:b/>
          <w:bCs/>
          <w:szCs w:val="24"/>
        </w:rPr>
        <w:t xml:space="preserve">contribution statement as </w:t>
      </w:r>
      <w:proofErr w:type="gramStart"/>
      <w:r w:rsidR="0099100D" w:rsidRPr="00634A26">
        <w:rPr>
          <w:rFonts w:asciiTheme="minorHAnsi" w:hAnsiTheme="minorHAnsi" w:cstheme="minorHAnsi"/>
          <w:b/>
          <w:bCs/>
          <w:szCs w:val="24"/>
        </w:rPr>
        <w:t>at</w:t>
      </w:r>
      <w:proofErr w:type="gramEnd"/>
      <w:r w:rsidRPr="00634A26">
        <w:rPr>
          <w:rFonts w:asciiTheme="minorHAnsi" w:hAnsiTheme="minorHAnsi" w:cstheme="minorHAnsi"/>
          <w:b/>
          <w:bCs/>
          <w:szCs w:val="24"/>
        </w:rPr>
        <w:t xml:space="preserve"> 31 March 2023</w:t>
      </w:r>
      <w:r w:rsidR="009E2D42" w:rsidRPr="00634A26">
        <w:rPr>
          <w:rFonts w:asciiTheme="minorHAnsi" w:hAnsiTheme="minorHAnsi" w:cstheme="minorHAnsi"/>
          <w:b/>
          <w:bCs/>
          <w:szCs w:val="24"/>
        </w:rPr>
        <w:t xml:space="preserve"> in kCHF</w:t>
      </w:r>
    </w:p>
    <w:p w14:paraId="77CDAAC9" w14:textId="7C94011D" w:rsidR="00E55124" w:rsidRPr="00634A26" w:rsidRDefault="000714B7" w:rsidP="000714B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napToGrid w:val="0"/>
        <w:spacing w:before="240" w:after="120"/>
        <w:jc w:val="center"/>
        <w:textAlignment w:val="auto"/>
        <w:rPr>
          <w:rFonts w:asciiTheme="minorHAnsi" w:hAnsiTheme="minorHAnsi" w:cstheme="minorHAnsi"/>
          <w:color w:val="7F7F7F" w:themeColor="text1" w:themeTint="80"/>
          <w:szCs w:val="24"/>
        </w:rPr>
      </w:pPr>
      <w:r w:rsidRPr="00634A26">
        <w:rPr>
          <w:rFonts w:asciiTheme="minorHAnsi" w:hAnsiTheme="minorHAnsi" w:cstheme="minorHAnsi"/>
          <w:noProof/>
          <w:color w:val="7F7F7F" w:themeColor="text1" w:themeTint="80"/>
          <w:szCs w:val="24"/>
        </w:rPr>
        <w:drawing>
          <wp:inline distT="0" distB="0" distL="0" distR="0" wp14:anchorId="54FBA148" wp14:editId="546728C9">
            <wp:extent cx="5422900" cy="20574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22900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EB2FA3" w14:textId="72053B6A" w:rsidR="000714B7" w:rsidRPr="00634A26" w:rsidRDefault="000714B7" w:rsidP="00C00636">
      <w:pPr>
        <w:pStyle w:val="Header"/>
        <w:keepNext/>
        <w:keepLines/>
        <w:snapToGrid w:val="0"/>
        <w:spacing w:before="240" w:after="120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634A26">
        <w:rPr>
          <w:rFonts w:asciiTheme="minorHAnsi" w:hAnsiTheme="minorHAnsi" w:cstheme="minorHAnsi"/>
          <w:color w:val="auto"/>
          <w:sz w:val="24"/>
          <w:szCs w:val="24"/>
        </w:rPr>
        <w:t>3.</w:t>
      </w:r>
      <w:r w:rsidR="00C00636" w:rsidRPr="00634A26">
        <w:rPr>
          <w:rFonts w:asciiTheme="minorHAnsi" w:hAnsiTheme="minorHAnsi" w:cstheme="minorHAnsi"/>
          <w:color w:val="auto"/>
          <w:sz w:val="24"/>
          <w:szCs w:val="24"/>
        </w:rPr>
        <w:t>4</w:t>
      </w:r>
      <w:r w:rsidRPr="00634A26">
        <w:rPr>
          <w:rFonts w:asciiTheme="minorHAnsi" w:hAnsiTheme="minorHAnsi" w:cstheme="minorHAnsi"/>
          <w:color w:val="auto"/>
          <w:sz w:val="24"/>
          <w:szCs w:val="24"/>
        </w:rPr>
        <w:tab/>
        <w:t xml:space="preserve">The amount of the annual contributory unit is set at CHF 318,000 for 2022-2023. As </w:t>
      </w:r>
      <w:proofErr w:type="gramStart"/>
      <w:r w:rsidR="001C0EAB" w:rsidRPr="00634A26">
        <w:rPr>
          <w:rFonts w:asciiTheme="minorHAnsi" w:hAnsiTheme="minorHAnsi" w:cstheme="minorHAnsi"/>
          <w:color w:val="auto"/>
          <w:sz w:val="24"/>
          <w:szCs w:val="24"/>
        </w:rPr>
        <w:t>at</w:t>
      </w:r>
      <w:proofErr w:type="gramEnd"/>
      <w:r w:rsidRPr="00634A26">
        <w:rPr>
          <w:rFonts w:asciiTheme="minorHAnsi" w:hAnsiTheme="minorHAnsi" w:cstheme="minorHAnsi"/>
          <w:color w:val="auto"/>
          <w:sz w:val="24"/>
          <w:szCs w:val="24"/>
        </w:rPr>
        <w:t xml:space="preserve"> 31</w:t>
      </w:r>
      <w:r w:rsidR="00C00636" w:rsidRPr="00634A26">
        <w:rPr>
          <w:rFonts w:asciiTheme="minorHAnsi" w:hAnsiTheme="minorHAnsi" w:cstheme="minorHAnsi"/>
          <w:color w:val="auto"/>
          <w:sz w:val="24"/>
          <w:szCs w:val="24"/>
        </w:rPr>
        <w:t> </w:t>
      </w:r>
      <w:r w:rsidRPr="00634A26">
        <w:rPr>
          <w:rFonts w:asciiTheme="minorHAnsi" w:hAnsiTheme="minorHAnsi" w:cstheme="minorHAnsi"/>
          <w:color w:val="auto"/>
          <w:sz w:val="24"/>
          <w:szCs w:val="24"/>
        </w:rPr>
        <w:t>March 2023, total invoiced revenue from Member States is at the budgeted level.</w:t>
      </w:r>
    </w:p>
    <w:p w14:paraId="058F5497" w14:textId="497EDD96" w:rsidR="000714B7" w:rsidRPr="00634A26" w:rsidRDefault="000714B7" w:rsidP="000714B7">
      <w:pPr>
        <w:pStyle w:val="Header"/>
        <w:snapToGrid w:val="0"/>
        <w:spacing w:before="120" w:after="120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634A26">
        <w:rPr>
          <w:rFonts w:asciiTheme="minorHAnsi" w:hAnsiTheme="minorHAnsi" w:cstheme="minorHAnsi"/>
          <w:color w:val="auto"/>
          <w:sz w:val="24"/>
          <w:szCs w:val="24"/>
        </w:rPr>
        <w:t>3.</w:t>
      </w:r>
      <w:r w:rsidR="00C00636" w:rsidRPr="00634A26">
        <w:rPr>
          <w:rFonts w:asciiTheme="minorHAnsi" w:hAnsiTheme="minorHAnsi" w:cstheme="minorHAnsi"/>
          <w:color w:val="auto"/>
          <w:sz w:val="24"/>
          <w:szCs w:val="24"/>
        </w:rPr>
        <w:t>5</w:t>
      </w:r>
      <w:r w:rsidRPr="00634A26">
        <w:rPr>
          <w:rFonts w:asciiTheme="minorHAnsi" w:hAnsiTheme="minorHAnsi" w:cstheme="minorHAnsi"/>
          <w:color w:val="auto"/>
          <w:sz w:val="24"/>
          <w:szCs w:val="24"/>
        </w:rPr>
        <w:tab/>
        <w:t xml:space="preserve">For 2023, the amount of the annual contributory unit is set at CHF 63,600 </w:t>
      </w:r>
      <w:r w:rsidR="009E2D42" w:rsidRPr="00634A26">
        <w:rPr>
          <w:rFonts w:asciiTheme="minorHAnsi" w:hAnsiTheme="minorHAnsi" w:cstheme="minorHAnsi"/>
          <w:color w:val="auto"/>
          <w:sz w:val="24"/>
          <w:szCs w:val="24"/>
        </w:rPr>
        <w:t xml:space="preserve">for Sector Members </w:t>
      </w:r>
      <w:r w:rsidRPr="00634A26">
        <w:rPr>
          <w:rFonts w:asciiTheme="minorHAnsi" w:hAnsiTheme="minorHAnsi" w:cstheme="minorHAnsi"/>
          <w:color w:val="auto"/>
          <w:sz w:val="24"/>
          <w:szCs w:val="24"/>
        </w:rPr>
        <w:t>and at CHF 10,600</w:t>
      </w:r>
      <w:r w:rsidR="009E2D42" w:rsidRPr="00634A26">
        <w:rPr>
          <w:rFonts w:asciiTheme="minorHAnsi" w:hAnsiTheme="minorHAnsi" w:cstheme="minorHAnsi"/>
          <w:color w:val="auto"/>
          <w:sz w:val="24"/>
          <w:szCs w:val="24"/>
        </w:rPr>
        <w:t xml:space="preserve"> for Associates</w:t>
      </w:r>
      <w:r w:rsidRPr="00634A26">
        <w:rPr>
          <w:rFonts w:asciiTheme="minorHAnsi" w:hAnsiTheme="minorHAnsi" w:cstheme="minorHAnsi"/>
          <w:color w:val="auto"/>
          <w:sz w:val="24"/>
          <w:szCs w:val="24"/>
        </w:rPr>
        <w:t xml:space="preserve">. </w:t>
      </w:r>
      <w:r w:rsidR="009D690C" w:rsidRPr="00634A26">
        <w:rPr>
          <w:rFonts w:asciiTheme="minorHAnsi" w:hAnsiTheme="minorHAnsi" w:cstheme="minorHAnsi"/>
          <w:color w:val="auto"/>
          <w:sz w:val="24"/>
          <w:szCs w:val="24"/>
        </w:rPr>
        <w:t xml:space="preserve">As </w:t>
      </w:r>
      <w:proofErr w:type="gramStart"/>
      <w:r w:rsidR="009D690C" w:rsidRPr="00634A26">
        <w:rPr>
          <w:rFonts w:asciiTheme="minorHAnsi" w:hAnsiTheme="minorHAnsi" w:cstheme="minorHAnsi"/>
          <w:color w:val="auto"/>
          <w:sz w:val="24"/>
          <w:szCs w:val="24"/>
        </w:rPr>
        <w:t>at</w:t>
      </w:r>
      <w:proofErr w:type="gramEnd"/>
      <w:r w:rsidR="009D690C" w:rsidRPr="00634A26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634A26">
        <w:rPr>
          <w:rFonts w:asciiTheme="minorHAnsi" w:hAnsiTheme="minorHAnsi" w:cstheme="minorHAnsi"/>
          <w:color w:val="auto"/>
          <w:sz w:val="24"/>
          <w:szCs w:val="24"/>
        </w:rPr>
        <w:t xml:space="preserve">31 March 2023, total invoiced revenue from Sector Members </w:t>
      </w:r>
      <w:r w:rsidR="009E2D42" w:rsidRPr="00634A26">
        <w:rPr>
          <w:rFonts w:asciiTheme="minorHAnsi" w:hAnsiTheme="minorHAnsi" w:cstheme="minorHAnsi"/>
          <w:color w:val="auto"/>
          <w:sz w:val="24"/>
          <w:szCs w:val="24"/>
        </w:rPr>
        <w:t>exceeds</w:t>
      </w:r>
      <w:r w:rsidRPr="00634A26">
        <w:rPr>
          <w:rFonts w:asciiTheme="minorHAnsi" w:hAnsiTheme="minorHAnsi" w:cstheme="minorHAnsi"/>
          <w:color w:val="auto"/>
          <w:sz w:val="24"/>
          <w:szCs w:val="24"/>
        </w:rPr>
        <w:t xml:space="preserve"> budgeted revenue by KCHF</w:t>
      </w:r>
      <w:r w:rsidR="00A12551" w:rsidRPr="00634A26">
        <w:rPr>
          <w:rFonts w:asciiTheme="minorHAnsi" w:hAnsiTheme="minorHAnsi" w:cstheme="minorHAnsi"/>
          <w:color w:val="auto"/>
          <w:sz w:val="24"/>
          <w:szCs w:val="24"/>
        </w:rPr>
        <w:t> </w:t>
      </w:r>
      <w:r w:rsidRPr="00634A26">
        <w:rPr>
          <w:rFonts w:asciiTheme="minorHAnsi" w:hAnsiTheme="minorHAnsi" w:cstheme="minorHAnsi"/>
          <w:color w:val="auto"/>
          <w:sz w:val="24"/>
          <w:szCs w:val="24"/>
        </w:rPr>
        <w:t xml:space="preserve">142. </w:t>
      </w:r>
      <w:r w:rsidR="009E2D42" w:rsidRPr="00634A26">
        <w:rPr>
          <w:rFonts w:asciiTheme="minorHAnsi" w:hAnsiTheme="minorHAnsi" w:cstheme="minorHAnsi"/>
          <w:color w:val="auto"/>
          <w:sz w:val="24"/>
          <w:szCs w:val="24"/>
        </w:rPr>
        <w:t>I</w:t>
      </w:r>
      <w:r w:rsidRPr="00634A26">
        <w:rPr>
          <w:rFonts w:asciiTheme="minorHAnsi" w:hAnsiTheme="minorHAnsi" w:cstheme="minorHAnsi"/>
          <w:color w:val="auto"/>
          <w:sz w:val="24"/>
          <w:szCs w:val="24"/>
        </w:rPr>
        <w:t xml:space="preserve">nvoiced revenue for Associates is KCHF 13 below budgeted revenue. </w:t>
      </w:r>
      <w:r w:rsidR="009E2D42" w:rsidRPr="00634A26">
        <w:rPr>
          <w:rFonts w:asciiTheme="minorHAnsi" w:hAnsiTheme="minorHAnsi" w:cstheme="minorHAnsi"/>
          <w:color w:val="auto"/>
          <w:sz w:val="24"/>
          <w:szCs w:val="24"/>
        </w:rPr>
        <w:t>I</w:t>
      </w:r>
      <w:r w:rsidRPr="00634A26">
        <w:rPr>
          <w:rFonts w:asciiTheme="minorHAnsi" w:hAnsiTheme="minorHAnsi" w:cstheme="minorHAnsi"/>
          <w:color w:val="auto"/>
          <w:sz w:val="24"/>
          <w:szCs w:val="24"/>
        </w:rPr>
        <w:t>nvoiced revenue for Academia is higher than budgeted revenue by KCHF</w:t>
      </w:r>
      <w:r w:rsidR="00A12551" w:rsidRPr="00634A26">
        <w:rPr>
          <w:rFonts w:asciiTheme="minorHAnsi" w:hAnsiTheme="minorHAnsi" w:cstheme="minorHAnsi"/>
          <w:color w:val="auto"/>
          <w:sz w:val="24"/>
          <w:szCs w:val="24"/>
        </w:rPr>
        <w:t> </w:t>
      </w:r>
      <w:r w:rsidRPr="00634A26">
        <w:rPr>
          <w:rFonts w:asciiTheme="minorHAnsi" w:hAnsiTheme="minorHAnsi" w:cstheme="minorHAnsi"/>
          <w:color w:val="auto"/>
          <w:sz w:val="24"/>
          <w:szCs w:val="24"/>
        </w:rPr>
        <w:t>20.</w:t>
      </w:r>
    </w:p>
    <w:p w14:paraId="66ACC632" w14:textId="6B3F23AC" w:rsidR="000714B7" w:rsidRPr="00634A26" w:rsidRDefault="000714B7" w:rsidP="009E2D42">
      <w:pPr>
        <w:pStyle w:val="Header"/>
        <w:snapToGrid w:val="0"/>
        <w:spacing w:before="120" w:after="120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634A26">
        <w:rPr>
          <w:rFonts w:asciiTheme="minorHAnsi" w:hAnsiTheme="minorHAnsi" w:cstheme="minorHAnsi"/>
          <w:color w:val="auto"/>
          <w:sz w:val="24"/>
          <w:szCs w:val="24"/>
        </w:rPr>
        <w:lastRenderedPageBreak/>
        <w:t>3.</w:t>
      </w:r>
      <w:r w:rsidR="00C00636" w:rsidRPr="00634A26">
        <w:rPr>
          <w:rFonts w:asciiTheme="minorHAnsi" w:hAnsiTheme="minorHAnsi" w:cstheme="minorHAnsi"/>
          <w:color w:val="auto"/>
          <w:sz w:val="24"/>
          <w:szCs w:val="24"/>
        </w:rPr>
        <w:t>6</w:t>
      </w:r>
      <w:r w:rsidRPr="00634A26">
        <w:rPr>
          <w:rFonts w:asciiTheme="minorHAnsi" w:hAnsiTheme="minorHAnsi" w:cstheme="minorHAnsi"/>
          <w:color w:val="auto"/>
          <w:sz w:val="24"/>
          <w:szCs w:val="24"/>
        </w:rPr>
        <w:tab/>
        <w:t xml:space="preserve">For 2023, cost recovery represents 22.3 per cent of total budgeted revenue. </w:t>
      </w:r>
      <w:r w:rsidR="009E2D42" w:rsidRPr="00634A26">
        <w:rPr>
          <w:rFonts w:asciiTheme="minorHAnsi" w:hAnsiTheme="minorHAnsi" w:cstheme="minorHAnsi"/>
          <w:color w:val="auto"/>
          <w:sz w:val="24"/>
          <w:szCs w:val="24"/>
        </w:rPr>
        <w:t xml:space="preserve">A </w:t>
      </w:r>
      <w:r w:rsidRPr="00634A26">
        <w:rPr>
          <w:rFonts w:asciiTheme="minorHAnsi" w:hAnsiTheme="minorHAnsi" w:cstheme="minorHAnsi"/>
          <w:color w:val="auto"/>
          <w:sz w:val="24"/>
          <w:szCs w:val="24"/>
        </w:rPr>
        <w:t xml:space="preserve">breakdown </w:t>
      </w:r>
      <w:r w:rsidR="009E2D42" w:rsidRPr="00634A26">
        <w:rPr>
          <w:rFonts w:asciiTheme="minorHAnsi" w:hAnsiTheme="minorHAnsi" w:cstheme="minorHAnsi"/>
          <w:color w:val="auto"/>
          <w:sz w:val="24"/>
          <w:szCs w:val="24"/>
        </w:rPr>
        <w:t xml:space="preserve">of cost-recovery revenue </w:t>
      </w:r>
      <w:r w:rsidRPr="00634A26">
        <w:rPr>
          <w:rFonts w:asciiTheme="minorHAnsi" w:hAnsiTheme="minorHAnsi" w:cstheme="minorHAnsi"/>
          <w:color w:val="auto"/>
          <w:sz w:val="24"/>
          <w:szCs w:val="24"/>
        </w:rPr>
        <w:t>is provided in Table 4. Revenue from cost recovery is likely to be lower than the budgeted amount for 2023</w:t>
      </w:r>
      <w:r w:rsidR="009E2D42" w:rsidRPr="00634A26">
        <w:rPr>
          <w:rFonts w:asciiTheme="minorHAnsi" w:hAnsiTheme="minorHAnsi" w:cstheme="minorHAnsi"/>
          <w:color w:val="auto"/>
          <w:sz w:val="24"/>
          <w:szCs w:val="24"/>
        </w:rPr>
        <w:t xml:space="preserve"> by </w:t>
      </w:r>
      <w:r w:rsidR="008F6059" w:rsidRPr="00634A26">
        <w:rPr>
          <w:rFonts w:asciiTheme="minorHAnsi" w:hAnsiTheme="minorHAnsi" w:cstheme="minorHAnsi"/>
          <w:color w:val="auto"/>
          <w:sz w:val="24"/>
          <w:szCs w:val="24"/>
        </w:rPr>
        <w:t>K</w:t>
      </w:r>
      <w:r w:rsidRPr="00634A26">
        <w:rPr>
          <w:rFonts w:asciiTheme="minorHAnsi" w:hAnsiTheme="minorHAnsi" w:cstheme="minorHAnsi"/>
          <w:color w:val="auto"/>
          <w:sz w:val="24"/>
          <w:szCs w:val="24"/>
        </w:rPr>
        <w:t>CHF -7</w:t>
      </w:r>
      <w:r w:rsidR="008F6059" w:rsidRPr="00634A26">
        <w:rPr>
          <w:rFonts w:asciiTheme="minorHAnsi" w:hAnsiTheme="minorHAnsi" w:cstheme="minorHAnsi"/>
          <w:color w:val="auto"/>
          <w:sz w:val="24"/>
          <w:szCs w:val="24"/>
        </w:rPr>
        <w:t>,</w:t>
      </w:r>
      <w:r w:rsidRPr="00634A26">
        <w:rPr>
          <w:rFonts w:asciiTheme="minorHAnsi" w:hAnsiTheme="minorHAnsi" w:cstheme="minorHAnsi"/>
          <w:color w:val="auto"/>
          <w:sz w:val="24"/>
          <w:szCs w:val="24"/>
        </w:rPr>
        <w:t>7</w:t>
      </w:r>
      <w:r w:rsidR="008F6059" w:rsidRPr="00634A26">
        <w:rPr>
          <w:rFonts w:asciiTheme="minorHAnsi" w:hAnsiTheme="minorHAnsi" w:cstheme="minorHAnsi"/>
          <w:color w:val="auto"/>
          <w:sz w:val="24"/>
          <w:szCs w:val="24"/>
        </w:rPr>
        <w:t>00</w:t>
      </w:r>
      <w:r w:rsidRPr="00634A26">
        <w:rPr>
          <w:rFonts w:asciiTheme="minorHAnsi" w:hAnsiTheme="minorHAnsi" w:cstheme="minorHAnsi"/>
          <w:color w:val="auto"/>
          <w:sz w:val="24"/>
          <w:szCs w:val="24"/>
        </w:rPr>
        <w:t>.</w:t>
      </w:r>
      <w:r w:rsidR="007D6320" w:rsidRPr="00634A26">
        <w:rPr>
          <w:rFonts w:asciiTheme="minorHAnsi" w:hAnsiTheme="minorHAnsi" w:cstheme="minorHAnsi"/>
          <w:color w:val="auto"/>
          <w:sz w:val="24"/>
          <w:szCs w:val="24"/>
        </w:rPr>
        <w:t xml:space="preserve"> A</w:t>
      </w:r>
      <w:r w:rsidR="009E2D42" w:rsidRPr="00634A26">
        <w:rPr>
          <w:rFonts w:asciiTheme="minorHAnsi" w:hAnsiTheme="minorHAnsi" w:cstheme="minorHAnsi"/>
          <w:color w:val="auto"/>
          <w:sz w:val="24"/>
          <w:szCs w:val="24"/>
        </w:rPr>
        <w:t>s</w:t>
      </w:r>
      <w:r w:rsidR="007D6320" w:rsidRPr="00634A26">
        <w:rPr>
          <w:rFonts w:asciiTheme="minorHAnsi" w:hAnsiTheme="minorHAnsi" w:cstheme="minorHAnsi"/>
          <w:color w:val="auto"/>
          <w:sz w:val="24"/>
          <w:szCs w:val="24"/>
        </w:rPr>
        <w:t xml:space="preserve"> for the processing of space notices, some proposals to review the schedule of charges and related methodology are included in </w:t>
      </w:r>
      <w:r w:rsidR="009E2D42" w:rsidRPr="00634A26">
        <w:rPr>
          <w:rFonts w:asciiTheme="minorHAnsi" w:hAnsiTheme="minorHAnsi" w:cstheme="minorHAnsi"/>
          <w:color w:val="auto"/>
          <w:sz w:val="24"/>
          <w:szCs w:val="24"/>
        </w:rPr>
        <w:t xml:space="preserve">Document </w:t>
      </w:r>
      <w:r w:rsidR="007D6320" w:rsidRPr="00634A26">
        <w:rPr>
          <w:rFonts w:asciiTheme="minorHAnsi" w:hAnsiTheme="minorHAnsi" w:cstheme="minorHAnsi"/>
          <w:color w:val="auto"/>
          <w:sz w:val="24"/>
          <w:szCs w:val="24"/>
        </w:rPr>
        <w:t>C23/</w:t>
      </w:r>
      <w:r w:rsidR="008F6059" w:rsidRPr="00634A26">
        <w:rPr>
          <w:rFonts w:asciiTheme="minorHAnsi" w:hAnsiTheme="minorHAnsi" w:cstheme="minorHAnsi"/>
          <w:color w:val="auto"/>
          <w:sz w:val="24"/>
          <w:szCs w:val="24"/>
        </w:rPr>
        <w:t>19.</w:t>
      </w:r>
    </w:p>
    <w:p w14:paraId="1F5DB58E" w14:textId="2C030D98" w:rsidR="00C00636" w:rsidRPr="00634A26" w:rsidRDefault="00C00636" w:rsidP="00C00636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napToGrid w:val="0"/>
        <w:spacing w:before="240" w:after="120"/>
        <w:jc w:val="both"/>
        <w:textAlignment w:val="auto"/>
        <w:rPr>
          <w:rFonts w:asciiTheme="minorHAnsi" w:hAnsiTheme="minorHAnsi" w:cstheme="minorHAnsi"/>
          <w:b/>
          <w:bCs/>
          <w:szCs w:val="24"/>
        </w:rPr>
      </w:pPr>
      <w:r w:rsidRPr="00634A26">
        <w:rPr>
          <w:rFonts w:asciiTheme="minorHAnsi" w:hAnsiTheme="minorHAnsi" w:cstheme="minorHAnsi"/>
          <w:szCs w:val="24"/>
        </w:rPr>
        <w:t>3.</w:t>
      </w:r>
      <w:r w:rsidR="0088432E" w:rsidRPr="00634A26">
        <w:rPr>
          <w:rFonts w:asciiTheme="minorHAnsi" w:hAnsiTheme="minorHAnsi" w:cstheme="minorHAnsi"/>
          <w:szCs w:val="24"/>
        </w:rPr>
        <w:t>7</w:t>
      </w:r>
      <w:r w:rsidRPr="00634A26">
        <w:rPr>
          <w:rFonts w:asciiTheme="minorHAnsi" w:hAnsiTheme="minorHAnsi" w:cstheme="minorHAnsi"/>
          <w:szCs w:val="24"/>
        </w:rPr>
        <w:tab/>
      </w:r>
      <w:r w:rsidRPr="00634A26">
        <w:rPr>
          <w:rFonts w:asciiTheme="minorHAnsi" w:hAnsiTheme="minorHAnsi" w:cstheme="minorHAnsi"/>
          <w:b/>
          <w:bCs/>
          <w:szCs w:val="24"/>
        </w:rPr>
        <w:t>Table 4</w:t>
      </w:r>
      <w:r w:rsidR="009E2D42" w:rsidRPr="00634A26">
        <w:rPr>
          <w:rFonts w:asciiTheme="minorHAnsi" w:hAnsiTheme="minorHAnsi" w:cstheme="minorHAnsi"/>
          <w:b/>
          <w:bCs/>
          <w:szCs w:val="24"/>
        </w:rPr>
        <w:t>.</w:t>
      </w:r>
      <w:r w:rsidRPr="00634A26">
        <w:rPr>
          <w:rFonts w:asciiTheme="minorHAnsi" w:hAnsiTheme="minorHAnsi" w:cstheme="minorHAnsi"/>
          <w:b/>
          <w:bCs/>
          <w:szCs w:val="24"/>
        </w:rPr>
        <w:t xml:space="preserve"> </w:t>
      </w:r>
      <w:r w:rsidR="0088432E" w:rsidRPr="00634A26">
        <w:rPr>
          <w:rFonts w:asciiTheme="minorHAnsi" w:hAnsiTheme="minorHAnsi" w:cstheme="minorHAnsi"/>
          <w:b/>
          <w:bCs/>
          <w:szCs w:val="24"/>
        </w:rPr>
        <w:t>Cost</w:t>
      </w:r>
      <w:r w:rsidR="009E2D42" w:rsidRPr="00775B78">
        <w:rPr>
          <w:rFonts w:asciiTheme="minorHAnsi" w:hAnsiTheme="minorHAnsi" w:cstheme="minorHAnsi"/>
          <w:b/>
          <w:bCs/>
          <w:szCs w:val="24"/>
        </w:rPr>
        <w:t>-</w:t>
      </w:r>
      <w:r w:rsidR="0088432E" w:rsidRPr="00634A26">
        <w:rPr>
          <w:rFonts w:asciiTheme="minorHAnsi" w:hAnsiTheme="minorHAnsi" w:cstheme="minorHAnsi"/>
          <w:b/>
          <w:bCs/>
          <w:szCs w:val="24"/>
        </w:rPr>
        <w:t>recovery revenue</w:t>
      </w:r>
      <w:r w:rsidR="0015213B" w:rsidRPr="00634A26">
        <w:rPr>
          <w:rFonts w:asciiTheme="minorHAnsi" w:hAnsiTheme="minorHAnsi" w:cstheme="minorHAnsi"/>
          <w:b/>
          <w:bCs/>
          <w:szCs w:val="24"/>
        </w:rPr>
        <w:t xml:space="preserve"> as </w:t>
      </w:r>
      <w:proofErr w:type="gramStart"/>
      <w:r w:rsidR="0015213B" w:rsidRPr="00634A26">
        <w:rPr>
          <w:rFonts w:asciiTheme="minorHAnsi" w:hAnsiTheme="minorHAnsi" w:cstheme="minorHAnsi"/>
          <w:b/>
          <w:bCs/>
          <w:szCs w:val="24"/>
        </w:rPr>
        <w:t>at</w:t>
      </w:r>
      <w:proofErr w:type="gramEnd"/>
      <w:r w:rsidR="0015213B" w:rsidRPr="00634A26">
        <w:rPr>
          <w:rFonts w:asciiTheme="minorHAnsi" w:hAnsiTheme="minorHAnsi" w:cstheme="minorHAnsi"/>
          <w:b/>
          <w:bCs/>
          <w:szCs w:val="24"/>
        </w:rPr>
        <w:t xml:space="preserve"> 31 March 2023</w:t>
      </w:r>
      <w:r w:rsidR="009E2D42" w:rsidRPr="00634A26">
        <w:rPr>
          <w:rFonts w:asciiTheme="minorHAnsi" w:hAnsiTheme="minorHAnsi" w:cstheme="minorHAnsi"/>
          <w:b/>
          <w:bCs/>
          <w:szCs w:val="24"/>
        </w:rPr>
        <w:t xml:space="preserve"> in kCHF</w:t>
      </w:r>
    </w:p>
    <w:p w14:paraId="317A89FE" w14:textId="5CBFE5E5" w:rsidR="004704D8" w:rsidRPr="00634A26" w:rsidRDefault="000714B7" w:rsidP="00F22498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napToGrid w:val="0"/>
        <w:spacing w:before="240" w:after="120"/>
        <w:jc w:val="center"/>
        <w:textAlignment w:val="auto"/>
        <w:rPr>
          <w:rFonts w:asciiTheme="minorHAnsi" w:hAnsiTheme="minorHAnsi" w:cstheme="minorHAnsi"/>
          <w:color w:val="7F7F7F" w:themeColor="text1" w:themeTint="80"/>
          <w:szCs w:val="24"/>
        </w:rPr>
      </w:pPr>
      <w:r w:rsidRPr="00634A26">
        <w:rPr>
          <w:rFonts w:asciiTheme="minorHAnsi" w:hAnsiTheme="minorHAnsi" w:cstheme="minorHAnsi"/>
          <w:color w:val="7F7F7F" w:themeColor="text1" w:themeTint="80"/>
          <w:szCs w:val="24"/>
        </w:rPr>
        <w:t>.</w:t>
      </w:r>
      <w:r w:rsidR="00F22498" w:rsidRPr="009E2D42">
        <w:rPr>
          <w:noProof/>
        </w:rPr>
        <w:t xml:space="preserve"> </w:t>
      </w:r>
      <w:r w:rsidR="00F22498" w:rsidRPr="00634A26">
        <w:rPr>
          <w:rFonts w:asciiTheme="minorHAnsi" w:hAnsiTheme="minorHAnsi" w:cstheme="minorHAnsi"/>
          <w:noProof/>
          <w:color w:val="7F7F7F" w:themeColor="text1" w:themeTint="80"/>
          <w:szCs w:val="24"/>
        </w:rPr>
        <w:drawing>
          <wp:inline distT="0" distB="0" distL="0" distR="0" wp14:anchorId="5C6B102B" wp14:editId="12583397">
            <wp:extent cx="5422900" cy="22860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2290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3608E6" w14:textId="77777777" w:rsidR="00F22498" w:rsidRPr="00634A26" w:rsidRDefault="00F22498" w:rsidP="00F22498">
      <w:pPr>
        <w:snapToGrid w:val="0"/>
        <w:spacing w:before="240" w:after="120"/>
        <w:rPr>
          <w:rFonts w:asciiTheme="minorHAnsi" w:hAnsiTheme="minorHAnsi" w:cstheme="minorHAnsi"/>
          <w:b/>
          <w:bCs/>
          <w:szCs w:val="24"/>
        </w:rPr>
      </w:pPr>
      <w:r w:rsidRPr="00634A26">
        <w:rPr>
          <w:rFonts w:asciiTheme="minorHAnsi" w:hAnsiTheme="minorHAnsi" w:cstheme="minorHAnsi"/>
          <w:b/>
          <w:bCs/>
          <w:szCs w:val="24"/>
        </w:rPr>
        <w:t>4</w:t>
      </w:r>
      <w:r w:rsidRPr="00634A26">
        <w:rPr>
          <w:rFonts w:asciiTheme="minorHAnsi" w:hAnsiTheme="minorHAnsi" w:cstheme="minorHAnsi"/>
          <w:b/>
          <w:bCs/>
          <w:szCs w:val="24"/>
        </w:rPr>
        <w:tab/>
        <w:t>Expenses</w:t>
      </w:r>
    </w:p>
    <w:p w14:paraId="17B49D14" w14:textId="228F5D11" w:rsidR="00A635BE" w:rsidRPr="00634A26" w:rsidRDefault="00F22498" w:rsidP="00F22498">
      <w:pPr>
        <w:snapToGrid w:val="0"/>
        <w:spacing w:after="120"/>
        <w:jc w:val="both"/>
        <w:rPr>
          <w:rFonts w:asciiTheme="minorHAnsi" w:hAnsiTheme="minorHAnsi" w:cstheme="minorHAnsi"/>
          <w:szCs w:val="24"/>
        </w:rPr>
      </w:pPr>
      <w:r w:rsidRPr="00634A26">
        <w:rPr>
          <w:rFonts w:asciiTheme="minorHAnsi" w:hAnsiTheme="minorHAnsi" w:cstheme="minorHAnsi"/>
          <w:szCs w:val="24"/>
        </w:rPr>
        <w:t>4.1</w:t>
      </w:r>
      <w:r w:rsidRPr="00634A26">
        <w:rPr>
          <w:rFonts w:asciiTheme="minorHAnsi" w:hAnsiTheme="minorHAnsi" w:cstheme="minorHAnsi"/>
          <w:szCs w:val="24"/>
        </w:rPr>
        <w:tab/>
      </w:r>
      <w:r w:rsidR="009E2D42" w:rsidRPr="00634A26">
        <w:rPr>
          <w:rFonts w:asciiTheme="minorHAnsi" w:hAnsiTheme="minorHAnsi" w:cstheme="minorHAnsi"/>
          <w:szCs w:val="24"/>
        </w:rPr>
        <w:t>E</w:t>
      </w:r>
      <w:r w:rsidR="007D6320" w:rsidRPr="00634A26">
        <w:rPr>
          <w:rFonts w:asciiTheme="minorHAnsi" w:hAnsiTheme="minorHAnsi" w:cstheme="minorHAnsi"/>
          <w:szCs w:val="24"/>
        </w:rPr>
        <w:t xml:space="preserve">stimated </w:t>
      </w:r>
      <w:r w:rsidR="00A635BE" w:rsidRPr="00634A26">
        <w:rPr>
          <w:rFonts w:asciiTheme="minorHAnsi" w:hAnsiTheme="minorHAnsi" w:cstheme="minorHAnsi"/>
          <w:szCs w:val="24"/>
        </w:rPr>
        <w:t>savings arising from the introduction of the voluntary separation program</w:t>
      </w:r>
      <w:r w:rsidR="008746B2" w:rsidRPr="00634A26">
        <w:rPr>
          <w:rFonts w:asciiTheme="minorHAnsi" w:hAnsiTheme="minorHAnsi" w:cstheme="minorHAnsi"/>
          <w:szCs w:val="24"/>
        </w:rPr>
        <w:t>me</w:t>
      </w:r>
      <w:r w:rsidR="00A635BE" w:rsidRPr="00634A26">
        <w:rPr>
          <w:rFonts w:asciiTheme="minorHAnsi" w:hAnsiTheme="minorHAnsi" w:cstheme="minorHAnsi"/>
          <w:szCs w:val="24"/>
        </w:rPr>
        <w:t xml:space="preserve"> have been </w:t>
      </w:r>
      <w:r w:rsidR="007D6320" w:rsidRPr="00634A26">
        <w:rPr>
          <w:rFonts w:asciiTheme="minorHAnsi" w:hAnsiTheme="minorHAnsi" w:cstheme="minorHAnsi"/>
          <w:szCs w:val="24"/>
        </w:rPr>
        <w:t xml:space="preserve">included in </w:t>
      </w:r>
      <w:r w:rsidR="009E2D42" w:rsidRPr="00634A26">
        <w:rPr>
          <w:rFonts w:asciiTheme="minorHAnsi" w:hAnsiTheme="minorHAnsi" w:cstheme="minorHAnsi"/>
          <w:szCs w:val="24"/>
        </w:rPr>
        <w:t>T</w:t>
      </w:r>
      <w:r w:rsidR="007D6320" w:rsidRPr="00634A26">
        <w:rPr>
          <w:rFonts w:asciiTheme="minorHAnsi" w:hAnsiTheme="minorHAnsi" w:cstheme="minorHAnsi"/>
          <w:szCs w:val="24"/>
        </w:rPr>
        <w:t>able 2</w:t>
      </w:r>
      <w:r w:rsidR="009E2D42" w:rsidRPr="00634A26">
        <w:rPr>
          <w:rFonts w:asciiTheme="minorHAnsi" w:hAnsiTheme="minorHAnsi" w:cstheme="minorHAnsi"/>
          <w:szCs w:val="24"/>
        </w:rPr>
        <w:t>,</w:t>
      </w:r>
      <w:r w:rsidR="00A635BE" w:rsidRPr="00634A26">
        <w:rPr>
          <w:rFonts w:asciiTheme="minorHAnsi" w:hAnsiTheme="minorHAnsi" w:cstheme="minorHAnsi"/>
          <w:szCs w:val="24"/>
        </w:rPr>
        <w:t xml:space="preserve"> </w:t>
      </w:r>
      <w:r w:rsidR="007D6320" w:rsidRPr="00634A26">
        <w:rPr>
          <w:rFonts w:asciiTheme="minorHAnsi" w:hAnsiTheme="minorHAnsi" w:cstheme="minorHAnsi"/>
          <w:szCs w:val="24"/>
        </w:rPr>
        <w:t>based on the requests received</w:t>
      </w:r>
      <w:r w:rsidR="00A635BE" w:rsidRPr="00634A26">
        <w:rPr>
          <w:rFonts w:asciiTheme="minorHAnsi" w:hAnsiTheme="minorHAnsi" w:cstheme="minorHAnsi"/>
          <w:szCs w:val="24"/>
        </w:rPr>
        <w:t>.</w:t>
      </w:r>
      <w:r w:rsidR="007D6320" w:rsidRPr="00634A26">
        <w:rPr>
          <w:rFonts w:asciiTheme="minorHAnsi" w:hAnsiTheme="minorHAnsi" w:cstheme="minorHAnsi"/>
          <w:szCs w:val="24"/>
        </w:rPr>
        <w:t xml:space="preserve"> Until this programme is finalized, the savings may change.</w:t>
      </w:r>
    </w:p>
    <w:p w14:paraId="52EDF359" w14:textId="4BC40D25" w:rsidR="000714B7" w:rsidRPr="00634A26" w:rsidRDefault="00A635BE" w:rsidP="00A12551">
      <w:pPr>
        <w:snapToGrid w:val="0"/>
        <w:spacing w:after="120"/>
        <w:jc w:val="both"/>
        <w:rPr>
          <w:rFonts w:asciiTheme="minorHAnsi" w:hAnsiTheme="minorHAnsi" w:cstheme="minorHAnsi"/>
          <w:szCs w:val="24"/>
        </w:rPr>
      </w:pPr>
      <w:r w:rsidRPr="00634A26">
        <w:rPr>
          <w:rFonts w:asciiTheme="minorHAnsi" w:hAnsiTheme="minorHAnsi" w:cstheme="minorHAnsi"/>
          <w:szCs w:val="24"/>
        </w:rPr>
        <w:t>4.2</w:t>
      </w:r>
      <w:r w:rsidRPr="00634A26">
        <w:rPr>
          <w:rFonts w:asciiTheme="minorHAnsi" w:hAnsiTheme="minorHAnsi" w:cstheme="minorHAnsi"/>
          <w:szCs w:val="24"/>
        </w:rPr>
        <w:tab/>
      </w:r>
      <w:r w:rsidR="00F22498" w:rsidRPr="00634A26">
        <w:rPr>
          <w:rFonts w:asciiTheme="minorHAnsi" w:hAnsiTheme="minorHAnsi" w:cstheme="minorHAnsi"/>
          <w:szCs w:val="24"/>
        </w:rPr>
        <w:t xml:space="preserve">With regard to expenses, efficiency measures and efforts are being </w:t>
      </w:r>
      <w:r w:rsidR="009E2D42" w:rsidRPr="00634A26">
        <w:rPr>
          <w:rFonts w:asciiTheme="minorHAnsi" w:hAnsiTheme="minorHAnsi" w:cstheme="minorHAnsi"/>
          <w:szCs w:val="24"/>
        </w:rPr>
        <w:t xml:space="preserve">continuously applied </w:t>
      </w:r>
      <w:proofErr w:type="gramStart"/>
      <w:r w:rsidR="009E2D42" w:rsidRPr="00634A26">
        <w:rPr>
          <w:rFonts w:asciiTheme="minorHAnsi" w:hAnsiTheme="minorHAnsi" w:cstheme="minorHAnsi"/>
          <w:szCs w:val="24"/>
        </w:rPr>
        <w:t xml:space="preserve">in order </w:t>
      </w:r>
      <w:r w:rsidR="00F22498" w:rsidRPr="00634A26">
        <w:rPr>
          <w:rFonts w:asciiTheme="minorHAnsi" w:hAnsiTheme="minorHAnsi" w:cstheme="minorHAnsi"/>
          <w:szCs w:val="24"/>
        </w:rPr>
        <w:t>to</w:t>
      </w:r>
      <w:proofErr w:type="gramEnd"/>
      <w:r w:rsidR="00F22498" w:rsidRPr="00634A26">
        <w:rPr>
          <w:rFonts w:asciiTheme="minorHAnsi" w:hAnsiTheme="minorHAnsi" w:cstheme="minorHAnsi"/>
          <w:szCs w:val="24"/>
        </w:rPr>
        <w:t xml:space="preserve"> comply with </w:t>
      </w:r>
      <w:r w:rsidR="009E2D42" w:rsidRPr="00634A26">
        <w:rPr>
          <w:rFonts w:asciiTheme="minorHAnsi" w:hAnsiTheme="minorHAnsi" w:cstheme="minorHAnsi"/>
          <w:szCs w:val="24"/>
        </w:rPr>
        <w:t xml:space="preserve">Council </w:t>
      </w:r>
      <w:r w:rsidR="00F22498" w:rsidRPr="00634A26">
        <w:rPr>
          <w:rFonts w:asciiTheme="minorHAnsi" w:hAnsiTheme="minorHAnsi" w:cstheme="minorHAnsi"/>
          <w:szCs w:val="24"/>
        </w:rPr>
        <w:t>Resolution 1405</w:t>
      </w:r>
      <w:r w:rsidR="009E2D42" w:rsidRPr="00634A26">
        <w:rPr>
          <w:rFonts w:asciiTheme="minorHAnsi" w:hAnsiTheme="minorHAnsi" w:cstheme="minorHAnsi"/>
          <w:szCs w:val="24"/>
        </w:rPr>
        <w:t xml:space="preserve"> (C21)</w:t>
      </w:r>
      <w:r w:rsidR="00F22498" w:rsidRPr="00634A26">
        <w:rPr>
          <w:rFonts w:asciiTheme="minorHAnsi" w:hAnsiTheme="minorHAnsi" w:cstheme="minorHAnsi"/>
          <w:szCs w:val="24"/>
        </w:rPr>
        <w:t>. The objective is to keep expenses within available revenue at year-end 2023 and avoid any deficit in 2023 budget implementation.</w:t>
      </w:r>
      <w:r w:rsidR="007D6320" w:rsidRPr="00634A26">
        <w:rPr>
          <w:rFonts w:asciiTheme="minorHAnsi" w:hAnsiTheme="minorHAnsi" w:cstheme="minorHAnsi"/>
          <w:szCs w:val="24"/>
        </w:rPr>
        <w:t xml:space="preserve"> </w:t>
      </w:r>
      <w:r w:rsidR="007D6320" w:rsidRPr="00775B78">
        <w:rPr>
          <w:rFonts w:asciiTheme="minorHAnsi" w:hAnsiTheme="minorHAnsi" w:cstheme="minorHAnsi"/>
          <w:szCs w:val="24"/>
        </w:rPr>
        <w:t xml:space="preserve">Measures will be taken </w:t>
      </w:r>
      <w:r w:rsidR="009E2D42" w:rsidRPr="00775B78">
        <w:rPr>
          <w:rFonts w:asciiTheme="minorHAnsi" w:hAnsiTheme="minorHAnsi" w:cstheme="minorHAnsi"/>
          <w:szCs w:val="24"/>
        </w:rPr>
        <w:t xml:space="preserve">throughout </w:t>
      </w:r>
      <w:r w:rsidR="007D6320" w:rsidRPr="00775B78">
        <w:rPr>
          <w:rFonts w:asciiTheme="minorHAnsi" w:hAnsiTheme="minorHAnsi" w:cstheme="minorHAnsi"/>
          <w:szCs w:val="24"/>
        </w:rPr>
        <w:t xml:space="preserve">the rest of the year to ensure </w:t>
      </w:r>
      <w:r w:rsidR="009E2D42" w:rsidRPr="00775B78">
        <w:rPr>
          <w:rFonts w:asciiTheme="minorHAnsi" w:hAnsiTheme="minorHAnsi" w:cstheme="minorHAnsi"/>
          <w:szCs w:val="24"/>
        </w:rPr>
        <w:t xml:space="preserve">balanced </w:t>
      </w:r>
      <w:r w:rsidR="007D6320" w:rsidRPr="00775B78">
        <w:rPr>
          <w:rFonts w:asciiTheme="minorHAnsi" w:hAnsiTheme="minorHAnsi" w:cstheme="minorHAnsi"/>
          <w:szCs w:val="24"/>
        </w:rPr>
        <w:t>budget implementation.</w:t>
      </w:r>
    </w:p>
    <w:p w14:paraId="16566EB5" w14:textId="6887D8D2" w:rsidR="00A514A4" w:rsidRPr="00634A26" w:rsidRDefault="00C5024F" w:rsidP="00A12551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720"/>
        <w:jc w:val="center"/>
        <w:textAlignment w:val="auto"/>
      </w:pPr>
      <w:r w:rsidRPr="00634A26">
        <w:t>______________</w:t>
      </w:r>
    </w:p>
    <w:sectPr w:rsidR="00A514A4" w:rsidRPr="00634A26" w:rsidSect="00AD3606">
      <w:footerReference w:type="default" r:id="rId13"/>
      <w:headerReference w:type="first" r:id="rId14"/>
      <w:footerReference w:type="first" r:id="rId15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10DE5" w14:textId="77777777" w:rsidR="003419E7" w:rsidRDefault="003419E7">
      <w:r>
        <w:separator/>
      </w:r>
    </w:p>
  </w:endnote>
  <w:endnote w:type="continuationSeparator" w:id="0">
    <w:p w14:paraId="113AE4FF" w14:textId="77777777" w:rsidR="003419E7" w:rsidRDefault="00341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xt2 W1G Medium"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EE49E8" w:rsidRPr="00784011" w14:paraId="3C2EDA0B" w14:textId="77777777" w:rsidTr="0042469C">
      <w:trPr>
        <w:jc w:val="center"/>
      </w:trPr>
      <w:tc>
        <w:tcPr>
          <w:tcW w:w="1803" w:type="dxa"/>
          <w:vAlign w:val="center"/>
        </w:tcPr>
        <w:p w14:paraId="3FDA5160" w14:textId="5C75474E" w:rsidR="00EE49E8" w:rsidRDefault="00EE49E8" w:rsidP="00EE49E8">
          <w:pPr>
            <w:pStyle w:val="Header"/>
            <w:jc w:val="left"/>
            <w:rPr>
              <w:noProof/>
            </w:rPr>
          </w:pPr>
          <w:r>
            <w:rPr>
              <w:noProof/>
            </w:rPr>
            <w:t xml:space="preserve">DPS </w:t>
          </w:r>
          <w:r w:rsidR="002306EA">
            <w:rPr>
              <w:noProof/>
            </w:rPr>
            <w:t>520359</w:t>
          </w:r>
        </w:p>
      </w:tc>
      <w:tc>
        <w:tcPr>
          <w:tcW w:w="8261" w:type="dxa"/>
        </w:tcPr>
        <w:p w14:paraId="35709C74" w14:textId="035E4F2F" w:rsidR="00EE49E8" w:rsidRPr="00E06FD5" w:rsidRDefault="00EE49E8" w:rsidP="00EE49E8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AD424E">
            <w:rPr>
              <w:bCs/>
            </w:rPr>
            <w:t>3</w:t>
          </w:r>
          <w:r w:rsidRPr="00623AE3">
            <w:rPr>
              <w:bCs/>
            </w:rPr>
            <w:t>/</w:t>
          </w:r>
          <w:r w:rsidR="008531B3">
            <w:rPr>
              <w:bCs/>
            </w:rPr>
            <w:t>9</w:t>
          </w:r>
          <w:r w:rsidRPr="00623AE3">
            <w:rPr>
              <w:bCs/>
            </w:rPr>
            <w:t>-E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6C6FB1E8" w14:textId="77777777" w:rsidR="00EE49E8" w:rsidRPr="00DB1936" w:rsidRDefault="00EE49E8" w:rsidP="00EE49E8">
    <w:pPr>
      <w:pStyle w:val="Header"/>
      <w:tabs>
        <w:tab w:val="left" w:pos="8080"/>
        <w:tab w:val="right" w:pos="9072"/>
      </w:tabs>
      <w:jc w:val="left"/>
      <w:rPr>
        <w:bCs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EE49E8" w:rsidRPr="00784011" w14:paraId="5B19715E" w14:textId="77777777" w:rsidTr="00EE49E8">
      <w:trPr>
        <w:jc w:val="center"/>
      </w:trPr>
      <w:tc>
        <w:tcPr>
          <w:tcW w:w="1803" w:type="dxa"/>
          <w:vAlign w:val="center"/>
        </w:tcPr>
        <w:p w14:paraId="0BE27363" w14:textId="77777777" w:rsidR="00EE49E8" w:rsidRDefault="00982D76" w:rsidP="00EE49E8">
          <w:pPr>
            <w:pStyle w:val="Header"/>
            <w:jc w:val="left"/>
            <w:rPr>
              <w:noProof/>
            </w:rPr>
          </w:pPr>
          <w:hyperlink r:id="rId1" w:history="1">
            <w:r w:rsidR="00EE49E8" w:rsidRPr="00A514A4">
              <w:rPr>
                <w:rStyle w:val="Hyperlink"/>
                <w:szCs w:val="14"/>
                <w:u w:val="none"/>
              </w:rPr>
              <w:t>www.itu.int/council</w:t>
            </w:r>
          </w:hyperlink>
        </w:p>
      </w:tc>
      <w:tc>
        <w:tcPr>
          <w:tcW w:w="8261" w:type="dxa"/>
        </w:tcPr>
        <w:p w14:paraId="09715012" w14:textId="51A87397" w:rsidR="00EE49E8" w:rsidRPr="00E06FD5" w:rsidRDefault="00EE49E8" w:rsidP="00EE49E8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AD424E">
            <w:rPr>
              <w:bCs/>
            </w:rPr>
            <w:t>3</w:t>
          </w:r>
          <w:r w:rsidRPr="00623AE3">
            <w:rPr>
              <w:bCs/>
            </w:rPr>
            <w:t>/</w:t>
          </w:r>
          <w:r w:rsidR="008531B3">
            <w:rPr>
              <w:bCs/>
            </w:rPr>
            <w:t>9</w:t>
          </w:r>
          <w:r w:rsidRPr="00623AE3">
            <w:rPr>
              <w:bCs/>
            </w:rPr>
            <w:t>-E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7A1F1124" w14:textId="77777777" w:rsidR="00A514A4" w:rsidRPr="00623AE3" w:rsidRDefault="00A514A4" w:rsidP="00EE49E8">
    <w:pPr>
      <w:pStyle w:val="Header"/>
      <w:tabs>
        <w:tab w:val="left" w:pos="8080"/>
        <w:tab w:val="right" w:pos="9072"/>
      </w:tabs>
      <w:jc w:val="right"/>
      <w:rPr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A27E2E" w14:textId="77777777" w:rsidR="003419E7" w:rsidRDefault="003419E7">
      <w:r>
        <w:t>____________________</w:t>
      </w:r>
    </w:p>
  </w:footnote>
  <w:footnote w:type="continuationSeparator" w:id="0">
    <w:p w14:paraId="4DBD319D" w14:textId="77777777" w:rsidR="003419E7" w:rsidRDefault="003419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0"/>
      <w:gridCol w:w="5630"/>
    </w:tblGrid>
    <w:tr w:rsidR="00AD3606" w:rsidRPr="00784011" w14:paraId="711CDDAA" w14:textId="77777777" w:rsidTr="00C91CFC">
      <w:trPr>
        <w:trHeight w:val="1104"/>
        <w:jc w:val="center"/>
      </w:trPr>
      <w:tc>
        <w:tcPr>
          <w:tcW w:w="4390" w:type="dxa"/>
          <w:vAlign w:val="center"/>
        </w:tcPr>
        <w:p w14:paraId="3AC295DD" w14:textId="77777777" w:rsidR="00AD3606" w:rsidRPr="009621F8" w:rsidRDefault="00AD3606" w:rsidP="00AD3606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r>
            <w:rPr>
              <w:noProof/>
            </w:rPr>
            <w:drawing>
              <wp:inline distT="0" distB="0" distL="0" distR="0" wp14:anchorId="4627FAF5" wp14:editId="06D35C67">
                <wp:extent cx="1906471" cy="534171"/>
                <wp:effectExtent l="0" t="0" r="0" b="0"/>
                <wp:docPr id="6" name="Graphic 6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Graphic 6" descr="Logo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19009" cy="5376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55FC14DA" w14:textId="77777777" w:rsidR="00AD3606" w:rsidRDefault="00AD3606" w:rsidP="00AD3606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42B8D9AB" w14:textId="77777777" w:rsidR="00AD3606" w:rsidRDefault="00AD3606" w:rsidP="00AD3606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4883533B" w14:textId="77777777" w:rsidR="00AD3606" w:rsidRPr="00784011" w:rsidRDefault="00AD3606" w:rsidP="00AD3606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p w14:paraId="7B70BDC9" w14:textId="77777777" w:rsidR="00AD3606" w:rsidRDefault="00AD3606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58C9542" wp14:editId="2D470DDF">
              <wp:simplePos x="0" y="0"/>
              <wp:positionH relativeFrom="page">
                <wp:posOffset>13030</wp:posOffset>
              </wp:positionH>
              <wp:positionV relativeFrom="topMargin">
                <wp:posOffset>645160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69A3B20" id="Rectangle 5" o:spid="_x0000_s1026" style="position:absolute;margin-left:1.05pt;margin-top:50.8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" fillcolor="#009cd5" stroked="f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A651894"/>
    <w:multiLevelType w:val="multilevel"/>
    <w:tmpl w:val="CEBEEC1E"/>
    <w:lvl w:ilvl="0">
      <w:start w:val="1"/>
      <w:numFmt w:val="decimal"/>
      <w:lvlText w:val="%1"/>
      <w:lvlJc w:val="left"/>
      <w:pPr>
        <w:ind w:left="1848" w:hanging="360"/>
      </w:pPr>
      <w:rPr>
        <w:rFonts w:cs="Times New Roman" w:hint="default"/>
        <w:b/>
        <w:bCs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2103" w:hanging="61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20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208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5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56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92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92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288" w:hanging="1800"/>
      </w:pPr>
      <w:rPr>
        <w:rFonts w:cs="Times New Roman" w:hint="default"/>
      </w:rPr>
    </w:lvl>
  </w:abstractNum>
  <w:num w:numId="1" w16cid:durableId="1374816267">
    <w:abstractNumId w:val="0"/>
  </w:num>
  <w:num w:numId="2" w16cid:durableId="2967621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proofState w:spelling="clean" w:grammar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171"/>
    <w:rsid w:val="00002D75"/>
    <w:rsid w:val="000210D4"/>
    <w:rsid w:val="00063016"/>
    <w:rsid w:val="00066795"/>
    <w:rsid w:val="000714B7"/>
    <w:rsid w:val="00076AF6"/>
    <w:rsid w:val="00081F67"/>
    <w:rsid w:val="00085CF2"/>
    <w:rsid w:val="000B1705"/>
    <w:rsid w:val="000D42CD"/>
    <w:rsid w:val="000D75B2"/>
    <w:rsid w:val="000F492A"/>
    <w:rsid w:val="001121F5"/>
    <w:rsid w:val="001400DC"/>
    <w:rsid w:val="00140CE1"/>
    <w:rsid w:val="0015213B"/>
    <w:rsid w:val="0017539C"/>
    <w:rsid w:val="00175AC2"/>
    <w:rsid w:val="0017609F"/>
    <w:rsid w:val="00197584"/>
    <w:rsid w:val="001A7D1D"/>
    <w:rsid w:val="001B2E0D"/>
    <w:rsid w:val="001B51DD"/>
    <w:rsid w:val="001C0EAB"/>
    <w:rsid w:val="001C628E"/>
    <w:rsid w:val="001E0F7B"/>
    <w:rsid w:val="002119FD"/>
    <w:rsid w:val="002130E0"/>
    <w:rsid w:val="002306EA"/>
    <w:rsid w:val="00264425"/>
    <w:rsid w:val="00265875"/>
    <w:rsid w:val="0027303B"/>
    <w:rsid w:val="0028109B"/>
    <w:rsid w:val="00281D4B"/>
    <w:rsid w:val="002A2188"/>
    <w:rsid w:val="002B1F58"/>
    <w:rsid w:val="002C1C7A"/>
    <w:rsid w:val="002C54E2"/>
    <w:rsid w:val="002D7D09"/>
    <w:rsid w:val="0030160F"/>
    <w:rsid w:val="00320223"/>
    <w:rsid w:val="00322D0D"/>
    <w:rsid w:val="003419E7"/>
    <w:rsid w:val="00352243"/>
    <w:rsid w:val="00361465"/>
    <w:rsid w:val="00386C97"/>
    <w:rsid w:val="003877F5"/>
    <w:rsid w:val="003942D4"/>
    <w:rsid w:val="003958A8"/>
    <w:rsid w:val="003A02F6"/>
    <w:rsid w:val="003C2533"/>
    <w:rsid w:val="003D0EB6"/>
    <w:rsid w:val="003D5A7F"/>
    <w:rsid w:val="003E350E"/>
    <w:rsid w:val="0040435A"/>
    <w:rsid w:val="00416A24"/>
    <w:rsid w:val="00431D9E"/>
    <w:rsid w:val="00433CE8"/>
    <w:rsid w:val="00434A5C"/>
    <w:rsid w:val="004544D9"/>
    <w:rsid w:val="004704D8"/>
    <w:rsid w:val="00472BAD"/>
    <w:rsid w:val="00484009"/>
    <w:rsid w:val="00490E72"/>
    <w:rsid w:val="00491157"/>
    <w:rsid w:val="004921C8"/>
    <w:rsid w:val="00495B0B"/>
    <w:rsid w:val="004A1B8B"/>
    <w:rsid w:val="004A76EB"/>
    <w:rsid w:val="004C4071"/>
    <w:rsid w:val="004D1851"/>
    <w:rsid w:val="004D599D"/>
    <w:rsid w:val="004E2EA5"/>
    <w:rsid w:val="004E3AEB"/>
    <w:rsid w:val="004E673A"/>
    <w:rsid w:val="0050223C"/>
    <w:rsid w:val="005243FF"/>
    <w:rsid w:val="00564FBC"/>
    <w:rsid w:val="005800BC"/>
    <w:rsid w:val="00582442"/>
    <w:rsid w:val="005F3269"/>
    <w:rsid w:val="00623AE3"/>
    <w:rsid w:val="006309AA"/>
    <w:rsid w:val="00634A26"/>
    <w:rsid w:val="0064737F"/>
    <w:rsid w:val="00652B07"/>
    <w:rsid w:val="006535F1"/>
    <w:rsid w:val="0065557D"/>
    <w:rsid w:val="00660D50"/>
    <w:rsid w:val="00662984"/>
    <w:rsid w:val="006716BB"/>
    <w:rsid w:val="00674655"/>
    <w:rsid w:val="006A6D8A"/>
    <w:rsid w:val="006B1859"/>
    <w:rsid w:val="006B6680"/>
    <w:rsid w:val="006B6DCC"/>
    <w:rsid w:val="00702DEF"/>
    <w:rsid w:val="00706861"/>
    <w:rsid w:val="0075051B"/>
    <w:rsid w:val="007606CC"/>
    <w:rsid w:val="00775B78"/>
    <w:rsid w:val="00784029"/>
    <w:rsid w:val="00793188"/>
    <w:rsid w:val="00794D34"/>
    <w:rsid w:val="007D1D60"/>
    <w:rsid w:val="007D6320"/>
    <w:rsid w:val="00813E5E"/>
    <w:rsid w:val="0083581B"/>
    <w:rsid w:val="008531B3"/>
    <w:rsid w:val="00863874"/>
    <w:rsid w:val="00864AFF"/>
    <w:rsid w:val="00865925"/>
    <w:rsid w:val="008746B2"/>
    <w:rsid w:val="0088432E"/>
    <w:rsid w:val="008B4A6A"/>
    <w:rsid w:val="008C7E27"/>
    <w:rsid w:val="008F6059"/>
    <w:rsid w:val="008F7448"/>
    <w:rsid w:val="0090147A"/>
    <w:rsid w:val="009173EF"/>
    <w:rsid w:val="00932906"/>
    <w:rsid w:val="00941694"/>
    <w:rsid w:val="00961B0B"/>
    <w:rsid w:val="00982D76"/>
    <w:rsid w:val="0099100D"/>
    <w:rsid w:val="009B38C3"/>
    <w:rsid w:val="009C50C4"/>
    <w:rsid w:val="009D4B81"/>
    <w:rsid w:val="009D690C"/>
    <w:rsid w:val="009E17BD"/>
    <w:rsid w:val="009E2D42"/>
    <w:rsid w:val="009E485A"/>
    <w:rsid w:val="009F1FFF"/>
    <w:rsid w:val="00A04CEC"/>
    <w:rsid w:val="00A12551"/>
    <w:rsid w:val="00A27F92"/>
    <w:rsid w:val="00A32257"/>
    <w:rsid w:val="00A36D20"/>
    <w:rsid w:val="00A514A4"/>
    <w:rsid w:val="00A54171"/>
    <w:rsid w:val="00A55622"/>
    <w:rsid w:val="00A635BE"/>
    <w:rsid w:val="00A83502"/>
    <w:rsid w:val="00AC6645"/>
    <w:rsid w:val="00AD15B3"/>
    <w:rsid w:val="00AD3606"/>
    <w:rsid w:val="00AD424E"/>
    <w:rsid w:val="00AD4A3D"/>
    <w:rsid w:val="00AF6E49"/>
    <w:rsid w:val="00B04A67"/>
    <w:rsid w:val="00B0583C"/>
    <w:rsid w:val="00B40A81"/>
    <w:rsid w:val="00B44910"/>
    <w:rsid w:val="00B71730"/>
    <w:rsid w:val="00B72267"/>
    <w:rsid w:val="00B76EB6"/>
    <w:rsid w:val="00B7737B"/>
    <w:rsid w:val="00B824C8"/>
    <w:rsid w:val="00B84B9D"/>
    <w:rsid w:val="00BC251A"/>
    <w:rsid w:val="00BD032B"/>
    <w:rsid w:val="00BE2640"/>
    <w:rsid w:val="00C00636"/>
    <w:rsid w:val="00C01189"/>
    <w:rsid w:val="00C374DE"/>
    <w:rsid w:val="00C4338B"/>
    <w:rsid w:val="00C47AD4"/>
    <w:rsid w:val="00C5024F"/>
    <w:rsid w:val="00C52D81"/>
    <w:rsid w:val="00C55198"/>
    <w:rsid w:val="00C857A3"/>
    <w:rsid w:val="00C94D5F"/>
    <w:rsid w:val="00CA6393"/>
    <w:rsid w:val="00CB18FF"/>
    <w:rsid w:val="00CD0C08"/>
    <w:rsid w:val="00CE03FB"/>
    <w:rsid w:val="00CE3353"/>
    <w:rsid w:val="00CE433C"/>
    <w:rsid w:val="00CF0161"/>
    <w:rsid w:val="00CF33F3"/>
    <w:rsid w:val="00D06183"/>
    <w:rsid w:val="00D22C42"/>
    <w:rsid w:val="00D65041"/>
    <w:rsid w:val="00D94E88"/>
    <w:rsid w:val="00D95FDE"/>
    <w:rsid w:val="00DB1936"/>
    <w:rsid w:val="00DB384B"/>
    <w:rsid w:val="00DF0189"/>
    <w:rsid w:val="00DF18C7"/>
    <w:rsid w:val="00E06FD5"/>
    <w:rsid w:val="00E10E80"/>
    <w:rsid w:val="00E124F0"/>
    <w:rsid w:val="00E30941"/>
    <w:rsid w:val="00E5453F"/>
    <w:rsid w:val="00E55124"/>
    <w:rsid w:val="00E60F04"/>
    <w:rsid w:val="00E64FDC"/>
    <w:rsid w:val="00E65B24"/>
    <w:rsid w:val="00E854E4"/>
    <w:rsid w:val="00E86DBF"/>
    <w:rsid w:val="00EB0D6F"/>
    <w:rsid w:val="00EB2232"/>
    <w:rsid w:val="00EC5337"/>
    <w:rsid w:val="00EE49E8"/>
    <w:rsid w:val="00F16BAB"/>
    <w:rsid w:val="00F2150A"/>
    <w:rsid w:val="00F22498"/>
    <w:rsid w:val="00F231D8"/>
    <w:rsid w:val="00F44C00"/>
    <w:rsid w:val="00F46C5F"/>
    <w:rsid w:val="00F632C0"/>
    <w:rsid w:val="00F94A63"/>
    <w:rsid w:val="00FA1C28"/>
    <w:rsid w:val="00FB1279"/>
    <w:rsid w:val="00FB6B76"/>
    <w:rsid w:val="00FB7596"/>
    <w:rsid w:val="00FE4077"/>
    <w:rsid w:val="00FE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CA76F2F"/>
  <w15:docId w15:val="{4C1A66F7-C213-4887-BEDE-8DB6A3978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C54E2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13E5E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13E5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13E5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13E5E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813E5E"/>
    <w:pPr>
      <w:outlineLvl w:val="4"/>
    </w:pPr>
  </w:style>
  <w:style w:type="paragraph" w:styleId="Heading6">
    <w:name w:val="heading 6"/>
    <w:basedOn w:val="Heading4"/>
    <w:next w:val="Normal"/>
    <w:qFormat/>
    <w:rsid w:val="00813E5E"/>
    <w:pPr>
      <w:outlineLvl w:val="5"/>
    </w:pPr>
  </w:style>
  <w:style w:type="paragraph" w:styleId="Heading7">
    <w:name w:val="heading 7"/>
    <w:basedOn w:val="Heading4"/>
    <w:next w:val="Normal"/>
    <w:qFormat/>
    <w:rsid w:val="00813E5E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813E5E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813E5E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4D1851"/>
    <w:pPr>
      <w:ind w:left="1698"/>
    </w:pPr>
  </w:style>
  <w:style w:type="paragraph" w:styleId="Index6">
    <w:name w:val="index 6"/>
    <w:basedOn w:val="Normal"/>
    <w:next w:val="Normal"/>
    <w:rsid w:val="004D1851"/>
    <w:pPr>
      <w:ind w:left="1415"/>
    </w:pPr>
  </w:style>
  <w:style w:type="paragraph" w:styleId="Index5">
    <w:name w:val="index 5"/>
    <w:basedOn w:val="Normal"/>
    <w:next w:val="Normal"/>
    <w:rsid w:val="004D1851"/>
    <w:pPr>
      <w:ind w:left="1132"/>
    </w:pPr>
  </w:style>
  <w:style w:type="paragraph" w:styleId="Index4">
    <w:name w:val="index 4"/>
    <w:basedOn w:val="Normal"/>
    <w:next w:val="Normal"/>
    <w:rsid w:val="004D1851"/>
    <w:pPr>
      <w:ind w:left="849"/>
    </w:pPr>
  </w:style>
  <w:style w:type="paragraph" w:styleId="Index3">
    <w:name w:val="index 3"/>
    <w:basedOn w:val="Normal"/>
    <w:next w:val="Normal"/>
    <w:rsid w:val="004D1851"/>
    <w:pPr>
      <w:ind w:left="566"/>
    </w:pPr>
  </w:style>
  <w:style w:type="paragraph" w:styleId="Index2">
    <w:name w:val="index 2"/>
    <w:basedOn w:val="Normal"/>
    <w:next w:val="Normal"/>
    <w:rsid w:val="004D1851"/>
    <w:pPr>
      <w:ind w:left="283"/>
    </w:pPr>
  </w:style>
  <w:style w:type="paragraph" w:styleId="Index1">
    <w:name w:val="index 1"/>
    <w:basedOn w:val="Normal"/>
    <w:next w:val="Normal"/>
    <w:rsid w:val="004D1851"/>
  </w:style>
  <w:style w:type="character" w:styleId="LineNumber">
    <w:name w:val="line number"/>
    <w:basedOn w:val="DefaultParagraphFont"/>
    <w:rsid w:val="004D1851"/>
  </w:style>
  <w:style w:type="paragraph" w:styleId="IndexHeading">
    <w:name w:val="index heading"/>
    <w:basedOn w:val="Normal"/>
    <w:next w:val="Index1"/>
    <w:rsid w:val="004D1851"/>
  </w:style>
  <w:style w:type="paragraph" w:styleId="Footer">
    <w:name w:val="foot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aliases w:val="encabezado"/>
    <w:basedOn w:val="Normal"/>
    <w:link w:val="HeaderChar"/>
    <w:uiPriority w:val="99"/>
    <w:rsid w:val="005800B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color w:val="7F7F7F" w:themeColor="text1" w:themeTint="80"/>
      <w:sz w:val="18"/>
    </w:rPr>
  </w:style>
  <w:style w:type="character" w:styleId="FootnoteReference">
    <w:name w:val="footnote reference"/>
    <w:basedOn w:val="DefaultParagraphFont"/>
    <w:rsid w:val="00813E5E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813E5E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813E5E"/>
    <w:pPr>
      <w:ind w:left="567"/>
    </w:pPr>
  </w:style>
  <w:style w:type="paragraph" w:customStyle="1" w:styleId="enumlev1">
    <w:name w:val="enumlev1"/>
    <w:basedOn w:val="Normal"/>
    <w:rsid w:val="00813E5E"/>
    <w:pPr>
      <w:spacing w:before="86"/>
      <w:ind w:left="567" w:hanging="567"/>
    </w:pPr>
  </w:style>
  <w:style w:type="paragraph" w:customStyle="1" w:styleId="enumlev2">
    <w:name w:val="enumlev2"/>
    <w:basedOn w:val="enumlev1"/>
    <w:rsid w:val="00813E5E"/>
    <w:pPr>
      <w:ind w:left="1134"/>
    </w:pPr>
  </w:style>
  <w:style w:type="paragraph" w:customStyle="1" w:styleId="enumlev3">
    <w:name w:val="enumlev3"/>
    <w:basedOn w:val="enumlev2"/>
    <w:rsid w:val="00813E5E"/>
    <w:pPr>
      <w:ind w:left="1701"/>
    </w:pPr>
  </w:style>
  <w:style w:type="paragraph" w:customStyle="1" w:styleId="Normalaftertitle">
    <w:name w:val="Normal after title"/>
    <w:basedOn w:val="Normal"/>
    <w:next w:val="Normal"/>
    <w:rsid w:val="00813E5E"/>
    <w:pPr>
      <w:spacing w:before="240"/>
    </w:pPr>
  </w:style>
  <w:style w:type="character" w:customStyle="1" w:styleId="HeaderChar">
    <w:name w:val="Header Char"/>
    <w:aliases w:val="encabezado Char"/>
    <w:basedOn w:val="DefaultParagraphFont"/>
    <w:link w:val="Header"/>
    <w:rsid w:val="005800BC"/>
    <w:rPr>
      <w:rFonts w:ascii="Calibri" w:hAnsi="Calibri"/>
      <w:color w:val="7F7F7F" w:themeColor="text1" w:themeTint="80"/>
      <w:sz w:val="18"/>
      <w:lang w:val="en-GB" w:eastAsia="en-US"/>
    </w:rPr>
  </w:style>
  <w:style w:type="paragraph" w:customStyle="1" w:styleId="Head">
    <w:name w:val="Head"/>
    <w:basedOn w:val="Normal"/>
    <w:rsid w:val="004D1851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4D1851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Source">
    <w:name w:val="Source"/>
    <w:basedOn w:val="Normal"/>
    <w:next w:val="Title1"/>
    <w:autoRedefine/>
    <w:rsid w:val="002C54E2"/>
    <w:pPr>
      <w:framePr w:hSpace="180" w:wrap="around" w:vAnchor="page" w:hAnchor="margin" w:y="2101"/>
      <w:spacing w:before="840"/>
    </w:pPr>
    <w:rPr>
      <w:b/>
      <w:sz w:val="34"/>
    </w:rPr>
  </w:style>
  <w:style w:type="paragraph" w:customStyle="1" w:styleId="meeting">
    <w:name w:val="meeting"/>
    <w:basedOn w:val="Head"/>
    <w:next w:val="Head"/>
    <w:rsid w:val="004D1851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4D1851"/>
    <w:pPr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4D1851"/>
  </w:style>
  <w:style w:type="paragraph" w:customStyle="1" w:styleId="Data">
    <w:name w:val="Data"/>
    <w:basedOn w:val="Subject"/>
    <w:next w:val="Subject"/>
    <w:rsid w:val="004D1851"/>
  </w:style>
  <w:style w:type="table" w:styleId="TableGrid">
    <w:name w:val="Table Grid"/>
    <w:basedOn w:val="TableNormal"/>
    <w:uiPriority w:val="39"/>
    <w:rsid w:val="00AD3606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484009"/>
    <w:rPr>
      <w:color w:val="0563C1"/>
      <w:u w:val="single"/>
    </w:rPr>
  </w:style>
  <w:style w:type="paragraph" w:customStyle="1" w:styleId="FirstFooter">
    <w:name w:val="FirstFooter"/>
    <w:basedOn w:val="Footer"/>
    <w:rsid w:val="00813E5E"/>
    <w:rPr>
      <w:caps w:val="0"/>
    </w:rPr>
  </w:style>
  <w:style w:type="paragraph" w:customStyle="1" w:styleId="Note">
    <w:name w:val="Note"/>
    <w:basedOn w:val="Normal"/>
    <w:rsid w:val="00813E5E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4D1851"/>
  </w:style>
  <w:style w:type="paragraph" w:customStyle="1" w:styleId="Headingb">
    <w:name w:val="Heading_b"/>
    <w:basedOn w:val="Heading3"/>
    <w:next w:val="Normal"/>
    <w:rsid w:val="00813E5E"/>
    <w:pPr>
      <w:spacing w:before="160"/>
      <w:outlineLvl w:val="0"/>
    </w:pPr>
  </w:style>
  <w:style w:type="character" w:styleId="FollowedHyperlink">
    <w:name w:val="FollowedHyperlink"/>
    <w:basedOn w:val="DefaultParagraphFont"/>
    <w:rsid w:val="00813E5E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C54E2"/>
    <w:pPr>
      <w:framePr w:wrap="around"/>
      <w:spacing w:before="240"/>
    </w:pPr>
    <w:rPr>
      <w:b w:val="0"/>
    </w:rPr>
  </w:style>
  <w:style w:type="paragraph" w:customStyle="1" w:styleId="Title2">
    <w:name w:val="Title 2"/>
    <w:basedOn w:val="Source"/>
    <w:next w:val="Title3"/>
    <w:rsid w:val="00813E5E"/>
    <w:pPr>
      <w:framePr w:wrap="around"/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813E5E"/>
    <w:pPr>
      <w:framePr w:wrap="around"/>
    </w:pPr>
    <w:rPr>
      <w:caps w:val="0"/>
    </w:rPr>
  </w:style>
  <w:style w:type="paragraph" w:customStyle="1" w:styleId="Title4">
    <w:name w:val="Title 4"/>
    <w:basedOn w:val="Title3"/>
    <w:next w:val="Heading1"/>
    <w:rsid w:val="004D1851"/>
    <w:pPr>
      <w:framePr w:wrap="around"/>
    </w:pPr>
    <w:rPr>
      <w:b/>
    </w:rPr>
  </w:style>
  <w:style w:type="paragraph" w:customStyle="1" w:styleId="dnum">
    <w:name w:val="dnum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ref"/>
    <w:rsid w:val="00813E5E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813E5E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813E5E"/>
    <w:pPr>
      <w:jc w:val="center"/>
    </w:pPr>
  </w:style>
  <w:style w:type="paragraph" w:customStyle="1" w:styleId="AppendixNo">
    <w:name w:val="Appendix_No"/>
    <w:basedOn w:val="AnnexNo"/>
    <w:next w:val="Appendixref"/>
    <w:rsid w:val="00813E5E"/>
  </w:style>
  <w:style w:type="paragraph" w:customStyle="1" w:styleId="Appendixtitle">
    <w:name w:val="Appendix_title"/>
    <w:basedOn w:val="Annextitle"/>
    <w:next w:val="Normal"/>
    <w:rsid w:val="00813E5E"/>
  </w:style>
  <w:style w:type="paragraph" w:customStyle="1" w:styleId="Appendixref">
    <w:name w:val="Appendix_ref"/>
    <w:basedOn w:val="Annexref"/>
    <w:next w:val="Appendixtitle"/>
    <w:rsid w:val="00813E5E"/>
  </w:style>
  <w:style w:type="paragraph" w:customStyle="1" w:styleId="Call">
    <w:name w:val="Call"/>
    <w:basedOn w:val="Normal"/>
    <w:next w:val="Normal"/>
    <w:rsid w:val="00813E5E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Subtitle">
    <w:name w:val="Sub_title"/>
    <w:basedOn w:val="Title1"/>
    <w:qFormat/>
    <w:rsid w:val="00DF0189"/>
    <w:pPr>
      <w:framePr w:wrap="around" w:vAnchor="margin" w:hAnchor="page" w:x="1821" w:y="2317"/>
      <w:spacing w:before="120" w:after="160"/>
    </w:pPr>
  </w:style>
  <w:style w:type="paragraph" w:customStyle="1" w:styleId="Figure">
    <w:name w:val="Figure"/>
    <w:basedOn w:val="Normal"/>
    <w:next w:val="Figuretitle"/>
    <w:rsid w:val="004D1851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851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813E5E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4D1851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4D1851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4D1851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813E5E"/>
    <w:pPr>
      <w:spacing w:before="160"/>
      <w:outlineLvl w:val="0"/>
    </w:pPr>
    <w:rPr>
      <w:rFonts w:asciiTheme="minorHAnsi" w:hAnsiTheme="minorHAnsi"/>
      <w:b w:val="0"/>
      <w:i/>
    </w:rPr>
  </w:style>
  <w:style w:type="character" w:styleId="PageNumber">
    <w:name w:val="page number"/>
    <w:basedOn w:val="DefaultParagraphFont"/>
    <w:rsid w:val="00813E5E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4D1851"/>
  </w:style>
  <w:style w:type="paragraph" w:customStyle="1" w:styleId="Parttitle">
    <w:name w:val="Part_title"/>
    <w:basedOn w:val="Annextitle"/>
    <w:next w:val="Partref"/>
    <w:rsid w:val="004D1851"/>
  </w:style>
  <w:style w:type="paragraph" w:customStyle="1" w:styleId="Partref">
    <w:name w:val="Part_ref"/>
    <w:basedOn w:val="Annexref"/>
    <w:next w:val="Normalaftertitle"/>
    <w:rsid w:val="004D1851"/>
  </w:style>
  <w:style w:type="paragraph" w:customStyle="1" w:styleId="RecNo">
    <w:name w:val="Rec_No"/>
    <w:basedOn w:val="Normal"/>
    <w:next w:val="Rectitle"/>
    <w:rsid w:val="00813E5E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813E5E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4D185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4D185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1851"/>
  </w:style>
  <w:style w:type="paragraph" w:customStyle="1" w:styleId="QuestionNo">
    <w:name w:val="Question_No"/>
    <w:basedOn w:val="RecNo"/>
    <w:next w:val="Questiontitle"/>
    <w:rsid w:val="004D1851"/>
  </w:style>
  <w:style w:type="paragraph" w:customStyle="1" w:styleId="Questionref">
    <w:name w:val="Question_ref"/>
    <w:basedOn w:val="Recref"/>
    <w:next w:val="Questiondate"/>
    <w:rsid w:val="004D1851"/>
  </w:style>
  <w:style w:type="paragraph" w:customStyle="1" w:styleId="Questiontitle">
    <w:name w:val="Question_title"/>
    <w:basedOn w:val="Rectitle"/>
    <w:next w:val="Questionref"/>
    <w:rsid w:val="004D1851"/>
  </w:style>
  <w:style w:type="paragraph" w:customStyle="1" w:styleId="Reftext">
    <w:name w:val="Ref_text"/>
    <w:basedOn w:val="Normal"/>
    <w:rsid w:val="00813E5E"/>
    <w:pPr>
      <w:ind w:left="567" w:hanging="567"/>
    </w:pPr>
  </w:style>
  <w:style w:type="paragraph" w:customStyle="1" w:styleId="Reftitle">
    <w:name w:val="Ref_title"/>
    <w:basedOn w:val="Normal"/>
    <w:next w:val="Reftext"/>
    <w:rsid w:val="00813E5E"/>
    <w:pPr>
      <w:spacing w:before="480"/>
      <w:jc w:val="center"/>
    </w:pPr>
    <w:rPr>
      <w:caps/>
      <w:sz w:val="28"/>
    </w:rPr>
  </w:style>
  <w:style w:type="paragraph" w:customStyle="1" w:styleId="Resdate">
    <w:name w:val="Res_date"/>
    <w:basedOn w:val="Recdate"/>
    <w:next w:val="Normalaftertitle"/>
    <w:rsid w:val="004D1851"/>
  </w:style>
  <w:style w:type="paragraph" w:customStyle="1" w:styleId="ResNo">
    <w:name w:val="Res_No"/>
    <w:basedOn w:val="AnnexNo"/>
    <w:next w:val="Restitle"/>
    <w:rsid w:val="00813E5E"/>
  </w:style>
  <w:style w:type="paragraph" w:customStyle="1" w:styleId="Restitle">
    <w:name w:val="Res_title"/>
    <w:basedOn w:val="Annextitle"/>
    <w:next w:val="Normal"/>
    <w:rsid w:val="00813E5E"/>
  </w:style>
  <w:style w:type="paragraph" w:customStyle="1" w:styleId="Resref">
    <w:name w:val="Res_ref"/>
    <w:basedOn w:val="Recref"/>
    <w:next w:val="Resdate"/>
    <w:rsid w:val="004D1851"/>
  </w:style>
  <w:style w:type="paragraph" w:customStyle="1" w:styleId="SectionNo">
    <w:name w:val="Section_No"/>
    <w:basedOn w:val="AnnexNo"/>
    <w:next w:val="Sectiontitle"/>
    <w:rsid w:val="004D1851"/>
  </w:style>
  <w:style w:type="paragraph" w:customStyle="1" w:styleId="Sectiontitle">
    <w:name w:val="Section_title"/>
    <w:basedOn w:val="Normal"/>
    <w:next w:val="Normalaftertitle"/>
    <w:rsid w:val="004D1851"/>
    <w:rPr>
      <w:sz w:val="28"/>
    </w:rPr>
  </w:style>
  <w:style w:type="paragraph" w:customStyle="1" w:styleId="Tablehead">
    <w:name w:val="Table_head"/>
    <w:basedOn w:val="Tabletext"/>
    <w:rsid w:val="00813E5E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813E5E"/>
    <w:pPr>
      <w:spacing w:before="120"/>
    </w:pPr>
  </w:style>
  <w:style w:type="paragraph" w:customStyle="1" w:styleId="Tableref">
    <w:name w:val="Table_ref"/>
    <w:basedOn w:val="Normal"/>
    <w:next w:val="Tabletitle"/>
    <w:rsid w:val="004D1851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813E5E"/>
  </w:style>
  <w:style w:type="paragraph" w:customStyle="1" w:styleId="Chaptitle">
    <w:name w:val="Chap_title"/>
    <w:basedOn w:val="Arttitle"/>
    <w:next w:val="Normal"/>
    <w:rsid w:val="00813E5E"/>
  </w:style>
  <w:style w:type="character" w:styleId="UnresolvedMention">
    <w:name w:val="Unresolved Mention"/>
    <w:basedOn w:val="DefaultParagraphFont"/>
    <w:uiPriority w:val="99"/>
    <w:semiHidden/>
    <w:unhideWhenUsed/>
    <w:rsid w:val="0019758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E2D42"/>
    <w:rPr>
      <w:rFonts w:ascii="Calibri" w:hAnsi="Calibri"/>
      <w:sz w:val="24"/>
      <w:lang w:val="en-GB" w:eastAsia="en-US"/>
    </w:rPr>
  </w:style>
  <w:style w:type="character" w:styleId="CommentReference">
    <w:name w:val="annotation reference"/>
    <w:basedOn w:val="DefaultParagraphFont"/>
    <w:semiHidden/>
    <w:unhideWhenUsed/>
    <w:rsid w:val="009E2D42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9E2D4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9E2D42"/>
    <w:rPr>
      <w:rFonts w:ascii="Calibri" w:hAnsi="Calibr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E2D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E2D42"/>
    <w:rPr>
      <w:rFonts w:ascii="Calibri" w:hAnsi="Calibri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S21-CL-C-0097/en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02B4DE-FC73-46C6-BFF6-6457901D3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708</Words>
  <Characters>3692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C2022, C22, Council-22</vt:lpstr>
    </vt:vector>
  </TitlesOfParts>
  <Manager>General Secretariat - Pool</Manager>
  <Company>International Telecommunication Union (ITU)</Company>
  <LinksUpToDate>false</LinksUpToDate>
  <CharactersWithSpaces>4392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ANNUAL REVIEW OF REVENUE AND EXPENSES</dc:title>
  <dc:subject>Council 2023</dc:subject>
  <dc:creator>Pluchon, Beatrice</dc:creator>
  <cp:keywords>C2023, C23, Council-23</cp:keywords>
  <dc:description/>
  <cp:lastModifiedBy>Brouard, Ricarda</cp:lastModifiedBy>
  <cp:revision>5</cp:revision>
  <cp:lastPrinted>2000-07-18T13:30:00Z</cp:lastPrinted>
  <dcterms:created xsi:type="dcterms:W3CDTF">2023-05-15T13:20:00Z</dcterms:created>
  <dcterms:modified xsi:type="dcterms:W3CDTF">2023-05-16T14:03:00Z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PE_C08.DOT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