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C32EF" w14:paraId="4C13E140" w14:textId="77777777" w:rsidTr="00D72F49">
        <w:trPr>
          <w:cantSplit/>
          <w:trHeight w:val="23"/>
        </w:trPr>
        <w:tc>
          <w:tcPr>
            <w:tcW w:w="3969" w:type="dxa"/>
            <w:vMerge w:val="restart"/>
            <w:tcMar>
              <w:left w:w="0" w:type="dxa"/>
            </w:tcMar>
          </w:tcPr>
          <w:p w14:paraId="3E127DC0" w14:textId="5425868B" w:rsidR="00D72F49" w:rsidRPr="008C32EF" w:rsidRDefault="00D72F49" w:rsidP="00146182">
            <w:pPr>
              <w:tabs>
                <w:tab w:val="left" w:pos="851"/>
              </w:tabs>
              <w:spacing w:before="0"/>
              <w:rPr>
                <w:b/>
              </w:rPr>
            </w:pPr>
            <w:r w:rsidRPr="008C32EF">
              <w:rPr>
                <w:b/>
              </w:rPr>
              <w:t xml:space="preserve">Point de l'ordre du </w:t>
            </w:r>
            <w:proofErr w:type="gramStart"/>
            <w:r w:rsidRPr="008C32EF">
              <w:rPr>
                <w:b/>
              </w:rPr>
              <w:t>jour:</w:t>
            </w:r>
            <w:proofErr w:type="gramEnd"/>
            <w:r w:rsidRPr="008C32EF">
              <w:rPr>
                <w:b/>
              </w:rPr>
              <w:t xml:space="preserve"> </w:t>
            </w:r>
            <w:r w:rsidR="00016EAF" w:rsidRPr="008C32EF">
              <w:rPr>
                <w:b/>
              </w:rPr>
              <w:t>ADM 1</w:t>
            </w:r>
          </w:p>
        </w:tc>
        <w:tc>
          <w:tcPr>
            <w:tcW w:w="5245" w:type="dxa"/>
          </w:tcPr>
          <w:p w14:paraId="666F04B1" w14:textId="74D39659" w:rsidR="00D72F49" w:rsidRPr="008C32EF" w:rsidRDefault="00D72F49" w:rsidP="00146182">
            <w:pPr>
              <w:tabs>
                <w:tab w:val="left" w:pos="851"/>
              </w:tabs>
              <w:spacing w:before="0"/>
              <w:jc w:val="right"/>
              <w:rPr>
                <w:b/>
              </w:rPr>
            </w:pPr>
            <w:r w:rsidRPr="008C32EF">
              <w:rPr>
                <w:b/>
              </w:rPr>
              <w:t>Document C23/</w:t>
            </w:r>
            <w:r w:rsidR="00016EAF" w:rsidRPr="008C32EF">
              <w:rPr>
                <w:b/>
              </w:rPr>
              <w:t>9</w:t>
            </w:r>
            <w:r w:rsidRPr="008C32EF">
              <w:rPr>
                <w:b/>
              </w:rPr>
              <w:t>-F</w:t>
            </w:r>
          </w:p>
        </w:tc>
      </w:tr>
      <w:tr w:rsidR="00D72F49" w:rsidRPr="008C32EF" w14:paraId="1B2353CA" w14:textId="77777777" w:rsidTr="00D72F49">
        <w:trPr>
          <w:cantSplit/>
        </w:trPr>
        <w:tc>
          <w:tcPr>
            <w:tcW w:w="3969" w:type="dxa"/>
            <w:vMerge/>
          </w:tcPr>
          <w:p w14:paraId="31B5441E" w14:textId="77777777" w:rsidR="00D72F49" w:rsidRPr="008C32EF" w:rsidRDefault="00D72F49" w:rsidP="00146182">
            <w:pPr>
              <w:tabs>
                <w:tab w:val="left" w:pos="851"/>
              </w:tabs>
              <w:rPr>
                <w:b/>
              </w:rPr>
            </w:pPr>
          </w:p>
        </w:tc>
        <w:tc>
          <w:tcPr>
            <w:tcW w:w="5245" w:type="dxa"/>
          </w:tcPr>
          <w:p w14:paraId="12031402" w14:textId="7E489385" w:rsidR="00D72F49" w:rsidRPr="008C32EF" w:rsidRDefault="00016EAF" w:rsidP="00146182">
            <w:pPr>
              <w:tabs>
                <w:tab w:val="left" w:pos="851"/>
              </w:tabs>
              <w:spacing w:before="0"/>
              <w:jc w:val="right"/>
              <w:rPr>
                <w:b/>
              </w:rPr>
            </w:pPr>
            <w:r w:rsidRPr="008C32EF">
              <w:rPr>
                <w:b/>
              </w:rPr>
              <w:t>16 mai</w:t>
            </w:r>
            <w:r w:rsidR="00D72F49" w:rsidRPr="008C32EF">
              <w:rPr>
                <w:b/>
              </w:rPr>
              <w:t xml:space="preserve"> 2023</w:t>
            </w:r>
          </w:p>
        </w:tc>
      </w:tr>
      <w:tr w:rsidR="00D72F49" w:rsidRPr="008C32EF" w14:paraId="40035ACB" w14:textId="77777777" w:rsidTr="00D72F49">
        <w:trPr>
          <w:cantSplit/>
          <w:trHeight w:val="23"/>
        </w:trPr>
        <w:tc>
          <w:tcPr>
            <w:tcW w:w="3969" w:type="dxa"/>
            <w:vMerge/>
          </w:tcPr>
          <w:p w14:paraId="355235AA" w14:textId="77777777" w:rsidR="00D72F49" w:rsidRPr="008C32EF" w:rsidRDefault="00D72F49" w:rsidP="00146182">
            <w:pPr>
              <w:tabs>
                <w:tab w:val="left" w:pos="851"/>
              </w:tabs>
              <w:rPr>
                <w:b/>
              </w:rPr>
            </w:pPr>
          </w:p>
        </w:tc>
        <w:tc>
          <w:tcPr>
            <w:tcW w:w="5245" w:type="dxa"/>
          </w:tcPr>
          <w:p w14:paraId="2DE186F6" w14:textId="77777777" w:rsidR="00D72F49" w:rsidRPr="008C32EF" w:rsidRDefault="00D72F49" w:rsidP="00146182">
            <w:pPr>
              <w:tabs>
                <w:tab w:val="left" w:pos="851"/>
              </w:tabs>
              <w:spacing w:before="0"/>
              <w:jc w:val="right"/>
              <w:rPr>
                <w:b/>
              </w:rPr>
            </w:pPr>
            <w:proofErr w:type="gramStart"/>
            <w:r w:rsidRPr="008C32EF">
              <w:rPr>
                <w:b/>
              </w:rPr>
              <w:t>Original:</w:t>
            </w:r>
            <w:proofErr w:type="gramEnd"/>
            <w:r w:rsidRPr="008C32EF">
              <w:rPr>
                <w:b/>
              </w:rPr>
              <w:t xml:space="preserve"> anglais</w:t>
            </w:r>
          </w:p>
        </w:tc>
      </w:tr>
      <w:tr w:rsidR="00D72F49" w:rsidRPr="008C32EF" w14:paraId="598F1173" w14:textId="77777777" w:rsidTr="00D72F49">
        <w:trPr>
          <w:cantSplit/>
          <w:trHeight w:val="23"/>
        </w:trPr>
        <w:tc>
          <w:tcPr>
            <w:tcW w:w="3969" w:type="dxa"/>
          </w:tcPr>
          <w:p w14:paraId="5BBEE5E7" w14:textId="77777777" w:rsidR="00D72F49" w:rsidRPr="008C32EF" w:rsidRDefault="00D72F49" w:rsidP="00146182">
            <w:pPr>
              <w:tabs>
                <w:tab w:val="left" w:pos="851"/>
              </w:tabs>
              <w:rPr>
                <w:b/>
              </w:rPr>
            </w:pPr>
          </w:p>
        </w:tc>
        <w:tc>
          <w:tcPr>
            <w:tcW w:w="5245" w:type="dxa"/>
          </w:tcPr>
          <w:p w14:paraId="4586A5AF" w14:textId="77777777" w:rsidR="00D72F49" w:rsidRPr="008C32EF" w:rsidRDefault="00D72F49" w:rsidP="00146182">
            <w:pPr>
              <w:tabs>
                <w:tab w:val="left" w:pos="851"/>
              </w:tabs>
              <w:spacing w:before="0"/>
              <w:jc w:val="right"/>
              <w:rPr>
                <w:b/>
              </w:rPr>
            </w:pPr>
          </w:p>
        </w:tc>
      </w:tr>
      <w:tr w:rsidR="00D72F49" w:rsidRPr="008C32EF" w14:paraId="0E533F14" w14:textId="77777777" w:rsidTr="00D72F49">
        <w:trPr>
          <w:cantSplit/>
        </w:trPr>
        <w:tc>
          <w:tcPr>
            <w:tcW w:w="9214" w:type="dxa"/>
            <w:gridSpan w:val="2"/>
            <w:tcMar>
              <w:left w:w="0" w:type="dxa"/>
            </w:tcMar>
          </w:tcPr>
          <w:p w14:paraId="609D51AD" w14:textId="252A45AB" w:rsidR="00D72F49" w:rsidRPr="008C32EF" w:rsidRDefault="00D72F49" w:rsidP="00146182">
            <w:pPr>
              <w:pStyle w:val="Source"/>
              <w:jc w:val="left"/>
              <w:rPr>
                <w:sz w:val="34"/>
                <w:szCs w:val="34"/>
              </w:rPr>
            </w:pPr>
            <w:r w:rsidRPr="008C32EF">
              <w:rPr>
                <w:rFonts w:cstheme="minorHAnsi"/>
                <w:color w:val="000000"/>
                <w:sz w:val="34"/>
                <w:szCs w:val="34"/>
              </w:rPr>
              <w:t xml:space="preserve">Rapport </w:t>
            </w:r>
            <w:r w:rsidR="00146182" w:rsidRPr="008C32EF">
              <w:rPr>
                <w:rFonts w:cstheme="minorHAnsi"/>
                <w:color w:val="000000"/>
                <w:sz w:val="34"/>
                <w:szCs w:val="34"/>
              </w:rPr>
              <w:t>de la</w:t>
            </w:r>
            <w:r w:rsidRPr="008C32EF">
              <w:rPr>
                <w:rFonts w:cstheme="minorHAnsi"/>
                <w:color w:val="000000"/>
                <w:sz w:val="34"/>
                <w:szCs w:val="34"/>
              </w:rPr>
              <w:t xml:space="preserve"> Secrétaire général</w:t>
            </w:r>
            <w:r w:rsidR="007D2ACA" w:rsidRPr="008C32EF">
              <w:rPr>
                <w:rFonts w:cstheme="minorHAnsi"/>
                <w:color w:val="000000"/>
                <w:sz w:val="34"/>
                <w:szCs w:val="34"/>
              </w:rPr>
              <w:t>e</w:t>
            </w:r>
          </w:p>
        </w:tc>
      </w:tr>
      <w:tr w:rsidR="00D72F49" w:rsidRPr="008C32EF" w14:paraId="7C6FF170" w14:textId="77777777" w:rsidTr="00D72F49">
        <w:trPr>
          <w:cantSplit/>
        </w:trPr>
        <w:tc>
          <w:tcPr>
            <w:tcW w:w="9214" w:type="dxa"/>
            <w:gridSpan w:val="2"/>
            <w:tcMar>
              <w:left w:w="0" w:type="dxa"/>
            </w:tcMar>
          </w:tcPr>
          <w:p w14:paraId="2AA7A4F4" w14:textId="54F7C793" w:rsidR="00D72F49" w:rsidRPr="008C32EF" w:rsidRDefault="00586CD1" w:rsidP="00146182">
            <w:pPr>
              <w:pStyle w:val="Subtitle"/>
              <w:framePr w:hSpace="0" w:wrap="auto" w:hAnchor="text" w:xAlign="left" w:yAlign="inline"/>
              <w:rPr>
                <w:lang w:val="fr-FR"/>
              </w:rPr>
            </w:pPr>
            <w:bookmarkStart w:id="0" w:name="_Hlk138347505"/>
            <w:r w:rsidRPr="008C32EF">
              <w:rPr>
                <w:rFonts w:cstheme="minorHAnsi"/>
                <w:lang w:val="fr-FR"/>
              </w:rPr>
              <w:t>EXAMEN ANNUEL DES PRODUITS ET DES CHARGES</w:t>
            </w:r>
            <w:r w:rsidRPr="008C32EF">
              <w:rPr>
                <w:lang w:val="fr-FR"/>
              </w:rPr>
              <w:t xml:space="preserve"> </w:t>
            </w:r>
            <w:r w:rsidRPr="008C32EF">
              <w:rPr>
                <w:rFonts w:cstheme="minorHAnsi"/>
                <w:lang w:val="fr-FR"/>
              </w:rPr>
              <w:t>DANS LE CADRE DE LA MISE EN ŒUVRE DU BUDGET 2023</w:t>
            </w:r>
            <w:bookmarkEnd w:id="0"/>
          </w:p>
        </w:tc>
      </w:tr>
      <w:tr w:rsidR="00D72F49" w:rsidRPr="008C32EF" w14:paraId="38F02CB9" w14:textId="77777777" w:rsidTr="00D72F49">
        <w:trPr>
          <w:cantSplit/>
        </w:trPr>
        <w:tc>
          <w:tcPr>
            <w:tcW w:w="9214" w:type="dxa"/>
            <w:gridSpan w:val="2"/>
            <w:tcBorders>
              <w:top w:val="single" w:sz="4" w:space="0" w:color="auto"/>
              <w:bottom w:val="single" w:sz="4" w:space="0" w:color="auto"/>
            </w:tcBorders>
            <w:tcMar>
              <w:left w:w="0" w:type="dxa"/>
            </w:tcMar>
          </w:tcPr>
          <w:p w14:paraId="6D8E5CDB" w14:textId="67560C4D" w:rsidR="00D72F49" w:rsidRPr="008C32EF" w:rsidRDefault="00146182" w:rsidP="00146182">
            <w:pPr>
              <w:spacing w:before="160"/>
              <w:rPr>
                <w:b/>
                <w:bCs/>
                <w:sz w:val="26"/>
                <w:szCs w:val="26"/>
              </w:rPr>
            </w:pPr>
            <w:r w:rsidRPr="008C32EF">
              <w:rPr>
                <w:b/>
                <w:bCs/>
                <w:sz w:val="26"/>
                <w:szCs w:val="26"/>
              </w:rPr>
              <w:t>Objet</w:t>
            </w:r>
          </w:p>
          <w:p w14:paraId="18AA1316" w14:textId="507BEB2F" w:rsidR="00016EAF" w:rsidRPr="008C32EF" w:rsidRDefault="00016EAF" w:rsidP="00146182">
            <w:r w:rsidRPr="008C32EF">
              <w:t>Le présent document expose les principaux éléments de la mise en œuvre du budget pour 2023, conformément au numéro 73 de la Convention de l'UIT, qui dispose que le</w:t>
            </w:r>
            <w:r w:rsidR="007D2ACA" w:rsidRPr="008C32EF">
              <w:t> </w:t>
            </w:r>
            <w:r w:rsidRPr="008C32EF">
              <w:t>Conseil procède à un examen annuel des produits et des charges.</w:t>
            </w:r>
          </w:p>
          <w:p w14:paraId="08AFC8CD" w14:textId="77777777" w:rsidR="00D72F49" w:rsidRPr="008C32EF" w:rsidRDefault="00D72F49" w:rsidP="00146182">
            <w:pPr>
              <w:spacing w:before="160"/>
              <w:rPr>
                <w:b/>
                <w:bCs/>
                <w:sz w:val="26"/>
                <w:szCs w:val="26"/>
              </w:rPr>
            </w:pPr>
            <w:proofErr w:type="gramStart"/>
            <w:r w:rsidRPr="008C32EF">
              <w:rPr>
                <w:b/>
                <w:bCs/>
                <w:sz w:val="26"/>
                <w:szCs w:val="26"/>
              </w:rPr>
              <w:t>Suite à</w:t>
            </w:r>
            <w:proofErr w:type="gramEnd"/>
            <w:r w:rsidRPr="008C32EF">
              <w:rPr>
                <w:b/>
                <w:bCs/>
                <w:sz w:val="26"/>
                <w:szCs w:val="26"/>
              </w:rPr>
              <w:t xml:space="preserve"> donner par le Conseil</w:t>
            </w:r>
          </w:p>
          <w:p w14:paraId="5AB70BC8" w14:textId="02901C8E" w:rsidR="00D72F49" w:rsidRPr="008C32EF" w:rsidRDefault="00016EAF" w:rsidP="00146182">
            <w:r w:rsidRPr="008C32EF">
              <w:t xml:space="preserve">Le Conseil est invité à </w:t>
            </w:r>
            <w:r w:rsidR="00146182" w:rsidRPr="008C32EF">
              <w:rPr>
                <w:b/>
              </w:rPr>
              <w:t>prendre note</w:t>
            </w:r>
            <w:r w:rsidR="00146182" w:rsidRPr="008C32EF">
              <w:rPr>
                <w:bCs/>
              </w:rPr>
              <w:t xml:space="preserve"> du</w:t>
            </w:r>
            <w:r w:rsidRPr="008C32EF">
              <w:t xml:space="preserve"> présent document.</w:t>
            </w:r>
          </w:p>
          <w:p w14:paraId="3B4BD10C" w14:textId="258FCC13" w:rsidR="00D72F49" w:rsidRPr="008C32EF" w:rsidRDefault="00D72F49" w:rsidP="00146182">
            <w:pPr>
              <w:spacing w:before="160"/>
              <w:rPr>
                <w:b/>
                <w:bCs/>
                <w:sz w:val="26"/>
                <w:szCs w:val="26"/>
              </w:rPr>
            </w:pPr>
            <w:r w:rsidRPr="008C32EF">
              <w:rPr>
                <w:b/>
                <w:bCs/>
                <w:sz w:val="26"/>
                <w:szCs w:val="26"/>
              </w:rPr>
              <w:t xml:space="preserve">Lien(s) pertinent(s) avec le </w:t>
            </w:r>
            <w:r w:rsidR="00084D86" w:rsidRPr="008C32EF">
              <w:rPr>
                <w:b/>
                <w:bCs/>
                <w:sz w:val="26"/>
                <w:szCs w:val="26"/>
              </w:rPr>
              <w:t xml:space="preserve">plan </w:t>
            </w:r>
            <w:r w:rsidRPr="008C32EF">
              <w:rPr>
                <w:b/>
                <w:bCs/>
                <w:sz w:val="26"/>
                <w:szCs w:val="26"/>
              </w:rPr>
              <w:t>stratégique</w:t>
            </w:r>
          </w:p>
          <w:p w14:paraId="669F8795" w14:textId="4C549CF1" w:rsidR="00D72F49" w:rsidRPr="008C32EF" w:rsidRDefault="00146182" w:rsidP="00146182">
            <w:r w:rsidRPr="008C32EF">
              <w:t>Le</w:t>
            </w:r>
            <w:r w:rsidR="00016EAF" w:rsidRPr="008C32EF">
              <w:t xml:space="preserve"> budget </w:t>
            </w:r>
            <w:r w:rsidRPr="008C32EF">
              <w:t xml:space="preserve">de l'Union permet le financement de l'ensemble du </w:t>
            </w:r>
            <w:r w:rsidR="00084D86" w:rsidRPr="008C32EF">
              <w:t xml:space="preserve">plan </w:t>
            </w:r>
            <w:r w:rsidRPr="008C32EF">
              <w:t>stratégique.</w:t>
            </w:r>
          </w:p>
          <w:p w14:paraId="1121513F" w14:textId="0F7ED778" w:rsidR="00D72F49" w:rsidRPr="008C32EF" w:rsidRDefault="00D72F49" w:rsidP="00146182">
            <w:pPr>
              <w:spacing w:before="160"/>
              <w:rPr>
                <w:b/>
                <w:bCs/>
                <w:sz w:val="26"/>
                <w:szCs w:val="26"/>
              </w:rPr>
            </w:pPr>
            <w:r w:rsidRPr="008C32EF">
              <w:rPr>
                <w:b/>
                <w:bCs/>
                <w:sz w:val="26"/>
                <w:szCs w:val="26"/>
              </w:rPr>
              <w:t>Incidences financières</w:t>
            </w:r>
          </w:p>
          <w:p w14:paraId="6EE383AA" w14:textId="663032A7" w:rsidR="00016EAF" w:rsidRPr="008C32EF" w:rsidRDefault="00146182" w:rsidP="00146182">
            <w:pPr>
              <w:spacing w:before="160"/>
            </w:pPr>
            <w:r w:rsidRPr="008C32EF">
              <w:t>La direction de l'UIT prendra toutes les mesures nécessaires pour éviter tout déficit dans le cadre de l'exécution du budget 2023.</w:t>
            </w:r>
          </w:p>
          <w:p w14:paraId="4636A9DD" w14:textId="77777777" w:rsidR="00D72F49" w:rsidRPr="008C32EF" w:rsidRDefault="00D72F49" w:rsidP="00146182">
            <w:pPr>
              <w:spacing w:before="160"/>
              <w:rPr>
                <w:caps/>
                <w:sz w:val="22"/>
              </w:rPr>
            </w:pPr>
            <w:r w:rsidRPr="008C32EF">
              <w:rPr>
                <w:sz w:val="22"/>
              </w:rPr>
              <w:t>__________________</w:t>
            </w:r>
          </w:p>
          <w:p w14:paraId="3A1F642B" w14:textId="77777777" w:rsidR="00D72F49" w:rsidRPr="008C32EF" w:rsidRDefault="00D72F49" w:rsidP="00146182">
            <w:pPr>
              <w:spacing w:before="160"/>
              <w:rPr>
                <w:b/>
                <w:bCs/>
                <w:sz w:val="26"/>
                <w:szCs w:val="26"/>
              </w:rPr>
            </w:pPr>
            <w:r w:rsidRPr="008C32EF">
              <w:rPr>
                <w:b/>
                <w:bCs/>
                <w:sz w:val="26"/>
                <w:szCs w:val="26"/>
              </w:rPr>
              <w:t>Références</w:t>
            </w:r>
          </w:p>
          <w:p w14:paraId="61529A23" w14:textId="3AF43598" w:rsidR="00D72F49" w:rsidRPr="008C32EF" w:rsidRDefault="00214B4B" w:rsidP="00146182">
            <w:pPr>
              <w:spacing w:after="160"/>
            </w:pPr>
            <w:hyperlink r:id="rId6" w:history="1">
              <w:r w:rsidR="00016EAF" w:rsidRPr="008C32EF">
                <w:rPr>
                  <w:rStyle w:val="Hyperlink"/>
                  <w:i/>
                  <w:iCs/>
                </w:rPr>
                <w:t>R</w:t>
              </w:r>
              <w:r w:rsidR="00146182" w:rsidRPr="008C32EF">
                <w:rPr>
                  <w:rStyle w:val="Hyperlink"/>
                  <w:i/>
                  <w:iCs/>
                </w:rPr>
                <w:t>é</w:t>
              </w:r>
              <w:r w:rsidR="00016EAF" w:rsidRPr="008C32EF">
                <w:rPr>
                  <w:rStyle w:val="Hyperlink"/>
                  <w:i/>
                  <w:iCs/>
                </w:rPr>
                <w:t>solution 1405 (C21)</w:t>
              </w:r>
            </w:hyperlink>
            <w:r w:rsidR="00146182" w:rsidRPr="008C32EF">
              <w:rPr>
                <w:rStyle w:val="Hyperlink"/>
                <w:i/>
                <w:iCs/>
              </w:rPr>
              <w:t xml:space="preserve"> du Conseil</w:t>
            </w:r>
          </w:p>
        </w:tc>
      </w:tr>
    </w:tbl>
    <w:p w14:paraId="55764A82" w14:textId="77777777" w:rsidR="00A51849" w:rsidRPr="008C32EF" w:rsidRDefault="00A51849" w:rsidP="00146182">
      <w:pPr>
        <w:tabs>
          <w:tab w:val="clear" w:pos="567"/>
          <w:tab w:val="clear" w:pos="1134"/>
          <w:tab w:val="clear" w:pos="1701"/>
          <w:tab w:val="clear" w:pos="2268"/>
          <w:tab w:val="clear" w:pos="2835"/>
        </w:tabs>
        <w:overflowPunct/>
        <w:autoSpaceDE/>
        <w:autoSpaceDN/>
        <w:adjustRightInd/>
        <w:spacing w:before="0"/>
        <w:textAlignment w:val="auto"/>
      </w:pPr>
      <w:r w:rsidRPr="008C32EF">
        <w:br w:type="page"/>
      </w:r>
    </w:p>
    <w:p w14:paraId="68EB91B8" w14:textId="77777777" w:rsidR="00016EAF" w:rsidRPr="008C32EF" w:rsidRDefault="00016EAF" w:rsidP="00146182">
      <w:pPr>
        <w:pStyle w:val="Heading1"/>
        <w:tabs>
          <w:tab w:val="clear" w:pos="2268"/>
          <w:tab w:val="clear" w:pos="2835"/>
          <w:tab w:val="center" w:pos="4819"/>
        </w:tabs>
      </w:pPr>
      <w:r w:rsidRPr="008C32EF">
        <w:lastRenderedPageBreak/>
        <w:t>1</w:t>
      </w:r>
      <w:r w:rsidRPr="008C32EF">
        <w:tab/>
        <w:t>Introduction</w:t>
      </w:r>
    </w:p>
    <w:p w14:paraId="30424119" w14:textId="518877BF" w:rsidR="00016EAF" w:rsidRPr="008C32EF" w:rsidRDefault="00016EAF" w:rsidP="00146182">
      <w:r w:rsidRPr="008C32EF">
        <w:t>1.1</w:t>
      </w:r>
      <w:r w:rsidRPr="008C32EF">
        <w:tab/>
        <w:t xml:space="preserve">L'objet du présent document est de rendre compte de l'état d'avancement de la mise en œuvre de la </w:t>
      </w:r>
      <w:r w:rsidR="00BF560D" w:rsidRPr="008C32EF">
        <w:t>seconde</w:t>
      </w:r>
      <w:r w:rsidRPr="008C32EF">
        <w:t xml:space="preserve"> année du budget de l'Union pour la période 2022-2023 en ce qui concerne les produits et les charges.</w:t>
      </w:r>
    </w:p>
    <w:p w14:paraId="78C81C38" w14:textId="0C875644" w:rsidR="00016EAF" w:rsidRPr="008C32EF" w:rsidRDefault="00016EAF" w:rsidP="00146182">
      <w:pPr>
        <w:pStyle w:val="Heading1"/>
      </w:pPr>
      <w:r w:rsidRPr="008C32EF">
        <w:t>2</w:t>
      </w:r>
      <w:r w:rsidRPr="008C32EF">
        <w:tab/>
        <w:t>Budget de l'Union pour la période 2022-2023</w:t>
      </w:r>
      <w:r w:rsidRPr="008C32EF">
        <w:rPr>
          <w:bCs/>
        </w:rPr>
        <w:t xml:space="preserve"> </w:t>
      </w:r>
      <w:r w:rsidR="00BF560D" w:rsidRPr="008C32EF">
        <w:t xml:space="preserve">conformément à la </w:t>
      </w:r>
      <w:r w:rsidRPr="008C32EF">
        <w:t>Résolution 1405</w:t>
      </w:r>
      <w:r w:rsidR="00BF560D" w:rsidRPr="008C32EF">
        <w:t xml:space="preserve"> (C21</w:t>
      </w:r>
      <w:r w:rsidRPr="008C32EF">
        <w:t>)</w:t>
      </w:r>
      <w:r w:rsidR="00BF560D" w:rsidRPr="008C32EF">
        <w:t xml:space="preserve"> du Conseil</w:t>
      </w:r>
    </w:p>
    <w:p w14:paraId="2FEF7CC4" w14:textId="59323180" w:rsidR="00016EAF" w:rsidRPr="008C32EF" w:rsidRDefault="00016EAF" w:rsidP="00146182">
      <w:r w:rsidRPr="008C32EF">
        <w:t>2.1</w:t>
      </w:r>
      <w:r w:rsidRPr="008C32EF">
        <w:tab/>
        <w:t xml:space="preserve">Le budget de l'Union pour la période </w:t>
      </w:r>
      <w:r w:rsidRPr="008C32EF">
        <w:rPr>
          <w:bCs/>
        </w:rPr>
        <w:t>2022-2023 a été adopté par le Conseil</w:t>
      </w:r>
      <w:r w:rsidR="00237C12" w:rsidRPr="008C32EF">
        <w:rPr>
          <w:bCs/>
        </w:rPr>
        <w:t xml:space="preserve"> de l'UIT</w:t>
      </w:r>
      <w:r w:rsidRPr="008C32EF">
        <w:rPr>
          <w:bCs/>
        </w:rPr>
        <w:t xml:space="preserve"> à sa session de 2021</w:t>
      </w:r>
      <w:r w:rsidR="00237C12" w:rsidRPr="008C32EF">
        <w:rPr>
          <w:bCs/>
        </w:rPr>
        <w:t>, dans le cadre de la consultation virtuelle des Conseillers,</w:t>
      </w:r>
      <w:r w:rsidRPr="008C32EF">
        <w:rPr>
          <w:bCs/>
        </w:rPr>
        <w:t xml:space="preserve"> en vertu de la </w:t>
      </w:r>
      <w:r w:rsidRPr="008C32EF">
        <w:t>Résolution</w:t>
      </w:r>
      <w:r w:rsidR="007D2ACA" w:rsidRPr="008C32EF">
        <w:t> </w:t>
      </w:r>
      <w:r w:rsidRPr="008C32EF">
        <w:t xml:space="preserve">1405. Le budget biennal actualisé se chiffre à </w:t>
      </w:r>
      <w:r w:rsidRPr="008C32EF">
        <w:rPr>
          <w:rFonts w:asciiTheme="minorHAnsi" w:hAnsiTheme="minorHAnsi" w:cstheme="minorHAnsi"/>
        </w:rPr>
        <w:t xml:space="preserve">163 861 000 </w:t>
      </w:r>
      <w:r w:rsidRPr="008C32EF">
        <w:t>CHF pour l'année 2023. Il est fondé sur une unité contributive annuelle de 318 000 CHF pour les États Membres, ce qui correspond à une croissance nominale zéro depuis 2006. Le budget de l'Union est mis en œuvre conformément à l'Article 10 du Règlement financier et des Règles financières</w:t>
      </w:r>
      <w:r w:rsidR="00237C12" w:rsidRPr="008C32EF">
        <w:t xml:space="preserve"> de l'UIT</w:t>
      </w:r>
      <w:r w:rsidRPr="008C32EF">
        <w:t>.</w:t>
      </w:r>
    </w:p>
    <w:p w14:paraId="11923EC0" w14:textId="2F27BD2F" w:rsidR="00016EAF" w:rsidRPr="008C32EF" w:rsidRDefault="00016EAF" w:rsidP="00457074">
      <w:r w:rsidRPr="008C32EF">
        <w:t>2.2</w:t>
      </w:r>
      <w:r w:rsidRPr="008C32EF">
        <w:tab/>
        <w:t xml:space="preserve">Le budget </w:t>
      </w:r>
      <w:r w:rsidR="00237C12" w:rsidRPr="008C32EF">
        <w:t xml:space="preserve">initial </w:t>
      </w:r>
      <w:r w:rsidRPr="008C32EF">
        <w:t xml:space="preserve">pour </w:t>
      </w:r>
      <w:proofErr w:type="gramStart"/>
      <w:r w:rsidRPr="008C32EF">
        <w:t>2023</w:t>
      </w:r>
      <w:r w:rsidR="00457074" w:rsidRPr="008C32EF">
        <w:t>,qui</w:t>
      </w:r>
      <w:proofErr w:type="gramEnd"/>
      <w:r w:rsidR="00457074" w:rsidRPr="008C32EF">
        <w:t xml:space="preserve"> s'établissait à 163 194 000 CHF, </w:t>
      </w:r>
      <w:r w:rsidRPr="008C32EF">
        <w:t>a été augmenté de</w:t>
      </w:r>
      <w:r w:rsidR="007D2ACA" w:rsidRPr="008C32EF">
        <w:t> </w:t>
      </w:r>
      <w:r w:rsidR="00457074" w:rsidRPr="008C32EF">
        <w:rPr>
          <w:rFonts w:asciiTheme="minorHAnsi" w:hAnsiTheme="minorHAnsi" w:cstheme="minorHAnsi"/>
        </w:rPr>
        <w:t>667</w:t>
      </w:r>
      <w:r w:rsidRPr="008C32EF">
        <w:rPr>
          <w:rFonts w:asciiTheme="minorHAnsi" w:hAnsiTheme="minorHAnsi" w:cstheme="minorHAnsi"/>
        </w:rPr>
        <w:t xml:space="preserve"> 000 </w:t>
      </w:r>
      <w:r w:rsidRPr="008C32EF">
        <w:t xml:space="preserve">CHF en raison </w:t>
      </w:r>
      <w:r w:rsidR="00457074" w:rsidRPr="008C32EF">
        <w:t>de la création du bureau de zone de New Delhi.</w:t>
      </w:r>
      <w:r w:rsidRPr="008C32EF">
        <w:t xml:space="preserve"> Le budget actualisé pour </w:t>
      </w:r>
      <w:r w:rsidR="00364759" w:rsidRPr="008C32EF">
        <w:t>2023</w:t>
      </w:r>
      <w:r w:rsidRPr="008C32EF">
        <w:t xml:space="preserve"> s'élève à </w:t>
      </w:r>
      <w:r w:rsidR="00364759" w:rsidRPr="008C32EF">
        <w:rPr>
          <w:rFonts w:asciiTheme="minorHAnsi" w:hAnsiTheme="minorHAnsi" w:cstheme="minorHAnsi"/>
        </w:rPr>
        <w:t>163 861 000</w:t>
      </w:r>
      <w:r w:rsidRPr="008C32EF">
        <w:rPr>
          <w:rFonts w:asciiTheme="minorHAnsi" w:hAnsiTheme="minorHAnsi" w:cstheme="minorHAnsi"/>
        </w:rPr>
        <w:t xml:space="preserve"> </w:t>
      </w:r>
      <w:r w:rsidRPr="008C32EF">
        <w:t>CHF.</w:t>
      </w:r>
    </w:p>
    <w:p w14:paraId="75383709" w14:textId="34C2A085" w:rsidR="00364759" w:rsidRPr="008C32EF" w:rsidRDefault="00016EAF" w:rsidP="00146182">
      <w:pPr>
        <w:spacing w:after="240"/>
      </w:pPr>
      <w:r w:rsidRPr="008C32EF">
        <w:t>2.3</w:t>
      </w:r>
      <w:r w:rsidRPr="008C32EF">
        <w:tab/>
        <w:t xml:space="preserve">Les Tableaux 1 et 2 présentent la situation du budget pour </w:t>
      </w:r>
      <w:r w:rsidR="00364759" w:rsidRPr="008C32EF">
        <w:t>2023</w:t>
      </w:r>
      <w:r w:rsidRPr="008C32EF">
        <w:t>, qui indique les</w:t>
      </w:r>
      <w:r w:rsidR="007D2ACA" w:rsidRPr="008C32EF">
        <w:t xml:space="preserve"> </w:t>
      </w:r>
      <w:r w:rsidRPr="008C32EF">
        <w:t xml:space="preserve">charges et les produits au 31 </w:t>
      </w:r>
      <w:r w:rsidR="00364759" w:rsidRPr="008C32EF">
        <w:t xml:space="preserve">mars 2023 </w:t>
      </w:r>
      <w:r w:rsidR="00457074" w:rsidRPr="008C32EF">
        <w:t>ainsi que</w:t>
      </w:r>
      <w:r w:rsidRPr="008C32EF">
        <w:t xml:space="preserve"> les prévisions des produits et des charges jusqu'au 31 décembre </w:t>
      </w:r>
      <w:r w:rsidR="00364759" w:rsidRPr="008C32EF">
        <w:t>2023</w:t>
      </w:r>
      <w:r w:rsidRPr="008C32EF">
        <w:t>.</w:t>
      </w:r>
    </w:p>
    <w:p w14:paraId="327E1388" w14:textId="2994DE31" w:rsidR="00016EAF" w:rsidRPr="008C32EF" w:rsidRDefault="00364759" w:rsidP="00457074">
      <w:pPr>
        <w:spacing w:after="240"/>
      </w:pPr>
      <w:r w:rsidRPr="008C32EF">
        <w:t>2.4</w:t>
      </w:r>
      <w:r w:rsidRPr="008C32EF">
        <w:tab/>
      </w:r>
      <w:r w:rsidR="00016EAF" w:rsidRPr="008C32EF">
        <w:t xml:space="preserve">Les prévisions préliminaires pour </w:t>
      </w:r>
      <w:r w:rsidRPr="008C32EF">
        <w:t>2023</w:t>
      </w:r>
      <w:r w:rsidR="00016EAF" w:rsidRPr="008C32EF">
        <w:t xml:space="preserve"> font apparaître</w:t>
      </w:r>
      <w:r w:rsidR="00457074" w:rsidRPr="008C32EF">
        <w:t xml:space="preserve"> un déficit attendu limité s'établissant à 2 398 000 CHF. Plusieurs mesures d'efficacité et d'optimisation des coûts sont en cours d'examen en vue d'aider à équilibrer l'exécution du budget pour 2023.</w:t>
      </w:r>
    </w:p>
    <w:p w14:paraId="75019A53" w14:textId="39993DE8" w:rsidR="00457074" w:rsidRPr="008C32EF" w:rsidRDefault="00364759" w:rsidP="007D2ACA">
      <w:pPr>
        <w:rPr>
          <w:b/>
          <w:bCs/>
        </w:rPr>
      </w:pPr>
      <w:r w:rsidRPr="008C32EF">
        <w:t>2.5</w:t>
      </w:r>
      <w:r w:rsidRPr="008C32EF">
        <w:rPr>
          <w:b/>
          <w:bCs/>
        </w:rPr>
        <w:tab/>
        <w:t>Table</w:t>
      </w:r>
      <w:r w:rsidR="00457074" w:rsidRPr="008C32EF">
        <w:rPr>
          <w:b/>
          <w:bCs/>
        </w:rPr>
        <w:t>au</w:t>
      </w:r>
      <w:r w:rsidRPr="008C32EF">
        <w:rPr>
          <w:b/>
          <w:bCs/>
        </w:rPr>
        <w:t xml:space="preserve"> 1</w:t>
      </w:r>
      <w:r w:rsidR="007D2ACA" w:rsidRPr="008C32EF">
        <w:rPr>
          <w:b/>
          <w:bCs/>
        </w:rPr>
        <w:t xml:space="preserve"> –</w:t>
      </w:r>
      <w:r w:rsidRPr="008C32EF">
        <w:rPr>
          <w:b/>
          <w:bCs/>
        </w:rPr>
        <w:t xml:space="preserve"> </w:t>
      </w:r>
      <w:r w:rsidR="00782067" w:rsidRPr="008C32EF">
        <w:rPr>
          <w:b/>
          <w:bCs/>
        </w:rPr>
        <w:t>Produits</w:t>
      </w:r>
      <w:r w:rsidR="00457074" w:rsidRPr="008C32EF">
        <w:rPr>
          <w:b/>
          <w:bCs/>
        </w:rPr>
        <w:t xml:space="preserve"> au 31 mars 2023 en milliers </w:t>
      </w:r>
      <w:r w:rsidR="00782067" w:rsidRPr="008C32EF">
        <w:rPr>
          <w:b/>
          <w:bCs/>
        </w:rPr>
        <w:t>CHF</w:t>
      </w:r>
    </w:p>
    <w:p w14:paraId="54A0EFA3" w14:textId="2FC46B9D" w:rsidR="00537C4D" w:rsidRPr="008C32EF" w:rsidRDefault="00C627D9" w:rsidP="000F7987">
      <w:pPr>
        <w:jc w:val="center"/>
      </w:pPr>
      <w:r w:rsidRPr="008C32EF">
        <w:rPr>
          <w:noProof/>
        </w:rPr>
        <w:drawing>
          <wp:inline distT="0" distB="0" distL="0" distR="0" wp14:anchorId="157F6C81" wp14:editId="19356084">
            <wp:extent cx="5745480" cy="302768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480" cy="3027680"/>
                    </a:xfrm>
                    <a:prstGeom prst="rect">
                      <a:avLst/>
                    </a:prstGeom>
                    <a:noFill/>
                    <a:ln>
                      <a:noFill/>
                    </a:ln>
                  </pic:spPr>
                </pic:pic>
              </a:graphicData>
            </a:graphic>
          </wp:inline>
        </w:drawing>
      </w:r>
    </w:p>
    <w:p w14:paraId="67336389" w14:textId="2A193B28" w:rsidR="00364759" w:rsidRPr="008C32EF" w:rsidRDefault="00364759" w:rsidP="000F7987">
      <w:pPr>
        <w:keepNext/>
        <w:rPr>
          <w:b/>
          <w:bCs/>
        </w:rPr>
      </w:pPr>
      <w:r w:rsidRPr="008C32EF">
        <w:lastRenderedPageBreak/>
        <w:t>2.6</w:t>
      </w:r>
      <w:r w:rsidRPr="008C32EF">
        <w:rPr>
          <w:b/>
          <w:bCs/>
        </w:rPr>
        <w:tab/>
        <w:t>Table</w:t>
      </w:r>
      <w:r w:rsidR="00782067" w:rsidRPr="008C32EF">
        <w:rPr>
          <w:b/>
          <w:bCs/>
        </w:rPr>
        <w:t>au</w:t>
      </w:r>
      <w:r w:rsidRPr="008C32EF">
        <w:rPr>
          <w:b/>
          <w:bCs/>
        </w:rPr>
        <w:t xml:space="preserve"> 2</w:t>
      </w:r>
      <w:r w:rsidR="000F7987" w:rsidRPr="008C32EF">
        <w:rPr>
          <w:b/>
          <w:bCs/>
        </w:rPr>
        <w:t xml:space="preserve"> –</w:t>
      </w:r>
      <w:r w:rsidRPr="008C32EF">
        <w:rPr>
          <w:b/>
          <w:bCs/>
        </w:rPr>
        <w:t xml:space="preserve"> </w:t>
      </w:r>
      <w:r w:rsidR="00782067" w:rsidRPr="008C32EF">
        <w:rPr>
          <w:b/>
          <w:bCs/>
        </w:rPr>
        <w:t>Charges au 31 mars 2023 en milliers CHF</w:t>
      </w:r>
    </w:p>
    <w:p w14:paraId="66772566" w14:textId="1915FDCE" w:rsidR="007100E2" w:rsidRPr="008C32EF" w:rsidRDefault="00C627D9" w:rsidP="000A0977">
      <w:pPr>
        <w:jc w:val="center"/>
      </w:pPr>
      <w:r w:rsidRPr="008C32EF">
        <w:rPr>
          <w:noProof/>
        </w:rPr>
        <w:drawing>
          <wp:inline distT="0" distB="0" distL="0" distR="0" wp14:anchorId="40603AD8" wp14:editId="0801187C">
            <wp:extent cx="5760085"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2343150"/>
                    </a:xfrm>
                    <a:prstGeom prst="rect">
                      <a:avLst/>
                    </a:prstGeom>
                    <a:noFill/>
                    <a:ln>
                      <a:noFill/>
                    </a:ln>
                  </pic:spPr>
                </pic:pic>
              </a:graphicData>
            </a:graphic>
          </wp:inline>
        </w:drawing>
      </w:r>
    </w:p>
    <w:p w14:paraId="7D6CCE1C" w14:textId="77777777" w:rsidR="00202079" w:rsidRPr="008C32EF" w:rsidRDefault="00202079" w:rsidP="00146182">
      <w:pPr>
        <w:pStyle w:val="Heading1"/>
      </w:pPr>
      <w:r w:rsidRPr="008C32EF">
        <w:t>3</w:t>
      </w:r>
      <w:r w:rsidRPr="008C32EF">
        <w:tab/>
        <w:t>Produits</w:t>
      </w:r>
    </w:p>
    <w:p w14:paraId="522C0959" w14:textId="0F5CC28F" w:rsidR="00202079" w:rsidRPr="008C32EF" w:rsidRDefault="00202079" w:rsidP="00146182">
      <w:r w:rsidRPr="008C32EF">
        <w:t>3.1</w:t>
      </w:r>
      <w:r w:rsidRPr="008C32EF">
        <w:tab/>
        <w:t xml:space="preserve">Les produits de l'Union se composent des contributions mises en recouvrement, du recouvrement des coûts, des intérêts/autres produits et des économies découlant de la mise en œuvre du budget. Le manque à gagner </w:t>
      </w:r>
      <w:proofErr w:type="gramStart"/>
      <w:r w:rsidRPr="008C32EF">
        <w:t>escompté</w:t>
      </w:r>
      <w:proofErr w:type="gramEnd"/>
      <w:r w:rsidRPr="008C32EF">
        <w:t xml:space="preserve"> pour 2023 est estimé à 6 351 000</w:t>
      </w:r>
      <w:r w:rsidR="000A0977" w:rsidRPr="008C32EF">
        <w:t> </w:t>
      </w:r>
      <w:r w:rsidRPr="008C32EF">
        <w:t>CHF.</w:t>
      </w:r>
    </w:p>
    <w:p w14:paraId="7E6F7ADD" w14:textId="2348E292" w:rsidR="00202079" w:rsidRPr="008C32EF" w:rsidRDefault="00202079" w:rsidP="00146182">
      <w:r w:rsidRPr="008C32EF">
        <w:t>3.2</w:t>
      </w:r>
      <w:r w:rsidRPr="008C32EF">
        <w:tab/>
        <w:t>Les contributions mises en recouvrement représentent environ 77% du montant total des produits prévus pour 2023</w:t>
      </w:r>
      <w:r w:rsidR="00782067" w:rsidRPr="008C32EF">
        <w:t xml:space="preserve"> et comprennent l</w:t>
      </w:r>
      <w:r w:rsidRPr="008C32EF">
        <w:t>es contributions versées par les États</w:t>
      </w:r>
      <w:r w:rsidR="000A0977" w:rsidRPr="008C32EF">
        <w:t> </w:t>
      </w:r>
      <w:r w:rsidRPr="008C32EF">
        <w:t>Membres, les Membres de Secteur, les Associés et les établissements universitaires. Le</w:t>
      </w:r>
      <w:r w:rsidR="000A0977" w:rsidRPr="008C32EF">
        <w:t> </w:t>
      </w:r>
      <w:r w:rsidRPr="008C32EF">
        <w:t xml:space="preserve">Tableau 3 présente </w:t>
      </w:r>
      <w:r w:rsidR="00782067" w:rsidRPr="008C32EF">
        <w:t>une</w:t>
      </w:r>
      <w:r w:rsidRPr="008C32EF">
        <w:t xml:space="preserve"> ventilation des contributions mises en recouvrement.</w:t>
      </w:r>
    </w:p>
    <w:p w14:paraId="5790BD08" w14:textId="7E7C5DB9" w:rsidR="00202079" w:rsidRPr="008C32EF" w:rsidRDefault="00202079" w:rsidP="000A0977">
      <w:pPr>
        <w:rPr>
          <w:b/>
          <w:bCs/>
        </w:rPr>
      </w:pPr>
      <w:r w:rsidRPr="008C32EF">
        <w:t>3.3</w:t>
      </w:r>
      <w:r w:rsidRPr="008C32EF">
        <w:rPr>
          <w:b/>
          <w:bCs/>
        </w:rPr>
        <w:tab/>
        <w:t>Table</w:t>
      </w:r>
      <w:r w:rsidR="00782067" w:rsidRPr="008C32EF">
        <w:rPr>
          <w:b/>
          <w:bCs/>
        </w:rPr>
        <w:t>au</w:t>
      </w:r>
      <w:r w:rsidRPr="008C32EF">
        <w:rPr>
          <w:b/>
          <w:bCs/>
        </w:rPr>
        <w:t xml:space="preserve"> 3</w:t>
      </w:r>
      <w:r w:rsidR="000A0977" w:rsidRPr="008C32EF">
        <w:rPr>
          <w:b/>
          <w:bCs/>
        </w:rPr>
        <w:t xml:space="preserve"> –</w:t>
      </w:r>
      <w:r w:rsidRPr="008C32EF">
        <w:rPr>
          <w:b/>
          <w:bCs/>
        </w:rPr>
        <w:t xml:space="preserve"> </w:t>
      </w:r>
      <w:r w:rsidR="00782067" w:rsidRPr="008C32EF">
        <w:rPr>
          <w:b/>
          <w:bCs/>
        </w:rPr>
        <w:t>Contributions mises en recouvrement au 31 mars 2023 en milliers CHF</w:t>
      </w:r>
    </w:p>
    <w:p w14:paraId="480DFB14" w14:textId="40AC7742" w:rsidR="00C922AC" w:rsidRPr="008C32EF" w:rsidRDefault="00563FAF" w:rsidP="00860F2B">
      <w:pPr>
        <w:jc w:val="center"/>
        <w:rPr>
          <w:highlight w:val="yellow"/>
        </w:rPr>
      </w:pPr>
      <w:r w:rsidRPr="008C32EF">
        <w:rPr>
          <w:noProof/>
        </w:rPr>
        <w:drawing>
          <wp:inline distT="0" distB="0" distL="0" distR="0" wp14:anchorId="1F6CECEA" wp14:editId="738B4394">
            <wp:extent cx="5740085" cy="2083978"/>
            <wp:effectExtent l="0" t="0" r="0" b="0"/>
            <wp:docPr id="13" name="Picture 13"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creenshot, number, font&#10;&#10;Description automatically generated"/>
                    <pic:cNvPicPr/>
                  </pic:nvPicPr>
                  <pic:blipFill rotWithShape="1">
                    <a:blip r:embed="rId9"/>
                    <a:srcRect l="343"/>
                    <a:stretch/>
                  </pic:blipFill>
                  <pic:spPr bwMode="auto">
                    <a:xfrm>
                      <a:off x="0" y="0"/>
                      <a:ext cx="5740340" cy="2084070"/>
                    </a:xfrm>
                    <a:prstGeom prst="rect">
                      <a:avLst/>
                    </a:prstGeom>
                    <a:ln>
                      <a:noFill/>
                    </a:ln>
                    <a:extLst>
                      <a:ext uri="{53640926-AAD7-44D8-BBD7-CCE9431645EC}">
                        <a14:shadowObscured xmlns:a14="http://schemas.microsoft.com/office/drawing/2010/main"/>
                      </a:ext>
                    </a:extLst>
                  </pic:spPr>
                </pic:pic>
              </a:graphicData>
            </a:graphic>
          </wp:inline>
        </w:drawing>
      </w:r>
    </w:p>
    <w:p w14:paraId="09B267A9" w14:textId="25873AF0" w:rsidR="00135AE3" w:rsidRPr="008C32EF" w:rsidRDefault="00135AE3" w:rsidP="00146182">
      <w:r w:rsidRPr="008C32EF">
        <w:t>3.4</w:t>
      </w:r>
      <w:r w:rsidRPr="008C32EF">
        <w:tab/>
        <w:t>Le montant de l'unité contributive annuelle est fixé à 318 000 CHF pour la période 2022</w:t>
      </w:r>
      <w:r w:rsidRPr="008C32EF">
        <w:noBreakHyphen/>
        <w:t>2023. Au 31</w:t>
      </w:r>
      <w:r w:rsidR="00F96774" w:rsidRPr="008C32EF">
        <w:t xml:space="preserve"> </w:t>
      </w:r>
      <w:r w:rsidRPr="008C32EF">
        <w:t>mars 2023, le montant total des produits facturés provenant des États Membres correspondait au niveau prévu dans le budget.</w:t>
      </w:r>
    </w:p>
    <w:p w14:paraId="1C3F7877" w14:textId="4F77D099" w:rsidR="00135AE3" w:rsidRPr="008C32EF" w:rsidRDefault="00135AE3" w:rsidP="00146182">
      <w:r w:rsidRPr="008C32EF">
        <w:t>3.</w:t>
      </w:r>
      <w:r w:rsidR="00F96774" w:rsidRPr="008C32EF">
        <w:t>5</w:t>
      </w:r>
      <w:r w:rsidRPr="008C32EF">
        <w:tab/>
        <w:t>Pour 2023, le montant de l'unité contributive annuelle est fixé à 63 600 CHF pour les Membres de Secteur et à 10 600 CHF pour les Associés. Au 31 mars 2023, le montant total des produits facturés provenant des Membres de Secteur était supérieur de 142 000 CHF aux produits inscrits au budget. Les produits facturés aux Associés étaient inférieurs de</w:t>
      </w:r>
      <w:r w:rsidR="00F96774" w:rsidRPr="008C32EF">
        <w:t> </w:t>
      </w:r>
      <w:r w:rsidRPr="008C32EF">
        <w:t>13 000 CHF aux produits inscrits au budget. Les produits facturés aux établissements universitaires étaient supérieurs de 20 000 CHF aux produits inscrits au budget.</w:t>
      </w:r>
    </w:p>
    <w:p w14:paraId="3BD60A0E" w14:textId="53319658" w:rsidR="00F96774" w:rsidRPr="008C32EF" w:rsidRDefault="00F96774" w:rsidP="00F96774">
      <w:r w:rsidRPr="008C32EF">
        <w:lastRenderedPageBreak/>
        <w:t>3.6</w:t>
      </w:r>
      <w:r w:rsidRPr="008C32EF">
        <w:tab/>
        <w:t xml:space="preserve">Pour 2023, les produits tirés du recouvrement des coûts représentent 22,3% du montant total des produits inscrits au budget. La ventilation de ces produits est présentée dans le Tableau 4. Les produits tirés du recouvrement des coûts devraient être inférieurs </w:t>
      </w:r>
      <w:r w:rsidR="007513AE" w:rsidRPr="008C32EF">
        <w:t>de </w:t>
      </w:r>
      <w:r w:rsidRPr="008C32EF">
        <w:t>7 700 000 CHF au montant inscrit au budget pour 2023. En ce qui concerne le traitement des fiches de notification pour les services spatiaux, des propositions concernant la révision du barème des droits de traitement et de la méthode associée figurent dans le Document</w:t>
      </w:r>
      <w:r w:rsidR="00C16212" w:rsidRPr="008C32EF">
        <w:t> </w:t>
      </w:r>
      <w:r w:rsidRPr="008C32EF">
        <w:t>C23/19.</w:t>
      </w:r>
    </w:p>
    <w:p w14:paraId="1C923230" w14:textId="3278F36B" w:rsidR="00F96774" w:rsidRPr="008C32EF" w:rsidRDefault="00F96774" w:rsidP="00F96774">
      <w:pPr>
        <w:ind w:left="567" w:hanging="567"/>
        <w:rPr>
          <w:b/>
          <w:bCs/>
        </w:rPr>
      </w:pPr>
      <w:r w:rsidRPr="008C32EF">
        <w:t>3.7</w:t>
      </w:r>
      <w:r w:rsidRPr="008C32EF">
        <w:tab/>
      </w:r>
      <w:r w:rsidRPr="008C32EF">
        <w:rPr>
          <w:b/>
          <w:bCs/>
        </w:rPr>
        <w:t>Tableau 4 – Produits tirés du recouvrement des coûts au 31 mars 2023 en milliers CHF</w:t>
      </w:r>
    </w:p>
    <w:p w14:paraId="75438966" w14:textId="359B3C18" w:rsidR="00537C4D" w:rsidRPr="008C32EF" w:rsidRDefault="008C32EF" w:rsidP="00F96774">
      <w:pPr>
        <w:jc w:val="center"/>
      </w:pPr>
      <w:r w:rsidRPr="008C32EF">
        <w:rPr>
          <w:noProof/>
        </w:rPr>
        <w:drawing>
          <wp:inline distT="0" distB="0" distL="0" distR="0" wp14:anchorId="671E570C" wp14:editId="0DE2170E">
            <wp:extent cx="5749925" cy="217233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9925" cy="2172335"/>
                    </a:xfrm>
                    <a:prstGeom prst="rect">
                      <a:avLst/>
                    </a:prstGeom>
                    <a:noFill/>
                    <a:ln>
                      <a:noFill/>
                    </a:ln>
                  </pic:spPr>
                </pic:pic>
              </a:graphicData>
            </a:graphic>
          </wp:inline>
        </w:drawing>
      </w:r>
    </w:p>
    <w:p w14:paraId="57727A63" w14:textId="77777777" w:rsidR="00135AE3" w:rsidRPr="008C32EF" w:rsidRDefault="00135AE3" w:rsidP="00146182">
      <w:pPr>
        <w:pStyle w:val="Heading1"/>
      </w:pPr>
      <w:r w:rsidRPr="008C32EF">
        <w:t>4</w:t>
      </w:r>
      <w:r w:rsidRPr="008C32EF">
        <w:tab/>
        <w:t>Charges</w:t>
      </w:r>
    </w:p>
    <w:p w14:paraId="6F64FCF7" w14:textId="7701F566" w:rsidR="00135AE3" w:rsidRPr="008C32EF" w:rsidRDefault="00135AE3" w:rsidP="00F50C7B">
      <w:r w:rsidRPr="008C32EF">
        <w:t>4.1</w:t>
      </w:r>
      <w:r w:rsidRPr="008C32EF">
        <w:tab/>
      </w:r>
      <w:r w:rsidR="00F50C7B" w:rsidRPr="008C32EF">
        <w:t>Le Tableau 2 tient compte de l'estimation des économies réalisées grâce à la mise en place du programme de départ volontaire, laquelle a été faite sur la base des demandes reçues. Le montant de ces économies pourra évoluer tant que le programme n'a pas été mené à son terme.</w:t>
      </w:r>
    </w:p>
    <w:p w14:paraId="76858D66" w14:textId="71324934" w:rsidR="00135AE3" w:rsidRPr="008C32EF" w:rsidRDefault="00135AE3" w:rsidP="00F21161">
      <w:r w:rsidRPr="008C32EF">
        <w:t>4.2</w:t>
      </w:r>
      <w:r w:rsidRPr="008C32EF">
        <w:tab/>
        <w:t xml:space="preserve">S'agissant des charges, l'UIT prend en permanence des mesures d'efficacité et déploie constamment des efforts pour se conformer </w:t>
      </w:r>
      <w:r w:rsidR="00F21161" w:rsidRPr="008C32EF">
        <w:t>à</w:t>
      </w:r>
      <w:r w:rsidRPr="008C32EF">
        <w:t xml:space="preserve"> la Résolution 1405</w:t>
      </w:r>
      <w:r w:rsidR="00F21161" w:rsidRPr="008C32EF">
        <w:t xml:space="preserve"> (C21) du Conseil</w:t>
      </w:r>
      <w:r w:rsidRPr="008C32EF">
        <w:t xml:space="preserve">. L'objectif est de </w:t>
      </w:r>
      <w:r w:rsidR="00F21161" w:rsidRPr="008C32EF">
        <w:t>faire en sorte que</w:t>
      </w:r>
      <w:r w:rsidRPr="008C32EF">
        <w:t xml:space="preserve"> les charges </w:t>
      </w:r>
      <w:r w:rsidR="00F21161" w:rsidRPr="008C32EF">
        <w:t>restent inférieures aux produits</w:t>
      </w:r>
      <w:r w:rsidRPr="008C32EF">
        <w:t xml:space="preserve"> à la fin de l'exercice</w:t>
      </w:r>
      <w:r w:rsidR="00D444B8" w:rsidRPr="008C32EF">
        <w:t> </w:t>
      </w:r>
      <w:r w:rsidRPr="008C32EF">
        <w:t>202</w:t>
      </w:r>
      <w:r w:rsidR="00F21161" w:rsidRPr="008C32EF">
        <w:t xml:space="preserve">3 et d'éviter un déficit dans l'exécution du budget 2023. Des mesures </w:t>
      </w:r>
      <w:r w:rsidR="001D2578" w:rsidRPr="008C32EF">
        <w:t>continueront d'être</w:t>
      </w:r>
      <w:r w:rsidR="00F21161" w:rsidRPr="008C32EF">
        <w:t xml:space="preserve"> prises </w:t>
      </w:r>
      <w:r w:rsidR="001D2578" w:rsidRPr="008C32EF">
        <w:t>jusqu'à la fin</w:t>
      </w:r>
      <w:r w:rsidR="00F21161" w:rsidRPr="008C32EF">
        <w:t xml:space="preserve"> de l'année pour parvenir à l'équilibre s'agissant de l'exécution du budget</w:t>
      </w:r>
      <w:r w:rsidRPr="008C32EF">
        <w:t>.</w:t>
      </w:r>
    </w:p>
    <w:p w14:paraId="5E7B7C47" w14:textId="554477E2" w:rsidR="00135AE3" w:rsidRPr="008C32EF" w:rsidRDefault="00135AE3" w:rsidP="00146182">
      <w:pPr>
        <w:jc w:val="center"/>
      </w:pPr>
      <w:r w:rsidRPr="008C32EF">
        <w:t>______________</w:t>
      </w:r>
    </w:p>
    <w:sectPr w:rsidR="00135AE3" w:rsidRPr="008C32EF"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98BC" w14:textId="77777777" w:rsidR="00EB12B7" w:rsidRDefault="00EB12B7">
      <w:r>
        <w:separator/>
      </w:r>
    </w:p>
  </w:endnote>
  <w:endnote w:type="continuationSeparator" w:id="0">
    <w:p w14:paraId="05517117" w14:textId="77777777" w:rsidR="00EB12B7" w:rsidRDefault="00EB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074F" w14:textId="42DEFBEF" w:rsidR="00732045" w:rsidRDefault="008C32EF">
    <w:pPr>
      <w:pStyle w:val="Footer"/>
    </w:pPr>
    <w:fldSimple w:instr=" FILENAME \p \* MERGEFORMAT ">
      <w:r w:rsidR="007513AE">
        <w:t>P:\FRA\SG\CONSEIL\C23\000\009F.docx</w:t>
      </w:r>
    </w:fldSimple>
    <w:r w:rsidR="00732045">
      <w:tab/>
    </w:r>
    <w:r w:rsidR="002F1B76">
      <w:fldChar w:fldCharType="begin"/>
    </w:r>
    <w:r w:rsidR="00732045">
      <w:instrText xml:space="preserve"> savedate \@ dd.MM.yy </w:instrText>
    </w:r>
    <w:r w:rsidR="002F1B76">
      <w:fldChar w:fldCharType="separate"/>
    </w:r>
    <w:r w:rsidR="00214B4B">
      <w:t>22.06.23</w:t>
    </w:r>
    <w:r w:rsidR="002F1B76">
      <w:fldChar w:fldCharType="end"/>
    </w:r>
    <w:r w:rsidR="00732045">
      <w:tab/>
    </w:r>
    <w:r w:rsidR="002F1B76">
      <w:fldChar w:fldCharType="begin"/>
    </w:r>
    <w:r w:rsidR="00732045">
      <w:instrText xml:space="preserve"> printdate \@ dd.MM.yy </w:instrText>
    </w:r>
    <w:r w:rsidR="002F1B76">
      <w:fldChar w:fldCharType="separate"/>
    </w:r>
    <w:r w:rsidR="007513A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6232164" w14:textId="77777777" w:rsidTr="00E31DCE">
      <w:trPr>
        <w:jc w:val="center"/>
      </w:trPr>
      <w:tc>
        <w:tcPr>
          <w:tcW w:w="1803" w:type="dxa"/>
          <w:vAlign w:val="center"/>
        </w:tcPr>
        <w:p w14:paraId="68BDA865" w14:textId="1F16597E" w:rsidR="00A51849" w:rsidRDefault="00A51849" w:rsidP="00A51849">
          <w:pPr>
            <w:pStyle w:val="Header"/>
            <w:jc w:val="left"/>
            <w:rPr>
              <w:noProof/>
            </w:rPr>
          </w:pPr>
          <w:r>
            <w:rPr>
              <w:noProof/>
            </w:rPr>
            <w:t xml:space="preserve">DPS </w:t>
          </w:r>
          <w:r w:rsidR="00016EAF" w:rsidRPr="00016EAF">
            <w:rPr>
              <w:noProof/>
            </w:rPr>
            <w:t>520359</w:t>
          </w:r>
        </w:p>
      </w:tc>
      <w:tc>
        <w:tcPr>
          <w:tcW w:w="8261" w:type="dxa"/>
        </w:tcPr>
        <w:p w14:paraId="4EF207D4" w14:textId="1D05A8B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16EAF">
            <w:rPr>
              <w:bCs/>
            </w:rPr>
            <w:t>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CC4B6D7" w14:textId="046876D3" w:rsidR="00732045" w:rsidRPr="00A51849" w:rsidRDefault="00214B4B" w:rsidP="00016EAF">
    <w:pPr>
      <w:pStyle w:val="Footer"/>
    </w:pPr>
    <w:r w:rsidRPr="00214B4B">
      <w:rPr>
        <w:color w:val="F2F2F2" w:themeColor="background1" w:themeShade="F2"/>
      </w:rPr>
      <w:fldChar w:fldCharType="begin"/>
    </w:r>
    <w:r w:rsidRPr="00214B4B">
      <w:rPr>
        <w:color w:val="F2F2F2" w:themeColor="background1" w:themeShade="F2"/>
      </w:rPr>
      <w:instrText xml:space="preserve"> FILENAME \p  \* MERGEFORMAT </w:instrText>
    </w:r>
    <w:r w:rsidRPr="00214B4B">
      <w:rPr>
        <w:color w:val="F2F2F2" w:themeColor="background1" w:themeShade="F2"/>
      </w:rPr>
      <w:fldChar w:fldCharType="separate"/>
    </w:r>
    <w:r w:rsidR="007513AE" w:rsidRPr="00214B4B">
      <w:rPr>
        <w:color w:val="F2F2F2" w:themeColor="background1" w:themeShade="F2"/>
      </w:rPr>
      <w:t>P:\FRA\SG\CONSEIL\C23\000\009F.docx</w:t>
    </w:r>
    <w:r w:rsidRPr="00214B4B">
      <w:rPr>
        <w:color w:val="F2F2F2" w:themeColor="background1" w:themeShade="F2"/>
      </w:rPr>
      <w:fldChar w:fldCharType="end"/>
    </w:r>
    <w:r w:rsidR="00016EAF" w:rsidRPr="00214B4B">
      <w:rPr>
        <w:color w:val="F2F2F2" w:themeColor="background1" w:themeShade="F2"/>
      </w:rPr>
      <w:t xml:space="preserve"> (520359)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07C8554" w14:textId="77777777" w:rsidTr="00E31DCE">
      <w:trPr>
        <w:jc w:val="center"/>
      </w:trPr>
      <w:tc>
        <w:tcPr>
          <w:tcW w:w="1803" w:type="dxa"/>
          <w:vAlign w:val="center"/>
        </w:tcPr>
        <w:p w14:paraId="796E8DEF" w14:textId="77777777" w:rsidR="00A51849" w:rsidRDefault="00214B4B" w:rsidP="00A51849">
          <w:pPr>
            <w:pStyle w:val="Header"/>
            <w:jc w:val="left"/>
            <w:rPr>
              <w:noProof/>
            </w:rPr>
          </w:pPr>
          <w:hyperlink r:id="rId1" w:history="1">
            <w:r w:rsidR="00A51849" w:rsidRPr="00A514A4">
              <w:rPr>
                <w:rStyle w:val="Hyperlink"/>
                <w:szCs w:val="14"/>
              </w:rPr>
              <w:t>www.itu.int/council</w:t>
            </w:r>
          </w:hyperlink>
        </w:p>
      </w:tc>
      <w:tc>
        <w:tcPr>
          <w:tcW w:w="8261" w:type="dxa"/>
        </w:tcPr>
        <w:p w14:paraId="2147F486" w14:textId="6B35EF5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16EAF">
            <w:rPr>
              <w:bCs/>
            </w:rPr>
            <w:t>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9A1FB8B" w14:textId="5F3D8E1E" w:rsidR="00F911C5" w:rsidRDefault="00214B4B" w:rsidP="00016EAF">
    <w:pPr>
      <w:pStyle w:val="Footer"/>
    </w:pPr>
    <w:r w:rsidRPr="00214B4B">
      <w:rPr>
        <w:color w:val="F2F2F2" w:themeColor="background1" w:themeShade="F2"/>
      </w:rPr>
      <w:fldChar w:fldCharType="begin"/>
    </w:r>
    <w:r w:rsidRPr="00214B4B">
      <w:rPr>
        <w:color w:val="F2F2F2" w:themeColor="background1" w:themeShade="F2"/>
      </w:rPr>
      <w:instrText xml:space="preserve"> FILENAME \p  \* MERGEFORMAT </w:instrText>
    </w:r>
    <w:r w:rsidRPr="00214B4B">
      <w:rPr>
        <w:color w:val="F2F2F2" w:themeColor="background1" w:themeShade="F2"/>
      </w:rPr>
      <w:fldChar w:fldCharType="separate"/>
    </w:r>
    <w:r w:rsidR="007513AE" w:rsidRPr="00214B4B">
      <w:rPr>
        <w:color w:val="F2F2F2" w:themeColor="background1" w:themeShade="F2"/>
      </w:rPr>
      <w:t>P:\FRA\SG\CONSEIL\C23\000\009F.docx</w:t>
    </w:r>
    <w:r w:rsidRPr="00214B4B">
      <w:rPr>
        <w:color w:val="F2F2F2" w:themeColor="background1" w:themeShade="F2"/>
      </w:rPr>
      <w:fldChar w:fldCharType="end"/>
    </w:r>
    <w:r w:rsidR="00016EAF" w:rsidRPr="00214B4B">
      <w:rPr>
        <w:color w:val="F2F2F2" w:themeColor="background1" w:themeShade="F2"/>
      </w:rPr>
      <w:t xml:space="preserve"> (520359)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99B1" w14:textId="77777777" w:rsidR="00EB12B7" w:rsidRDefault="00EB12B7">
      <w:r>
        <w:t>____________________</w:t>
      </w:r>
    </w:p>
  </w:footnote>
  <w:footnote w:type="continuationSeparator" w:id="0">
    <w:p w14:paraId="586FB982" w14:textId="77777777" w:rsidR="00EB12B7" w:rsidRDefault="00EB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827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FEB064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0351DD10" w14:textId="77777777" w:rsidTr="00E31DCE">
      <w:trPr>
        <w:trHeight w:val="1104"/>
        <w:jc w:val="center"/>
      </w:trPr>
      <w:tc>
        <w:tcPr>
          <w:tcW w:w="4390" w:type="dxa"/>
          <w:vAlign w:val="center"/>
        </w:tcPr>
        <w:p w14:paraId="2C61BDF7"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01875F57" wp14:editId="4161469A">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3CC186CB" w14:textId="77777777" w:rsidR="00A51849" w:rsidRDefault="00A51849" w:rsidP="00A51849">
          <w:pPr>
            <w:pStyle w:val="Header"/>
            <w:jc w:val="right"/>
            <w:rPr>
              <w:rFonts w:ascii="Arial" w:hAnsi="Arial" w:cs="Arial"/>
              <w:b/>
              <w:bCs/>
              <w:color w:val="009CD6"/>
              <w:szCs w:val="18"/>
            </w:rPr>
          </w:pPr>
        </w:p>
        <w:p w14:paraId="675D0052" w14:textId="77777777" w:rsidR="00A51849" w:rsidRDefault="00A51849" w:rsidP="00A51849">
          <w:pPr>
            <w:pStyle w:val="Header"/>
            <w:jc w:val="right"/>
            <w:rPr>
              <w:rFonts w:ascii="Arial" w:hAnsi="Arial" w:cs="Arial"/>
              <w:b/>
              <w:bCs/>
              <w:color w:val="009CD6"/>
              <w:szCs w:val="18"/>
            </w:rPr>
          </w:pPr>
        </w:p>
        <w:p w14:paraId="75E23D2D"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69A701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BDE4C0D" wp14:editId="2A18665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D69D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B7"/>
    <w:rsid w:val="00016EAF"/>
    <w:rsid w:val="00076A2C"/>
    <w:rsid w:val="00084D86"/>
    <w:rsid w:val="000A0977"/>
    <w:rsid w:val="000D0D0A"/>
    <w:rsid w:val="000F7987"/>
    <w:rsid w:val="00103163"/>
    <w:rsid w:val="00106B19"/>
    <w:rsid w:val="00115D93"/>
    <w:rsid w:val="001247A8"/>
    <w:rsid w:val="00135AE3"/>
    <w:rsid w:val="001378C0"/>
    <w:rsid w:val="00146182"/>
    <w:rsid w:val="00181B9F"/>
    <w:rsid w:val="0018694A"/>
    <w:rsid w:val="001A3287"/>
    <w:rsid w:val="001A6508"/>
    <w:rsid w:val="001D2578"/>
    <w:rsid w:val="001D4C31"/>
    <w:rsid w:val="001E4D21"/>
    <w:rsid w:val="00202079"/>
    <w:rsid w:val="00207CD1"/>
    <w:rsid w:val="00214B4B"/>
    <w:rsid w:val="00226657"/>
    <w:rsid w:val="00237C12"/>
    <w:rsid w:val="002477A2"/>
    <w:rsid w:val="00263A51"/>
    <w:rsid w:val="00267E02"/>
    <w:rsid w:val="002A5D44"/>
    <w:rsid w:val="002C0D17"/>
    <w:rsid w:val="002E0BC4"/>
    <w:rsid w:val="002F1B76"/>
    <w:rsid w:val="0033568E"/>
    <w:rsid w:val="00355FF5"/>
    <w:rsid w:val="00361350"/>
    <w:rsid w:val="00364759"/>
    <w:rsid w:val="003C3FAE"/>
    <w:rsid w:val="004038CB"/>
    <w:rsid w:val="0040546F"/>
    <w:rsid w:val="0042404A"/>
    <w:rsid w:val="0044618F"/>
    <w:rsid w:val="00457074"/>
    <w:rsid w:val="0046769A"/>
    <w:rsid w:val="00475FB3"/>
    <w:rsid w:val="004C37A9"/>
    <w:rsid w:val="004D1D50"/>
    <w:rsid w:val="004F259E"/>
    <w:rsid w:val="00511F1D"/>
    <w:rsid w:val="00520F36"/>
    <w:rsid w:val="00537C4D"/>
    <w:rsid w:val="00540615"/>
    <w:rsid w:val="00540A6D"/>
    <w:rsid w:val="00563FAF"/>
    <w:rsid w:val="00571EEA"/>
    <w:rsid w:val="00575417"/>
    <w:rsid w:val="005768E1"/>
    <w:rsid w:val="00585DB7"/>
    <w:rsid w:val="00586CD1"/>
    <w:rsid w:val="005B1938"/>
    <w:rsid w:val="005C3890"/>
    <w:rsid w:val="005F7BFE"/>
    <w:rsid w:val="00600017"/>
    <w:rsid w:val="006235CA"/>
    <w:rsid w:val="006643AB"/>
    <w:rsid w:val="006F0A53"/>
    <w:rsid w:val="007100E2"/>
    <w:rsid w:val="00717C25"/>
    <w:rsid w:val="007210CD"/>
    <w:rsid w:val="00732045"/>
    <w:rsid w:val="00732E2F"/>
    <w:rsid w:val="007369DB"/>
    <w:rsid w:val="007513AE"/>
    <w:rsid w:val="00782067"/>
    <w:rsid w:val="007956C2"/>
    <w:rsid w:val="007A187E"/>
    <w:rsid w:val="007C72C2"/>
    <w:rsid w:val="007D2ACA"/>
    <w:rsid w:val="007D4436"/>
    <w:rsid w:val="007F257A"/>
    <w:rsid w:val="007F3665"/>
    <w:rsid w:val="00800037"/>
    <w:rsid w:val="008200A6"/>
    <w:rsid w:val="0083391C"/>
    <w:rsid w:val="00860F2B"/>
    <w:rsid w:val="00861D73"/>
    <w:rsid w:val="00897553"/>
    <w:rsid w:val="008A4E87"/>
    <w:rsid w:val="008C32EF"/>
    <w:rsid w:val="008D76E6"/>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AF51FA"/>
    <w:rsid w:val="00B309F9"/>
    <w:rsid w:val="00B32B60"/>
    <w:rsid w:val="00B61619"/>
    <w:rsid w:val="00BB4545"/>
    <w:rsid w:val="00BD5873"/>
    <w:rsid w:val="00BF560D"/>
    <w:rsid w:val="00C04BE3"/>
    <w:rsid w:val="00C16212"/>
    <w:rsid w:val="00C25D29"/>
    <w:rsid w:val="00C27A7C"/>
    <w:rsid w:val="00C627D9"/>
    <w:rsid w:val="00C922AC"/>
    <w:rsid w:val="00CA08ED"/>
    <w:rsid w:val="00CE0DDB"/>
    <w:rsid w:val="00CF183B"/>
    <w:rsid w:val="00D375CD"/>
    <w:rsid w:val="00D444B8"/>
    <w:rsid w:val="00D553A2"/>
    <w:rsid w:val="00D72F49"/>
    <w:rsid w:val="00D774D3"/>
    <w:rsid w:val="00D904E8"/>
    <w:rsid w:val="00DA08C3"/>
    <w:rsid w:val="00DB5A3E"/>
    <w:rsid w:val="00DC22AA"/>
    <w:rsid w:val="00DF74DD"/>
    <w:rsid w:val="00E25AD0"/>
    <w:rsid w:val="00E93668"/>
    <w:rsid w:val="00EB12B7"/>
    <w:rsid w:val="00EB6350"/>
    <w:rsid w:val="00F15B57"/>
    <w:rsid w:val="00F21161"/>
    <w:rsid w:val="00F35EF4"/>
    <w:rsid w:val="00F427DB"/>
    <w:rsid w:val="00F50C7B"/>
    <w:rsid w:val="00F911C5"/>
    <w:rsid w:val="00F96774"/>
    <w:rsid w:val="00FA5EB1"/>
    <w:rsid w:val="00FA7439"/>
    <w:rsid w:val="00FC4EC0"/>
    <w:rsid w:val="00FE552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08D37"/>
  <w15:docId w15:val="{21925E53-F0E3-4AD6-93EE-DF35BB7F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6EAF"/>
    <w:rPr>
      <w:rFonts w:ascii="Calibri" w:hAnsi="Calibri"/>
      <w:sz w:val="24"/>
      <w:lang w:val="fr-FR" w:eastAsia="en-US"/>
    </w:rPr>
  </w:style>
  <w:style w:type="character" w:styleId="UnresolvedMention">
    <w:name w:val="Unresolved Mention"/>
    <w:basedOn w:val="DefaultParagraphFont"/>
    <w:uiPriority w:val="99"/>
    <w:semiHidden/>
    <w:unhideWhenUsed/>
    <w:rsid w:val="0001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90129">
      <w:bodyDiv w:val="1"/>
      <w:marLeft w:val="0"/>
      <w:marRight w:val="0"/>
      <w:marTop w:val="0"/>
      <w:marBottom w:val="0"/>
      <w:divBdr>
        <w:top w:val="none" w:sz="0" w:space="0" w:color="auto"/>
        <w:left w:val="none" w:sz="0" w:space="0" w:color="auto"/>
        <w:bottom w:val="none" w:sz="0" w:space="0" w:color="auto"/>
        <w:right w:val="none" w:sz="0" w:space="0" w:color="auto"/>
      </w:divBdr>
    </w:div>
    <w:div w:id="978877706">
      <w:bodyDiv w:val="1"/>
      <w:marLeft w:val="0"/>
      <w:marRight w:val="0"/>
      <w:marTop w:val="0"/>
      <w:marBottom w:val="0"/>
      <w:divBdr>
        <w:top w:val="none" w:sz="0" w:space="0" w:color="auto"/>
        <w:left w:val="none" w:sz="0" w:space="0" w:color="auto"/>
        <w:bottom w:val="none" w:sz="0" w:space="0" w:color="auto"/>
        <w:right w:val="none" w:sz="0" w:space="0" w:color="auto"/>
      </w:divBdr>
    </w:div>
    <w:div w:id="13339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1-CL-C-0097/en"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annuel des produits et des charges dans le cadre de la mise en œuvre du budget 2023</dc:title>
  <dc:subject>Conseil 2023</dc:subject>
  <dc:creator>FrenchVS</dc:creator>
  <cp:keywords>C2023, C23, Council-23</cp:keywords>
  <dc:description/>
  <cp:lastModifiedBy>Xue, Kun</cp:lastModifiedBy>
  <cp:revision>2</cp:revision>
  <cp:lastPrinted>2000-07-18T08:55:00Z</cp:lastPrinted>
  <dcterms:created xsi:type="dcterms:W3CDTF">2023-06-22T15:32:00Z</dcterms:created>
  <dcterms:modified xsi:type="dcterms:W3CDTF">2023-06-22T15:32:00Z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