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6653DEB4"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4F5DEA">
              <w:rPr>
                <w:b/>
              </w:rPr>
              <w:t>PL 3</w:t>
            </w:r>
          </w:p>
        </w:tc>
        <w:tc>
          <w:tcPr>
            <w:tcW w:w="5245" w:type="dxa"/>
          </w:tcPr>
          <w:p w14:paraId="2F0CB53A" w14:textId="160E380B" w:rsidR="00AD3606" w:rsidRPr="00E85629" w:rsidRDefault="00AD3606" w:rsidP="00472BAD">
            <w:pPr>
              <w:tabs>
                <w:tab w:val="left" w:pos="851"/>
              </w:tabs>
              <w:spacing w:before="0" w:line="240" w:lineRule="atLeast"/>
              <w:jc w:val="right"/>
              <w:rPr>
                <w:b/>
              </w:rPr>
            </w:pPr>
            <w:r>
              <w:rPr>
                <w:b/>
              </w:rPr>
              <w:t>Document C23/</w:t>
            </w:r>
            <w:r w:rsidR="004F5DEA">
              <w:rPr>
                <w:b/>
              </w:rPr>
              <w:t>12</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61496AA" w:rsidR="00AD3606" w:rsidRPr="00E85629" w:rsidRDefault="004C2259" w:rsidP="00AD3606">
            <w:pPr>
              <w:tabs>
                <w:tab w:val="left" w:pos="851"/>
              </w:tabs>
              <w:spacing w:before="0"/>
              <w:jc w:val="right"/>
              <w:rPr>
                <w:b/>
              </w:rPr>
            </w:pPr>
            <w:r>
              <w:rPr>
                <w:b/>
              </w:rPr>
              <w:t>1</w:t>
            </w:r>
            <w:r w:rsidR="000A3B38">
              <w:rPr>
                <w:b/>
              </w:rPr>
              <w:t>6</w:t>
            </w:r>
            <w:r>
              <w:rPr>
                <w:b/>
              </w:rPr>
              <w:t xml:space="preserve"> May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120EB430" w:rsidR="00AD3606" w:rsidRPr="00813E5E" w:rsidRDefault="002424AE" w:rsidP="00DF0189">
            <w:pPr>
              <w:pStyle w:val="Subtitle"/>
              <w:framePr w:hSpace="0" w:wrap="auto" w:hAnchor="text" w:xAlign="left" w:yAlign="inline"/>
            </w:pPr>
            <w:bookmarkStart w:id="5" w:name="dtitle1" w:colFirst="0" w:colLast="0"/>
            <w:bookmarkEnd w:id="4"/>
            <w:r>
              <w:t xml:space="preserve">PERIODIC REVIEW OF THE INTERNATIONAL TELECOMMUNICATION REGULATIONS </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F099BBA" w:rsidR="00AD3606" w:rsidRPr="00F16BAB" w:rsidRDefault="00F16BAB" w:rsidP="00CA0716">
            <w:pPr>
              <w:spacing w:before="160"/>
              <w:jc w:val="both"/>
              <w:rPr>
                <w:b/>
                <w:bCs/>
                <w:sz w:val="26"/>
                <w:szCs w:val="26"/>
              </w:rPr>
            </w:pPr>
            <w:r w:rsidRPr="00F16BAB">
              <w:rPr>
                <w:b/>
                <w:bCs/>
                <w:sz w:val="26"/>
                <w:szCs w:val="26"/>
              </w:rPr>
              <w:t>Purpose</w:t>
            </w:r>
          </w:p>
          <w:p w14:paraId="0BB66129" w14:textId="78A82185" w:rsidR="00247585" w:rsidRPr="0026045A" w:rsidRDefault="00247585" w:rsidP="00247585">
            <w:pPr>
              <w:snapToGrid w:val="0"/>
              <w:spacing w:after="120"/>
              <w:jc w:val="both"/>
              <w:rPr>
                <w:b/>
                <w:bCs/>
              </w:rPr>
            </w:pPr>
            <w:r>
              <w:rPr>
                <w:lang w:val="en-US"/>
              </w:rPr>
              <w:t xml:space="preserve">This document provides </w:t>
            </w:r>
            <w:r w:rsidR="00D077D7">
              <w:rPr>
                <w:lang w:val="en-US"/>
              </w:rPr>
              <w:t xml:space="preserve">an overview of </w:t>
            </w:r>
            <w:r>
              <w:rPr>
                <w:lang w:val="en-US"/>
              </w:rPr>
              <w:t>the International</w:t>
            </w:r>
            <w:r>
              <w:rPr>
                <w:rFonts w:eastAsia="Arial Unicode MS" w:cstheme="minorHAnsi"/>
              </w:rPr>
              <w:t xml:space="preserve"> Telecommunication Regulations (ITRs) and highlights instructions received from the </w:t>
            </w:r>
            <w:r w:rsidR="00991302">
              <w:rPr>
                <w:rFonts w:eastAsia="Arial Unicode MS" w:cstheme="minorHAnsi"/>
              </w:rPr>
              <w:t xml:space="preserve">ITU </w:t>
            </w:r>
            <w:r>
              <w:rPr>
                <w:rFonts w:eastAsia="Arial Unicode MS" w:cstheme="minorHAnsi"/>
              </w:rPr>
              <w:t>Plenipotentiary Conference</w:t>
            </w:r>
            <w:r w:rsidR="00CF5692">
              <w:rPr>
                <w:rFonts w:eastAsia="Arial Unicode MS" w:cstheme="minorHAnsi"/>
              </w:rPr>
              <w:t xml:space="preserve"> (Bucharest, 2022)</w:t>
            </w:r>
            <w:r>
              <w:rPr>
                <w:rFonts w:eastAsia="Arial Unicode MS" w:cstheme="minorHAnsi"/>
              </w:rPr>
              <w:t xml:space="preserve"> on the p</w:t>
            </w:r>
            <w:r w:rsidRPr="00BE15FE">
              <w:t>eriodic review of the ITRs</w:t>
            </w:r>
            <w:r>
              <w:t>.</w:t>
            </w:r>
          </w:p>
          <w:p w14:paraId="45B1495A" w14:textId="77777777" w:rsidR="00AD3606" w:rsidRPr="00F16BAB" w:rsidRDefault="00AD3606" w:rsidP="00CA0716">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6688C0B5" w14:textId="21F000AE" w:rsidR="00247585" w:rsidRDefault="00247585" w:rsidP="00247585">
            <w:pPr>
              <w:snapToGrid w:val="0"/>
              <w:spacing w:after="120"/>
              <w:jc w:val="both"/>
            </w:pPr>
            <w:r>
              <w:t>Res</w:t>
            </w:r>
            <w:r w:rsidR="004F5DEA">
              <w:t>olution</w:t>
            </w:r>
            <w:r>
              <w:t xml:space="preserve"> 146 (Rev. Bucharest, 2022) </w:t>
            </w:r>
            <w:r w:rsidR="004F5DEA">
              <w:t xml:space="preserve">of the Plenipotentiary Conference </w:t>
            </w:r>
            <w:r>
              <w:t>instructs the Secretary</w:t>
            </w:r>
            <w:r w:rsidR="00CF5692">
              <w:t>-</w:t>
            </w:r>
            <w:r>
              <w:t xml:space="preserve">General </w:t>
            </w:r>
            <w:r w:rsidRPr="00247585">
              <w:t xml:space="preserve">to reconvene an </w:t>
            </w:r>
            <w:r w:rsidR="00CF5692">
              <w:rPr>
                <w:iCs/>
                <w:lang w:val="en-US"/>
              </w:rPr>
              <w:t>e</w:t>
            </w:r>
            <w:r w:rsidR="000B3AA4">
              <w:rPr>
                <w:iCs/>
                <w:lang w:val="en-US"/>
              </w:rPr>
              <w:t xml:space="preserve">xpert </w:t>
            </w:r>
            <w:r w:rsidR="00CF5692">
              <w:rPr>
                <w:iCs/>
                <w:lang w:val="en-US"/>
              </w:rPr>
              <w:t>g</w:t>
            </w:r>
            <w:r w:rsidR="000B3AA4">
              <w:rPr>
                <w:iCs/>
                <w:lang w:val="en-US"/>
              </w:rPr>
              <w:t xml:space="preserve">roup on </w:t>
            </w:r>
            <w:r w:rsidR="000B3AA4" w:rsidRPr="00A728A8">
              <w:rPr>
                <w:lang w:val="en-US"/>
              </w:rPr>
              <w:t xml:space="preserve">the </w:t>
            </w:r>
            <w:r w:rsidR="005145FE">
              <w:rPr>
                <w:lang w:val="en-US"/>
              </w:rPr>
              <w:t>ITRs</w:t>
            </w:r>
            <w:r w:rsidR="000B3AA4" w:rsidRPr="00247585">
              <w:t xml:space="preserve"> </w:t>
            </w:r>
            <w:r w:rsidR="000B3AA4">
              <w:t>(</w:t>
            </w:r>
            <w:r w:rsidRPr="00247585">
              <w:t>EG</w:t>
            </w:r>
            <w:r w:rsidRPr="00247585">
              <w:rPr>
                <w:rFonts w:ascii="Cambria Math" w:hAnsi="Cambria Math" w:cs="Cambria Math"/>
              </w:rPr>
              <w:t>‑</w:t>
            </w:r>
            <w:r w:rsidRPr="00247585">
              <w:t>ITR</w:t>
            </w:r>
            <w:r w:rsidR="000B3AA4">
              <w:t>)</w:t>
            </w:r>
            <w:r w:rsidRPr="00247585">
              <w:t>, open to the ITU Member States and Sector Members, with terms</w:t>
            </w:r>
            <w:r>
              <w:t xml:space="preserve"> </w:t>
            </w:r>
            <w:r w:rsidRPr="00247585">
              <w:t>of reference</w:t>
            </w:r>
            <w:r w:rsidR="005145FE">
              <w:t xml:space="preserve"> (ToR)</w:t>
            </w:r>
            <w:r w:rsidRPr="00247585">
              <w:t xml:space="preserve"> and working methods established by the ITU Council</w:t>
            </w:r>
            <w:r w:rsidR="00324E28">
              <w:t>.</w:t>
            </w:r>
          </w:p>
          <w:p w14:paraId="2A766497" w14:textId="30FEBE70" w:rsidR="00247585" w:rsidRDefault="00247585" w:rsidP="00247585">
            <w:pPr>
              <w:snapToGrid w:val="0"/>
              <w:spacing w:after="120"/>
              <w:jc w:val="both"/>
            </w:pPr>
            <w:r>
              <w:t>Res</w:t>
            </w:r>
            <w:r w:rsidR="004F5DEA">
              <w:t>olution</w:t>
            </w:r>
            <w:r>
              <w:t xml:space="preserve"> 146 (Rev. Bucharest, 2022) instructs the </w:t>
            </w:r>
            <w:r w:rsidRPr="00020BF2">
              <w:t>Council to review and revise,</w:t>
            </w:r>
            <w:r w:rsidRPr="00247585">
              <w:t xml:space="preserve"> at its 2023 session, the </w:t>
            </w:r>
            <w:r w:rsidR="00020BF2">
              <w:t>ToR</w:t>
            </w:r>
            <w:r w:rsidRPr="00247585">
              <w:t xml:space="preserve"> for EG</w:t>
            </w:r>
            <w:r w:rsidRPr="00247585">
              <w:rPr>
                <w:rFonts w:ascii="Cambria Math" w:hAnsi="Cambria Math" w:cs="Cambria Math"/>
              </w:rPr>
              <w:t>‑</w:t>
            </w:r>
            <w:r w:rsidRPr="00247585">
              <w:t>ITR</w:t>
            </w:r>
            <w:r w:rsidR="00324E28">
              <w:t>.</w:t>
            </w:r>
          </w:p>
          <w:p w14:paraId="3C560441" w14:textId="3DFA2D24" w:rsidR="00247585" w:rsidRPr="00247585" w:rsidRDefault="00A92972" w:rsidP="00247585">
            <w:pPr>
              <w:snapToGrid w:val="0"/>
              <w:spacing w:after="120"/>
              <w:jc w:val="both"/>
              <w:rPr>
                <w:lang w:val="en-US"/>
              </w:rPr>
            </w:pPr>
            <w:r>
              <w:t xml:space="preserve">The </w:t>
            </w:r>
            <w:r w:rsidR="00247585">
              <w:t xml:space="preserve">Council is invited </w:t>
            </w:r>
            <w:r w:rsidR="00247585" w:rsidRPr="004F5DEA">
              <w:rPr>
                <w:b/>
                <w:bCs/>
              </w:rPr>
              <w:t xml:space="preserve">to </w:t>
            </w:r>
            <w:r w:rsidR="00247585" w:rsidRPr="004F5DEA">
              <w:rPr>
                <w:b/>
                <w:bCs/>
                <w:iCs/>
                <w:lang w:val="en-US"/>
              </w:rPr>
              <w:t xml:space="preserve">review and revise </w:t>
            </w:r>
            <w:r w:rsidR="00247585">
              <w:rPr>
                <w:iCs/>
                <w:lang w:val="en-US"/>
              </w:rPr>
              <w:t xml:space="preserve">the </w:t>
            </w:r>
            <w:r w:rsidR="00CF5692">
              <w:rPr>
                <w:iCs/>
                <w:lang w:val="en-US"/>
              </w:rPr>
              <w:t>ToR</w:t>
            </w:r>
            <w:r w:rsidR="00247585" w:rsidRPr="0026045A">
              <w:rPr>
                <w:iCs/>
                <w:lang w:val="en-US"/>
              </w:rPr>
              <w:t xml:space="preserve"> for </w:t>
            </w:r>
            <w:r w:rsidR="00247585" w:rsidRPr="00A728A8">
              <w:rPr>
                <w:rFonts w:asciiTheme="minorHAnsi" w:hAnsiTheme="minorHAnsi" w:cs="TimesNewRoman,Italic"/>
                <w:szCs w:val="24"/>
                <w:lang w:val="en-US" w:eastAsia="zh-CN"/>
              </w:rPr>
              <w:t>EG</w:t>
            </w:r>
            <w:r w:rsidR="00247585" w:rsidRPr="00A728A8">
              <w:rPr>
                <w:rFonts w:asciiTheme="minorHAnsi" w:hAnsiTheme="minorHAnsi" w:cs="TimesNewRoman,Italic"/>
                <w:szCs w:val="24"/>
                <w:lang w:val="en-US" w:eastAsia="zh-CN"/>
              </w:rPr>
              <w:noBreakHyphen/>
              <w:t>ITR</w:t>
            </w:r>
            <w:r w:rsidR="00247585">
              <w:rPr>
                <w:lang w:val="en-US"/>
              </w:rPr>
              <w:t>.</w:t>
            </w:r>
          </w:p>
          <w:p w14:paraId="71511FA1" w14:textId="566A113F" w:rsidR="00F16BAB" w:rsidRPr="00DC2126" w:rsidRDefault="00F16BAB" w:rsidP="00CA0716">
            <w:pPr>
              <w:spacing w:before="160"/>
              <w:jc w:val="both"/>
              <w:rPr>
                <w:b/>
                <w:bCs/>
                <w:sz w:val="26"/>
                <w:szCs w:val="26"/>
              </w:rPr>
            </w:pPr>
            <w:r w:rsidRPr="00DC2126">
              <w:rPr>
                <w:b/>
                <w:bCs/>
                <w:sz w:val="26"/>
                <w:szCs w:val="26"/>
              </w:rPr>
              <w:t>Relevant link</w:t>
            </w:r>
            <w:r w:rsidR="00A54171" w:rsidRPr="00DC2126">
              <w:rPr>
                <w:b/>
                <w:bCs/>
                <w:sz w:val="26"/>
                <w:szCs w:val="26"/>
              </w:rPr>
              <w:t>(s)</w:t>
            </w:r>
            <w:r w:rsidRPr="00DC2126">
              <w:rPr>
                <w:b/>
                <w:bCs/>
                <w:sz w:val="26"/>
                <w:szCs w:val="26"/>
              </w:rPr>
              <w:t xml:space="preserve"> with the Strategic Plan</w:t>
            </w:r>
          </w:p>
          <w:p w14:paraId="55CEB795" w14:textId="49FFA031" w:rsidR="0051167D" w:rsidRPr="00DC2126" w:rsidRDefault="00A46DBA" w:rsidP="00CA0716">
            <w:pPr>
              <w:jc w:val="both"/>
            </w:pPr>
            <w:r>
              <w:t xml:space="preserve">Convening platform; </w:t>
            </w:r>
            <w:r w:rsidR="0051167D">
              <w:t xml:space="preserve">development and application of the ITU Administrative Regulations. </w:t>
            </w:r>
          </w:p>
          <w:p w14:paraId="74189BBD" w14:textId="4D6D4769" w:rsidR="00F16BAB" w:rsidRPr="001E48B3" w:rsidRDefault="00F16BAB" w:rsidP="00CA0716">
            <w:pPr>
              <w:spacing w:before="160"/>
              <w:jc w:val="both"/>
              <w:rPr>
                <w:szCs w:val="24"/>
              </w:rPr>
            </w:pPr>
            <w:r w:rsidRPr="00DC2126">
              <w:rPr>
                <w:b/>
                <w:bCs/>
                <w:sz w:val="26"/>
                <w:szCs w:val="26"/>
              </w:rPr>
              <w:t xml:space="preserve">Financial implications: </w:t>
            </w:r>
            <w:r w:rsidR="008902E8" w:rsidRPr="001E48B3">
              <w:rPr>
                <w:szCs w:val="24"/>
              </w:rPr>
              <w:t xml:space="preserve">to be identified based on the ToR </w:t>
            </w:r>
            <w:r w:rsidR="00CF5692">
              <w:rPr>
                <w:szCs w:val="24"/>
              </w:rPr>
              <w:t>as</w:t>
            </w:r>
            <w:r w:rsidR="008902E8" w:rsidRPr="001E48B3">
              <w:rPr>
                <w:szCs w:val="24"/>
              </w:rPr>
              <w:t xml:space="preserve"> reviewed </w:t>
            </w:r>
            <w:r w:rsidR="00CF5692">
              <w:rPr>
                <w:szCs w:val="24"/>
              </w:rPr>
              <w:t>by the</w:t>
            </w:r>
            <w:r w:rsidR="00CF5692" w:rsidRPr="001E48B3">
              <w:rPr>
                <w:szCs w:val="24"/>
              </w:rPr>
              <w:t xml:space="preserve"> </w:t>
            </w:r>
            <w:r w:rsidR="008902E8" w:rsidRPr="001E48B3">
              <w:rPr>
                <w:szCs w:val="24"/>
              </w:rPr>
              <w:t>Council</w:t>
            </w:r>
            <w:r w:rsidR="001E48B3" w:rsidRPr="001E48B3">
              <w:rPr>
                <w:szCs w:val="24"/>
              </w:rPr>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6BBE20EF" w:rsidR="00AD3606" w:rsidRDefault="000A3B38" w:rsidP="00F16BAB">
            <w:pPr>
              <w:spacing w:after="160"/>
            </w:pPr>
            <w:hyperlink r:id="rId8" w:history="1">
              <w:r w:rsidR="001062CA" w:rsidRPr="0010087F">
                <w:rPr>
                  <w:rStyle w:val="Hyperlink"/>
                </w:rPr>
                <w:t xml:space="preserve">Resolution </w:t>
              </w:r>
              <w:r w:rsidR="00324E28" w:rsidRPr="0010087F">
                <w:rPr>
                  <w:rStyle w:val="Hyperlink"/>
                </w:rPr>
                <w:t>146</w:t>
              </w:r>
            </w:hyperlink>
            <w:r w:rsidR="001062CA">
              <w:t xml:space="preserve"> (Rev. Bucharest, 2022), </w:t>
            </w:r>
            <w:hyperlink r:id="rId9" w:history="1">
              <w:r w:rsidR="00222110">
                <w:t xml:space="preserve">Document </w:t>
              </w:r>
              <w:r w:rsidR="00222110">
                <w:rPr>
                  <w:rStyle w:val="Hyperlink"/>
                </w:rPr>
                <w:t>PP-22/</w:t>
              </w:r>
              <w:r w:rsidR="001062CA" w:rsidRPr="001062CA">
                <w:rPr>
                  <w:rStyle w:val="Hyperlink"/>
                </w:rPr>
                <w:t>207</w:t>
              </w:r>
            </w:hyperlink>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0998F8C5" w14:textId="738A4ECA" w:rsidR="00247585" w:rsidRPr="0026045A" w:rsidRDefault="001E48B3" w:rsidP="001E48B3">
      <w:pPr>
        <w:tabs>
          <w:tab w:val="clear" w:pos="567"/>
          <w:tab w:val="clear" w:pos="1134"/>
          <w:tab w:val="clear" w:pos="1701"/>
          <w:tab w:val="clear" w:pos="2268"/>
          <w:tab w:val="clear" w:pos="2835"/>
        </w:tabs>
        <w:spacing w:before="360"/>
        <w:jc w:val="both"/>
        <w:rPr>
          <w:b/>
          <w:iCs/>
        </w:rPr>
      </w:pPr>
      <w:r>
        <w:rPr>
          <w:b/>
          <w:iCs/>
        </w:rPr>
        <w:lastRenderedPageBreak/>
        <w:t>1</w:t>
      </w:r>
      <w:r>
        <w:rPr>
          <w:b/>
          <w:iCs/>
        </w:rPr>
        <w:tab/>
      </w:r>
      <w:r w:rsidR="00D077D7">
        <w:rPr>
          <w:b/>
          <w:iCs/>
        </w:rPr>
        <w:t>Overview of the ITRs</w:t>
      </w:r>
    </w:p>
    <w:p w14:paraId="4C8C4880" w14:textId="2F99A87A" w:rsidR="00247585" w:rsidRDefault="00247585" w:rsidP="001E48B3">
      <w:pPr>
        <w:tabs>
          <w:tab w:val="clear" w:pos="567"/>
          <w:tab w:val="clear" w:pos="1134"/>
          <w:tab w:val="clear" w:pos="1701"/>
          <w:tab w:val="clear" w:pos="2268"/>
          <w:tab w:val="clear" w:pos="2835"/>
        </w:tabs>
        <w:snapToGrid w:val="0"/>
        <w:spacing w:before="160" w:after="120"/>
        <w:jc w:val="both"/>
      </w:pPr>
      <w:r w:rsidRPr="00E43E14">
        <w:rPr>
          <w:bCs/>
          <w:iCs/>
        </w:rPr>
        <w:t>1</w:t>
      </w:r>
      <w:r w:rsidR="001E48B3">
        <w:rPr>
          <w:bCs/>
          <w:iCs/>
        </w:rPr>
        <w:t>.1</w:t>
      </w:r>
      <w:r>
        <w:rPr>
          <w:b/>
          <w:iCs/>
        </w:rPr>
        <w:tab/>
      </w:r>
      <w:r>
        <w:rPr>
          <w:lang w:val="en-US"/>
        </w:rPr>
        <w:t xml:space="preserve">Further to </w:t>
      </w:r>
      <w:r>
        <w:rPr>
          <w:rFonts w:asciiTheme="minorHAnsi" w:hAnsiTheme="minorHAnsi" w:cstheme="minorHAnsi"/>
          <w:szCs w:val="24"/>
          <w:lang w:val="en-US"/>
        </w:rPr>
        <w:t>Resolution 171 (Guadalajara, 2010)</w:t>
      </w:r>
      <w:r w:rsidR="00CF5692">
        <w:rPr>
          <w:rFonts w:asciiTheme="minorHAnsi" w:hAnsiTheme="minorHAnsi" w:cstheme="minorHAnsi"/>
          <w:szCs w:val="24"/>
          <w:lang w:val="en-US"/>
        </w:rPr>
        <w:t xml:space="preserve"> of the </w:t>
      </w:r>
      <w:r w:rsidR="00991302">
        <w:rPr>
          <w:rFonts w:asciiTheme="minorHAnsi" w:hAnsiTheme="minorHAnsi" w:cstheme="minorHAnsi"/>
          <w:szCs w:val="24"/>
          <w:lang w:val="en-US"/>
        </w:rPr>
        <w:t xml:space="preserve">ITU </w:t>
      </w:r>
      <w:r w:rsidR="00CF5692">
        <w:rPr>
          <w:rFonts w:asciiTheme="minorHAnsi" w:hAnsiTheme="minorHAnsi" w:cstheme="minorHAnsi"/>
          <w:szCs w:val="24"/>
          <w:lang w:val="en-US"/>
        </w:rPr>
        <w:t>Plenipotentiary Conference</w:t>
      </w:r>
      <w:r>
        <w:rPr>
          <w:rFonts w:asciiTheme="minorHAnsi" w:hAnsiTheme="minorHAnsi" w:cstheme="minorHAnsi"/>
          <w:szCs w:val="24"/>
          <w:lang w:val="en-US"/>
        </w:rPr>
        <w:t xml:space="preserve">, and in accordance with </w:t>
      </w:r>
      <w:r w:rsidR="005145FE">
        <w:rPr>
          <w:rFonts w:asciiTheme="minorHAnsi" w:hAnsiTheme="minorHAnsi" w:cstheme="minorHAnsi"/>
          <w:szCs w:val="24"/>
          <w:lang w:val="en-US"/>
        </w:rPr>
        <w:t xml:space="preserve">ITU </w:t>
      </w:r>
      <w:r>
        <w:rPr>
          <w:rFonts w:asciiTheme="minorHAnsi" w:hAnsiTheme="minorHAnsi" w:cstheme="minorHAnsi"/>
          <w:szCs w:val="24"/>
          <w:lang w:val="en-US"/>
        </w:rPr>
        <w:t xml:space="preserve">Council Resolution 1335, </w:t>
      </w:r>
      <w:r>
        <w:t>the World Conference on International Telecommunications (WCIT-12) was held in Dubai from 3 to 14 December 2012.</w:t>
      </w:r>
    </w:p>
    <w:p w14:paraId="3CC63369" w14:textId="4ECF72BB" w:rsidR="00247585" w:rsidRDefault="001E48B3" w:rsidP="001E48B3">
      <w:pPr>
        <w:tabs>
          <w:tab w:val="clear" w:pos="567"/>
          <w:tab w:val="clear" w:pos="1134"/>
          <w:tab w:val="clear" w:pos="1701"/>
          <w:tab w:val="clear" w:pos="2268"/>
          <w:tab w:val="clear" w:pos="2835"/>
        </w:tabs>
        <w:snapToGrid w:val="0"/>
        <w:spacing w:before="160" w:after="120"/>
        <w:jc w:val="both"/>
      </w:pPr>
      <w:r>
        <w:rPr>
          <w:rFonts w:eastAsia="Arial Unicode MS" w:cstheme="minorHAnsi"/>
        </w:rPr>
        <w:t>1.2</w:t>
      </w:r>
      <w:r w:rsidR="00247585">
        <w:rPr>
          <w:rFonts w:eastAsia="Arial Unicode MS" w:cstheme="minorHAnsi"/>
        </w:rPr>
        <w:tab/>
        <w:t>WCIT-12 revised the International Telecommunication Regulations (ITRs) in their entirety and also adopted five new resolutions</w:t>
      </w:r>
      <w:r w:rsidR="00247585">
        <w:t>.</w:t>
      </w:r>
    </w:p>
    <w:p w14:paraId="1AAF25FA" w14:textId="25C3B0F8" w:rsidR="00247585" w:rsidRDefault="001E48B3" w:rsidP="001E48B3">
      <w:pPr>
        <w:tabs>
          <w:tab w:val="clear" w:pos="567"/>
          <w:tab w:val="clear" w:pos="1134"/>
          <w:tab w:val="clear" w:pos="1701"/>
          <w:tab w:val="clear" w:pos="2268"/>
          <w:tab w:val="clear" w:pos="2835"/>
        </w:tabs>
        <w:snapToGrid w:val="0"/>
        <w:spacing w:before="160" w:after="120"/>
        <w:jc w:val="both"/>
      </w:pPr>
      <w:r>
        <w:t>1.3</w:t>
      </w:r>
      <w:r w:rsidR="00247585">
        <w:tab/>
        <w:t xml:space="preserve">The revised ITRs entered into force on 1 January 2015 </w:t>
      </w:r>
      <w:r w:rsidR="00CF5692">
        <w:t xml:space="preserve">for </w:t>
      </w:r>
      <w:r w:rsidR="00247585">
        <w:t xml:space="preserve">Member States </w:t>
      </w:r>
      <w:r w:rsidR="00247585" w:rsidRPr="001918BD">
        <w:t>having deposited before that date their instrument of ratification, acceptance</w:t>
      </w:r>
      <w:r w:rsidR="005145FE">
        <w:t>,</w:t>
      </w:r>
      <w:r w:rsidR="00247585" w:rsidRPr="001918BD">
        <w:t xml:space="preserve"> approval or accession</w:t>
      </w:r>
      <w:r w:rsidR="00247585">
        <w:t xml:space="preserve">. </w:t>
      </w:r>
    </w:p>
    <w:p w14:paraId="4C50B1B3" w14:textId="07617A28" w:rsidR="00247585" w:rsidRDefault="001E48B3" w:rsidP="001E48B3">
      <w:pPr>
        <w:tabs>
          <w:tab w:val="clear" w:pos="567"/>
          <w:tab w:val="clear" w:pos="1134"/>
          <w:tab w:val="clear" w:pos="1701"/>
          <w:tab w:val="clear" w:pos="2268"/>
          <w:tab w:val="clear" w:pos="2835"/>
        </w:tabs>
        <w:snapToGrid w:val="0"/>
        <w:spacing w:before="160" w:after="120"/>
        <w:jc w:val="both"/>
      </w:pPr>
      <w:r>
        <w:t>1.</w:t>
      </w:r>
      <w:r w:rsidR="00247585">
        <w:t>4</w:t>
      </w:r>
      <w:r w:rsidR="00247585">
        <w:tab/>
        <w:t>The list of signatories of the</w:t>
      </w:r>
      <w:r w:rsidR="005145FE">
        <w:t xml:space="preserve"> WCIT-12</w:t>
      </w:r>
      <w:r w:rsidR="00247585">
        <w:t xml:space="preserve"> Final Acts is available at </w:t>
      </w:r>
      <w:hyperlink r:id="rId10" w:history="1">
        <w:r w:rsidR="00247585" w:rsidRPr="00BE79FA">
          <w:rPr>
            <w:rStyle w:val="Hyperlink"/>
          </w:rPr>
          <w:t>http://www.itu.int/osg/wcit-12/highlights/signatories.html</w:t>
        </w:r>
      </w:hyperlink>
      <w:r w:rsidR="00247585">
        <w:t>.</w:t>
      </w:r>
    </w:p>
    <w:p w14:paraId="22358FD2" w14:textId="3B75B8FF" w:rsidR="00247585" w:rsidRDefault="001E48B3" w:rsidP="001E48B3">
      <w:pPr>
        <w:tabs>
          <w:tab w:val="clear" w:pos="567"/>
          <w:tab w:val="clear" w:pos="1134"/>
          <w:tab w:val="clear" w:pos="1701"/>
          <w:tab w:val="clear" w:pos="2268"/>
          <w:tab w:val="clear" w:pos="2835"/>
        </w:tabs>
        <w:snapToGrid w:val="0"/>
        <w:spacing w:before="160" w:after="120"/>
        <w:jc w:val="both"/>
      </w:pPr>
      <w:r>
        <w:t>1.</w:t>
      </w:r>
      <w:r w:rsidR="00247585">
        <w:t>5</w:t>
      </w:r>
      <w:r w:rsidR="00247585">
        <w:tab/>
        <w:t>The list of Member States having ratified, accepted</w:t>
      </w:r>
      <w:r w:rsidR="00CF5692">
        <w:t xml:space="preserve"> or </w:t>
      </w:r>
      <w:r w:rsidR="00247585">
        <w:t>approved</w:t>
      </w:r>
      <w:r w:rsidR="00CF5692">
        <w:t>,</w:t>
      </w:r>
      <w:r w:rsidR="00247585">
        <w:t xml:space="preserve"> or acceded to</w:t>
      </w:r>
      <w:r w:rsidR="00CF5692">
        <w:t>,</w:t>
      </w:r>
      <w:r w:rsidR="00247585">
        <w:t xml:space="preserve"> the </w:t>
      </w:r>
      <w:r w:rsidR="00247585" w:rsidRPr="002F7EA5">
        <w:rPr>
          <w:rFonts w:asciiTheme="minorHAnsi" w:eastAsia="Arial Unicode MS" w:hAnsiTheme="minorHAnsi" w:cstheme="minorHAnsi"/>
          <w:szCs w:val="24"/>
        </w:rPr>
        <w:t xml:space="preserve">revised </w:t>
      </w:r>
      <w:r w:rsidR="00247585">
        <w:rPr>
          <w:rFonts w:asciiTheme="minorHAnsi" w:eastAsia="Arial Unicode MS" w:hAnsiTheme="minorHAnsi" w:cstheme="minorHAnsi"/>
          <w:szCs w:val="24"/>
        </w:rPr>
        <w:t>ITRs</w:t>
      </w:r>
      <w:r w:rsidR="00247585">
        <w:t xml:space="preserve"> (Dubai, 2012) is available at </w:t>
      </w:r>
      <w:hyperlink r:id="rId11" w:history="1">
        <w:r w:rsidR="00247585" w:rsidRPr="00BB1E9D">
          <w:rPr>
            <w:rStyle w:val="Hyperlink"/>
          </w:rPr>
          <w:t>https://www.itu.int/online/mm/scripts/mm.final-acts.list?_languageid=1&amp;_agrmts_type=WCIT-2012</w:t>
        </w:r>
      </w:hyperlink>
      <w:r w:rsidR="00247585">
        <w:t>.</w:t>
      </w:r>
    </w:p>
    <w:p w14:paraId="6054CE30" w14:textId="2F52A6F9" w:rsidR="00247585" w:rsidRDefault="001E48B3" w:rsidP="001E48B3">
      <w:pPr>
        <w:tabs>
          <w:tab w:val="clear" w:pos="567"/>
          <w:tab w:val="clear" w:pos="1134"/>
          <w:tab w:val="clear" w:pos="1701"/>
          <w:tab w:val="clear" w:pos="2268"/>
          <w:tab w:val="clear" w:pos="2835"/>
        </w:tabs>
        <w:snapToGrid w:val="0"/>
        <w:spacing w:before="480" w:after="120"/>
        <w:jc w:val="both"/>
        <w:rPr>
          <w:b/>
          <w:bCs/>
        </w:rPr>
      </w:pPr>
      <w:r>
        <w:rPr>
          <w:b/>
          <w:bCs/>
        </w:rPr>
        <w:t>2</w:t>
      </w:r>
      <w:r>
        <w:rPr>
          <w:b/>
          <w:bCs/>
        </w:rPr>
        <w:tab/>
      </w:r>
      <w:r w:rsidR="00247585" w:rsidRPr="0026045A">
        <w:rPr>
          <w:b/>
          <w:bCs/>
        </w:rPr>
        <w:t>Periodic review of the ITRs</w:t>
      </w:r>
    </w:p>
    <w:p w14:paraId="57DAAA03" w14:textId="53FDC9C3" w:rsidR="00847255" w:rsidRPr="00CC5DCF" w:rsidRDefault="001E48B3" w:rsidP="001E48B3">
      <w:pPr>
        <w:tabs>
          <w:tab w:val="clear" w:pos="567"/>
          <w:tab w:val="clear" w:pos="1134"/>
          <w:tab w:val="clear" w:pos="1701"/>
          <w:tab w:val="clear" w:pos="2268"/>
          <w:tab w:val="clear" w:pos="2835"/>
        </w:tabs>
        <w:snapToGrid w:val="0"/>
        <w:spacing w:before="160" w:after="120"/>
        <w:jc w:val="both"/>
        <w:rPr>
          <w:lang w:val="en-US"/>
        </w:rPr>
      </w:pPr>
      <w:r w:rsidRPr="00CC5DCF">
        <w:t>2.1</w:t>
      </w:r>
      <w:r w:rsidR="00847255" w:rsidRPr="00CC5DCF">
        <w:tab/>
        <w:t xml:space="preserve">The Plenipotentiary Conference </w:t>
      </w:r>
      <w:r w:rsidR="00CF5692">
        <w:t xml:space="preserve">(Dubai, </w:t>
      </w:r>
      <w:r w:rsidR="00847255" w:rsidRPr="00CC5DCF">
        <w:t>2018</w:t>
      </w:r>
      <w:r w:rsidR="00CF5692">
        <w:t>)</w:t>
      </w:r>
      <w:r w:rsidR="00847255" w:rsidRPr="00CC5DCF">
        <w:t xml:space="preserve"> resolved through Resolution 146 (Rev. Dubai, 2018)</w:t>
      </w:r>
      <w:r w:rsidR="00CF5692">
        <w:t>,</w:t>
      </w:r>
      <w:r w:rsidR="00063089" w:rsidRPr="00CC5DCF">
        <w:t xml:space="preserve"> on </w:t>
      </w:r>
      <w:r w:rsidR="00CF5692">
        <w:t>p</w:t>
      </w:r>
      <w:r w:rsidR="00063089" w:rsidRPr="0037165E">
        <w:t>eriodic review and revision of the ITRs</w:t>
      </w:r>
      <w:r w:rsidR="00CF5692" w:rsidRPr="0037165E">
        <w:t>,</w:t>
      </w:r>
      <w:r w:rsidR="00847255" w:rsidRPr="00CC5DCF">
        <w:t xml:space="preserve"> </w:t>
      </w:r>
      <w:r w:rsidR="00847255" w:rsidRPr="00CC5DCF">
        <w:rPr>
          <w:lang w:val="en-US"/>
        </w:rPr>
        <w:t xml:space="preserve">that the ITRs should normally be reviewed periodically; and to conduct a comprehensive review of the </w:t>
      </w:r>
      <w:r w:rsidR="00847255" w:rsidRPr="00CC5DCF">
        <w:t>ITRs</w:t>
      </w:r>
      <w:r w:rsidR="00847255" w:rsidRPr="00CC5DCF">
        <w:rPr>
          <w:lang w:val="en-US"/>
        </w:rPr>
        <w:t xml:space="preserve"> with a view to achieving consensus on the way forward in respect of the ITRs. It instructed the Secretary-General to reconvene an </w:t>
      </w:r>
      <w:r w:rsidR="008E40B7">
        <w:rPr>
          <w:lang w:val="en-US"/>
        </w:rPr>
        <w:t>e</w:t>
      </w:r>
      <w:r w:rsidR="00847255" w:rsidRPr="00CC5DCF">
        <w:rPr>
          <w:lang w:val="en-US"/>
        </w:rPr>
        <w:t xml:space="preserve">xpert </w:t>
      </w:r>
      <w:r w:rsidR="008E40B7">
        <w:rPr>
          <w:lang w:val="en-US"/>
        </w:rPr>
        <w:t>g</w:t>
      </w:r>
      <w:r w:rsidR="00847255" w:rsidRPr="00CC5DCF">
        <w:rPr>
          <w:lang w:val="en-US"/>
        </w:rPr>
        <w:t>roup on the I</w:t>
      </w:r>
      <w:r w:rsidR="005145FE">
        <w:rPr>
          <w:lang w:val="en-US"/>
        </w:rPr>
        <w:t>TRs</w:t>
      </w:r>
      <w:r w:rsidR="00847255" w:rsidRPr="00CC5DCF">
        <w:rPr>
          <w:lang w:val="en-US"/>
        </w:rPr>
        <w:t xml:space="preserve"> (</w:t>
      </w:r>
      <w:r w:rsidR="00847255" w:rsidRPr="00CC5DCF">
        <w:rPr>
          <w:rFonts w:asciiTheme="minorHAnsi" w:hAnsiTheme="minorHAnsi" w:cs="TimesNewRoman,Italic"/>
          <w:szCs w:val="24"/>
          <w:lang w:val="en-US" w:eastAsia="zh-CN"/>
        </w:rPr>
        <w:t>EG</w:t>
      </w:r>
      <w:r w:rsidR="00847255" w:rsidRPr="00CC5DCF">
        <w:rPr>
          <w:rFonts w:asciiTheme="minorHAnsi" w:hAnsiTheme="minorHAnsi" w:cs="TimesNewRoman,Italic"/>
          <w:szCs w:val="24"/>
          <w:lang w:val="en-US" w:eastAsia="zh-CN"/>
        </w:rPr>
        <w:noBreakHyphen/>
        <w:t>ITR</w:t>
      </w:r>
      <w:r w:rsidR="00847255" w:rsidRPr="00CC5DCF">
        <w:rPr>
          <w:lang w:val="en-US"/>
        </w:rPr>
        <w:t>), open to the ITU Member States and Sector Members, with terms of reference</w:t>
      </w:r>
      <w:r w:rsidR="008E40B7">
        <w:rPr>
          <w:lang w:val="en-US"/>
        </w:rPr>
        <w:t xml:space="preserve"> (ToR)</w:t>
      </w:r>
      <w:r w:rsidR="00847255" w:rsidRPr="00CC5DCF">
        <w:rPr>
          <w:lang w:val="en-US"/>
        </w:rPr>
        <w:t xml:space="preserve"> and working methods established by the Council, to review those regulations. Pursuant to Resolution</w:t>
      </w:r>
      <w:r w:rsidR="00991302" w:rsidRPr="00CC5DCF">
        <w:t>146 (Rev. Dubai, 2018)</w:t>
      </w:r>
      <w:r w:rsidR="00847255" w:rsidRPr="00CC5DCF">
        <w:rPr>
          <w:lang w:val="en-US"/>
        </w:rPr>
        <w:t>, t</w:t>
      </w:r>
      <w:r w:rsidR="00847255" w:rsidRPr="00CC5DCF">
        <w:t xml:space="preserve">he 2019 </w:t>
      </w:r>
      <w:r w:rsidR="008E40B7">
        <w:t>s</w:t>
      </w:r>
      <w:r w:rsidR="00847255" w:rsidRPr="00CC5DCF">
        <w:t xml:space="preserve">ession of </w:t>
      </w:r>
      <w:r w:rsidR="008E40B7">
        <w:t xml:space="preserve">the </w:t>
      </w:r>
      <w:r w:rsidR="00847255" w:rsidRPr="00CC5DCF">
        <w:t>Council modified</w:t>
      </w:r>
      <w:r w:rsidRPr="00CC5DCF">
        <w:t xml:space="preserve"> </w:t>
      </w:r>
      <w:r w:rsidR="00847255" w:rsidRPr="00CC5DCF">
        <w:t xml:space="preserve">Council </w:t>
      </w:r>
      <w:hyperlink r:id="rId12" w:history="1">
        <w:r w:rsidR="00847255" w:rsidRPr="00CC5DCF">
          <w:rPr>
            <w:rStyle w:val="Hyperlink"/>
          </w:rPr>
          <w:t>Resolution 1379</w:t>
        </w:r>
      </w:hyperlink>
      <w:r w:rsidR="008E40B7">
        <w:t>, on EG-ITR,</w:t>
      </w:r>
      <w:r w:rsidR="00847255" w:rsidRPr="00CC5DCF">
        <w:t xml:space="preserve"> and </w:t>
      </w:r>
      <w:r w:rsidR="008E40B7">
        <w:t>established the group’s</w:t>
      </w:r>
      <w:r w:rsidR="00847255" w:rsidRPr="00CC5DCF">
        <w:t xml:space="preserve"> T</w:t>
      </w:r>
      <w:r w:rsidR="008E40B7">
        <w:t xml:space="preserve">oR, as </w:t>
      </w:r>
      <w:r w:rsidR="00847255" w:rsidRPr="00CC5DCF">
        <w:t xml:space="preserve">set out in the </w:t>
      </w:r>
      <w:hyperlink w:anchor="Annex" w:history="1">
        <w:r w:rsidR="00847255" w:rsidRPr="00CC5DCF">
          <w:rPr>
            <w:rStyle w:val="Hyperlink"/>
          </w:rPr>
          <w:t>Annex</w:t>
        </w:r>
      </w:hyperlink>
      <w:r w:rsidR="00847255" w:rsidRPr="00CC5DCF">
        <w:t xml:space="preserve"> hereto.</w:t>
      </w:r>
    </w:p>
    <w:p w14:paraId="1D6D6D0E" w14:textId="02E99E2E" w:rsidR="00247585" w:rsidRDefault="001E48B3" w:rsidP="001E48B3">
      <w:pPr>
        <w:tabs>
          <w:tab w:val="clear" w:pos="567"/>
          <w:tab w:val="clear" w:pos="1134"/>
          <w:tab w:val="clear" w:pos="1701"/>
          <w:tab w:val="clear" w:pos="2268"/>
          <w:tab w:val="clear" w:pos="2835"/>
        </w:tabs>
        <w:snapToGrid w:val="0"/>
        <w:spacing w:before="160" w:after="120"/>
        <w:jc w:val="both"/>
        <w:rPr>
          <w:lang w:val="en-US"/>
        </w:rPr>
      </w:pPr>
      <w:r w:rsidRPr="00CC5DCF">
        <w:t>2.2</w:t>
      </w:r>
      <w:r w:rsidR="00247585" w:rsidRPr="00CC5DCF">
        <w:tab/>
      </w:r>
      <w:r w:rsidR="00847255" w:rsidRPr="00CC5DCF">
        <w:t xml:space="preserve">In 2022, the </w:t>
      </w:r>
      <w:r w:rsidR="004D2A97">
        <w:t>Plenipotentiary</w:t>
      </w:r>
      <w:r w:rsidR="00847255" w:rsidRPr="00CC5DCF">
        <w:t xml:space="preserve"> Conference</w:t>
      </w:r>
      <w:r w:rsidR="004D2A97">
        <w:t xml:space="preserve"> (Bucharest, 2022)</w:t>
      </w:r>
      <w:r w:rsidR="00847255" w:rsidRPr="00CC5DCF">
        <w:t xml:space="preserve"> revised </w:t>
      </w:r>
      <w:r w:rsidR="00247585" w:rsidRPr="00CC5DCF">
        <w:t>Resolution 146 (Rev. Bucharest, 2022)</w:t>
      </w:r>
      <w:r w:rsidR="008E40B7">
        <w:t>,</w:t>
      </w:r>
      <w:r w:rsidR="00247585" w:rsidRPr="00CC5DCF">
        <w:t xml:space="preserve"> on </w:t>
      </w:r>
      <w:r w:rsidR="00B04642">
        <w:t>p</w:t>
      </w:r>
      <w:r w:rsidR="00247585" w:rsidRPr="0037165E">
        <w:t>eriodic review of the ITRs</w:t>
      </w:r>
      <w:r w:rsidR="008E40B7">
        <w:t>,</w:t>
      </w:r>
      <w:r w:rsidR="00247585" w:rsidRPr="00CC5DCF">
        <w:t xml:space="preserve"> </w:t>
      </w:r>
      <w:r w:rsidR="00847255" w:rsidRPr="00CC5DCF">
        <w:t xml:space="preserve">and </w:t>
      </w:r>
      <w:r w:rsidR="00247585" w:rsidRPr="00CC5DCF">
        <w:t>resolve</w:t>
      </w:r>
      <w:r w:rsidR="00847255" w:rsidRPr="00CC5DCF">
        <w:t>d</w:t>
      </w:r>
      <w:r w:rsidR="00247585" w:rsidRPr="00CC5DCF">
        <w:t xml:space="preserve"> to continue consideration</w:t>
      </w:r>
      <w:r w:rsidR="00247585" w:rsidRPr="00247585">
        <w:t xml:space="preserve"> of issues relating to the ITRs, including their review</w:t>
      </w:r>
      <w:r w:rsidR="00247585">
        <w:rPr>
          <w:lang w:val="en-US"/>
        </w:rPr>
        <w:t>.</w:t>
      </w:r>
    </w:p>
    <w:p w14:paraId="09FD8183" w14:textId="2E5625D5" w:rsidR="00247585" w:rsidRPr="00A728A8" w:rsidRDefault="001E48B3" w:rsidP="001E48B3">
      <w:pPr>
        <w:tabs>
          <w:tab w:val="clear" w:pos="567"/>
          <w:tab w:val="clear" w:pos="1134"/>
          <w:tab w:val="clear" w:pos="1701"/>
          <w:tab w:val="clear" w:pos="2268"/>
          <w:tab w:val="clear" w:pos="2835"/>
        </w:tabs>
        <w:snapToGrid w:val="0"/>
        <w:spacing w:before="160" w:after="120"/>
        <w:jc w:val="both"/>
        <w:rPr>
          <w:lang w:val="en-US"/>
        </w:rPr>
      </w:pPr>
      <w:r>
        <w:rPr>
          <w:lang w:val="en-US"/>
        </w:rPr>
        <w:t>2.3</w:t>
      </w:r>
      <w:r w:rsidR="00247585">
        <w:rPr>
          <w:lang w:val="en-US"/>
        </w:rPr>
        <w:tab/>
      </w:r>
      <w:r w:rsidR="00247585">
        <w:t xml:space="preserve">Resolution 146 (Rev. Bucharest, 2022) </w:t>
      </w:r>
      <w:r w:rsidR="00247585" w:rsidRPr="00A728A8">
        <w:rPr>
          <w:lang w:val="en-US"/>
        </w:rPr>
        <w:t>instructs the Secretary-General</w:t>
      </w:r>
      <w:r w:rsidR="00247585">
        <w:rPr>
          <w:lang w:val="en-US"/>
        </w:rPr>
        <w:t xml:space="preserve"> </w:t>
      </w:r>
      <w:r w:rsidR="00247585" w:rsidRPr="00A728A8">
        <w:rPr>
          <w:lang w:val="en-US"/>
        </w:rPr>
        <w:t xml:space="preserve">to </w:t>
      </w:r>
      <w:r w:rsidR="00247585" w:rsidRPr="00247585">
        <w:t>reconvene an EG</w:t>
      </w:r>
      <w:r w:rsidR="00247585" w:rsidRPr="00247585">
        <w:rPr>
          <w:rFonts w:ascii="Cambria Math" w:hAnsi="Cambria Math" w:cs="Cambria Math"/>
        </w:rPr>
        <w:t>‑</w:t>
      </w:r>
      <w:r w:rsidR="00247585" w:rsidRPr="00247585">
        <w:t xml:space="preserve">ITR, open to the ITU Member States and Sector Members, with </w:t>
      </w:r>
      <w:r w:rsidR="008E40B7">
        <w:t>ToR</w:t>
      </w:r>
      <w:r w:rsidR="00247585" w:rsidRPr="00247585">
        <w:t xml:space="preserve"> and working methods established by the Council</w:t>
      </w:r>
      <w:r w:rsidR="00247585" w:rsidRPr="00A728A8">
        <w:rPr>
          <w:lang w:val="en-US"/>
        </w:rPr>
        <w:t>, to review the regulations</w:t>
      </w:r>
      <w:r w:rsidR="00247585">
        <w:rPr>
          <w:lang w:val="en-US"/>
        </w:rPr>
        <w:t xml:space="preserve">. It also instructs the </w:t>
      </w:r>
      <w:r w:rsidR="00247585" w:rsidRPr="00A728A8">
        <w:rPr>
          <w:lang w:val="en-US"/>
        </w:rPr>
        <w:t xml:space="preserve">Secretary-General </w:t>
      </w:r>
      <w:r w:rsidR="00247585" w:rsidRPr="00247585">
        <w:t>to submit the report of EG</w:t>
      </w:r>
      <w:r w:rsidR="00247585" w:rsidRPr="00247585">
        <w:rPr>
          <w:rFonts w:ascii="Cambria Math" w:hAnsi="Cambria Math" w:cs="Cambria Math"/>
        </w:rPr>
        <w:t>‑</w:t>
      </w:r>
      <w:r w:rsidR="00247585" w:rsidRPr="00247585">
        <w:t>ITR on the outcome of the review to the Council for</w:t>
      </w:r>
      <w:r w:rsidR="00247585">
        <w:t xml:space="preserve"> </w:t>
      </w:r>
      <w:r w:rsidR="00247585" w:rsidRPr="00247585">
        <w:t>consideration, publication and subsequent submission to the 2026 plenipotentiary conference</w:t>
      </w:r>
      <w:r w:rsidR="00247585">
        <w:rPr>
          <w:lang w:val="en-US"/>
        </w:rPr>
        <w:t>.</w:t>
      </w:r>
    </w:p>
    <w:p w14:paraId="5D5E46BF" w14:textId="755D27DA" w:rsidR="00247585" w:rsidRDefault="001E48B3" w:rsidP="001E48B3">
      <w:pPr>
        <w:pStyle w:val="Call"/>
        <w:keepNext w:val="0"/>
        <w:keepLines w:val="0"/>
        <w:tabs>
          <w:tab w:val="clear" w:pos="567"/>
        </w:tabs>
        <w:snapToGrid w:val="0"/>
        <w:spacing w:after="120"/>
        <w:ind w:left="0"/>
        <w:jc w:val="both"/>
        <w:rPr>
          <w:i w:val="0"/>
          <w:iCs/>
          <w:lang w:val="en-US"/>
        </w:rPr>
      </w:pPr>
      <w:r>
        <w:rPr>
          <w:i w:val="0"/>
          <w:iCs/>
          <w:lang w:val="en-US"/>
        </w:rPr>
        <w:t>2.4</w:t>
      </w:r>
      <w:r w:rsidR="00247585">
        <w:rPr>
          <w:i w:val="0"/>
          <w:iCs/>
          <w:lang w:val="en-US"/>
        </w:rPr>
        <w:tab/>
      </w:r>
      <w:r w:rsidR="00247585" w:rsidRPr="00247585">
        <w:rPr>
          <w:i w:val="0"/>
          <w:iCs/>
        </w:rPr>
        <w:t xml:space="preserve">Resolution 146 (Rev. Bucharest, 2022) </w:t>
      </w:r>
      <w:r w:rsidR="00247585" w:rsidRPr="0026045A">
        <w:rPr>
          <w:i w:val="0"/>
          <w:iCs/>
          <w:lang w:val="en-US"/>
        </w:rPr>
        <w:t>instructs the Council</w:t>
      </w:r>
      <w:r w:rsidR="00247585">
        <w:rPr>
          <w:i w:val="0"/>
          <w:iCs/>
          <w:lang w:val="en-US"/>
        </w:rPr>
        <w:t xml:space="preserve"> to review and revise, at its 2023 session, the </w:t>
      </w:r>
      <w:r w:rsidR="008E40B7">
        <w:rPr>
          <w:i w:val="0"/>
          <w:iCs/>
          <w:lang w:val="en-US"/>
        </w:rPr>
        <w:t>ToR</w:t>
      </w:r>
      <w:r w:rsidR="00247585" w:rsidRPr="0026045A">
        <w:rPr>
          <w:i w:val="0"/>
          <w:iCs/>
          <w:lang w:val="en-US"/>
        </w:rPr>
        <w:t xml:space="preserve"> for EG</w:t>
      </w:r>
      <w:r w:rsidR="00020BF2">
        <w:rPr>
          <w:i w:val="0"/>
          <w:iCs/>
          <w:lang w:val="en-US"/>
        </w:rPr>
        <w:t>-</w:t>
      </w:r>
      <w:r w:rsidR="00247585" w:rsidRPr="0026045A">
        <w:rPr>
          <w:i w:val="0"/>
          <w:iCs/>
          <w:lang w:val="en-US"/>
        </w:rPr>
        <w:t>ITR</w:t>
      </w:r>
      <w:r w:rsidR="00247585">
        <w:rPr>
          <w:i w:val="0"/>
          <w:iCs/>
          <w:lang w:val="en-US"/>
        </w:rPr>
        <w:t xml:space="preserve"> referred to above</w:t>
      </w:r>
      <w:r w:rsidR="00247585" w:rsidRPr="0026045A">
        <w:rPr>
          <w:i w:val="0"/>
          <w:iCs/>
          <w:lang w:val="en-US"/>
        </w:rPr>
        <w:t>;</w:t>
      </w:r>
      <w:r w:rsidR="00247585">
        <w:rPr>
          <w:i w:val="0"/>
          <w:iCs/>
          <w:lang w:val="en-US"/>
        </w:rPr>
        <w:t xml:space="preserve"> and </w:t>
      </w:r>
      <w:r w:rsidR="00247585" w:rsidRPr="0026045A">
        <w:rPr>
          <w:i w:val="0"/>
          <w:iCs/>
          <w:lang w:val="en-US"/>
        </w:rPr>
        <w:t>to examine the report</w:t>
      </w:r>
      <w:r w:rsidR="00247585">
        <w:rPr>
          <w:i w:val="0"/>
          <w:iCs/>
          <w:lang w:val="en-US"/>
        </w:rPr>
        <w:t>s</w:t>
      </w:r>
      <w:r w:rsidR="00247585" w:rsidRPr="0026045A">
        <w:rPr>
          <w:i w:val="0"/>
          <w:iCs/>
          <w:lang w:val="en-US"/>
        </w:rPr>
        <w:t xml:space="preserve"> of </w:t>
      </w:r>
      <w:r w:rsidR="00247585" w:rsidRPr="0026045A">
        <w:rPr>
          <w:rFonts w:asciiTheme="minorHAnsi" w:hAnsiTheme="minorHAnsi" w:cs="TimesNewRoman,Italic"/>
          <w:i w:val="0"/>
          <w:iCs/>
          <w:szCs w:val="24"/>
          <w:lang w:val="en-US" w:eastAsia="zh-CN"/>
        </w:rPr>
        <w:t>EG</w:t>
      </w:r>
      <w:r w:rsidR="00020BF2">
        <w:rPr>
          <w:rFonts w:asciiTheme="minorHAnsi" w:hAnsiTheme="minorHAnsi" w:cs="TimesNewRoman,Italic"/>
          <w:i w:val="0"/>
          <w:iCs/>
          <w:szCs w:val="24"/>
          <w:lang w:val="en-US" w:eastAsia="zh-CN"/>
        </w:rPr>
        <w:t>-</w:t>
      </w:r>
      <w:r w:rsidR="00247585" w:rsidRPr="0026045A">
        <w:rPr>
          <w:rFonts w:asciiTheme="minorHAnsi" w:hAnsiTheme="minorHAnsi" w:cs="TimesNewRoman,Italic"/>
          <w:i w:val="0"/>
          <w:iCs/>
          <w:szCs w:val="24"/>
          <w:lang w:val="en-US" w:eastAsia="zh-CN"/>
        </w:rPr>
        <w:t>ITR</w:t>
      </w:r>
      <w:r w:rsidR="00247585" w:rsidRPr="0026045A">
        <w:rPr>
          <w:i w:val="0"/>
          <w:iCs/>
          <w:lang w:val="en-US"/>
        </w:rPr>
        <w:t xml:space="preserve"> </w:t>
      </w:r>
      <w:r w:rsidR="00247585">
        <w:rPr>
          <w:i w:val="0"/>
          <w:iCs/>
          <w:lang w:val="en-US"/>
        </w:rPr>
        <w:t xml:space="preserve">at its annual sessions and submit the final report of EG-ITR to the 2026 </w:t>
      </w:r>
      <w:r w:rsidR="008E40B7">
        <w:rPr>
          <w:i w:val="0"/>
          <w:iCs/>
          <w:lang w:val="en-US"/>
        </w:rPr>
        <w:t>p</w:t>
      </w:r>
      <w:r w:rsidR="00247585">
        <w:rPr>
          <w:i w:val="0"/>
          <w:iCs/>
          <w:lang w:val="en-US"/>
        </w:rPr>
        <w:t xml:space="preserve">lenipotentiary </w:t>
      </w:r>
      <w:r w:rsidR="008E40B7">
        <w:rPr>
          <w:i w:val="0"/>
          <w:iCs/>
          <w:lang w:val="en-US"/>
        </w:rPr>
        <w:t>c</w:t>
      </w:r>
      <w:r w:rsidR="00247585" w:rsidRPr="0026045A">
        <w:rPr>
          <w:i w:val="0"/>
          <w:iCs/>
          <w:lang w:val="en-US"/>
        </w:rPr>
        <w:t>onference with the Council</w:t>
      </w:r>
      <w:r w:rsidR="00247585">
        <w:rPr>
          <w:i w:val="0"/>
          <w:iCs/>
          <w:lang w:val="en-US"/>
        </w:rPr>
        <w:t>’</w:t>
      </w:r>
      <w:r w:rsidR="00247585" w:rsidRPr="0026045A">
        <w:rPr>
          <w:i w:val="0"/>
          <w:iCs/>
          <w:lang w:val="en-US"/>
        </w:rPr>
        <w:t>s comments.</w:t>
      </w:r>
    </w:p>
    <w:p w14:paraId="04CCE428" w14:textId="28F67902" w:rsidR="00247585" w:rsidRPr="00BE15FE" w:rsidRDefault="001E48B3" w:rsidP="001E48B3">
      <w:pPr>
        <w:pStyle w:val="Call"/>
        <w:tabs>
          <w:tab w:val="clear" w:pos="567"/>
        </w:tabs>
        <w:snapToGrid w:val="0"/>
        <w:spacing w:before="120" w:after="120"/>
        <w:ind w:left="0"/>
        <w:jc w:val="both"/>
        <w:rPr>
          <w:i w:val="0"/>
          <w:iCs/>
          <w:lang w:val="en-US"/>
        </w:rPr>
      </w:pPr>
      <w:r>
        <w:rPr>
          <w:i w:val="0"/>
          <w:iCs/>
        </w:rPr>
        <w:lastRenderedPageBreak/>
        <w:t>2.5</w:t>
      </w:r>
      <w:r w:rsidR="00247585">
        <w:rPr>
          <w:i w:val="0"/>
          <w:iCs/>
        </w:rPr>
        <w:tab/>
      </w:r>
      <w:r w:rsidR="00247585" w:rsidRPr="00247585">
        <w:rPr>
          <w:i w:val="0"/>
          <w:iCs/>
        </w:rPr>
        <w:t xml:space="preserve">Resolution 146 (Rev. Bucharest, 2022) </w:t>
      </w:r>
      <w:r w:rsidR="00247585" w:rsidRPr="00BE15FE">
        <w:rPr>
          <w:i w:val="0"/>
          <w:iCs/>
          <w:lang w:val="en-US"/>
        </w:rPr>
        <w:t>instructs the Directors of the Bureaux</w:t>
      </w:r>
      <w:r w:rsidR="00247585">
        <w:rPr>
          <w:i w:val="0"/>
          <w:iCs/>
          <w:lang w:val="en-US"/>
        </w:rPr>
        <w:t xml:space="preserve">, </w:t>
      </w:r>
      <w:r w:rsidR="00247585" w:rsidRPr="00BE15FE">
        <w:rPr>
          <w:i w:val="0"/>
          <w:iCs/>
          <w:lang w:val="en-US"/>
        </w:rPr>
        <w:t xml:space="preserve">each within their field of competence, with advice from the relevant advisory group, to contribute to the </w:t>
      </w:r>
      <w:r w:rsidR="00247585">
        <w:rPr>
          <w:i w:val="0"/>
          <w:iCs/>
          <w:lang w:val="en-US"/>
        </w:rPr>
        <w:t>activities of EG-ITR</w:t>
      </w:r>
      <w:r w:rsidR="00247585" w:rsidRPr="00BE15FE">
        <w:rPr>
          <w:i w:val="0"/>
          <w:iCs/>
          <w:lang w:val="en-US"/>
        </w:rPr>
        <w:t xml:space="preserve">, recognizing that the ITU Telecommunication Standardization Sector has most of the work relevant to the </w:t>
      </w:r>
      <w:r w:rsidR="00247585">
        <w:rPr>
          <w:i w:val="0"/>
          <w:iCs/>
          <w:lang w:val="en-US"/>
        </w:rPr>
        <w:t xml:space="preserve">ITRs. The Directors are instructed to </w:t>
      </w:r>
      <w:r w:rsidR="00247585" w:rsidRPr="00BE15FE">
        <w:rPr>
          <w:i w:val="0"/>
          <w:iCs/>
          <w:lang w:val="en-US"/>
        </w:rPr>
        <w:t xml:space="preserve">submit the results of their work to </w:t>
      </w:r>
      <w:r w:rsidR="00247585" w:rsidRPr="00BE15FE">
        <w:rPr>
          <w:rFonts w:asciiTheme="minorHAnsi" w:hAnsiTheme="minorHAnsi" w:cs="TimesNewRoman,Italic"/>
          <w:i w:val="0"/>
          <w:iCs/>
          <w:szCs w:val="24"/>
          <w:lang w:val="en-US" w:eastAsia="zh-CN"/>
        </w:rPr>
        <w:t>EG</w:t>
      </w:r>
      <w:r w:rsidR="00020BF2">
        <w:rPr>
          <w:rFonts w:asciiTheme="minorHAnsi" w:hAnsiTheme="minorHAnsi" w:cs="TimesNewRoman,Italic"/>
          <w:i w:val="0"/>
          <w:iCs/>
          <w:szCs w:val="24"/>
          <w:lang w:val="en-US" w:eastAsia="zh-CN"/>
        </w:rPr>
        <w:t>-</w:t>
      </w:r>
      <w:r w:rsidR="00247585" w:rsidRPr="00BE15FE">
        <w:rPr>
          <w:rFonts w:asciiTheme="minorHAnsi" w:hAnsiTheme="minorHAnsi" w:cs="TimesNewRoman,Italic"/>
          <w:i w:val="0"/>
          <w:iCs/>
          <w:szCs w:val="24"/>
          <w:lang w:val="en-US" w:eastAsia="zh-CN"/>
        </w:rPr>
        <w:t>ITR</w:t>
      </w:r>
      <w:r w:rsidR="00247585">
        <w:rPr>
          <w:i w:val="0"/>
          <w:iCs/>
          <w:lang w:val="en-US"/>
        </w:rPr>
        <w:t>. The Directors are also instructed to</w:t>
      </w:r>
      <w:r w:rsidR="00247585" w:rsidRPr="00BE15FE">
        <w:rPr>
          <w:i w:val="0"/>
          <w:iCs/>
          <w:lang w:val="en-US"/>
        </w:rPr>
        <w:t xml:space="preserve"> </w:t>
      </w:r>
      <w:r w:rsidR="00247585">
        <w:rPr>
          <w:i w:val="0"/>
          <w:iCs/>
          <w:lang w:val="en-US"/>
        </w:rPr>
        <w:t xml:space="preserve">consider </w:t>
      </w:r>
      <w:r w:rsidR="00247585" w:rsidRPr="00BE15FE">
        <w:rPr>
          <w:i w:val="0"/>
          <w:iCs/>
          <w:lang w:val="en-US"/>
        </w:rPr>
        <w:t>providing fellowships, where resources are available, for developing</w:t>
      </w:r>
      <w:r w:rsidR="00247585" w:rsidRPr="00BE15FE">
        <w:rPr>
          <w:rStyle w:val="FootnoteReference"/>
          <w:i w:val="0"/>
          <w:iCs/>
          <w:lang w:val="en-US"/>
        </w:rPr>
        <w:footnoteReference w:customMarkFollows="1" w:id="1"/>
        <w:t>1</w:t>
      </w:r>
      <w:r w:rsidR="00247585" w:rsidRPr="00BE15FE">
        <w:rPr>
          <w:i w:val="0"/>
          <w:iCs/>
          <w:lang w:val="en-US"/>
        </w:rPr>
        <w:t xml:space="preserve"> and least developed countries according to the list established by the United Nations</w:t>
      </w:r>
      <w:r w:rsidR="00247585">
        <w:rPr>
          <w:i w:val="0"/>
          <w:iCs/>
          <w:lang w:val="en-US"/>
        </w:rPr>
        <w:t>,</w:t>
      </w:r>
      <w:r w:rsidR="00247585" w:rsidRPr="00BE15FE">
        <w:rPr>
          <w:i w:val="0"/>
          <w:iCs/>
          <w:lang w:val="en-US"/>
        </w:rPr>
        <w:t xml:space="preserve"> in order to widen their participation in the expert group</w:t>
      </w:r>
      <w:r w:rsidR="00247585">
        <w:rPr>
          <w:i w:val="0"/>
          <w:iCs/>
          <w:lang w:val="en-US"/>
        </w:rPr>
        <w:t>.</w:t>
      </w:r>
    </w:p>
    <w:p w14:paraId="58569F5D" w14:textId="69104CFB" w:rsidR="00247585" w:rsidRPr="00CC5DCF" w:rsidRDefault="00CC5DCF" w:rsidP="00CC5DCF">
      <w:pPr>
        <w:snapToGrid w:val="0"/>
        <w:spacing w:before="1440"/>
        <w:rPr>
          <w:b/>
          <w:bCs/>
          <w:i/>
          <w:iCs/>
        </w:rPr>
      </w:pPr>
      <w:r w:rsidRPr="00CC5DCF">
        <w:rPr>
          <w:b/>
          <w:bCs/>
          <w:i/>
          <w:iCs/>
        </w:rPr>
        <w:t>Annex: 1</w:t>
      </w:r>
    </w:p>
    <w:p w14:paraId="3BACF888" w14:textId="77777777" w:rsidR="001E48B3" w:rsidRDefault="001E48B3" w:rsidP="00847255">
      <w:pPr>
        <w:snapToGrid w:val="0"/>
        <w:spacing w:before="360"/>
        <w:rPr>
          <w:b/>
          <w:bCs/>
        </w:rPr>
      </w:pPr>
      <w:r>
        <w:rPr>
          <w:b/>
          <w:bCs/>
        </w:rPr>
        <w:br w:type="page"/>
      </w:r>
    </w:p>
    <w:p w14:paraId="3198A1C2" w14:textId="29123CA3" w:rsidR="00847255" w:rsidRPr="00847255" w:rsidRDefault="00847255" w:rsidP="001E48B3">
      <w:pPr>
        <w:pStyle w:val="AnnexNo"/>
      </w:pPr>
      <w:bookmarkStart w:id="6" w:name="Annex"/>
      <w:r w:rsidRPr="00847255">
        <w:lastRenderedPageBreak/>
        <w:t>Annex</w:t>
      </w:r>
      <w:bookmarkEnd w:id="6"/>
    </w:p>
    <w:p w14:paraId="306226B3" w14:textId="14BE0CE5" w:rsidR="00847255" w:rsidRPr="00CC5DCF" w:rsidRDefault="00CC5DCF" w:rsidP="00847255">
      <w:pPr>
        <w:pStyle w:val="Annextitle"/>
      </w:pPr>
      <w:r w:rsidRPr="00CC5DCF">
        <w:t xml:space="preserve">Annex </w:t>
      </w:r>
      <w:r w:rsidR="00991302">
        <w:t>to</w:t>
      </w:r>
      <w:r w:rsidR="00991302" w:rsidRPr="00CC5DCF">
        <w:t xml:space="preserve"> </w:t>
      </w:r>
      <w:r w:rsidRPr="00CC5DCF">
        <w:t>Council Resolution 1379 (C16, last amended C19)</w:t>
      </w:r>
    </w:p>
    <w:p w14:paraId="4D874B7F" w14:textId="6672CAF2" w:rsidR="00847255" w:rsidRPr="004A29FF" w:rsidRDefault="00847255" w:rsidP="00847255">
      <w:pPr>
        <w:pStyle w:val="Annextitle"/>
      </w:pPr>
      <w:r w:rsidRPr="004A29FF">
        <w:t>Terms of Reference of the Expert Group on the International Telecommunication Regulations (EG-ITRs)</w:t>
      </w:r>
    </w:p>
    <w:p w14:paraId="5A681C4B" w14:textId="4768BB6F" w:rsidR="00847255" w:rsidRPr="001F4FF7" w:rsidRDefault="00847255" w:rsidP="00847255">
      <w:pPr>
        <w:pStyle w:val="Normalaftertitle"/>
        <w:snapToGrid w:val="0"/>
        <w:spacing w:before="120"/>
        <w:jc w:val="both"/>
        <w:rPr>
          <w:szCs w:val="24"/>
        </w:rPr>
      </w:pPr>
      <w:r>
        <w:rPr>
          <w:szCs w:val="24"/>
        </w:rPr>
        <w:t>1</w:t>
      </w:r>
      <w:r w:rsidRPr="001F4FF7">
        <w:rPr>
          <w:szCs w:val="24"/>
        </w:rPr>
        <w:tab/>
        <w:t>On the basis of contributions submitted by Member States, Sector Members and inputs from the Directors of the Bureaux if necessary, the EG-ITRs shall undertake a comprehensive review of the ITRs.</w:t>
      </w:r>
    </w:p>
    <w:p w14:paraId="6712409C" w14:textId="3AE8B98C" w:rsidR="00847255" w:rsidRPr="001F4FF7" w:rsidRDefault="00847255" w:rsidP="00847255">
      <w:pPr>
        <w:pStyle w:val="Normalaftertitle"/>
        <w:snapToGrid w:val="0"/>
        <w:spacing w:before="120"/>
        <w:jc w:val="both"/>
        <w:rPr>
          <w:szCs w:val="24"/>
        </w:rPr>
      </w:pPr>
      <w:r w:rsidRPr="001F4FF7">
        <w:rPr>
          <w:szCs w:val="24"/>
        </w:rPr>
        <w:t>2</w:t>
      </w:r>
      <w:r w:rsidRPr="001F4FF7">
        <w:rPr>
          <w:szCs w:val="24"/>
        </w:rPr>
        <w:tab/>
        <w:t>The EG-ITRs shall undertake a provision-by-provision examination of the ITRs, focusing on the 2012 ITRs, taking into account new trends in telecommunications/ICT and emerging issues in international telecommunications/ICT environment.</w:t>
      </w:r>
    </w:p>
    <w:p w14:paraId="424598EF" w14:textId="77777777" w:rsidR="00847255" w:rsidRPr="001F4FF7" w:rsidRDefault="00847255" w:rsidP="00847255">
      <w:pPr>
        <w:pStyle w:val="Normalaftertitle"/>
        <w:snapToGrid w:val="0"/>
        <w:spacing w:before="120"/>
        <w:jc w:val="both"/>
        <w:rPr>
          <w:szCs w:val="24"/>
        </w:rPr>
      </w:pPr>
      <w:r>
        <w:rPr>
          <w:szCs w:val="24"/>
        </w:rPr>
        <w:t>3</w:t>
      </w:r>
      <w:r w:rsidRPr="001F4FF7">
        <w:rPr>
          <w:szCs w:val="24"/>
        </w:rPr>
        <w:tab/>
        <w:t>The review should include, among others:</w:t>
      </w:r>
    </w:p>
    <w:p w14:paraId="0308D0C2" w14:textId="77777777" w:rsidR="00847255" w:rsidRPr="001F4FF7" w:rsidRDefault="00847255" w:rsidP="00847255">
      <w:pPr>
        <w:pStyle w:val="Normalaftertitle"/>
        <w:snapToGrid w:val="0"/>
        <w:spacing w:before="120"/>
        <w:ind w:left="1134" w:hanging="567"/>
        <w:jc w:val="both"/>
        <w:rPr>
          <w:szCs w:val="24"/>
        </w:rPr>
      </w:pPr>
      <w:r w:rsidRPr="001F4FF7">
        <w:rPr>
          <w:szCs w:val="24"/>
        </w:rPr>
        <w:t>a)</w:t>
      </w:r>
      <w:r w:rsidRPr="001F4FF7">
        <w:rPr>
          <w:szCs w:val="24"/>
        </w:rPr>
        <w:tab/>
        <w:t>applicability of the provisions of the ITRs in fostering the provision and development of international telecommunica</w:t>
      </w:r>
      <w:r>
        <w:rPr>
          <w:szCs w:val="24"/>
        </w:rPr>
        <w:t>tion/ICT services and networks;</w:t>
      </w:r>
    </w:p>
    <w:p w14:paraId="043D6458" w14:textId="5C040A7C" w:rsidR="00847255" w:rsidRPr="001F4FF7" w:rsidRDefault="00847255" w:rsidP="00847255">
      <w:pPr>
        <w:pStyle w:val="Normalaftertitle"/>
        <w:snapToGrid w:val="0"/>
        <w:spacing w:before="120"/>
        <w:ind w:left="1134" w:hanging="567"/>
        <w:jc w:val="both"/>
        <w:rPr>
          <w:szCs w:val="24"/>
        </w:rPr>
      </w:pPr>
      <w:r w:rsidRPr="001F4FF7">
        <w:rPr>
          <w:szCs w:val="24"/>
        </w:rPr>
        <w:t>b)</w:t>
      </w:r>
      <w:r w:rsidRPr="001F4FF7">
        <w:rPr>
          <w:szCs w:val="24"/>
        </w:rPr>
        <w:tab/>
        <w:t>flexibility of, or lack thereof, the provisions of the ITRs to accommodate new trends in telecommunications/ICT and emerging issues in international telecommunications/ICT environment;</w:t>
      </w:r>
    </w:p>
    <w:p w14:paraId="423F2A7C" w14:textId="28050A23" w:rsidR="00847255" w:rsidRPr="001F4FF7" w:rsidRDefault="00847255" w:rsidP="00847255">
      <w:pPr>
        <w:pStyle w:val="enumlev1"/>
        <w:snapToGrid w:val="0"/>
        <w:spacing w:before="120"/>
        <w:ind w:left="0" w:firstLine="0"/>
        <w:jc w:val="both"/>
        <w:rPr>
          <w:szCs w:val="24"/>
        </w:rPr>
      </w:pPr>
      <w:r w:rsidRPr="001F4FF7">
        <w:rPr>
          <w:szCs w:val="24"/>
        </w:rPr>
        <w:t>4</w:t>
      </w:r>
      <w:r w:rsidRPr="001F4FF7">
        <w:rPr>
          <w:szCs w:val="24"/>
        </w:rPr>
        <w:tab/>
        <w:t xml:space="preserve">The EG-ITRs will present a progress report reflecting all views on the ITRs review </w:t>
      </w:r>
      <w:r>
        <w:rPr>
          <w:szCs w:val="24"/>
        </w:rPr>
        <w:t>to Council </w:t>
      </w:r>
      <w:r w:rsidRPr="001F4FF7">
        <w:rPr>
          <w:szCs w:val="24"/>
        </w:rPr>
        <w:t>2020 and Council 2021, and a final report to Council 2022 for examination and submission to the 2022 Plenipotentiary Conference with the Council’s comments.</w:t>
      </w:r>
    </w:p>
    <w:p w14:paraId="2D6D19E6" w14:textId="0348CD2C" w:rsidR="00847255" w:rsidRPr="00247585" w:rsidRDefault="00CC5DCF" w:rsidP="00CC5DCF">
      <w:pPr>
        <w:snapToGrid w:val="0"/>
        <w:spacing w:before="840"/>
        <w:jc w:val="center"/>
      </w:pPr>
      <w:r>
        <w:t>_________________</w:t>
      </w:r>
    </w:p>
    <w:sectPr w:rsidR="00847255" w:rsidRPr="00247585" w:rsidSect="00AD3606">
      <w:headerReference w:type="even" r:id="rId13"/>
      <w:headerReference w:type="default" r:id="rId14"/>
      <w:footerReference w:type="even" r:id="rId15"/>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190A" w14:textId="77777777" w:rsidR="003E1E5E" w:rsidRDefault="003E1E5E">
      <w:r>
        <w:separator/>
      </w:r>
    </w:p>
  </w:endnote>
  <w:endnote w:type="continuationSeparator" w:id="0">
    <w:p w14:paraId="4C9AF714" w14:textId="77777777" w:rsidR="003E1E5E" w:rsidRDefault="003E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Italic">
    <w:panose1 w:val="00000000000000000000"/>
    <w:charset w:val="00"/>
    <w:family w:val="auto"/>
    <w:notTrueType/>
    <w:pitch w:val="default"/>
    <w:sig w:usb0="00000003" w:usb1="00000000" w:usb2="00000000" w:usb3="00000000" w:csb0="00000001"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D363" w14:textId="77777777" w:rsidR="00C717FD" w:rsidRDefault="00C71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D301210" w:rsidR="00EE49E8" w:rsidRDefault="00EE49E8" w:rsidP="00EE49E8">
          <w:pPr>
            <w:pStyle w:val="Header"/>
            <w:jc w:val="left"/>
            <w:rPr>
              <w:noProof/>
            </w:rPr>
          </w:pPr>
          <w:r>
            <w:rPr>
              <w:noProof/>
            </w:rPr>
            <w:t xml:space="preserve">DPS </w:t>
          </w:r>
          <w:r w:rsidR="00C717FD">
            <w:rPr>
              <w:noProof/>
            </w:rPr>
            <w:t>520417</w:t>
          </w:r>
        </w:p>
      </w:tc>
      <w:tc>
        <w:tcPr>
          <w:tcW w:w="8261" w:type="dxa"/>
        </w:tcPr>
        <w:p w14:paraId="35709C74" w14:textId="130AA73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222110">
            <w:rPr>
              <w:bCs/>
            </w:rPr>
            <w:t>3</w:t>
          </w:r>
          <w:r w:rsidRPr="00623AE3">
            <w:rPr>
              <w:bCs/>
            </w:rPr>
            <w:t>/</w:t>
          </w:r>
          <w:r w:rsidR="00222110">
            <w:rPr>
              <w:bCs/>
            </w:rPr>
            <w:t>12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0A3B38"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497CA9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222110">
            <w:rPr>
              <w:bCs/>
            </w:rPr>
            <w:t>3</w:t>
          </w:r>
          <w:r w:rsidRPr="00623AE3">
            <w:rPr>
              <w:bCs/>
            </w:rPr>
            <w:t>/</w:t>
          </w:r>
          <w:r w:rsidR="00222110">
            <w:rPr>
              <w:bCs/>
            </w:rPr>
            <w:t>12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4800" w14:textId="77777777" w:rsidR="003E1E5E" w:rsidRDefault="003E1E5E">
      <w:r>
        <w:t>____________________</w:t>
      </w:r>
    </w:p>
  </w:footnote>
  <w:footnote w:type="continuationSeparator" w:id="0">
    <w:p w14:paraId="58F72668" w14:textId="77777777" w:rsidR="003E1E5E" w:rsidRDefault="003E1E5E">
      <w:r>
        <w:continuationSeparator/>
      </w:r>
    </w:p>
  </w:footnote>
  <w:footnote w:id="1">
    <w:p w14:paraId="4359930B" w14:textId="77777777" w:rsidR="00247585" w:rsidRPr="00010A10" w:rsidRDefault="00247585" w:rsidP="00247585">
      <w:pPr>
        <w:pStyle w:val="FootnoteText"/>
        <w:rPr>
          <w:lang w:val="en-US"/>
        </w:rPr>
      </w:pPr>
      <w:r>
        <w:rPr>
          <w:rStyle w:val="FootnoteReference"/>
        </w:rPr>
        <w:t>1</w:t>
      </w:r>
      <w:r>
        <w:t xml:space="preserve"> </w:t>
      </w:r>
      <w:r>
        <w:tab/>
      </w:r>
      <w:r w:rsidRPr="004C0BFF">
        <w:rPr>
          <w:sz w:val="20"/>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B6C7" w14:textId="77777777" w:rsidR="00C717FD" w:rsidRDefault="00C71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6A24" w14:textId="77777777" w:rsidR="00C717FD" w:rsidRDefault="00C71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1F179B"/>
    <w:multiLevelType w:val="hybridMultilevel"/>
    <w:tmpl w:val="8A7C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975796908">
    <w:abstractNumId w:val="3"/>
  </w:num>
  <w:num w:numId="3" w16cid:durableId="1899317740">
    <w:abstractNumId w:val="1"/>
  </w:num>
  <w:num w:numId="4" w16cid:durableId="19137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0BF2"/>
    <w:rsid w:val="000210D4"/>
    <w:rsid w:val="00035960"/>
    <w:rsid w:val="00063016"/>
    <w:rsid w:val="00063089"/>
    <w:rsid w:val="00066795"/>
    <w:rsid w:val="00076AF6"/>
    <w:rsid w:val="00085CF2"/>
    <w:rsid w:val="000A00B5"/>
    <w:rsid w:val="000A036D"/>
    <w:rsid w:val="000A3B38"/>
    <w:rsid w:val="000B1705"/>
    <w:rsid w:val="000B3AA4"/>
    <w:rsid w:val="000D75B2"/>
    <w:rsid w:val="0010087F"/>
    <w:rsid w:val="001062CA"/>
    <w:rsid w:val="001121F5"/>
    <w:rsid w:val="001400DC"/>
    <w:rsid w:val="00140CE1"/>
    <w:rsid w:val="0017539C"/>
    <w:rsid w:val="00175AC2"/>
    <w:rsid w:val="0017609F"/>
    <w:rsid w:val="001A7D1D"/>
    <w:rsid w:val="001B51DD"/>
    <w:rsid w:val="001C628E"/>
    <w:rsid w:val="001E0F7B"/>
    <w:rsid w:val="001E48B3"/>
    <w:rsid w:val="002119FD"/>
    <w:rsid w:val="002130E0"/>
    <w:rsid w:val="00222110"/>
    <w:rsid w:val="002424AE"/>
    <w:rsid w:val="00247585"/>
    <w:rsid w:val="00264425"/>
    <w:rsid w:val="00265875"/>
    <w:rsid w:val="0027303B"/>
    <w:rsid w:val="0028109B"/>
    <w:rsid w:val="00285149"/>
    <w:rsid w:val="002A2188"/>
    <w:rsid w:val="002B1F58"/>
    <w:rsid w:val="002C1C7A"/>
    <w:rsid w:val="002C54E2"/>
    <w:rsid w:val="0030160F"/>
    <w:rsid w:val="00304E7F"/>
    <w:rsid w:val="00320223"/>
    <w:rsid w:val="00322D0D"/>
    <w:rsid w:val="00324E28"/>
    <w:rsid w:val="00361465"/>
    <w:rsid w:val="0037165E"/>
    <w:rsid w:val="003877F5"/>
    <w:rsid w:val="003942D4"/>
    <w:rsid w:val="003958A8"/>
    <w:rsid w:val="003C2533"/>
    <w:rsid w:val="003D5A7F"/>
    <w:rsid w:val="003E1E5E"/>
    <w:rsid w:val="0040435A"/>
    <w:rsid w:val="00415248"/>
    <w:rsid w:val="00416A24"/>
    <w:rsid w:val="00431D9E"/>
    <w:rsid w:val="00433CE8"/>
    <w:rsid w:val="00434A5C"/>
    <w:rsid w:val="00440C35"/>
    <w:rsid w:val="004544D9"/>
    <w:rsid w:val="00472BAD"/>
    <w:rsid w:val="00484009"/>
    <w:rsid w:val="00490E72"/>
    <w:rsid w:val="00491157"/>
    <w:rsid w:val="004921C8"/>
    <w:rsid w:val="00495B0B"/>
    <w:rsid w:val="004A1B8B"/>
    <w:rsid w:val="004C2259"/>
    <w:rsid w:val="004D1851"/>
    <w:rsid w:val="004D2A97"/>
    <w:rsid w:val="004D599D"/>
    <w:rsid w:val="004E2EA5"/>
    <w:rsid w:val="004E3AEB"/>
    <w:rsid w:val="004F5DEA"/>
    <w:rsid w:val="0050223C"/>
    <w:rsid w:val="0051167D"/>
    <w:rsid w:val="005145FE"/>
    <w:rsid w:val="005166C4"/>
    <w:rsid w:val="005243FF"/>
    <w:rsid w:val="00564FBC"/>
    <w:rsid w:val="005800BC"/>
    <w:rsid w:val="00582442"/>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93188"/>
    <w:rsid w:val="00794D34"/>
    <w:rsid w:val="007E3B83"/>
    <w:rsid w:val="00813E5E"/>
    <w:rsid w:val="0083581B"/>
    <w:rsid w:val="00847255"/>
    <w:rsid w:val="00863874"/>
    <w:rsid w:val="00864AFF"/>
    <w:rsid w:val="00865925"/>
    <w:rsid w:val="008902E8"/>
    <w:rsid w:val="008B4A6A"/>
    <w:rsid w:val="008C7E27"/>
    <w:rsid w:val="008E40B7"/>
    <w:rsid w:val="008F7448"/>
    <w:rsid w:val="0090147A"/>
    <w:rsid w:val="009173EF"/>
    <w:rsid w:val="00932906"/>
    <w:rsid w:val="00961B0B"/>
    <w:rsid w:val="00991302"/>
    <w:rsid w:val="009B38C3"/>
    <w:rsid w:val="009E17BD"/>
    <w:rsid w:val="009E485A"/>
    <w:rsid w:val="00A04CEC"/>
    <w:rsid w:val="00A27F92"/>
    <w:rsid w:val="00A32257"/>
    <w:rsid w:val="00A36D20"/>
    <w:rsid w:val="00A46DBA"/>
    <w:rsid w:val="00A514A4"/>
    <w:rsid w:val="00A54171"/>
    <w:rsid w:val="00A55622"/>
    <w:rsid w:val="00A83502"/>
    <w:rsid w:val="00A86234"/>
    <w:rsid w:val="00A92972"/>
    <w:rsid w:val="00AD15B3"/>
    <w:rsid w:val="00AD3606"/>
    <w:rsid w:val="00AD4A3D"/>
    <w:rsid w:val="00AF6E49"/>
    <w:rsid w:val="00B04642"/>
    <w:rsid w:val="00B04A67"/>
    <w:rsid w:val="00B0583C"/>
    <w:rsid w:val="00B40A81"/>
    <w:rsid w:val="00B44910"/>
    <w:rsid w:val="00B72267"/>
    <w:rsid w:val="00B76EB6"/>
    <w:rsid w:val="00B7737B"/>
    <w:rsid w:val="00B824C8"/>
    <w:rsid w:val="00B84B9D"/>
    <w:rsid w:val="00BA5CBA"/>
    <w:rsid w:val="00BA689B"/>
    <w:rsid w:val="00BC251A"/>
    <w:rsid w:val="00BD032B"/>
    <w:rsid w:val="00BE2640"/>
    <w:rsid w:val="00C01189"/>
    <w:rsid w:val="00C374DE"/>
    <w:rsid w:val="00C448E9"/>
    <w:rsid w:val="00C47AD4"/>
    <w:rsid w:val="00C52D81"/>
    <w:rsid w:val="00C55198"/>
    <w:rsid w:val="00C717FD"/>
    <w:rsid w:val="00CA0716"/>
    <w:rsid w:val="00CA6393"/>
    <w:rsid w:val="00CB18FF"/>
    <w:rsid w:val="00CC5DCF"/>
    <w:rsid w:val="00CD0C08"/>
    <w:rsid w:val="00CE03FB"/>
    <w:rsid w:val="00CE433C"/>
    <w:rsid w:val="00CF0161"/>
    <w:rsid w:val="00CF19A5"/>
    <w:rsid w:val="00CF33F3"/>
    <w:rsid w:val="00CF5692"/>
    <w:rsid w:val="00D06183"/>
    <w:rsid w:val="00D077D7"/>
    <w:rsid w:val="00D17B1E"/>
    <w:rsid w:val="00D22C42"/>
    <w:rsid w:val="00D65041"/>
    <w:rsid w:val="00DB1936"/>
    <w:rsid w:val="00DB384B"/>
    <w:rsid w:val="00DC2126"/>
    <w:rsid w:val="00DC3B79"/>
    <w:rsid w:val="00DF0189"/>
    <w:rsid w:val="00E06FD5"/>
    <w:rsid w:val="00E10E80"/>
    <w:rsid w:val="00E124F0"/>
    <w:rsid w:val="00E24999"/>
    <w:rsid w:val="00E60F04"/>
    <w:rsid w:val="00E65B24"/>
    <w:rsid w:val="00E854E4"/>
    <w:rsid w:val="00E86DBF"/>
    <w:rsid w:val="00EB0D6F"/>
    <w:rsid w:val="00EB2232"/>
    <w:rsid w:val="00EC16F3"/>
    <w:rsid w:val="00EC5337"/>
    <w:rsid w:val="00EE49E8"/>
    <w:rsid w:val="00F16BAB"/>
    <w:rsid w:val="00F2150A"/>
    <w:rsid w:val="00F231D8"/>
    <w:rsid w:val="00F44C00"/>
    <w:rsid w:val="00F46C5F"/>
    <w:rsid w:val="00F632C0"/>
    <w:rsid w:val="00F8372C"/>
    <w:rsid w:val="00F94A63"/>
    <w:rsid w:val="00FA1C28"/>
    <w:rsid w:val="00FB1279"/>
    <w:rsid w:val="00FB6B76"/>
    <w:rsid w:val="00FB7596"/>
    <w:rsid w:val="00FD0189"/>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 + 11 pt,Italic,Appel note de bas de p,Footnote Reference/,Footnote symbol,Ref,de nota al pie"/>
    <w:basedOn w:val="DefaultParagraphFon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BA5CBA"/>
    <w:pPr>
      <w:ind w:left="720"/>
      <w:contextualSpacing/>
    </w:pPr>
  </w:style>
  <w:style w:type="character" w:styleId="UnresolvedMention">
    <w:name w:val="Unresolved Mention"/>
    <w:basedOn w:val="DefaultParagraphFont"/>
    <w:uiPriority w:val="99"/>
    <w:semiHidden/>
    <w:unhideWhenUsed/>
    <w:rsid w:val="001062CA"/>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247585"/>
    <w:rPr>
      <w:rFonts w:ascii="Calibri" w:hAnsi="Calibri"/>
      <w:sz w:val="24"/>
      <w:lang w:val="en-GB" w:eastAsia="en-US"/>
    </w:rPr>
  </w:style>
  <w:style w:type="paragraph" w:styleId="Revision">
    <w:name w:val="Revision"/>
    <w:hidden/>
    <w:uiPriority w:val="99"/>
    <w:semiHidden/>
    <w:rsid w:val="00A46DBA"/>
    <w:rPr>
      <w:rFonts w:ascii="Calibri" w:hAnsi="Calibri"/>
      <w:sz w:val="24"/>
      <w:lang w:val="en-GB" w:eastAsia="en-US"/>
    </w:rPr>
  </w:style>
  <w:style w:type="character" w:customStyle="1" w:styleId="NormalaftertitleChar">
    <w:name w:val="Normal after title Char"/>
    <w:basedOn w:val="DefaultParagraphFont"/>
    <w:link w:val="Normalaftertitle"/>
    <w:rsid w:val="00847255"/>
    <w:rPr>
      <w:rFonts w:ascii="Calibri" w:hAnsi="Calibri"/>
      <w:sz w:val="24"/>
      <w:lang w:val="en-GB" w:eastAsia="en-US"/>
    </w:rPr>
  </w:style>
  <w:style w:type="character" w:customStyle="1" w:styleId="enumlev1Char">
    <w:name w:val="enumlev1 Char"/>
    <w:basedOn w:val="DefaultParagraphFont"/>
    <w:link w:val="enumlev1"/>
    <w:rsid w:val="00847255"/>
    <w:rPr>
      <w:rFonts w:ascii="Calibri" w:hAnsi="Calibri"/>
      <w:sz w:val="24"/>
      <w:lang w:val="en-GB" w:eastAsia="en-US"/>
    </w:rPr>
  </w:style>
  <w:style w:type="character" w:customStyle="1" w:styleId="AnnextitleChar">
    <w:name w:val="Annex_title Char"/>
    <w:basedOn w:val="DefaultParagraphFont"/>
    <w:link w:val="Annextitle"/>
    <w:rsid w:val="00847255"/>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139/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nline/mm/scripts/mm.final-acts.list?_languageid=1&amp;_agrmts_type=WCIT-20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osg/wcit-12/highlights/signatori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2-PP-C-0207/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851</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Periodic review of the International Telecommunication Regulations (ITRs)</vt:lpstr>
    </vt:vector>
  </TitlesOfParts>
  <Manager>General Secretariat - Pool</Manager>
  <Company>International Telecommunication Union (ITU)</Company>
  <LinksUpToDate>false</LinksUpToDate>
  <CharactersWithSpaces>6259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review of the International Telecommunication Regulations (ITRs)</dc:title>
  <dc:subject>Council 2023</dc:subject>
  <dc:creator>Saran, Sadhvi</dc:creator>
  <cp:keywords>C2023, C23, Council-23</cp:keywords>
  <dc:description/>
  <cp:lastModifiedBy>Xue, Kun</cp:lastModifiedBy>
  <cp:revision>7</cp:revision>
  <cp:lastPrinted>2000-07-18T13:30:00Z</cp:lastPrinted>
  <dcterms:created xsi:type="dcterms:W3CDTF">2023-05-04T14:11:00Z</dcterms:created>
  <dcterms:modified xsi:type="dcterms:W3CDTF">2023-05-16T09:41:00Z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