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116460" w14:paraId="5CED734E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C079D5F" w14:textId="288A9B9A" w:rsidR="00D72F49" w:rsidRPr="00116460" w:rsidRDefault="00D72F49" w:rsidP="00DD0710">
            <w:pPr>
              <w:tabs>
                <w:tab w:val="left" w:pos="851"/>
              </w:tabs>
              <w:spacing w:before="0"/>
              <w:rPr>
                <w:b/>
              </w:rPr>
            </w:pPr>
            <w:r w:rsidRPr="00116460">
              <w:rPr>
                <w:b/>
              </w:rPr>
              <w:t>Point de l</w:t>
            </w:r>
            <w:r w:rsidR="00DD0710" w:rsidRPr="00116460">
              <w:rPr>
                <w:b/>
              </w:rPr>
              <w:t>'</w:t>
            </w:r>
            <w:r w:rsidRPr="00116460">
              <w:rPr>
                <w:b/>
              </w:rPr>
              <w:t xml:space="preserve">ordre du jour: </w:t>
            </w:r>
            <w:r w:rsidR="007D5F0D" w:rsidRPr="00116460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0B2D1E3B" w14:textId="680159B1" w:rsidR="00D72F49" w:rsidRPr="00116460" w:rsidRDefault="00D72F49" w:rsidP="00DD071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16460">
              <w:rPr>
                <w:b/>
              </w:rPr>
              <w:t>Document C23/</w:t>
            </w:r>
            <w:r w:rsidR="007D5F0D" w:rsidRPr="00116460">
              <w:rPr>
                <w:b/>
              </w:rPr>
              <w:t>16</w:t>
            </w:r>
            <w:r w:rsidRPr="00116460">
              <w:rPr>
                <w:b/>
              </w:rPr>
              <w:t>-F</w:t>
            </w:r>
          </w:p>
        </w:tc>
      </w:tr>
      <w:tr w:rsidR="00D72F49" w:rsidRPr="00116460" w14:paraId="0C9B7EA5" w14:textId="77777777" w:rsidTr="00D72F49">
        <w:trPr>
          <w:cantSplit/>
        </w:trPr>
        <w:tc>
          <w:tcPr>
            <w:tcW w:w="3969" w:type="dxa"/>
            <w:vMerge/>
          </w:tcPr>
          <w:p w14:paraId="1C6D682E" w14:textId="77777777" w:rsidR="00D72F49" w:rsidRPr="00116460" w:rsidRDefault="00D72F49" w:rsidP="00DD071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2C427551" w14:textId="00A0EF98" w:rsidR="00D72F49" w:rsidRPr="00116460" w:rsidRDefault="007D5F0D" w:rsidP="00DD071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16460">
              <w:rPr>
                <w:b/>
              </w:rPr>
              <w:t>16 mai</w:t>
            </w:r>
            <w:r w:rsidR="00D72F49" w:rsidRPr="00116460">
              <w:rPr>
                <w:b/>
              </w:rPr>
              <w:t xml:space="preserve"> 2023</w:t>
            </w:r>
          </w:p>
        </w:tc>
      </w:tr>
      <w:tr w:rsidR="00D72F49" w:rsidRPr="00116460" w14:paraId="626563F1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445627BA" w14:textId="77777777" w:rsidR="00D72F49" w:rsidRPr="00116460" w:rsidRDefault="00D72F49" w:rsidP="00DD071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383EF5B8" w14:textId="77777777" w:rsidR="00D72F49" w:rsidRPr="00116460" w:rsidRDefault="00D72F49" w:rsidP="00DD071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16460">
              <w:rPr>
                <w:b/>
              </w:rPr>
              <w:t>Original: anglais</w:t>
            </w:r>
          </w:p>
        </w:tc>
      </w:tr>
      <w:tr w:rsidR="00D72F49" w:rsidRPr="00116460" w14:paraId="6E555DA8" w14:textId="77777777" w:rsidTr="00D72F49">
        <w:trPr>
          <w:cantSplit/>
          <w:trHeight w:val="23"/>
        </w:trPr>
        <w:tc>
          <w:tcPr>
            <w:tcW w:w="3969" w:type="dxa"/>
          </w:tcPr>
          <w:p w14:paraId="66B7F50E" w14:textId="77777777" w:rsidR="00D72F49" w:rsidRPr="00116460" w:rsidRDefault="00D72F49" w:rsidP="00DD071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3A41187E" w14:textId="77777777" w:rsidR="00D72F49" w:rsidRPr="00116460" w:rsidRDefault="00D72F49" w:rsidP="00DD071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116460" w14:paraId="29D30A41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BF6E599" w14:textId="4D784460" w:rsidR="00D72F49" w:rsidRPr="00116460" w:rsidRDefault="00D72F49" w:rsidP="00DD0710">
            <w:pPr>
              <w:pStyle w:val="Source"/>
              <w:jc w:val="left"/>
              <w:rPr>
                <w:sz w:val="34"/>
                <w:szCs w:val="34"/>
              </w:rPr>
            </w:pPr>
            <w:r w:rsidRPr="00116460">
              <w:rPr>
                <w:rFonts w:cstheme="minorHAnsi"/>
                <w:color w:val="000000"/>
                <w:sz w:val="34"/>
                <w:szCs w:val="34"/>
              </w:rPr>
              <w:t>Rapport</w:t>
            </w:r>
            <w:r w:rsidR="00DD0710" w:rsidRPr="00116460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ED33D2" w:rsidRPr="00116460">
              <w:rPr>
                <w:rFonts w:cstheme="minorHAnsi"/>
                <w:color w:val="000000"/>
                <w:sz w:val="34"/>
                <w:szCs w:val="34"/>
              </w:rPr>
              <w:t>de la</w:t>
            </w:r>
            <w:r w:rsidR="00DD0710" w:rsidRPr="00116460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ED33D2" w:rsidRPr="00116460">
              <w:rPr>
                <w:rFonts w:cstheme="minorHAnsi"/>
                <w:color w:val="000000"/>
                <w:sz w:val="34"/>
                <w:szCs w:val="34"/>
              </w:rPr>
              <w:t>Secrétaire générale</w:t>
            </w:r>
          </w:p>
        </w:tc>
      </w:tr>
      <w:tr w:rsidR="00D72F49" w:rsidRPr="00116460" w14:paraId="67EBC7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3D3A21" w14:textId="14DD8838" w:rsidR="00D72F49" w:rsidRPr="00116460" w:rsidRDefault="007D5F0D" w:rsidP="00DD0710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_Hlk98236426"/>
            <w:r w:rsidRPr="00116460">
              <w:rPr>
                <w:rFonts w:cstheme="minorHAnsi"/>
                <w:lang w:val="fr-FR"/>
              </w:rPr>
              <w:t>RECOUVREMENT DES COÛTS POUR LE TRAITEMENT DES FICHES DE NOTIFICATION DES RÉSEAUX À SATELLITE</w:t>
            </w:r>
            <w:bookmarkEnd w:id="0"/>
          </w:p>
        </w:tc>
      </w:tr>
      <w:tr w:rsidR="00D72F49" w:rsidRPr="00116460" w14:paraId="1D6918D3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B5705F7" w14:textId="36A57D63" w:rsidR="00D72F49" w:rsidRPr="00116460" w:rsidRDefault="003418B2" w:rsidP="00DD071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16460">
              <w:rPr>
                <w:b/>
                <w:bCs/>
                <w:sz w:val="26"/>
                <w:szCs w:val="26"/>
              </w:rPr>
              <w:t>Objet</w:t>
            </w:r>
          </w:p>
          <w:p w14:paraId="348CCCB1" w14:textId="4C7394CE" w:rsidR="00D72F49" w:rsidRPr="00116460" w:rsidRDefault="007D5F0D" w:rsidP="00DD0710">
            <w:r w:rsidRPr="00116460">
              <w:t>Le présent document est</w:t>
            </w:r>
            <w:r w:rsidR="00DD0710" w:rsidRPr="00116460">
              <w:t xml:space="preserve"> </w:t>
            </w:r>
            <w:r w:rsidR="00ED33D2" w:rsidRPr="00116460">
              <w:t>le</w:t>
            </w:r>
            <w:r w:rsidR="00DD0710" w:rsidRPr="00116460">
              <w:t xml:space="preserve"> </w:t>
            </w:r>
            <w:r w:rsidRPr="00116460">
              <w:t xml:space="preserve">rapport </w:t>
            </w:r>
            <w:r w:rsidR="00ED33D2" w:rsidRPr="00116460">
              <w:t xml:space="preserve">annuel </w:t>
            </w:r>
            <w:r w:rsidRPr="00116460">
              <w:t>sur la mise en œuvre du recouvrement des coûts pour le traitement des fiches de notification des réseaux à satellite</w:t>
            </w:r>
            <w:r w:rsidR="00ED33D2" w:rsidRPr="00116460">
              <w:t>, conformément à la</w:t>
            </w:r>
            <w:r w:rsidR="00DD0710" w:rsidRPr="00116460">
              <w:t xml:space="preserve"> </w:t>
            </w:r>
            <w:r w:rsidR="001D53FC" w:rsidRPr="00116460">
              <w:t>Décision 482</w:t>
            </w:r>
            <w:r w:rsidR="00DD0710" w:rsidRPr="00116460">
              <w:t xml:space="preserve"> </w:t>
            </w:r>
            <w:r w:rsidR="00ED33D2" w:rsidRPr="00116460">
              <w:t>du Conseil de l</w:t>
            </w:r>
            <w:r w:rsidR="00DD0710" w:rsidRPr="00116460">
              <w:t>'</w:t>
            </w:r>
            <w:r w:rsidR="00ED33D2" w:rsidRPr="00116460">
              <w:t>UIT</w:t>
            </w:r>
            <w:r w:rsidR="00DD0710" w:rsidRPr="00116460">
              <w:t xml:space="preserve"> </w:t>
            </w:r>
            <w:r w:rsidR="001D53FC" w:rsidRPr="00116460">
              <w:t xml:space="preserve">(C01, </w:t>
            </w:r>
            <w:r w:rsidR="00ED33D2" w:rsidRPr="00116460">
              <w:t>modifiée pour la dernière fois en 2020</w:t>
            </w:r>
            <w:r w:rsidR="001D53FC" w:rsidRPr="00116460">
              <w:t>)</w:t>
            </w:r>
            <w:r w:rsidR="003418B2" w:rsidRPr="00116460">
              <w:t>.</w:t>
            </w:r>
          </w:p>
          <w:p w14:paraId="189574BA" w14:textId="77777777" w:rsidR="00D72F49" w:rsidRPr="00116460" w:rsidRDefault="00D72F49" w:rsidP="00DD071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16460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38ABAF8E" w14:textId="078FFB91" w:rsidR="00D72F49" w:rsidRPr="00116460" w:rsidRDefault="007D5F0D" w:rsidP="00DD0710">
            <w:r w:rsidRPr="00116460">
              <w:t>Le Conseil</w:t>
            </w:r>
            <w:r w:rsidR="00DD0710" w:rsidRPr="00116460">
              <w:t xml:space="preserve"> </w:t>
            </w:r>
            <w:r w:rsidR="001D53FC" w:rsidRPr="00116460">
              <w:t>de l</w:t>
            </w:r>
            <w:r w:rsidR="00DD0710" w:rsidRPr="00116460">
              <w:t>'</w:t>
            </w:r>
            <w:r w:rsidR="001D53FC" w:rsidRPr="00116460">
              <w:t>UIT</w:t>
            </w:r>
            <w:r w:rsidR="00DD0710" w:rsidRPr="00116460">
              <w:t xml:space="preserve"> </w:t>
            </w:r>
            <w:r w:rsidRPr="00116460">
              <w:t xml:space="preserve">est invité à </w:t>
            </w:r>
            <w:r w:rsidRPr="00116460">
              <w:rPr>
                <w:b/>
                <w:bCs/>
              </w:rPr>
              <w:t>prendre note</w:t>
            </w:r>
            <w:r w:rsidRPr="00116460">
              <w:t xml:space="preserve"> du présent rapport.</w:t>
            </w:r>
          </w:p>
          <w:p w14:paraId="2D7AA5F7" w14:textId="47B3EB17" w:rsidR="00D72F49" w:rsidRPr="00116460" w:rsidRDefault="00D72F49" w:rsidP="00DD071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16460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E31F4F" w:rsidRPr="00116460">
              <w:rPr>
                <w:b/>
                <w:bCs/>
                <w:sz w:val="26"/>
                <w:szCs w:val="26"/>
              </w:rPr>
              <w:t xml:space="preserve">plan </w:t>
            </w:r>
            <w:r w:rsidRPr="00116460">
              <w:rPr>
                <w:b/>
                <w:bCs/>
                <w:sz w:val="26"/>
                <w:szCs w:val="26"/>
              </w:rPr>
              <w:t>stratégique</w:t>
            </w:r>
          </w:p>
          <w:p w14:paraId="57E4E97C" w14:textId="0CBA28BC" w:rsidR="007D5F0D" w:rsidRPr="00116460" w:rsidRDefault="001D53FC" w:rsidP="00DD0710">
            <w:r w:rsidRPr="00116460">
              <w:t>Priorité</w:t>
            </w:r>
            <w:r w:rsidR="00DD0710" w:rsidRPr="00116460">
              <w:t xml:space="preserve"> </w:t>
            </w:r>
            <w:r w:rsidRPr="00116460">
              <w:t>thématique</w:t>
            </w:r>
            <w:r w:rsidR="00DD0710" w:rsidRPr="00116460">
              <w:t xml:space="preserve"> </w:t>
            </w:r>
            <w:r w:rsidR="007D5F0D" w:rsidRPr="00116460">
              <w:t>–</w:t>
            </w:r>
            <w:r w:rsidR="00DD0710" w:rsidRPr="00116460">
              <w:t xml:space="preserve"> </w:t>
            </w:r>
            <w:r w:rsidRPr="00116460">
              <w:t>Utilisation du spectre pour les services spatiaux et les services de Terre</w:t>
            </w:r>
          </w:p>
          <w:p w14:paraId="03DE263F" w14:textId="0050D3E4" w:rsidR="007D5F0D" w:rsidRPr="00116460" w:rsidRDefault="001D53FC" w:rsidP="00DD0710">
            <w:r w:rsidRPr="00116460">
              <w:t>Offres de produits et de services</w:t>
            </w:r>
            <w:r w:rsidRPr="00116460" w:rsidDel="001D53FC">
              <w:t xml:space="preserve"> </w:t>
            </w:r>
            <w:r w:rsidR="007D5F0D" w:rsidRPr="00116460">
              <w:t>–</w:t>
            </w:r>
            <w:r w:rsidR="00DD0710" w:rsidRPr="00116460">
              <w:t xml:space="preserve"> </w:t>
            </w:r>
            <w:r w:rsidRPr="00116460">
              <w:t>Attribution et gestion des ressources</w:t>
            </w:r>
          </w:p>
          <w:p w14:paraId="3D9DDA8F" w14:textId="4A04AA74" w:rsidR="00D72F49" w:rsidRPr="00116460" w:rsidRDefault="00D72F49" w:rsidP="00DD071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16460">
              <w:rPr>
                <w:b/>
                <w:bCs/>
                <w:sz w:val="26"/>
                <w:szCs w:val="26"/>
              </w:rPr>
              <w:t>Incidences financières:</w:t>
            </w:r>
          </w:p>
          <w:p w14:paraId="58436A89" w14:textId="760461AA" w:rsidR="007D5F0D" w:rsidRPr="00116460" w:rsidRDefault="007D5F0D" w:rsidP="00DD0710">
            <w:pPr>
              <w:spacing w:before="160"/>
              <w:rPr>
                <w:sz w:val="22"/>
              </w:rPr>
            </w:pPr>
            <w:r w:rsidRPr="00116460">
              <w:t>10 567 441</w:t>
            </w:r>
            <w:r w:rsidR="00DD0710" w:rsidRPr="00116460">
              <w:t xml:space="preserve"> </w:t>
            </w:r>
            <w:r w:rsidR="001D53FC" w:rsidRPr="00116460">
              <w:t>CHF</w:t>
            </w:r>
            <w:r w:rsidR="00DD0710" w:rsidRPr="00116460">
              <w:t xml:space="preserve"> </w:t>
            </w:r>
            <w:r w:rsidR="001D53FC" w:rsidRPr="00116460">
              <w:t>au titre des produits tirés du recouvrement des coûts pour les fiches de notification de</w:t>
            </w:r>
            <w:r w:rsidR="00E31F4F" w:rsidRPr="00116460">
              <w:t>s</w:t>
            </w:r>
            <w:r w:rsidR="001D53FC" w:rsidRPr="00116460">
              <w:t xml:space="preserve"> réseaux à satellite</w:t>
            </w:r>
          </w:p>
          <w:p w14:paraId="6BD67298" w14:textId="300C05B3" w:rsidR="00D72F49" w:rsidRPr="00116460" w:rsidRDefault="00D72F49" w:rsidP="00DD0710">
            <w:pPr>
              <w:spacing w:before="160"/>
              <w:rPr>
                <w:caps/>
                <w:sz w:val="22"/>
              </w:rPr>
            </w:pPr>
            <w:r w:rsidRPr="00116460">
              <w:rPr>
                <w:sz w:val="22"/>
              </w:rPr>
              <w:t>_________________</w:t>
            </w:r>
          </w:p>
          <w:p w14:paraId="1CF71879" w14:textId="77777777" w:rsidR="00D72F49" w:rsidRPr="00116460" w:rsidRDefault="00D72F49" w:rsidP="00DD071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16460">
              <w:rPr>
                <w:b/>
                <w:bCs/>
                <w:sz w:val="26"/>
                <w:szCs w:val="26"/>
              </w:rPr>
              <w:t>Références</w:t>
            </w:r>
          </w:p>
          <w:p w14:paraId="4E72991F" w14:textId="17FFB36D" w:rsidR="00D72F49" w:rsidRPr="00116460" w:rsidRDefault="001B68B5" w:rsidP="00DD0710">
            <w:pPr>
              <w:spacing w:after="160"/>
            </w:pPr>
            <w:hyperlink r:id="rId7" w:history="1">
              <w:r w:rsidR="007D5F0D" w:rsidRPr="00116460">
                <w:rPr>
                  <w:rStyle w:val="Hyperlink"/>
                  <w:i/>
                  <w:iCs/>
                </w:rPr>
                <w:t>Résolution 91 (Rév. Guadalajara, 2010)</w:t>
              </w:r>
            </w:hyperlink>
            <w:r w:rsidR="007D5F0D" w:rsidRPr="00116460">
              <w:t xml:space="preserve"> </w:t>
            </w:r>
            <w:r w:rsidR="007D5F0D" w:rsidRPr="00116460">
              <w:rPr>
                <w:i/>
                <w:iCs/>
              </w:rPr>
              <w:t xml:space="preserve">de la Conférence de plénipotentiaires; </w:t>
            </w:r>
            <w:r w:rsidR="00DD0710" w:rsidRPr="00116460">
              <w:rPr>
                <w:i/>
                <w:iCs/>
              </w:rPr>
              <w:br/>
            </w:r>
            <w:hyperlink r:id="rId8" w:history="1">
              <w:r w:rsidR="00DD0710" w:rsidRPr="00116460">
                <w:rPr>
                  <w:rStyle w:val="Hyperlink"/>
                  <w:i/>
                  <w:iCs/>
                </w:rPr>
                <w:t>Décision 482 du Conseil (C01, modifiée pour la dernière fois en 2020)</w:t>
              </w:r>
            </w:hyperlink>
            <w:r w:rsidR="00DD0710" w:rsidRPr="00116460">
              <w:t>;</w:t>
            </w:r>
            <w:r w:rsidR="007D5F0D" w:rsidRPr="00116460">
              <w:rPr>
                <w:i/>
                <w:iCs/>
              </w:rPr>
              <w:t xml:space="preserve"> Documents</w:t>
            </w:r>
            <w:r w:rsidR="00E970A7" w:rsidRPr="00116460">
              <w:rPr>
                <w:i/>
                <w:iCs/>
              </w:rPr>
              <w:t xml:space="preserve"> du Conseil</w:t>
            </w:r>
            <w:r w:rsidR="00DD0710" w:rsidRPr="00116460">
              <w:rPr>
                <w:i/>
                <w:iCs/>
              </w:rPr>
              <w:t xml:space="preserve"> </w:t>
            </w:r>
            <w:hyperlink r:id="rId9" w:history="1">
              <w:r w:rsidR="003E17E4" w:rsidRPr="00116460">
                <w:rPr>
                  <w:rStyle w:val="Hyperlink"/>
                  <w:i/>
                  <w:iCs/>
                  <w:szCs w:val="24"/>
                </w:rPr>
                <w:t>C22/11</w:t>
              </w:r>
            </w:hyperlink>
            <w:r w:rsidR="003E17E4" w:rsidRPr="00116460">
              <w:rPr>
                <w:i/>
                <w:iCs/>
                <w:szCs w:val="24"/>
              </w:rPr>
              <w:t>,</w:t>
            </w:r>
            <w:hyperlink r:id="rId10" w:history="1">
              <w:r w:rsidR="003E17E4" w:rsidRPr="00116460">
                <w:rPr>
                  <w:rStyle w:val="Hyperlink"/>
                  <w:i/>
                  <w:iCs/>
                  <w:szCs w:val="24"/>
                </w:rPr>
                <w:t>C22/16</w:t>
              </w:r>
            </w:hyperlink>
          </w:p>
        </w:tc>
      </w:tr>
    </w:tbl>
    <w:p w14:paraId="25E69667" w14:textId="77777777" w:rsidR="00A51849" w:rsidRPr="00116460" w:rsidRDefault="00A51849" w:rsidP="00DD07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16460">
        <w:br w:type="page"/>
      </w:r>
    </w:p>
    <w:p w14:paraId="7CFE0A59" w14:textId="38415021" w:rsidR="007D5F0D" w:rsidRPr="00116460" w:rsidRDefault="007D5F0D" w:rsidP="00DD0710">
      <w:r w:rsidRPr="00116460">
        <w:lastRenderedPageBreak/>
        <w:t>1</w:t>
      </w:r>
      <w:r w:rsidRPr="00116460">
        <w:tab/>
        <w:t xml:space="preserve">À ses sessions de 2018 et 2019, le Conseil </w:t>
      </w:r>
      <w:r w:rsidR="00E970A7" w:rsidRPr="00116460">
        <w:t>de l</w:t>
      </w:r>
      <w:r w:rsidR="00DD0710" w:rsidRPr="00116460">
        <w:t>'</w:t>
      </w:r>
      <w:r w:rsidR="00E970A7" w:rsidRPr="00116460">
        <w:t xml:space="preserve">UIT </w:t>
      </w:r>
      <w:r w:rsidRPr="00116460">
        <w:t>a</w:t>
      </w:r>
      <w:r w:rsidR="00DD0710" w:rsidRPr="00116460">
        <w:t xml:space="preserve"> </w:t>
      </w:r>
      <w:r w:rsidR="00E970A7" w:rsidRPr="00116460">
        <w:t xml:space="preserve">modifié </w:t>
      </w:r>
      <w:r w:rsidRPr="00116460">
        <w:t xml:space="preserve">la Décision 482, afin de traiter plusieurs questions relatives aux systèmes à satellites non géostationnaires. </w:t>
      </w:r>
      <w:r w:rsidR="00DD0710" w:rsidRPr="00116460">
        <w:t>À</w:t>
      </w:r>
      <w:r w:rsidR="00E970A7" w:rsidRPr="00116460">
        <w:t xml:space="preserve"> sa session de</w:t>
      </w:r>
      <w:r w:rsidR="00DD0710" w:rsidRPr="00116460">
        <w:t xml:space="preserve"> </w:t>
      </w:r>
      <w:r w:rsidRPr="00116460">
        <w:t>2020,</w:t>
      </w:r>
      <w:r w:rsidR="00DD0710" w:rsidRPr="00116460">
        <w:t xml:space="preserve"> </w:t>
      </w:r>
      <w:r w:rsidR="00E970A7" w:rsidRPr="00116460">
        <w:t>le</w:t>
      </w:r>
      <w:r w:rsidR="00DD0710" w:rsidRPr="00116460">
        <w:t xml:space="preserve"> </w:t>
      </w:r>
      <w:r w:rsidRPr="00116460">
        <w:t>Conseil</w:t>
      </w:r>
      <w:r w:rsidR="00DD0710" w:rsidRPr="00116460">
        <w:t xml:space="preserve"> </w:t>
      </w:r>
      <w:r w:rsidR="00E970A7" w:rsidRPr="00116460">
        <w:t xml:space="preserve">a </w:t>
      </w:r>
      <w:r w:rsidR="00E31F4F" w:rsidRPr="00116460">
        <w:t>approuvé une version</w:t>
      </w:r>
      <w:r w:rsidR="00DD0710" w:rsidRPr="00116460">
        <w:t xml:space="preserve"> </w:t>
      </w:r>
      <w:r w:rsidR="00E31F4F" w:rsidRPr="00116460">
        <w:t>modifiée à nouveau de la</w:t>
      </w:r>
      <w:r w:rsidR="00DD0710" w:rsidRPr="00116460">
        <w:t xml:space="preserve"> </w:t>
      </w:r>
      <w:hyperlink r:id="rId11" w:history="1">
        <w:r w:rsidRPr="00116460">
          <w:rPr>
            <w:rStyle w:val="Hyperlink"/>
          </w:rPr>
          <w:t>Décision 482</w:t>
        </w:r>
      </w:hyperlink>
      <w:r w:rsidR="00E31F4F" w:rsidRPr="00116460">
        <w:t>,</w:t>
      </w:r>
      <w:r w:rsidR="00DD0710" w:rsidRPr="00116460">
        <w:t xml:space="preserve"> </w:t>
      </w:r>
      <w:r w:rsidR="00766493" w:rsidRPr="00116460">
        <w:t xml:space="preserve">qui </w:t>
      </w:r>
      <w:r w:rsidRPr="00116460">
        <w:t>est entrée en vigueur le 1er septembre 2020.</w:t>
      </w:r>
    </w:p>
    <w:p w14:paraId="38DFF131" w14:textId="25B041A0" w:rsidR="007D5F0D" w:rsidRPr="00116460" w:rsidRDefault="007D5F0D" w:rsidP="00DD0710">
      <w:pPr>
        <w:pStyle w:val="Headingb"/>
        <w:tabs>
          <w:tab w:val="clear" w:pos="567"/>
        </w:tabs>
        <w:ind w:left="0" w:firstLine="0"/>
      </w:pPr>
      <w:r w:rsidRPr="00116460">
        <w:t xml:space="preserve">Rapport sur la mise en œuvre de la Décision 482 </w:t>
      </w:r>
      <w:r w:rsidR="00261E30" w:rsidRPr="00116460">
        <w:t>(C01,</w:t>
      </w:r>
      <w:r w:rsidR="00766493" w:rsidRPr="00116460">
        <w:t xml:space="preserve"> modifiée pour la dernière fois en</w:t>
      </w:r>
      <w:r w:rsidR="00FB4837" w:rsidRPr="00116460">
        <w:t> </w:t>
      </w:r>
      <w:r w:rsidR="00766493" w:rsidRPr="00116460">
        <w:t>2020)</w:t>
      </w:r>
      <w:r w:rsidR="00DD0710" w:rsidRPr="00116460">
        <w:t xml:space="preserve"> </w:t>
      </w:r>
      <w:r w:rsidRPr="00116460">
        <w:t>en 2021</w:t>
      </w:r>
      <w:r w:rsidR="00261E30" w:rsidRPr="00116460">
        <w:t xml:space="preserve"> et 2022</w:t>
      </w:r>
    </w:p>
    <w:p w14:paraId="0234BE32" w14:textId="5B087ECF" w:rsidR="007D5F0D" w:rsidRPr="00116460" w:rsidRDefault="007D5F0D" w:rsidP="00DD0710">
      <w:r w:rsidRPr="00116460">
        <w:t>2</w:t>
      </w:r>
      <w:r w:rsidRPr="00116460">
        <w:tab/>
        <w:t>Le Tableau 1 ci-après donne des renseignements concernant l</w:t>
      </w:r>
      <w:r w:rsidR="00DD0710" w:rsidRPr="00116460">
        <w:t>'</w:t>
      </w:r>
      <w:r w:rsidRPr="00116460">
        <w:t xml:space="preserve">application de la Décision 482 </w:t>
      </w:r>
      <w:r w:rsidR="00766493" w:rsidRPr="00116460">
        <w:t>(C01, modifiée pour la dernière fois en 2020)</w:t>
      </w:r>
      <w:r w:rsidR="00DD0710" w:rsidRPr="00116460">
        <w:t xml:space="preserve"> </w:t>
      </w:r>
      <w:r w:rsidRPr="00116460">
        <w:t>pour 2021</w:t>
      </w:r>
      <w:r w:rsidR="00261E30" w:rsidRPr="00116460">
        <w:t xml:space="preserve"> et 2022</w:t>
      </w:r>
      <w:r w:rsidRPr="00116460">
        <w:t>, en particulier le pourcentage de factures établies en 2021</w:t>
      </w:r>
      <w:r w:rsidR="00261E30" w:rsidRPr="00116460">
        <w:t xml:space="preserve"> et 2022</w:t>
      </w:r>
      <w:r w:rsidRPr="00116460">
        <w:t xml:space="preserve"> qui ont été acquittées en temps voulu.</w:t>
      </w:r>
    </w:p>
    <w:p w14:paraId="1A24ACE3" w14:textId="06D99EBD" w:rsidR="00897553" w:rsidRPr="00116460" w:rsidRDefault="007D5F0D" w:rsidP="00FB4837">
      <w:pPr>
        <w:pStyle w:val="Tabletitle"/>
        <w:spacing w:before="120"/>
      </w:pPr>
      <w:r w:rsidRPr="00116460">
        <w:t xml:space="preserve">Tableau 1 – Situation en ce qui concerne la mise en œuvre </w:t>
      </w:r>
      <w:r w:rsidR="00FB4837" w:rsidRPr="00116460">
        <w:br/>
      </w:r>
      <w:r w:rsidRPr="00116460">
        <w:t>de la Décision 482 pour</w:t>
      </w:r>
      <w:r w:rsidR="00261E30" w:rsidRPr="00116460">
        <w:t> </w:t>
      </w:r>
      <w:r w:rsidRPr="00116460">
        <w:t>2021</w:t>
      </w:r>
      <w:r w:rsidR="00766493" w:rsidRPr="00116460">
        <w:t xml:space="preserve"> et</w:t>
      </w:r>
      <w:r w:rsidR="00FB4837" w:rsidRPr="00116460">
        <w:t> </w:t>
      </w:r>
      <w:r w:rsidR="00261E30" w:rsidRPr="00116460">
        <w:t>2022</w:t>
      </w: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2160"/>
        <w:gridCol w:w="1980"/>
      </w:tblGrid>
      <w:tr w:rsidR="003E17E4" w:rsidRPr="00116460" w14:paraId="4D8E5C92" w14:textId="77777777" w:rsidTr="00CA0799">
        <w:tc>
          <w:tcPr>
            <w:tcW w:w="2880" w:type="dxa"/>
          </w:tcPr>
          <w:p w14:paraId="466CE025" w14:textId="77777777" w:rsidR="003E17E4" w:rsidRPr="00116460" w:rsidRDefault="003E17E4" w:rsidP="00DD0710">
            <w:pPr>
              <w:pStyle w:val="Tablehead"/>
            </w:pPr>
          </w:p>
        </w:tc>
        <w:tc>
          <w:tcPr>
            <w:tcW w:w="900" w:type="dxa"/>
          </w:tcPr>
          <w:p w14:paraId="59DFC7AD" w14:textId="77777777" w:rsidR="003E17E4" w:rsidRPr="00116460" w:rsidRDefault="003E17E4" w:rsidP="00DD0710">
            <w:pPr>
              <w:pStyle w:val="Tablehead"/>
            </w:pPr>
          </w:p>
        </w:tc>
        <w:tc>
          <w:tcPr>
            <w:tcW w:w="2160" w:type="dxa"/>
          </w:tcPr>
          <w:p w14:paraId="78FC28B0" w14:textId="1B001432" w:rsidR="003E17E4" w:rsidRPr="00116460" w:rsidRDefault="003E17E4" w:rsidP="00DD0710">
            <w:pPr>
              <w:pStyle w:val="Tablehead"/>
              <w:rPr>
                <w:szCs w:val="22"/>
              </w:rPr>
            </w:pPr>
            <w:r w:rsidRPr="00116460">
              <w:rPr>
                <w:szCs w:val="22"/>
              </w:rPr>
              <w:t>2021</w:t>
            </w:r>
          </w:p>
        </w:tc>
        <w:tc>
          <w:tcPr>
            <w:tcW w:w="1980" w:type="dxa"/>
          </w:tcPr>
          <w:p w14:paraId="7CB1D6E7" w14:textId="6D137B7B" w:rsidR="003E17E4" w:rsidRPr="00116460" w:rsidRDefault="003E17E4" w:rsidP="00DD0710">
            <w:pPr>
              <w:pStyle w:val="Tablehead"/>
              <w:rPr>
                <w:szCs w:val="22"/>
              </w:rPr>
            </w:pPr>
            <w:r w:rsidRPr="00116460">
              <w:rPr>
                <w:szCs w:val="22"/>
              </w:rPr>
              <w:t>2022</w:t>
            </w:r>
          </w:p>
        </w:tc>
      </w:tr>
      <w:tr w:rsidR="003E17E4" w:rsidRPr="00116460" w14:paraId="6AE66AA9" w14:textId="77777777" w:rsidTr="00CA0799">
        <w:tc>
          <w:tcPr>
            <w:tcW w:w="2880" w:type="dxa"/>
            <w:vAlign w:val="center"/>
          </w:tcPr>
          <w:p w14:paraId="6982223B" w14:textId="25F5A510" w:rsidR="003E17E4" w:rsidRPr="00116460" w:rsidRDefault="00766493" w:rsidP="00DD0710">
            <w:pPr>
              <w:pStyle w:val="Tabletext"/>
            </w:pPr>
            <w:r w:rsidRPr="00116460">
              <w:t>Montant inscrit au budget</w:t>
            </w:r>
          </w:p>
        </w:tc>
        <w:tc>
          <w:tcPr>
            <w:tcW w:w="900" w:type="dxa"/>
            <w:vAlign w:val="center"/>
          </w:tcPr>
          <w:p w14:paraId="40681F6E" w14:textId="3BB5997F" w:rsidR="003E17E4" w:rsidRPr="00116460" w:rsidRDefault="003E17E4" w:rsidP="00FB4837">
            <w:pPr>
              <w:pStyle w:val="Tabletext"/>
              <w:jc w:val="center"/>
            </w:pPr>
            <w:r w:rsidRPr="00116460">
              <w:t>CHF</w:t>
            </w:r>
          </w:p>
        </w:tc>
        <w:tc>
          <w:tcPr>
            <w:tcW w:w="2160" w:type="dxa"/>
            <w:vAlign w:val="center"/>
          </w:tcPr>
          <w:p w14:paraId="758A8B4F" w14:textId="65AB7A25" w:rsidR="003E17E4" w:rsidRPr="00116460" w:rsidRDefault="003E17E4" w:rsidP="00DD0710">
            <w:pPr>
              <w:pStyle w:val="Tabletext"/>
              <w:jc w:val="center"/>
            </w:pPr>
            <w:r w:rsidRPr="00116460">
              <w:t>15 500 000</w:t>
            </w:r>
            <w:r w:rsidRPr="00116460">
              <w:br/>
            </w:r>
            <w:r w:rsidRPr="00116460">
              <w:rPr>
                <w:sz w:val="16"/>
                <w:szCs w:val="12"/>
              </w:rPr>
              <w:t>(</w:t>
            </w:r>
            <w:r w:rsidR="00766493" w:rsidRPr="00116460">
              <w:rPr>
                <w:sz w:val="16"/>
                <w:szCs w:val="12"/>
              </w:rPr>
              <w:t>Résolution 1396 du Conseil (C19))</w:t>
            </w:r>
          </w:p>
        </w:tc>
        <w:tc>
          <w:tcPr>
            <w:tcW w:w="1980" w:type="dxa"/>
            <w:vAlign w:val="center"/>
          </w:tcPr>
          <w:p w14:paraId="5F0F596C" w14:textId="46B227A8" w:rsidR="003E17E4" w:rsidRPr="00116460" w:rsidRDefault="003E17E4" w:rsidP="00DD0710">
            <w:pPr>
              <w:pStyle w:val="Tabletext"/>
              <w:jc w:val="center"/>
            </w:pPr>
            <w:r w:rsidRPr="00116460">
              <w:t>15 000 000</w:t>
            </w:r>
            <w:r w:rsidRPr="00116460">
              <w:br/>
            </w:r>
            <w:r w:rsidRPr="00116460">
              <w:rPr>
                <w:sz w:val="16"/>
                <w:szCs w:val="12"/>
              </w:rPr>
              <w:t>(</w:t>
            </w:r>
            <w:r w:rsidR="00766493" w:rsidRPr="00116460">
              <w:rPr>
                <w:sz w:val="16"/>
                <w:szCs w:val="12"/>
              </w:rPr>
              <w:t>Résolution 1405 du Conseil</w:t>
            </w:r>
            <w:r w:rsidR="00DD0710" w:rsidRPr="00116460">
              <w:rPr>
                <w:sz w:val="16"/>
                <w:szCs w:val="12"/>
              </w:rPr>
              <w:t xml:space="preserve"> </w:t>
            </w:r>
            <w:r w:rsidRPr="00116460">
              <w:rPr>
                <w:sz w:val="16"/>
                <w:szCs w:val="12"/>
              </w:rPr>
              <w:t>(C21))</w:t>
            </w:r>
          </w:p>
        </w:tc>
      </w:tr>
      <w:tr w:rsidR="003E17E4" w:rsidRPr="00116460" w14:paraId="4F55895B" w14:textId="77777777" w:rsidTr="00CA0799">
        <w:tc>
          <w:tcPr>
            <w:tcW w:w="2880" w:type="dxa"/>
            <w:vAlign w:val="center"/>
          </w:tcPr>
          <w:p w14:paraId="2496BAD9" w14:textId="7369A95F" w:rsidR="003E17E4" w:rsidRPr="00116460" w:rsidRDefault="003E17E4" w:rsidP="00FB4837">
            <w:pPr>
              <w:pStyle w:val="Tabletext"/>
            </w:pPr>
            <w:r w:rsidRPr="00116460">
              <w:t>Total des factures établies*</w:t>
            </w:r>
            <w:r w:rsidR="00FB4837" w:rsidRPr="00116460">
              <w:t xml:space="preserve"> </w:t>
            </w:r>
            <w:r w:rsidRPr="00116460">
              <w:t>(</w:t>
            </w:r>
            <w:r w:rsidR="00766493" w:rsidRPr="00116460">
              <w:t>moins</w:t>
            </w:r>
            <w:r w:rsidRPr="00116460">
              <w:t xml:space="preserve"> franchises)</w:t>
            </w:r>
          </w:p>
        </w:tc>
        <w:tc>
          <w:tcPr>
            <w:tcW w:w="900" w:type="dxa"/>
            <w:vAlign w:val="center"/>
          </w:tcPr>
          <w:p w14:paraId="458AEE93" w14:textId="77777777" w:rsidR="003E17E4" w:rsidRPr="00116460" w:rsidRDefault="003E17E4" w:rsidP="00FB4837">
            <w:pPr>
              <w:pStyle w:val="Tabletext"/>
              <w:jc w:val="center"/>
            </w:pPr>
            <w:r w:rsidRPr="00116460">
              <w:t>CHF</w:t>
            </w:r>
          </w:p>
        </w:tc>
        <w:tc>
          <w:tcPr>
            <w:tcW w:w="2160" w:type="dxa"/>
            <w:vAlign w:val="center"/>
          </w:tcPr>
          <w:p w14:paraId="7DEF4BC6" w14:textId="0376B6C6" w:rsidR="003E17E4" w:rsidRPr="00116460" w:rsidRDefault="003E17E4" w:rsidP="00DD0710">
            <w:pPr>
              <w:pStyle w:val="Tabletext"/>
              <w:jc w:val="center"/>
            </w:pPr>
            <w:r w:rsidRPr="00116460">
              <w:t>12 351 939</w:t>
            </w:r>
          </w:p>
        </w:tc>
        <w:tc>
          <w:tcPr>
            <w:tcW w:w="1980" w:type="dxa"/>
            <w:vAlign w:val="center"/>
          </w:tcPr>
          <w:p w14:paraId="603AEAFB" w14:textId="7C4E783B" w:rsidR="003E17E4" w:rsidRPr="00116460" w:rsidRDefault="003E17E4" w:rsidP="00DD0710">
            <w:pPr>
              <w:pStyle w:val="Tabletext"/>
              <w:jc w:val="center"/>
            </w:pPr>
            <w:r w:rsidRPr="00116460">
              <w:t>10 567 441</w:t>
            </w:r>
          </w:p>
        </w:tc>
      </w:tr>
      <w:tr w:rsidR="003E17E4" w:rsidRPr="00116460" w14:paraId="0386612B" w14:textId="77777777" w:rsidTr="00CA0799">
        <w:tc>
          <w:tcPr>
            <w:tcW w:w="2880" w:type="dxa"/>
            <w:vAlign w:val="center"/>
          </w:tcPr>
          <w:p w14:paraId="1F8350A9" w14:textId="53786D29" w:rsidR="003E17E4" w:rsidRPr="00116460" w:rsidRDefault="003E17E4" w:rsidP="00DD0710">
            <w:pPr>
              <w:pStyle w:val="Tabletext"/>
            </w:pPr>
            <w:r w:rsidRPr="00116460">
              <w:t>Franchise</w:t>
            </w:r>
            <w:r w:rsidR="00766493" w:rsidRPr="00116460">
              <w:t>s</w:t>
            </w:r>
          </w:p>
        </w:tc>
        <w:tc>
          <w:tcPr>
            <w:tcW w:w="900" w:type="dxa"/>
            <w:vAlign w:val="center"/>
          </w:tcPr>
          <w:p w14:paraId="0BBA2CC1" w14:textId="77777777" w:rsidR="003E17E4" w:rsidRPr="00116460" w:rsidRDefault="003E17E4" w:rsidP="00FB4837">
            <w:pPr>
              <w:pStyle w:val="Tabletext"/>
              <w:jc w:val="center"/>
            </w:pPr>
            <w:r w:rsidRPr="00116460">
              <w:t>CHF</w:t>
            </w:r>
          </w:p>
        </w:tc>
        <w:tc>
          <w:tcPr>
            <w:tcW w:w="2160" w:type="dxa"/>
            <w:vAlign w:val="center"/>
          </w:tcPr>
          <w:p w14:paraId="005394ED" w14:textId="69677960" w:rsidR="003E17E4" w:rsidRPr="00116460" w:rsidRDefault="003E17E4" w:rsidP="00DD0710">
            <w:pPr>
              <w:pStyle w:val="Tabletext"/>
              <w:jc w:val="center"/>
              <w:rPr>
                <w:szCs w:val="22"/>
              </w:rPr>
            </w:pPr>
            <w:r w:rsidRPr="00116460">
              <w:t>1 461 379</w:t>
            </w:r>
          </w:p>
        </w:tc>
        <w:tc>
          <w:tcPr>
            <w:tcW w:w="1980" w:type="dxa"/>
            <w:vAlign w:val="center"/>
          </w:tcPr>
          <w:p w14:paraId="2184ED0A" w14:textId="41A84126" w:rsidR="003E17E4" w:rsidRPr="00116460" w:rsidRDefault="003E17E4" w:rsidP="00DD0710">
            <w:pPr>
              <w:pStyle w:val="Tabletext"/>
              <w:jc w:val="center"/>
              <w:rPr>
                <w:szCs w:val="22"/>
              </w:rPr>
            </w:pPr>
            <w:r w:rsidRPr="00116460">
              <w:rPr>
                <w:szCs w:val="22"/>
              </w:rPr>
              <w:t>1 301 909</w:t>
            </w:r>
          </w:p>
        </w:tc>
      </w:tr>
      <w:tr w:rsidR="003E17E4" w:rsidRPr="00116460" w14:paraId="087DF27D" w14:textId="77777777" w:rsidTr="00CA0799"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554A69E3" w14:textId="1B9AE872" w:rsidR="003E17E4" w:rsidRPr="00116460" w:rsidRDefault="003E17E4" w:rsidP="00DD0710">
            <w:pPr>
              <w:pStyle w:val="Tabletext"/>
            </w:pPr>
            <w:r w:rsidRPr="00116460">
              <w:t>Paiements reçus**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2CD1D4E" w14:textId="77777777" w:rsidR="003E17E4" w:rsidRPr="00116460" w:rsidRDefault="003E17E4" w:rsidP="00FB4837">
            <w:pPr>
              <w:pStyle w:val="Tabletext"/>
              <w:jc w:val="center"/>
            </w:pPr>
            <w:r w:rsidRPr="00116460">
              <w:t>CHF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31EA0C22" w14:textId="6ED83082" w:rsidR="003E17E4" w:rsidRPr="00116460" w:rsidRDefault="003E17E4" w:rsidP="00DD0710">
            <w:pPr>
              <w:pStyle w:val="Tabletext"/>
              <w:jc w:val="center"/>
              <w:rPr>
                <w:szCs w:val="22"/>
              </w:rPr>
            </w:pPr>
            <w:r w:rsidRPr="00116460">
              <w:t>12 215 061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7AE0432C" w14:textId="76C9E608" w:rsidR="003E17E4" w:rsidRPr="00116460" w:rsidRDefault="003E17E4" w:rsidP="00DD0710">
            <w:pPr>
              <w:pStyle w:val="Tabletext"/>
              <w:jc w:val="center"/>
              <w:rPr>
                <w:szCs w:val="22"/>
              </w:rPr>
            </w:pPr>
            <w:r w:rsidRPr="00116460">
              <w:rPr>
                <w:szCs w:val="22"/>
              </w:rPr>
              <w:t>11 240 149</w:t>
            </w:r>
          </w:p>
        </w:tc>
      </w:tr>
      <w:tr w:rsidR="003E17E4" w:rsidRPr="00116460" w14:paraId="47749A5A" w14:textId="77777777" w:rsidTr="007D5F0D">
        <w:tc>
          <w:tcPr>
            <w:tcW w:w="594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C507E" w14:textId="5555780F" w:rsidR="003E17E4" w:rsidRPr="00116460" w:rsidRDefault="003E17E4" w:rsidP="00DD0710">
            <w:pPr>
              <w:pStyle w:val="Tabletext"/>
            </w:pPr>
            <w:r w:rsidRPr="00116460">
              <w:t>Pourcentage de factures établies en 2021 et 2022, exigibles au 31 décembre 2022 et qui ont été acquittées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38DC9F" w14:textId="34AE6828" w:rsidR="003E17E4" w:rsidRPr="00116460" w:rsidRDefault="003E17E4" w:rsidP="00DD0710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116460">
              <w:rPr>
                <w:szCs w:val="22"/>
              </w:rPr>
              <w:t>&gt;</w:t>
            </w:r>
            <w:r w:rsidR="00FB4837" w:rsidRPr="00116460">
              <w:rPr>
                <w:szCs w:val="22"/>
              </w:rPr>
              <w:t xml:space="preserve"> </w:t>
            </w:r>
            <w:r w:rsidRPr="00116460">
              <w:rPr>
                <w:szCs w:val="22"/>
              </w:rPr>
              <w:t>99%</w:t>
            </w:r>
          </w:p>
        </w:tc>
      </w:tr>
      <w:tr w:rsidR="003E17E4" w:rsidRPr="00116460" w14:paraId="73336EF0" w14:textId="77777777" w:rsidTr="00261E30">
        <w:tc>
          <w:tcPr>
            <w:tcW w:w="79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576110" w14:textId="403066A1" w:rsidR="003E17E4" w:rsidRPr="00116460" w:rsidRDefault="003E17E4" w:rsidP="00FB4837">
            <w:pPr>
              <w:pStyle w:val="Tablelegend"/>
              <w:rPr>
                <w:i/>
                <w:iCs/>
                <w:sz w:val="20"/>
              </w:rPr>
            </w:pPr>
            <w:r w:rsidRPr="00116460">
              <w:rPr>
                <w:i/>
                <w:iCs/>
                <w:sz w:val="20"/>
              </w:rPr>
              <w:t>*</w:t>
            </w:r>
            <w:r w:rsidRPr="00116460">
              <w:rPr>
                <w:i/>
                <w:iCs/>
                <w:sz w:val="20"/>
              </w:rPr>
              <w:tab/>
              <w:t>À partir de la date d</w:t>
            </w:r>
            <w:r w:rsidR="00DD0710" w:rsidRPr="00116460">
              <w:rPr>
                <w:i/>
                <w:iCs/>
                <w:sz w:val="20"/>
              </w:rPr>
              <w:t>'</w:t>
            </w:r>
            <w:r w:rsidRPr="00116460">
              <w:rPr>
                <w:i/>
                <w:iCs/>
                <w:sz w:val="20"/>
              </w:rPr>
              <w:t>émission des factures, 6 mois sont accordés pour le paiement.</w:t>
            </w:r>
            <w:r w:rsidRPr="00116460">
              <w:rPr>
                <w:i/>
                <w:iCs/>
                <w:sz w:val="20"/>
              </w:rPr>
              <w:br/>
              <w:t>**</w:t>
            </w:r>
            <w:r w:rsidRPr="00116460">
              <w:rPr>
                <w:i/>
                <w:iCs/>
                <w:sz w:val="20"/>
              </w:rPr>
              <w:tab/>
              <w:t>Les paiements reçus couvrent les factures qui ont été établies les années précédentes.</w:t>
            </w:r>
          </w:p>
        </w:tc>
      </w:tr>
    </w:tbl>
    <w:p w14:paraId="3CC6C06D" w14:textId="53CE8C99" w:rsidR="00261E30" w:rsidRPr="00116460" w:rsidRDefault="00261E30" w:rsidP="00DD0710">
      <w:pPr>
        <w:spacing w:before="240"/>
      </w:pPr>
      <w:r w:rsidRPr="00116460">
        <w:rPr>
          <w:bCs/>
        </w:rPr>
        <w:t>3</w:t>
      </w:r>
      <w:r w:rsidRPr="00116460">
        <w:rPr>
          <w:bCs/>
        </w:rPr>
        <w:tab/>
      </w:r>
      <w:r w:rsidR="00766493" w:rsidRPr="00116460">
        <w:rPr>
          <w:bCs/>
        </w:rPr>
        <w:t xml:space="preserve">Le </w:t>
      </w:r>
      <w:r w:rsidR="00766493" w:rsidRPr="00116460">
        <w:rPr>
          <w:szCs w:val="24"/>
        </w:rPr>
        <w:t xml:space="preserve">Document </w:t>
      </w:r>
      <w:hyperlink r:id="rId12" w:history="1">
        <w:r w:rsidR="00766493" w:rsidRPr="00116460">
          <w:rPr>
            <w:rStyle w:val="Hyperlink"/>
            <w:szCs w:val="24"/>
          </w:rPr>
          <w:t>C23/11</w:t>
        </w:r>
      </w:hyperlink>
      <w:r w:rsidR="00766493" w:rsidRPr="00116460">
        <w:rPr>
          <w:bCs/>
        </w:rPr>
        <w:t xml:space="preserve"> du Conseil</w:t>
      </w:r>
      <w:r w:rsidR="00DD0710" w:rsidRPr="00116460">
        <w:rPr>
          <w:bCs/>
        </w:rPr>
        <w:t xml:space="preserve"> </w:t>
      </w:r>
      <w:r w:rsidR="00766493" w:rsidRPr="00116460">
        <w:t xml:space="preserve">donne </w:t>
      </w:r>
      <w:r w:rsidRPr="00116460">
        <w:t>des informations sur la situation des arriérés et des comptes spéciaux d</w:t>
      </w:r>
      <w:r w:rsidR="00DD0710" w:rsidRPr="00116460">
        <w:t>'</w:t>
      </w:r>
      <w:r w:rsidRPr="00116460">
        <w:t>arriérés au 31 décembre </w:t>
      </w:r>
      <w:r w:rsidR="00766493" w:rsidRPr="00116460">
        <w:t>2022</w:t>
      </w:r>
      <w:r w:rsidRPr="00116460">
        <w:t xml:space="preserve">, qui comprend </w:t>
      </w:r>
      <w:r w:rsidR="00766493" w:rsidRPr="00116460">
        <w:t>des</w:t>
      </w:r>
      <w:r w:rsidR="00DD0710" w:rsidRPr="00116460">
        <w:t xml:space="preserve"> </w:t>
      </w:r>
      <w:r w:rsidR="00B73A9C" w:rsidRPr="00116460">
        <w:t>rubriques</w:t>
      </w:r>
      <w:r w:rsidR="00766493" w:rsidRPr="00116460">
        <w:t xml:space="preserve"> </w:t>
      </w:r>
      <w:r w:rsidR="00B73A9C" w:rsidRPr="00116460">
        <w:t>sur les</w:t>
      </w:r>
      <w:r w:rsidR="00DD0710" w:rsidRPr="00116460">
        <w:t xml:space="preserve"> </w:t>
      </w:r>
      <w:r w:rsidR="00766493" w:rsidRPr="00116460">
        <w:t>fiches de notification</w:t>
      </w:r>
      <w:r w:rsidR="00DD0710" w:rsidRPr="00116460">
        <w:t xml:space="preserve"> </w:t>
      </w:r>
      <w:r w:rsidRPr="00116460">
        <w:t>de réseaux à satellite</w:t>
      </w:r>
      <w:r w:rsidR="00FB4837" w:rsidRPr="00116460">
        <w:t>.</w:t>
      </w:r>
    </w:p>
    <w:p w14:paraId="4985FA77" w14:textId="65CDDE5D" w:rsidR="00645A7B" w:rsidRPr="00116460" w:rsidRDefault="00261E30" w:rsidP="00DD0710">
      <w:pPr>
        <w:rPr>
          <w:rFonts w:cs="Calibri"/>
          <w:szCs w:val="24"/>
        </w:rPr>
      </w:pPr>
      <w:r w:rsidRPr="00116460">
        <w:rPr>
          <w:rFonts w:cs="Calibri"/>
          <w:szCs w:val="24"/>
        </w:rPr>
        <w:t>4</w:t>
      </w:r>
      <w:r w:rsidRPr="00116460">
        <w:rPr>
          <w:rFonts w:cs="Calibri"/>
          <w:szCs w:val="24"/>
        </w:rPr>
        <w:tab/>
      </w:r>
      <w:r w:rsidR="00B73A9C" w:rsidRPr="00116460">
        <w:rPr>
          <w:rFonts w:cs="Calibri"/>
          <w:szCs w:val="24"/>
        </w:rPr>
        <w:t>La différence entre les montants</w:t>
      </w:r>
      <w:r w:rsidR="00DD0710" w:rsidRPr="00116460">
        <w:rPr>
          <w:rFonts w:cs="Calibri"/>
          <w:szCs w:val="24"/>
        </w:rPr>
        <w:t xml:space="preserve"> </w:t>
      </w:r>
      <w:r w:rsidR="00B73A9C" w:rsidRPr="00116460">
        <w:rPr>
          <w:rFonts w:cs="Calibri"/>
          <w:szCs w:val="24"/>
        </w:rPr>
        <w:t>inscrits au budget</w:t>
      </w:r>
      <w:r w:rsidR="00DD0710" w:rsidRPr="00116460">
        <w:rPr>
          <w:rFonts w:cs="Calibri"/>
          <w:szCs w:val="24"/>
        </w:rPr>
        <w:t xml:space="preserve"> </w:t>
      </w:r>
      <w:r w:rsidR="00B73A9C" w:rsidRPr="00116460">
        <w:rPr>
          <w:rFonts w:cs="Calibri"/>
          <w:szCs w:val="24"/>
        </w:rPr>
        <w:t>pour le recouvrement des coûts et les montants effectivement facturés résulte d</w:t>
      </w:r>
      <w:r w:rsidR="00DD0710" w:rsidRPr="00116460">
        <w:rPr>
          <w:rFonts w:cs="Calibri"/>
          <w:szCs w:val="24"/>
        </w:rPr>
        <w:t>'</w:t>
      </w:r>
      <w:r w:rsidR="00B73A9C" w:rsidRPr="00116460">
        <w:rPr>
          <w:rFonts w:cs="Calibri"/>
          <w:szCs w:val="24"/>
        </w:rPr>
        <w:t>un rééquilibrage entre les soumissions de</w:t>
      </w:r>
      <w:r w:rsidR="00645A7B" w:rsidRPr="00116460">
        <w:rPr>
          <w:rFonts w:cs="Calibri"/>
          <w:szCs w:val="24"/>
        </w:rPr>
        <w:t xml:space="preserve"> </w:t>
      </w:r>
      <w:r w:rsidR="00B73A9C" w:rsidRPr="00116460">
        <w:rPr>
          <w:rFonts w:cs="Calibri"/>
          <w:szCs w:val="24"/>
        </w:rPr>
        <w:t>réseaux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à</w:t>
      </w:r>
      <w:r w:rsidR="00DD0710" w:rsidRPr="00116460">
        <w:rPr>
          <w:rFonts w:cs="Calibri"/>
          <w:szCs w:val="24"/>
        </w:rPr>
        <w:t xml:space="preserve"> </w:t>
      </w:r>
      <w:r w:rsidR="00B73A9C" w:rsidRPr="00116460">
        <w:rPr>
          <w:rFonts w:cs="Calibri"/>
          <w:szCs w:val="24"/>
        </w:rPr>
        <w:t>satellite</w:t>
      </w:r>
      <w:r w:rsidR="00DD0710" w:rsidRPr="00116460">
        <w:rPr>
          <w:rFonts w:cs="Calibri"/>
          <w:szCs w:val="24"/>
        </w:rPr>
        <w:t xml:space="preserve"> </w:t>
      </w:r>
      <w:r w:rsidR="00B73A9C" w:rsidRPr="00116460">
        <w:rPr>
          <w:rFonts w:cs="Calibri"/>
          <w:szCs w:val="24"/>
        </w:rPr>
        <w:t>géostationnaire</w:t>
      </w:r>
      <w:r w:rsidR="00DD0710" w:rsidRPr="00116460">
        <w:rPr>
          <w:rFonts w:cs="Calibri"/>
          <w:szCs w:val="24"/>
        </w:rPr>
        <w:t xml:space="preserve"> </w:t>
      </w:r>
      <w:r w:rsidR="00B73A9C" w:rsidRPr="00116460">
        <w:rPr>
          <w:rFonts w:cs="Calibri"/>
          <w:szCs w:val="24"/>
        </w:rPr>
        <w:t xml:space="preserve">et </w:t>
      </w:r>
      <w:r w:rsidR="00645A7B" w:rsidRPr="00116460">
        <w:rPr>
          <w:rFonts w:cs="Calibri"/>
          <w:szCs w:val="24"/>
        </w:rPr>
        <w:t xml:space="preserve">les soumissions </w:t>
      </w:r>
      <w:r w:rsidR="00B73A9C" w:rsidRPr="00116460">
        <w:rPr>
          <w:rFonts w:cs="Calibri"/>
          <w:szCs w:val="24"/>
        </w:rPr>
        <w:t>de</w:t>
      </w:r>
      <w:r w:rsidR="00DD0710" w:rsidRPr="00116460">
        <w:rPr>
          <w:rFonts w:cs="Calibri"/>
          <w:szCs w:val="24"/>
        </w:rPr>
        <w:t xml:space="preserve"> </w:t>
      </w:r>
      <w:r w:rsidR="00B73A9C" w:rsidRPr="00116460">
        <w:rPr>
          <w:rFonts w:cs="Calibri"/>
          <w:szCs w:val="24"/>
        </w:rPr>
        <w:t>systèmes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à</w:t>
      </w:r>
      <w:r w:rsidR="00DD0710" w:rsidRPr="00116460">
        <w:rPr>
          <w:rFonts w:cs="Calibri"/>
          <w:szCs w:val="24"/>
        </w:rPr>
        <w:t xml:space="preserve"> </w:t>
      </w:r>
      <w:r w:rsidR="00B73A9C" w:rsidRPr="00116460">
        <w:rPr>
          <w:rFonts w:cs="Calibri"/>
          <w:szCs w:val="24"/>
        </w:rPr>
        <w:t>satellites non géostationnaires.</w:t>
      </w:r>
      <w:r w:rsidR="00FB4837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Les soumissions de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réseaux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à satellite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géostationnaire sont généralement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assujetties à des droits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plus élevés que</w:t>
      </w:r>
      <w:r w:rsidR="00DD0710" w:rsidRPr="00116460">
        <w:rPr>
          <w:rFonts w:cs="Calibri"/>
          <w:szCs w:val="24"/>
        </w:rPr>
        <w:t xml:space="preserve"> </w:t>
      </w:r>
      <w:r w:rsidR="00372D7E" w:rsidRPr="00116460">
        <w:rPr>
          <w:rFonts w:cs="Calibri"/>
          <w:szCs w:val="24"/>
        </w:rPr>
        <w:t xml:space="preserve">les soumissions </w:t>
      </w:r>
      <w:r w:rsidR="00645A7B" w:rsidRPr="00116460">
        <w:rPr>
          <w:rFonts w:cs="Calibri"/>
          <w:szCs w:val="24"/>
        </w:rPr>
        <w:t>de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systèmes</w:t>
      </w:r>
      <w:r w:rsidR="00DD0710" w:rsidRPr="00116460">
        <w:rPr>
          <w:rFonts w:cs="Calibri"/>
          <w:szCs w:val="24"/>
        </w:rPr>
        <w:t xml:space="preserve"> </w:t>
      </w:r>
      <w:r w:rsidR="00372D7E" w:rsidRPr="00116460">
        <w:rPr>
          <w:rFonts w:cs="Calibri"/>
          <w:szCs w:val="24"/>
        </w:rPr>
        <w:t>à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satellites non géostationnaires. Compte tenu des débats de la session de 2022 du Conseil, une étude visant à déterminer si l</w:t>
      </w:r>
      <w:r w:rsidR="00DD0710" w:rsidRPr="00116460">
        <w:rPr>
          <w:rFonts w:cs="Calibri"/>
          <w:szCs w:val="24"/>
        </w:rPr>
        <w:t>'</w:t>
      </w:r>
      <w:r w:rsidR="00645A7B" w:rsidRPr="00116460">
        <w:rPr>
          <w:rFonts w:cs="Calibri"/>
          <w:szCs w:val="24"/>
        </w:rPr>
        <w:t>application de la Décision 482 couvre les coûts réels engendrés par le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traitement des fiches de notification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des satellites sera présentée dans un document</w:t>
      </w:r>
      <w:r w:rsidR="00DD0710" w:rsidRPr="00116460">
        <w:rPr>
          <w:rFonts w:cs="Calibri"/>
          <w:szCs w:val="24"/>
        </w:rPr>
        <w:t xml:space="preserve"> </w:t>
      </w:r>
      <w:r w:rsidR="00645A7B" w:rsidRPr="00116460">
        <w:rPr>
          <w:rFonts w:cs="Calibri"/>
          <w:szCs w:val="24"/>
        </w:rPr>
        <w:t>distinct</w:t>
      </w:r>
      <w:r w:rsidR="00FB4837" w:rsidRPr="00116460">
        <w:rPr>
          <w:rFonts w:cs="Calibri"/>
          <w:szCs w:val="24"/>
        </w:rPr>
        <w:t>.</w:t>
      </w:r>
    </w:p>
    <w:p w14:paraId="2FD0EB3E" w14:textId="5A93D2D0" w:rsidR="00261E30" w:rsidRPr="00116460" w:rsidRDefault="00E31F4F" w:rsidP="00DD0710">
      <w:pPr>
        <w:rPr>
          <w:rFonts w:cs="Calibri"/>
          <w:szCs w:val="24"/>
        </w:rPr>
      </w:pPr>
      <w:r w:rsidRPr="00116460">
        <w:rPr>
          <w:rFonts w:cs="Calibri"/>
          <w:szCs w:val="24"/>
        </w:rPr>
        <w:t>5</w:t>
      </w:r>
      <w:r w:rsidR="00261E30" w:rsidRPr="00116460">
        <w:rPr>
          <w:rFonts w:cs="Calibri"/>
          <w:szCs w:val="24"/>
        </w:rPr>
        <w:tab/>
        <w:t>La mise en œuvre de la Décision 482 par le Bureau des radiocommunications n</w:t>
      </w:r>
      <w:r w:rsidR="00DD0710" w:rsidRPr="00116460">
        <w:rPr>
          <w:rFonts w:cs="Calibri"/>
          <w:szCs w:val="24"/>
        </w:rPr>
        <w:t>'</w:t>
      </w:r>
      <w:r w:rsidR="00261E30" w:rsidRPr="00116460">
        <w:rPr>
          <w:rFonts w:cs="Calibri"/>
          <w:szCs w:val="24"/>
        </w:rPr>
        <w:t>a soulevé aucune difficulté d</w:t>
      </w:r>
      <w:r w:rsidR="00DD0710" w:rsidRPr="00116460">
        <w:rPr>
          <w:rFonts w:cs="Calibri"/>
          <w:szCs w:val="24"/>
        </w:rPr>
        <w:t>'</w:t>
      </w:r>
      <w:r w:rsidR="00261E30" w:rsidRPr="00116460">
        <w:rPr>
          <w:rFonts w:cs="Calibri"/>
          <w:szCs w:val="24"/>
        </w:rPr>
        <w:t>ordre administratif ou opérationnel touchant à des questions de fond, aussi bien en interne qu</w:t>
      </w:r>
      <w:r w:rsidR="00DD0710" w:rsidRPr="00116460">
        <w:rPr>
          <w:rFonts w:cs="Calibri"/>
          <w:szCs w:val="24"/>
        </w:rPr>
        <w:t>'</w:t>
      </w:r>
      <w:r w:rsidR="00261E30" w:rsidRPr="00116460">
        <w:rPr>
          <w:rFonts w:cs="Calibri"/>
          <w:szCs w:val="24"/>
        </w:rPr>
        <w:t>avec les administrations présentant des fiches de notification de réseaux à satellite.</w:t>
      </w:r>
    </w:p>
    <w:p w14:paraId="60EFDD82" w14:textId="77777777" w:rsidR="00261E30" w:rsidRPr="00116460" w:rsidRDefault="00261E30" w:rsidP="00DD0710">
      <w:pPr>
        <w:pStyle w:val="Headingb"/>
      </w:pPr>
      <w:r w:rsidRPr="00116460">
        <w:lastRenderedPageBreak/>
        <w:t>Conclusion</w:t>
      </w:r>
    </w:p>
    <w:p w14:paraId="6D119C57" w14:textId="740B4F06" w:rsidR="00261E30" w:rsidRPr="00116460" w:rsidRDefault="00372D7E" w:rsidP="00DD0710">
      <w:r w:rsidRPr="00116460">
        <w:t>6</w:t>
      </w:r>
      <w:r w:rsidR="00261E30" w:rsidRPr="00116460">
        <w:tab/>
        <w:t xml:space="preserve">Le Conseil est invité </w:t>
      </w:r>
      <w:r w:rsidR="00261E30" w:rsidRPr="00116460">
        <w:rPr>
          <w:b/>
          <w:bCs/>
        </w:rPr>
        <w:t>à prendre note</w:t>
      </w:r>
      <w:r w:rsidR="00261E30" w:rsidRPr="00116460">
        <w:t xml:space="preserve"> du présent rapport</w:t>
      </w:r>
      <w:r w:rsidR="00DD0710" w:rsidRPr="00116460">
        <w:t xml:space="preserve"> </w:t>
      </w:r>
      <w:r w:rsidR="00261E30" w:rsidRPr="00116460">
        <w:t>concernant la mise en œuvre du recouvrement des coûts pour le traitement des fiches de notification des réseaux à satellite.</w:t>
      </w:r>
    </w:p>
    <w:p w14:paraId="3937A1C6" w14:textId="53CA8C1D" w:rsidR="007D5F0D" w:rsidRPr="00116460" w:rsidRDefault="003E17E4" w:rsidP="00DD0710">
      <w:pPr>
        <w:jc w:val="center"/>
      </w:pPr>
      <w:r w:rsidRPr="00116460">
        <w:t>______________</w:t>
      </w:r>
    </w:p>
    <w:sectPr w:rsidR="007D5F0D" w:rsidRPr="00116460" w:rsidSect="00D72F49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E752" w14:textId="77777777" w:rsidR="00840634" w:rsidRDefault="00840634">
      <w:r>
        <w:separator/>
      </w:r>
    </w:p>
  </w:endnote>
  <w:endnote w:type="continuationSeparator" w:id="0">
    <w:p w14:paraId="2B81CC19" w14:textId="77777777" w:rsidR="00840634" w:rsidRDefault="0084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277D" w14:textId="04A3904B" w:rsidR="00732045" w:rsidRDefault="001B68B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40634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19.05.23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4063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22E9035" w14:textId="77777777" w:rsidTr="00E31DCE">
      <w:trPr>
        <w:jc w:val="center"/>
      </w:trPr>
      <w:tc>
        <w:tcPr>
          <w:tcW w:w="1803" w:type="dxa"/>
          <w:vAlign w:val="center"/>
        </w:tcPr>
        <w:p w14:paraId="1A8799CF" w14:textId="7E1627C0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7D5F0D" w:rsidRPr="007D5F0D">
            <w:rPr>
              <w:noProof/>
            </w:rPr>
            <w:t>520430</w:t>
          </w:r>
        </w:p>
      </w:tc>
      <w:tc>
        <w:tcPr>
          <w:tcW w:w="8261" w:type="dxa"/>
        </w:tcPr>
        <w:p w14:paraId="5F246474" w14:textId="73A4887B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E17E4">
            <w:rPr>
              <w:bCs/>
            </w:rPr>
            <w:t>16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F5F0178" w14:textId="16DA6C5D" w:rsidR="00732045" w:rsidRPr="00A51849" w:rsidRDefault="00116460" w:rsidP="007D5F0D">
    <w:pPr>
      <w:pStyle w:val="Footer"/>
    </w:pPr>
    <w:r w:rsidRPr="001B68B5">
      <w:rPr>
        <w:color w:val="F2F2F2" w:themeColor="background1" w:themeShade="F2"/>
      </w:rPr>
      <w:fldChar w:fldCharType="begin"/>
    </w:r>
    <w:r w:rsidRPr="001B68B5">
      <w:rPr>
        <w:color w:val="F2F2F2" w:themeColor="background1" w:themeShade="F2"/>
      </w:rPr>
      <w:instrText xml:space="preserve"> FILENAME \p  \* MERGEFORMAT </w:instrText>
    </w:r>
    <w:r w:rsidRPr="001B68B5">
      <w:rPr>
        <w:color w:val="F2F2F2" w:themeColor="background1" w:themeShade="F2"/>
      </w:rPr>
      <w:fldChar w:fldCharType="separate"/>
    </w:r>
    <w:r w:rsidR="009C23F4" w:rsidRPr="001B68B5">
      <w:rPr>
        <w:color w:val="F2F2F2" w:themeColor="background1" w:themeShade="F2"/>
      </w:rPr>
      <w:t>P:\FRA\SG\CONSEIL\C23\000\016F.docx</w:t>
    </w:r>
    <w:r w:rsidRPr="001B68B5">
      <w:rPr>
        <w:color w:val="F2F2F2" w:themeColor="background1" w:themeShade="F2"/>
      </w:rPr>
      <w:fldChar w:fldCharType="end"/>
    </w:r>
    <w:r w:rsidR="007D5F0D" w:rsidRPr="001B68B5">
      <w:rPr>
        <w:color w:val="F2F2F2" w:themeColor="background1" w:themeShade="F2"/>
      </w:rPr>
      <w:t xml:space="preserve"> (520430)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7C3AE34F" w14:textId="77777777" w:rsidTr="00E31DCE">
      <w:trPr>
        <w:jc w:val="center"/>
      </w:trPr>
      <w:tc>
        <w:tcPr>
          <w:tcW w:w="1803" w:type="dxa"/>
          <w:vAlign w:val="center"/>
        </w:tcPr>
        <w:p w14:paraId="6409A4CD" w14:textId="3BD11D41" w:rsidR="00A51849" w:rsidRDefault="001B68B5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1044794" w14:textId="022C7209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E17E4">
            <w:rPr>
              <w:bCs/>
            </w:rPr>
            <w:t>16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2F5923" w14:textId="0D4DA4A8" w:rsidR="00732045" w:rsidRPr="00A51849" w:rsidRDefault="00116460" w:rsidP="007D5F0D">
    <w:pPr>
      <w:pStyle w:val="Footer"/>
    </w:pPr>
    <w:r w:rsidRPr="001B68B5">
      <w:rPr>
        <w:color w:val="F2F2F2" w:themeColor="background1" w:themeShade="F2"/>
      </w:rPr>
      <w:fldChar w:fldCharType="begin"/>
    </w:r>
    <w:r w:rsidRPr="001B68B5">
      <w:rPr>
        <w:color w:val="F2F2F2" w:themeColor="background1" w:themeShade="F2"/>
      </w:rPr>
      <w:instrText xml:space="preserve"> FILENAME \p  \* MERGEFORMAT </w:instrText>
    </w:r>
    <w:r w:rsidRPr="001B68B5">
      <w:rPr>
        <w:color w:val="F2F2F2" w:themeColor="background1" w:themeShade="F2"/>
      </w:rPr>
      <w:fldChar w:fldCharType="separate"/>
    </w:r>
    <w:r w:rsidR="009C23F4" w:rsidRPr="001B68B5">
      <w:rPr>
        <w:color w:val="F2F2F2" w:themeColor="background1" w:themeShade="F2"/>
      </w:rPr>
      <w:t>P:\FRA\SG\CONSEIL\C23\000\016F.docx</w:t>
    </w:r>
    <w:r w:rsidRPr="001B68B5">
      <w:rPr>
        <w:color w:val="F2F2F2" w:themeColor="background1" w:themeShade="F2"/>
      </w:rPr>
      <w:fldChar w:fldCharType="end"/>
    </w:r>
    <w:r w:rsidR="007D5F0D" w:rsidRPr="001B68B5">
      <w:rPr>
        <w:color w:val="F2F2F2" w:themeColor="background1" w:themeShade="F2"/>
      </w:rPr>
      <w:t xml:space="preserve"> (520430)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202E" w14:textId="77777777" w:rsidR="00840634" w:rsidRDefault="00840634">
      <w:r>
        <w:t>____________________</w:t>
      </w:r>
    </w:p>
  </w:footnote>
  <w:footnote w:type="continuationSeparator" w:id="0">
    <w:p w14:paraId="609E67B1" w14:textId="77777777" w:rsidR="00840634" w:rsidRDefault="0084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8BF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C5D9636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47DF78C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B58141D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45B814B" wp14:editId="157BC4BC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D085DB9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005D18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A004839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6328CAAC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71366" wp14:editId="03F00541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2CC23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34"/>
    <w:rsid w:val="00076A2C"/>
    <w:rsid w:val="000D0D0A"/>
    <w:rsid w:val="00103163"/>
    <w:rsid w:val="00106B19"/>
    <w:rsid w:val="00115D93"/>
    <w:rsid w:val="00116460"/>
    <w:rsid w:val="001247A8"/>
    <w:rsid w:val="001378C0"/>
    <w:rsid w:val="0018694A"/>
    <w:rsid w:val="001A3287"/>
    <w:rsid w:val="001A6508"/>
    <w:rsid w:val="001B68B5"/>
    <w:rsid w:val="001D4C31"/>
    <w:rsid w:val="001D53FC"/>
    <w:rsid w:val="001E4D21"/>
    <w:rsid w:val="00207CD1"/>
    <w:rsid w:val="00226657"/>
    <w:rsid w:val="002477A2"/>
    <w:rsid w:val="00261E30"/>
    <w:rsid w:val="00263A51"/>
    <w:rsid w:val="00267E02"/>
    <w:rsid w:val="002A5D44"/>
    <w:rsid w:val="002E0BC4"/>
    <w:rsid w:val="002F1B76"/>
    <w:rsid w:val="0033568E"/>
    <w:rsid w:val="003418B2"/>
    <w:rsid w:val="00355FF5"/>
    <w:rsid w:val="00361350"/>
    <w:rsid w:val="00372D7E"/>
    <w:rsid w:val="003C3FAE"/>
    <w:rsid w:val="003E17E4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45A7B"/>
    <w:rsid w:val="006643AB"/>
    <w:rsid w:val="006F0A53"/>
    <w:rsid w:val="007210CD"/>
    <w:rsid w:val="00732045"/>
    <w:rsid w:val="007369DB"/>
    <w:rsid w:val="00766493"/>
    <w:rsid w:val="007956C2"/>
    <w:rsid w:val="007A187E"/>
    <w:rsid w:val="007C72C2"/>
    <w:rsid w:val="007D4436"/>
    <w:rsid w:val="007D5F0D"/>
    <w:rsid w:val="007F257A"/>
    <w:rsid w:val="007F3665"/>
    <w:rsid w:val="00800037"/>
    <w:rsid w:val="0083391C"/>
    <w:rsid w:val="00840634"/>
    <w:rsid w:val="00861D73"/>
    <w:rsid w:val="00897553"/>
    <w:rsid w:val="008A4E87"/>
    <w:rsid w:val="008D76E6"/>
    <w:rsid w:val="0092392D"/>
    <w:rsid w:val="0093234A"/>
    <w:rsid w:val="00956A78"/>
    <w:rsid w:val="0097363B"/>
    <w:rsid w:val="00973F53"/>
    <w:rsid w:val="009C23F4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0731D"/>
    <w:rsid w:val="00B309F9"/>
    <w:rsid w:val="00B32B60"/>
    <w:rsid w:val="00B61619"/>
    <w:rsid w:val="00B73A9C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D0710"/>
    <w:rsid w:val="00DF74DD"/>
    <w:rsid w:val="00E25AD0"/>
    <w:rsid w:val="00E31F4F"/>
    <w:rsid w:val="00E93668"/>
    <w:rsid w:val="00E970A7"/>
    <w:rsid w:val="00EB6350"/>
    <w:rsid w:val="00ED33D2"/>
    <w:rsid w:val="00F15B57"/>
    <w:rsid w:val="00F35EF4"/>
    <w:rsid w:val="00F427DB"/>
    <w:rsid w:val="00FA5EB1"/>
    <w:rsid w:val="00FA7439"/>
    <w:rsid w:val="00FB4837"/>
    <w:rsid w:val="00FB6F9D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7BD74"/>
  <w15:docId w15:val="{2495AD20-A272-4AF6-82B8-AD6F5753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5F0D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5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70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/RES-091-F.pdf" TargetMode="External"/><Relationship Id="rId12" Type="http://schemas.openxmlformats.org/officeDocument/2006/relationships/hyperlink" Target="https://www.itu.int/md/S23-CL-C-0011/e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70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2-CL-C-0016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5332-3604-47BD-A8C5-4310BCDE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4315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Recouvrement des coûts pour le traitement des fiches de notification des réseaux à satellite</dc:title>
  <dc:subject>Conseil 2023</dc:subject>
  <dc:creator>FrenchVS</dc:creator>
  <cp:keywords>C2023, C23, Council-23</cp:keywords>
  <dc:description/>
  <cp:lastModifiedBy>Xue, Kun</cp:lastModifiedBy>
  <cp:revision>2</cp:revision>
  <cp:lastPrinted>2000-07-18T08:55:00Z</cp:lastPrinted>
  <dcterms:created xsi:type="dcterms:W3CDTF">2023-05-24T15:53:00Z</dcterms:created>
  <dcterms:modified xsi:type="dcterms:W3CDTF">2023-05-24T15:53:00Z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