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78CD63F6" w14:textId="77777777" w:rsidTr="00C538FC">
        <w:trPr>
          <w:cantSplit/>
          <w:trHeight w:val="23"/>
        </w:trPr>
        <w:tc>
          <w:tcPr>
            <w:tcW w:w="3969" w:type="dxa"/>
            <w:vMerge w:val="restart"/>
            <w:tcMar>
              <w:left w:w="0" w:type="dxa"/>
            </w:tcMar>
          </w:tcPr>
          <w:p w14:paraId="2C761511" w14:textId="581B548C" w:rsidR="00FE57F6" w:rsidRPr="00E85629" w:rsidRDefault="005F6833" w:rsidP="00C538FC">
            <w:pPr>
              <w:tabs>
                <w:tab w:val="left" w:pos="851"/>
              </w:tabs>
              <w:spacing w:before="0" w:line="240" w:lineRule="atLeast"/>
              <w:rPr>
                <w:b/>
              </w:rPr>
            </w:pPr>
            <w:bookmarkStart w:id="0" w:name="_Hlk133421839"/>
            <w:r w:rsidRPr="00831BF9">
              <w:rPr>
                <w:b/>
                <w:bCs/>
                <w:lang w:val="es-ES"/>
              </w:rPr>
              <w:t>Punto del orden del día: ADM 1</w:t>
            </w:r>
          </w:p>
        </w:tc>
        <w:tc>
          <w:tcPr>
            <w:tcW w:w="5245" w:type="dxa"/>
          </w:tcPr>
          <w:p w14:paraId="4912FEFF" w14:textId="079A54BE"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5F6833">
              <w:rPr>
                <w:b/>
              </w:rPr>
              <w:t>16</w:t>
            </w:r>
            <w:r>
              <w:rPr>
                <w:b/>
              </w:rPr>
              <w:t>-</w:t>
            </w:r>
            <w:r w:rsidR="00F24B71">
              <w:rPr>
                <w:b/>
              </w:rPr>
              <w:t>S</w:t>
            </w:r>
          </w:p>
        </w:tc>
      </w:tr>
      <w:tr w:rsidR="00FE57F6" w:rsidRPr="00813E5E" w14:paraId="6DFB604B" w14:textId="77777777" w:rsidTr="00C538FC">
        <w:trPr>
          <w:cantSplit/>
        </w:trPr>
        <w:tc>
          <w:tcPr>
            <w:tcW w:w="3969" w:type="dxa"/>
            <w:vMerge/>
          </w:tcPr>
          <w:p w14:paraId="7A80C0B6" w14:textId="77777777" w:rsidR="00FE57F6" w:rsidRPr="00813E5E" w:rsidRDefault="00FE57F6" w:rsidP="00C538FC">
            <w:pPr>
              <w:tabs>
                <w:tab w:val="left" w:pos="851"/>
              </w:tabs>
              <w:spacing w:line="240" w:lineRule="atLeast"/>
              <w:rPr>
                <w:b/>
              </w:rPr>
            </w:pPr>
          </w:p>
        </w:tc>
        <w:tc>
          <w:tcPr>
            <w:tcW w:w="5245" w:type="dxa"/>
          </w:tcPr>
          <w:p w14:paraId="386DF922" w14:textId="6F803478" w:rsidR="00FE57F6" w:rsidRPr="00E85629" w:rsidRDefault="005F6833" w:rsidP="00C538FC">
            <w:pPr>
              <w:tabs>
                <w:tab w:val="left" w:pos="851"/>
              </w:tabs>
              <w:spacing w:before="0"/>
              <w:jc w:val="right"/>
              <w:rPr>
                <w:b/>
              </w:rPr>
            </w:pPr>
            <w:r w:rsidRPr="00831BF9">
              <w:rPr>
                <w:b/>
                <w:bCs/>
                <w:lang w:val="es-ES"/>
              </w:rPr>
              <w:t>16 de mayo de 2023</w:t>
            </w:r>
          </w:p>
        </w:tc>
      </w:tr>
      <w:tr w:rsidR="00FE57F6" w:rsidRPr="00F24B71" w14:paraId="0EB074A6" w14:textId="77777777" w:rsidTr="00C538FC">
        <w:trPr>
          <w:cantSplit/>
          <w:trHeight w:val="23"/>
        </w:trPr>
        <w:tc>
          <w:tcPr>
            <w:tcW w:w="3969" w:type="dxa"/>
            <w:vMerge/>
          </w:tcPr>
          <w:p w14:paraId="5FAA205E" w14:textId="77777777" w:rsidR="00FE57F6" w:rsidRPr="00813E5E" w:rsidRDefault="00FE57F6" w:rsidP="00C538FC">
            <w:pPr>
              <w:tabs>
                <w:tab w:val="left" w:pos="851"/>
              </w:tabs>
              <w:spacing w:line="240" w:lineRule="atLeast"/>
              <w:rPr>
                <w:b/>
              </w:rPr>
            </w:pPr>
          </w:p>
        </w:tc>
        <w:tc>
          <w:tcPr>
            <w:tcW w:w="5245" w:type="dxa"/>
          </w:tcPr>
          <w:p w14:paraId="1CA8B18F" w14:textId="77777777"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27798C8F" w14:textId="77777777" w:rsidTr="00C538FC">
        <w:trPr>
          <w:cantSplit/>
          <w:trHeight w:val="23"/>
        </w:trPr>
        <w:tc>
          <w:tcPr>
            <w:tcW w:w="3969" w:type="dxa"/>
          </w:tcPr>
          <w:p w14:paraId="2277B28A" w14:textId="77777777" w:rsidR="00FE57F6" w:rsidRPr="00813E5E" w:rsidRDefault="00FE57F6" w:rsidP="00C538FC">
            <w:pPr>
              <w:tabs>
                <w:tab w:val="left" w:pos="851"/>
              </w:tabs>
              <w:spacing w:line="240" w:lineRule="atLeast"/>
              <w:rPr>
                <w:b/>
              </w:rPr>
            </w:pPr>
          </w:p>
        </w:tc>
        <w:tc>
          <w:tcPr>
            <w:tcW w:w="5245" w:type="dxa"/>
          </w:tcPr>
          <w:p w14:paraId="65090E61" w14:textId="77777777" w:rsidR="00FE57F6" w:rsidRDefault="00FE57F6" w:rsidP="00C538FC">
            <w:pPr>
              <w:tabs>
                <w:tab w:val="left" w:pos="851"/>
              </w:tabs>
              <w:spacing w:before="0" w:line="240" w:lineRule="atLeast"/>
              <w:jc w:val="right"/>
              <w:rPr>
                <w:b/>
              </w:rPr>
            </w:pPr>
          </w:p>
        </w:tc>
      </w:tr>
      <w:tr w:rsidR="00FE57F6" w:rsidRPr="00FE57F6" w14:paraId="3C07ED26" w14:textId="77777777" w:rsidTr="00C538FC">
        <w:trPr>
          <w:cantSplit/>
        </w:trPr>
        <w:tc>
          <w:tcPr>
            <w:tcW w:w="9214" w:type="dxa"/>
            <w:gridSpan w:val="2"/>
            <w:tcMar>
              <w:left w:w="0" w:type="dxa"/>
            </w:tcMar>
          </w:tcPr>
          <w:p w14:paraId="7D12244F" w14:textId="24E97E3A" w:rsidR="00FE57F6" w:rsidRPr="005F6833" w:rsidRDefault="00F24B71" w:rsidP="00C538FC">
            <w:pPr>
              <w:pStyle w:val="Source"/>
              <w:jc w:val="left"/>
              <w:rPr>
                <w:sz w:val="34"/>
                <w:szCs w:val="34"/>
                <w:lang w:val="es-ES"/>
              </w:rPr>
            </w:pPr>
            <w:r w:rsidRPr="00C538FC">
              <w:rPr>
                <w:rFonts w:cstheme="minorHAnsi"/>
                <w:sz w:val="34"/>
                <w:szCs w:val="34"/>
              </w:rPr>
              <w:t>Informe de</w:t>
            </w:r>
            <w:r w:rsidR="005F6833">
              <w:rPr>
                <w:rFonts w:cstheme="minorHAnsi"/>
                <w:sz w:val="34"/>
                <w:szCs w:val="34"/>
              </w:rPr>
              <w:t xml:space="preserve"> </w:t>
            </w:r>
            <w:r w:rsidRPr="00C538FC">
              <w:rPr>
                <w:rFonts w:cstheme="minorHAnsi"/>
                <w:sz w:val="34"/>
                <w:szCs w:val="34"/>
              </w:rPr>
              <w:t>l</w:t>
            </w:r>
            <w:r w:rsidR="005F6833">
              <w:rPr>
                <w:rFonts w:cstheme="minorHAnsi"/>
                <w:sz w:val="34"/>
                <w:szCs w:val="34"/>
              </w:rPr>
              <w:t>a</w:t>
            </w:r>
            <w:r w:rsidRPr="00C538FC">
              <w:rPr>
                <w:rFonts w:cstheme="minorHAnsi"/>
                <w:sz w:val="34"/>
                <w:szCs w:val="34"/>
              </w:rPr>
              <w:t xml:space="preserve"> </w:t>
            </w:r>
            <w:proofErr w:type="gramStart"/>
            <w:r w:rsidRPr="00C538FC">
              <w:rPr>
                <w:rFonts w:cstheme="minorHAnsi"/>
                <w:sz w:val="34"/>
                <w:szCs w:val="34"/>
              </w:rPr>
              <w:t>Secretari</w:t>
            </w:r>
            <w:r w:rsidR="005F6833">
              <w:rPr>
                <w:rFonts w:cstheme="minorHAnsi"/>
                <w:sz w:val="34"/>
                <w:szCs w:val="34"/>
              </w:rPr>
              <w:t>a</w:t>
            </w:r>
            <w:r w:rsidRPr="00C538FC">
              <w:rPr>
                <w:rFonts w:cstheme="minorHAnsi"/>
                <w:sz w:val="34"/>
                <w:szCs w:val="34"/>
              </w:rPr>
              <w:t xml:space="preserve"> General</w:t>
            </w:r>
            <w:proofErr w:type="gramEnd"/>
          </w:p>
        </w:tc>
      </w:tr>
      <w:tr w:rsidR="00FE57F6" w:rsidRPr="00813E5E" w14:paraId="0214CFD7" w14:textId="77777777" w:rsidTr="00C538FC">
        <w:trPr>
          <w:cantSplit/>
        </w:trPr>
        <w:tc>
          <w:tcPr>
            <w:tcW w:w="9214" w:type="dxa"/>
            <w:gridSpan w:val="2"/>
            <w:tcMar>
              <w:left w:w="0" w:type="dxa"/>
            </w:tcMar>
          </w:tcPr>
          <w:p w14:paraId="1721ADCA" w14:textId="3B41D5AA" w:rsidR="00FE57F6" w:rsidRPr="005F6833" w:rsidRDefault="005F6833" w:rsidP="00C538FC">
            <w:pPr>
              <w:pStyle w:val="Subtitle"/>
              <w:framePr w:hSpace="0" w:wrap="auto" w:hAnchor="text" w:xAlign="left" w:yAlign="inline"/>
              <w:rPr>
                <w:lang w:val="es-ES"/>
              </w:rPr>
            </w:pPr>
            <w:r w:rsidRPr="00831BF9">
              <w:rPr>
                <w:lang w:val="es-ES"/>
              </w:rPr>
              <w:t>APLICACIÓN DE LA RECUPERACIÓN DE COSTES A LA TRAMITACIÓN DE NOTIFICACIONES DE REDES DE SATÉLITES</w:t>
            </w:r>
          </w:p>
        </w:tc>
      </w:tr>
      <w:tr w:rsidR="00FE57F6" w:rsidRPr="00813E5E" w14:paraId="2253C22F" w14:textId="77777777" w:rsidTr="00C538FC">
        <w:trPr>
          <w:cantSplit/>
        </w:trPr>
        <w:tc>
          <w:tcPr>
            <w:tcW w:w="9214" w:type="dxa"/>
            <w:gridSpan w:val="2"/>
            <w:tcBorders>
              <w:top w:val="single" w:sz="4" w:space="0" w:color="auto"/>
              <w:bottom w:val="single" w:sz="4" w:space="0" w:color="auto"/>
            </w:tcBorders>
            <w:tcMar>
              <w:left w:w="0" w:type="dxa"/>
            </w:tcMar>
          </w:tcPr>
          <w:p w14:paraId="73761A15" w14:textId="381F56D7" w:rsidR="00FE57F6" w:rsidRPr="00F24B71" w:rsidRDefault="00F24B71" w:rsidP="00C538FC">
            <w:pPr>
              <w:spacing w:before="160"/>
              <w:rPr>
                <w:b/>
                <w:bCs/>
                <w:sz w:val="26"/>
                <w:szCs w:val="26"/>
                <w:lang w:val="es-ES"/>
              </w:rPr>
            </w:pPr>
            <w:r w:rsidRPr="00F24B71">
              <w:rPr>
                <w:b/>
                <w:bCs/>
                <w:sz w:val="26"/>
                <w:szCs w:val="26"/>
                <w:lang w:val="es-ES"/>
              </w:rPr>
              <w:t>Finalidad</w:t>
            </w:r>
          </w:p>
          <w:p w14:paraId="14D39391" w14:textId="324E2659" w:rsidR="00FE57F6" w:rsidRPr="00F24B71" w:rsidRDefault="005F6833" w:rsidP="00C538FC">
            <w:pPr>
              <w:rPr>
                <w:lang w:val="es-ES"/>
              </w:rPr>
            </w:pPr>
            <w:r w:rsidRPr="00831BF9">
              <w:rPr>
                <w:lang w:val="es-ES"/>
              </w:rPr>
              <w:t>En este documento se presenta el informe anual relativo a la aplicación de la recuperación de costes a la tramitación de notificaciones de redes de satélites, con arreglo al Acuerdo</w:t>
            </w:r>
            <w:r>
              <w:rPr>
                <w:lang w:val="es-ES"/>
              </w:rPr>
              <w:t> </w:t>
            </w:r>
            <w:r w:rsidRPr="00831BF9">
              <w:rPr>
                <w:lang w:val="es-ES"/>
              </w:rPr>
              <w:t xml:space="preserve">482 del Consejo de la UIT (C01, modificado por última vez </w:t>
            </w:r>
            <w:r>
              <w:rPr>
                <w:lang w:val="es-ES"/>
              </w:rPr>
              <w:t>C</w:t>
            </w:r>
            <w:r w:rsidRPr="00831BF9">
              <w:rPr>
                <w:lang w:val="es-ES"/>
              </w:rPr>
              <w:t>20).</w:t>
            </w:r>
          </w:p>
          <w:p w14:paraId="13D0D681" w14:textId="00EED3AD"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E26DF7">
              <w:rPr>
                <w:b/>
                <w:bCs/>
                <w:sz w:val="26"/>
                <w:szCs w:val="26"/>
                <w:lang w:val="es-ES"/>
              </w:rPr>
              <w:t>a</w:t>
            </w:r>
            <w:r w:rsidRPr="00F24B71">
              <w:rPr>
                <w:b/>
                <w:bCs/>
                <w:sz w:val="26"/>
                <w:szCs w:val="26"/>
                <w:lang w:val="es-ES"/>
              </w:rPr>
              <w:t>l Consejo</w:t>
            </w:r>
          </w:p>
          <w:p w14:paraId="4DC1C883" w14:textId="70A7F4F6" w:rsidR="00FE57F6" w:rsidRPr="00F24B71" w:rsidRDefault="005F6833" w:rsidP="00C538FC">
            <w:pPr>
              <w:rPr>
                <w:lang w:val="es-ES"/>
              </w:rPr>
            </w:pPr>
            <w:r w:rsidRPr="00831BF9">
              <w:rPr>
                <w:lang w:val="es-ES"/>
              </w:rPr>
              <w:t xml:space="preserve">Se invita al Consejo de la UIT a que </w:t>
            </w:r>
            <w:r w:rsidRPr="00831BF9">
              <w:rPr>
                <w:b/>
                <w:bCs/>
                <w:lang w:val="es-ES"/>
              </w:rPr>
              <w:t>tome nota</w:t>
            </w:r>
            <w:r w:rsidRPr="00831BF9">
              <w:rPr>
                <w:lang w:val="es-ES"/>
              </w:rPr>
              <w:t xml:space="preserve"> del informe.</w:t>
            </w:r>
          </w:p>
          <w:p w14:paraId="1E362587"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210BB6F" w14:textId="77777777" w:rsidR="005F6833" w:rsidRPr="00831BF9" w:rsidRDefault="005F6833" w:rsidP="005F6833">
            <w:pPr>
              <w:rPr>
                <w:lang w:val="es-ES"/>
              </w:rPr>
            </w:pPr>
            <w:r w:rsidRPr="00831BF9">
              <w:rPr>
                <w:lang w:val="es-ES"/>
              </w:rPr>
              <w:t>Prioridad temática – Utilización del espectro para servicios espaciales y terrenales.</w:t>
            </w:r>
          </w:p>
          <w:p w14:paraId="1E4A8104" w14:textId="56F3336A" w:rsidR="00FE57F6" w:rsidRPr="00F24B71" w:rsidRDefault="005F6833" w:rsidP="005F6833">
            <w:pPr>
              <w:rPr>
                <w:lang w:val="es-ES"/>
              </w:rPr>
            </w:pPr>
            <w:r w:rsidRPr="00831BF9">
              <w:rPr>
                <w:lang w:val="es-ES"/>
              </w:rPr>
              <w:t>Ofertas de productos y servicios – Atribución y gestión de recursos.</w:t>
            </w:r>
          </w:p>
          <w:p w14:paraId="2B44292E" w14:textId="63E7A551" w:rsidR="00FE57F6" w:rsidRDefault="00F24B71" w:rsidP="00C538FC">
            <w:pPr>
              <w:spacing w:before="160"/>
              <w:rPr>
                <w:b/>
                <w:bCs/>
                <w:sz w:val="26"/>
                <w:szCs w:val="26"/>
              </w:rPr>
            </w:pPr>
            <w:r w:rsidRPr="00F24B71">
              <w:rPr>
                <w:b/>
                <w:bCs/>
                <w:sz w:val="26"/>
                <w:szCs w:val="26"/>
              </w:rPr>
              <w:t xml:space="preserve">Repercusiones financieras: </w:t>
            </w:r>
          </w:p>
          <w:p w14:paraId="54163287" w14:textId="729D4EFD" w:rsidR="005F6833" w:rsidRDefault="005F6833" w:rsidP="00C538FC">
            <w:pPr>
              <w:spacing w:before="160"/>
              <w:rPr>
                <w:b/>
                <w:bCs/>
                <w:sz w:val="26"/>
                <w:szCs w:val="26"/>
              </w:rPr>
            </w:pPr>
            <w:r w:rsidRPr="00831BF9">
              <w:rPr>
                <w:lang w:val="es-ES"/>
              </w:rPr>
              <w:t>Un total de 10 567 441 francos suizos en concepto de ingresos de las notificaciones de redes de satélite.</w:t>
            </w:r>
          </w:p>
          <w:p w14:paraId="70ECA26C" w14:textId="77777777" w:rsidR="00FE57F6" w:rsidRPr="00813E5E" w:rsidRDefault="00FE57F6" w:rsidP="00C538FC">
            <w:pPr>
              <w:spacing w:before="160"/>
              <w:rPr>
                <w:caps/>
                <w:sz w:val="22"/>
              </w:rPr>
            </w:pPr>
            <w:r w:rsidRPr="00813E5E">
              <w:rPr>
                <w:sz w:val="22"/>
              </w:rPr>
              <w:t>____________</w:t>
            </w:r>
            <w:r>
              <w:rPr>
                <w:sz w:val="22"/>
              </w:rPr>
              <w:t>______</w:t>
            </w:r>
          </w:p>
          <w:p w14:paraId="41200BD6" w14:textId="77777777" w:rsidR="00FE57F6" w:rsidRDefault="00F24B71" w:rsidP="00C538FC">
            <w:pPr>
              <w:spacing w:before="160"/>
              <w:rPr>
                <w:b/>
                <w:bCs/>
                <w:sz w:val="26"/>
                <w:szCs w:val="26"/>
              </w:rPr>
            </w:pPr>
            <w:r w:rsidRPr="00F24B71">
              <w:rPr>
                <w:b/>
                <w:bCs/>
                <w:sz w:val="26"/>
                <w:szCs w:val="26"/>
              </w:rPr>
              <w:t>Referencia</w:t>
            </w:r>
          </w:p>
          <w:p w14:paraId="582FE54B" w14:textId="51A44759" w:rsidR="00221EC2" w:rsidRPr="00221EC2" w:rsidRDefault="00050AC1" w:rsidP="00221EC2">
            <w:pPr>
              <w:rPr>
                <w:i/>
                <w:iCs/>
              </w:rPr>
            </w:pPr>
            <w:hyperlink r:id="rId7" w:history="1">
              <w:r w:rsidR="00221EC2" w:rsidRPr="00221EC2">
                <w:rPr>
                  <w:rStyle w:val="Hyperlink"/>
                  <w:i/>
                  <w:iCs/>
                </w:rPr>
                <w:t>Resolución 91 (Rev. Guadalajara, 2010)</w:t>
              </w:r>
            </w:hyperlink>
            <w:r w:rsidR="00221EC2" w:rsidRPr="00221EC2">
              <w:rPr>
                <w:i/>
                <w:iCs/>
              </w:rPr>
              <w:t xml:space="preserve"> de la Conferencia de Plenipotenciarios</w:t>
            </w:r>
          </w:p>
          <w:p w14:paraId="0572DB4D" w14:textId="2BB3235E" w:rsidR="00FE57F6" w:rsidRPr="00221EC2" w:rsidRDefault="00050AC1" w:rsidP="00221EC2">
            <w:hyperlink r:id="rId8" w:history="1">
              <w:r w:rsidR="00221EC2" w:rsidRPr="00221EC2">
                <w:rPr>
                  <w:rStyle w:val="Hyperlink"/>
                  <w:i/>
                  <w:iCs/>
                </w:rPr>
                <w:t>Acuerdo 482 del Consejo (C01, modificado por última vez C20)</w:t>
              </w:r>
            </w:hyperlink>
            <w:r w:rsidR="00221EC2" w:rsidRPr="00221EC2">
              <w:rPr>
                <w:i/>
                <w:iCs/>
              </w:rPr>
              <w:t xml:space="preserve">; Documentos del Consejo </w:t>
            </w:r>
            <w:hyperlink r:id="rId9" w:history="1">
              <w:r w:rsidR="00221EC2" w:rsidRPr="00221EC2">
                <w:rPr>
                  <w:rStyle w:val="Hyperlink"/>
                  <w:i/>
                  <w:iCs/>
                </w:rPr>
                <w:t>C22/11</w:t>
              </w:r>
            </w:hyperlink>
            <w:r w:rsidR="00221EC2" w:rsidRPr="00221EC2">
              <w:rPr>
                <w:i/>
                <w:iCs/>
              </w:rPr>
              <w:t xml:space="preserve">, </w:t>
            </w:r>
            <w:hyperlink r:id="rId10" w:history="1">
              <w:r w:rsidR="00221EC2" w:rsidRPr="00221EC2">
                <w:rPr>
                  <w:rStyle w:val="Hyperlink"/>
                  <w:i/>
                  <w:iCs/>
                </w:rPr>
                <w:t>C22/16</w:t>
              </w:r>
            </w:hyperlink>
          </w:p>
        </w:tc>
      </w:tr>
      <w:bookmarkEnd w:id="0"/>
    </w:tbl>
    <w:p w14:paraId="024D5B2C" w14:textId="77777777" w:rsidR="00093EEB" w:rsidRDefault="00093EEB"/>
    <w:p w14:paraId="6CAF4F25"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C8F8523" w14:textId="0C8E25CE" w:rsidR="005F6833" w:rsidRPr="00831BF9" w:rsidRDefault="005F6833" w:rsidP="005F6833">
      <w:pPr>
        <w:rPr>
          <w:lang w:val="es-ES"/>
        </w:rPr>
      </w:pPr>
      <w:r>
        <w:rPr>
          <w:lang w:val="es-ES"/>
        </w:rPr>
        <w:lastRenderedPageBreak/>
        <w:t>1</w:t>
      </w:r>
      <w:r>
        <w:rPr>
          <w:lang w:val="es-ES"/>
        </w:rPr>
        <w:tab/>
      </w:r>
      <w:proofErr w:type="gramStart"/>
      <w:r w:rsidRPr="00831BF9">
        <w:rPr>
          <w:lang w:val="es-ES"/>
        </w:rPr>
        <w:t>En</w:t>
      </w:r>
      <w:proofErr w:type="gramEnd"/>
      <w:r w:rsidRPr="00831BF9">
        <w:rPr>
          <w:lang w:val="es-ES"/>
        </w:rPr>
        <w:t xml:space="preserve"> sus reuniones de 2018 y 2019, el Consejo de la UIT modificó el Acuerdo 482 con objeto de abordar diversas cuestiones relacionadas con los sistemas de satélites no</w:t>
      </w:r>
      <w:r>
        <w:rPr>
          <w:lang w:val="es-ES"/>
        </w:rPr>
        <w:t> </w:t>
      </w:r>
      <w:r w:rsidRPr="00831BF9">
        <w:rPr>
          <w:lang w:val="es-ES"/>
        </w:rPr>
        <w:t xml:space="preserve">geoestacionarios. En su reunión de 2020, el Consejo aprobó otra modificación del </w:t>
      </w:r>
      <w:hyperlink r:id="rId11" w:history="1">
        <w:r w:rsidRPr="00831BF9">
          <w:rPr>
            <w:rStyle w:val="Hyperlink"/>
            <w:lang w:val="es-ES"/>
          </w:rPr>
          <w:t>Acuerdo</w:t>
        </w:r>
        <w:r>
          <w:rPr>
            <w:rStyle w:val="Hyperlink"/>
            <w:lang w:val="es-ES"/>
          </w:rPr>
          <w:t> </w:t>
        </w:r>
        <w:r w:rsidRPr="00831BF9">
          <w:rPr>
            <w:rStyle w:val="Hyperlink"/>
            <w:lang w:val="es-ES"/>
          </w:rPr>
          <w:t>482</w:t>
        </w:r>
      </w:hyperlink>
      <w:r w:rsidRPr="00831BF9">
        <w:rPr>
          <w:lang w:val="es-ES"/>
        </w:rPr>
        <w:t xml:space="preserve">, que entró en vigor el 1 de septiembre de </w:t>
      </w:r>
      <w:r>
        <w:rPr>
          <w:lang w:val="es-ES"/>
        </w:rPr>
        <w:t>ese año</w:t>
      </w:r>
      <w:r w:rsidRPr="00831BF9">
        <w:rPr>
          <w:lang w:val="es-ES"/>
        </w:rPr>
        <w:t>.</w:t>
      </w:r>
    </w:p>
    <w:p w14:paraId="08F37DF0" w14:textId="587F5180" w:rsidR="005F6833" w:rsidRPr="00831BF9" w:rsidRDefault="005F6833" w:rsidP="005F6833">
      <w:pPr>
        <w:pStyle w:val="Headingb"/>
        <w:tabs>
          <w:tab w:val="clear" w:pos="567"/>
        </w:tabs>
        <w:ind w:left="0" w:firstLine="0"/>
        <w:rPr>
          <w:lang w:val="es-ES"/>
        </w:rPr>
      </w:pPr>
      <w:r w:rsidRPr="00831BF9">
        <w:rPr>
          <w:lang w:val="es-ES"/>
        </w:rPr>
        <w:t xml:space="preserve">Informe sobre la aplicación del Acuerdo 482 (C01, modificado por última vez </w:t>
      </w:r>
      <w:r>
        <w:rPr>
          <w:lang w:val="es-ES"/>
        </w:rPr>
        <w:t>C</w:t>
      </w:r>
      <w:r w:rsidRPr="00831BF9">
        <w:rPr>
          <w:lang w:val="es-ES"/>
        </w:rPr>
        <w:t>20) en 2021 y 2022</w:t>
      </w:r>
    </w:p>
    <w:p w14:paraId="00331B16" w14:textId="251449B6" w:rsidR="005F6833" w:rsidRPr="00831BF9" w:rsidRDefault="005F6833" w:rsidP="005F6833">
      <w:pPr>
        <w:rPr>
          <w:lang w:val="es-ES"/>
        </w:rPr>
      </w:pPr>
      <w:r>
        <w:rPr>
          <w:lang w:val="es-ES"/>
        </w:rPr>
        <w:t>2</w:t>
      </w:r>
      <w:r>
        <w:rPr>
          <w:lang w:val="es-ES"/>
        </w:rPr>
        <w:tab/>
      </w:r>
      <w:proofErr w:type="gramStart"/>
      <w:r w:rsidRPr="00831BF9">
        <w:rPr>
          <w:lang w:val="es-ES"/>
        </w:rPr>
        <w:t>En</w:t>
      </w:r>
      <w:proofErr w:type="gramEnd"/>
      <w:r w:rsidRPr="00831BF9">
        <w:rPr>
          <w:lang w:val="es-ES"/>
        </w:rPr>
        <w:t xml:space="preserve"> el Cuadro 1 siguiente se facilita la información pertinente en relación con la aplicación del Acuerdo 482 (C01, modificado por última vez </w:t>
      </w:r>
      <w:r>
        <w:rPr>
          <w:lang w:val="es-ES"/>
        </w:rPr>
        <w:t>C</w:t>
      </w:r>
      <w:r w:rsidRPr="00831BF9">
        <w:rPr>
          <w:lang w:val="es-ES"/>
        </w:rPr>
        <w:t>20) en 2021 y 2022 y, en particular, con el porcentaje de facturas emitidas en 2021 y 2022 que se abonaron a tiempo.</w:t>
      </w:r>
    </w:p>
    <w:p w14:paraId="43A2C5A0" w14:textId="139BBEA6" w:rsidR="005F6833" w:rsidRPr="00831BF9" w:rsidRDefault="005F6833" w:rsidP="00221EC2">
      <w:pPr>
        <w:pStyle w:val="Tabletitle"/>
        <w:spacing w:before="120"/>
        <w:rPr>
          <w:lang w:val="es-ES"/>
        </w:rPr>
      </w:pPr>
      <w:r w:rsidRPr="00831BF9">
        <w:rPr>
          <w:lang w:val="es-ES"/>
        </w:rPr>
        <w:t>Cuadro 1</w:t>
      </w:r>
      <w:r w:rsidR="00221EC2">
        <w:rPr>
          <w:lang w:val="es-ES"/>
        </w:rPr>
        <w:t xml:space="preserve"> </w:t>
      </w:r>
      <w:r w:rsidR="00221EC2" w:rsidRPr="00221EC2">
        <w:rPr>
          <w:lang w:val="es-ES"/>
        </w:rPr>
        <w:t>–</w:t>
      </w:r>
      <w:r w:rsidRPr="00831BF9">
        <w:rPr>
          <w:lang w:val="es-ES"/>
        </w:rPr>
        <w:t xml:space="preserve"> Situación de la aplicación del Acuerdo 482 en 2021 y 2022</w:t>
      </w:r>
    </w:p>
    <w:p w14:paraId="56847287" w14:textId="77777777" w:rsidR="005F6833" w:rsidRPr="00831BF9" w:rsidRDefault="005F6833" w:rsidP="005F6833">
      <w:pPr>
        <w:keepNext/>
        <w:keepLines/>
        <w:overflowPunct/>
        <w:autoSpaceDE/>
        <w:autoSpaceDN/>
        <w:adjustRightInd/>
        <w:spacing w:before="0"/>
        <w:textAlignment w:val="auto"/>
        <w:rPr>
          <w:rFonts w:asciiTheme="minorHAnsi" w:hAnsiTheme="minorHAnsi"/>
          <w:sz w:val="8"/>
          <w:szCs w:val="8"/>
          <w:lang w:val="es-ES"/>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5F6833" w:rsidRPr="00831BF9" w14:paraId="2FE3A696" w14:textId="77777777" w:rsidTr="00A41804">
        <w:tc>
          <w:tcPr>
            <w:tcW w:w="2880" w:type="dxa"/>
          </w:tcPr>
          <w:p w14:paraId="322A8062" w14:textId="77777777" w:rsidR="005F6833" w:rsidRPr="00831BF9" w:rsidRDefault="005F6833" w:rsidP="005F6833">
            <w:pPr>
              <w:pStyle w:val="Tablehead"/>
              <w:rPr>
                <w:lang w:val="es-ES"/>
              </w:rPr>
            </w:pPr>
          </w:p>
        </w:tc>
        <w:tc>
          <w:tcPr>
            <w:tcW w:w="900" w:type="dxa"/>
          </w:tcPr>
          <w:p w14:paraId="238BF330" w14:textId="77777777" w:rsidR="005F6833" w:rsidRPr="00831BF9" w:rsidRDefault="005F6833" w:rsidP="005F6833">
            <w:pPr>
              <w:pStyle w:val="Tablehead"/>
              <w:rPr>
                <w:lang w:val="es-ES"/>
              </w:rPr>
            </w:pPr>
          </w:p>
        </w:tc>
        <w:tc>
          <w:tcPr>
            <w:tcW w:w="2160" w:type="dxa"/>
          </w:tcPr>
          <w:p w14:paraId="4AFD4C22" w14:textId="77777777" w:rsidR="005F6833" w:rsidRPr="00831BF9" w:rsidRDefault="005F6833" w:rsidP="005F6833">
            <w:pPr>
              <w:pStyle w:val="Tablehead"/>
              <w:rPr>
                <w:lang w:val="es-ES"/>
              </w:rPr>
            </w:pPr>
            <w:r w:rsidRPr="00831BF9">
              <w:rPr>
                <w:bCs/>
                <w:lang w:val="es-ES"/>
              </w:rPr>
              <w:t>2021</w:t>
            </w:r>
          </w:p>
        </w:tc>
        <w:tc>
          <w:tcPr>
            <w:tcW w:w="1980" w:type="dxa"/>
          </w:tcPr>
          <w:p w14:paraId="725E8A11" w14:textId="77777777" w:rsidR="005F6833" w:rsidRPr="00831BF9" w:rsidRDefault="005F6833" w:rsidP="005F6833">
            <w:pPr>
              <w:pStyle w:val="Tablehead"/>
              <w:rPr>
                <w:lang w:val="es-ES"/>
              </w:rPr>
            </w:pPr>
            <w:r w:rsidRPr="00831BF9">
              <w:rPr>
                <w:bCs/>
                <w:lang w:val="es-ES"/>
              </w:rPr>
              <w:t>2022</w:t>
            </w:r>
          </w:p>
        </w:tc>
      </w:tr>
      <w:tr w:rsidR="005F6833" w:rsidRPr="00831BF9" w14:paraId="2B3749E9" w14:textId="77777777" w:rsidTr="00A41804">
        <w:tc>
          <w:tcPr>
            <w:tcW w:w="2880" w:type="dxa"/>
            <w:vAlign w:val="center"/>
          </w:tcPr>
          <w:p w14:paraId="4B7A9E6F" w14:textId="77777777" w:rsidR="005F6833" w:rsidRPr="00831BF9" w:rsidRDefault="005F6833" w:rsidP="005F6833">
            <w:pPr>
              <w:pStyle w:val="Tabletext"/>
              <w:rPr>
                <w:lang w:val="es-ES"/>
              </w:rPr>
            </w:pPr>
            <w:r w:rsidRPr="00831BF9">
              <w:rPr>
                <w:lang w:val="es-ES"/>
              </w:rPr>
              <w:t>Importe presupuestado</w:t>
            </w:r>
          </w:p>
        </w:tc>
        <w:tc>
          <w:tcPr>
            <w:tcW w:w="900" w:type="dxa"/>
            <w:vAlign w:val="center"/>
          </w:tcPr>
          <w:p w14:paraId="3A1CEF47" w14:textId="77777777" w:rsidR="005F6833" w:rsidRPr="00831BF9" w:rsidRDefault="005F6833" w:rsidP="005F6833">
            <w:pPr>
              <w:pStyle w:val="Tabletext"/>
              <w:rPr>
                <w:lang w:val="es-ES"/>
              </w:rPr>
            </w:pPr>
            <w:r w:rsidRPr="00831BF9">
              <w:rPr>
                <w:lang w:val="es-ES"/>
              </w:rPr>
              <w:t>CHF</w:t>
            </w:r>
          </w:p>
        </w:tc>
        <w:tc>
          <w:tcPr>
            <w:tcW w:w="2160" w:type="dxa"/>
            <w:vAlign w:val="center"/>
          </w:tcPr>
          <w:p w14:paraId="0314404D" w14:textId="77777777" w:rsidR="005F6833" w:rsidRPr="00831BF9" w:rsidRDefault="005F6833" w:rsidP="005F6833">
            <w:pPr>
              <w:pStyle w:val="Tabletext"/>
              <w:jc w:val="center"/>
              <w:rPr>
                <w:lang w:val="es-ES"/>
              </w:rPr>
            </w:pPr>
            <w:r w:rsidRPr="00831BF9">
              <w:rPr>
                <w:lang w:val="es-ES"/>
              </w:rPr>
              <w:t>15 500 000 (Resolución 1396 del Consejo (C19))</w:t>
            </w:r>
          </w:p>
        </w:tc>
        <w:tc>
          <w:tcPr>
            <w:tcW w:w="1980" w:type="dxa"/>
            <w:vAlign w:val="center"/>
          </w:tcPr>
          <w:p w14:paraId="3AF384B8" w14:textId="77777777" w:rsidR="005F6833" w:rsidRPr="00831BF9" w:rsidRDefault="005F6833" w:rsidP="005F6833">
            <w:pPr>
              <w:pStyle w:val="Tabletext"/>
              <w:jc w:val="center"/>
              <w:rPr>
                <w:lang w:val="es-ES"/>
              </w:rPr>
            </w:pPr>
            <w:r w:rsidRPr="00831BF9">
              <w:rPr>
                <w:lang w:val="es-ES"/>
              </w:rPr>
              <w:t>15 000 000</w:t>
            </w:r>
            <w:r>
              <w:rPr>
                <w:lang w:val="es-ES"/>
              </w:rPr>
              <w:t xml:space="preserve"> </w:t>
            </w:r>
            <w:r w:rsidRPr="00831BF9">
              <w:rPr>
                <w:lang w:val="es-ES"/>
              </w:rPr>
              <w:t>(Resolución 1405 del Consejo (C21)).</w:t>
            </w:r>
          </w:p>
        </w:tc>
      </w:tr>
      <w:tr w:rsidR="005F6833" w:rsidRPr="00831BF9" w14:paraId="2D78460A" w14:textId="77777777" w:rsidTr="00A41804">
        <w:tc>
          <w:tcPr>
            <w:tcW w:w="2880" w:type="dxa"/>
            <w:vAlign w:val="center"/>
          </w:tcPr>
          <w:p w14:paraId="031B2991" w14:textId="77777777" w:rsidR="005F6833" w:rsidRPr="00831BF9" w:rsidRDefault="005F6833" w:rsidP="005F6833">
            <w:pPr>
              <w:pStyle w:val="Tabletext"/>
              <w:rPr>
                <w:lang w:val="es-ES"/>
              </w:rPr>
            </w:pPr>
            <w:proofErr w:type="gramStart"/>
            <w:r w:rsidRPr="00831BF9">
              <w:rPr>
                <w:lang w:val="es-ES"/>
              </w:rPr>
              <w:t>Total</w:t>
            </w:r>
            <w:proofErr w:type="gramEnd"/>
            <w:r w:rsidRPr="00831BF9">
              <w:rPr>
                <w:lang w:val="es-ES"/>
              </w:rPr>
              <w:t xml:space="preserve"> de facturas emitidas* (menos la publicación gratuita)</w:t>
            </w:r>
          </w:p>
        </w:tc>
        <w:tc>
          <w:tcPr>
            <w:tcW w:w="900" w:type="dxa"/>
            <w:vAlign w:val="center"/>
          </w:tcPr>
          <w:p w14:paraId="441662D0" w14:textId="77777777" w:rsidR="005F6833" w:rsidRPr="00831BF9" w:rsidRDefault="005F6833" w:rsidP="005F6833">
            <w:pPr>
              <w:pStyle w:val="Tabletext"/>
              <w:rPr>
                <w:lang w:val="es-ES"/>
              </w:rPr>
            </w:pPr>
            <w:r w:rsidRPr="00831BF9">
              <w:rPr>
                <w:lang w:val="es-ES"/>
              </w:rPr>
              <w:t>CHF</w:t>
            </w:r>
          </w:p>
        </w:tc>
        <w:tc>
          <w:tcPr>
            <w:tcW w:w="2160" w:type="dxa"/>
            <w:vAlign w:val="center"/>
          </w:tcPr>
          <w:p w14:paraId="29D995D1" w14:textId="77777777" w:rsidR="005F6833" w:rsidRPr="00831BF9" w:rsidRDefault="005F6833" w:rsidP="005F6833">
            <w:pPr>
              <w:pStyle w:val="Tabletext"/>
              <w:jc w:val="center"/>
              <w:rPr>
                <w:lang w:val="es-ES"/>
              </w:rPr>
            </w:pPr>
            <w:r w:rsidRPr="00831BF9">
              <w:rPr>
                <w:lang w:val="es-ES"/>
              </w:rPr>
              <w:t>12 351 939</w:t>
            </w:r>
          </w:p>
        </w:tc>
        <w:tc>
          <w:tcPr>
            <w:tcW w:w="1980" w:type="dxa"/>
            <w:vAlign w:val="center"/>
          </w:tcPr>
          <w:p w14:paraId="1B552BA6" w14:textId="77777777" w:rsidR="005F6833" w:rsidRPr="00831BF9" w:rsidRDefault="005F6833" w:rsidP="005F6833">
            <w:pPr>
              <w:pStyle w:val="Tabletext"/>
              <w:jc w:val="center"/>
              <w:rPr>
                <w:lang w:val="es-ES"/>
              </w:rPr>
            </w:pPr>
            <w:r w:rsidRPr="00831BF9">
              <w:rPr>
                <w:lang w:val="es-ES"/>
              </w:rPr>
              <w:t>10 567 441</w:t>
            </w:r>
          </w:p>
        </w:tc>
      </w:tr>
      <w:tr w:rsidR="005F6833" w:rsidRPr="00831BF9" w14:paraId="1213D6E7" w14:textId="77777777" w:rsidTr="00A41804">
        <w:tc>
          <w:tcPr>
            <w:tcW w:w="2880" w:type="dxa"/>
            <w:vAlign w:val="center"/>
          </w:tcPr>
          <w:p w14:paraId="7A23B317" w14:textId="77777777" w:rsidR="005F6833" w:rsidRPr="00831BF9" w:rsidRDefault="005F6833" w:rsidP="005F6833">
            <w:pPr>
              <w:pStyle w:val="Tabletext"/>
              <w:rPr>
                <w:lang w:val="es-ES"/>
              </w:rPr>
            </w:pPr>
            <w:r w:rsidRPr="00831BF9">
              <w:rPr>
                <w:lang w:val="es-ES"/>
              </w:rPr>
              <w:t>Publicación gratuita</w:t>
            </w:r>
          </w:p>
        </w:tc>
        <w:tc>
          <w:tcPr>
            <w:tcW w:w="900" w:type="dxa"/>
            <w:vAlign w:val="center"/>
          </w:tcPr>
          <w:p w14:paraId="469A61CE" w14:textId="77777777" w:rsidR="005F6833" w:rsidRPr="00831BF9" w:rsidRDefault="005F6833" w:rsidP="005F6833">
            <w:pPr>
              <w:pStyle w:val="Tabletext"/>
              <w:rPr>
                <w:lang w:val="es-ES"/>
              </w:rPr>
            </w:pPr>
            <w:r w:rsidRPr="00831BF9">
              <w:rPr>
                <w:lang w:val="es-ES"/>
              </w:rPr>
              <w:t>CHF</w:t>
            </w:r>
          </w:p>
        </w:tc>
        <w:tc>
          <w:tcPr>
            <w:tcW w:w="2160" w:type="dxa"/>
            <w:vAlign w:val="center"/>
          </w:tcPr>
          <w:p w14:paraId="2BA6FDC5" w14:textId="77777777" w:rsidR="005F6833" w:rsidRPr="00831BF9" w:rsidRDefault="005F6833" w:rsidP="005F6833">
            <w:pPr>
              <w:pStyle w:val="Tabletext"/>
              <w:jc w:val="center"/>
              <w:rPr>
                <w:lang w:val="es-ES"/>
              </w:rPr>
            </w:pPr>
            <w:r w:rsidRPr="00831BF9">
              <w:rPr>
                <w:lang w:val="es-ES"/>
              </w:rPr>
              <w:t>1 461 379</w:t>
            </w:r>
          </w:p>
        </w:tc>
        <w:tc>
          <w:tcPr>
            <w:tcW w:w="1980" w:type="dxa"/>
            <w:vAlign w:val="center"/>
          </w:tcPr>
          <w:p w14:paraId="4062318D" w14:textId="77777777" w:rsidR="005F6833" w:rsidRPr="00831BF9" w:rsidRDefault="005F6833" w:rsidP="005F6833">
            <w:pPr>
              <w:pStyle w:val="Tabletext"/>
              <w:jc w:val="center"/>
              <w:rPr>
                <w:lang w:val="es-ES"/>
              </w:rPr>
            </w:pPr>
            <w:r w:rsidRPr="00831BF9">
              <w:rPr>
                <w:lang w:val="es-ES"/>
              </w:rPr>
              <w:t>1 301 909</w:t>
            </w:r>
          </w:p>
        </w:tc>
      </w:tr>
      <w:tr w:rsidR="005F6833" w:rsidRPr="00831BF9" w14:paraId="2A8FB6C2" w14:textId="77777777" w:rsidTr="00A41804">
        <w:tc>
          <w:tcPr>
            <w:tcW w:w="2880" w:type="dxa"/>
            <w:tcBorders>
              <w:bottom w:val="single" w:sz="12" w:space="0" w:color="auto"/>
            </w:tcBorders>
            <w:vAlign w:val="center"/>
          </w:tcPr>
          <w:p w14:paraId="1E2805E1" w14:textId="77777777" w:rsidR="005F6833" w:rsidRPr="00831BF9" w:rsidRDefault="005F6833" w:rsidP="005F6833">
            <w:pPr>
              <w:pStyle w:val="Tabletext"/>
              <w:rPr>
                <w:lang w:val="es-ES"/>
              </w:rPr>
            </w:pPr>
            <w:r w:rsidRPr="00831BF9">
              <w:rPr>
                <w:lang w:val="es-ES"/>
              </w:rPr>
              <w:t>Pagos recibidos**</w:t>
            </w:r>
          </w:p>
        </w:tc>
        <w:tc>
          <w:tcPr>
            <w:tcW w:w="900" w:type="dxa"/>
            <w:tcBorders>
              <w:bottom w:val="single" w:sz="12" w:space="0" w:color="auto"/>
            </w:tcBorders>
            <w:vAlign w:val="center"/>
          </w:tcPr>
          <w:p w14:paraId="007657CB" w14:textId="77777777" w:rsidR="005F6833" w:rsidRPr="00831BF9" w:rsidRDefault="005F6833" w:rsidP="005F6833">
            <w:pPr>
              <w:pStyle w:val="Tabletext"/>
              <w:rPr>
                <w:lang w:val="es-ES"/>
              </w:rPr>
            </w:pPr>
            <w:r w:rsidRPr="00831BF9">
              <w:rPr>
                <w:lang w:val="es-ES"/>
              </w:rPr>
              <w:t>CHF</w:t>
            </w:r>
          </w:p>
        </w:tc>
        <w:tc>
          <w:tcPr>
            <w:tcW w:w="2160" w:type="dxa"/>
            <w:tcBorders>
              <w:bottom w:val="single" w:sz="12" w:space="0" w:color="auto"/>
            </w:tcBorders>
            <w:vAlign w:val="center"/>
          </w:tcPr>
          <w:p w14:paraId="5712AC0F" w14:textId="77777777" w:rsidR="005F6833" w:rsidRPr="00831BF9" w:rsidRDefault="005F6833" w:rsidP="005F6833">
            <w:pPr>
              <w:pStyle w:val="Tabletext"/>
              <w:jc w:val="center"/>
              <w:rPr>
                <w:lang w:val="es-ES"/>
              </w:rPr>
            </w:pPr>
            <w:r w:rsidRPr="00831BF9">
              <w:rPr>
                <w:lang w:val="es-ES"/>
              </w:rPr>
              <w:t>12 215 061</w:t>
            </w:r>
          </w:p>
        </w:tc>
        <w:tc>
          <w:tcPr>
            <w:tcW w:w="1980" w:type="dxa"/>
            <w:tcBorders>
              <w:bottom w:val="single" w:sz="12" w:space="0" w:color="auto"/>
            </w:tcBorders>
            <w:vAlign w:val="center"/>
          </w:tcPr>
          <w:p w14:paraId="025FA6D4" w14:textId="77777777" w:rsidR="005F6833" w:rsidRPr="00831BF9" w:rsidRDefault="005F6833" w:rsidP="005F6833">
            <w:pPr>
              <w:pStyle w:val="Tabletext"/>
              <w:jc w:val="center"/>
              <w:rPr>
                <w:lang w:val="es-ES"/>
              </w:rPr>
            </w:pPr>
            <w:r w:rsidRPr="00831BF9">
              <w:rPr>
                <w:lang w:val="es-ES"/>
              </w:rPr>
              <w:t>11 240 149</w:t>
            </w:r>
          </w:p>
        </w:tc>
      </w:tr>
      <w:tr w:rsidR="005F6833" w:rsidRPr="00831BF9" w14:paraId="4EC139C7" w14:textId="77777777" w:rsidTr="00221EC2">
        <w:tc>
          <w:tcPr>
            <w:tcW w:w="5940" w:type="dxa"/>
            <w:gridSpan w:val="3"/>
            <w:tcBorders>
              <w:top w:val="single" w:sz="12" w:space="0" w:color="auto"/>
              <w:left w:val="single" w:sz="2" w:space="0" w:color="auto"/>
              <w:bottom w:val="single" w:sz="12" w:space="0" w:color="auto"/>
              <w:right w:val="single" w:sz="2" w:space="0" w:color="auto"/>
            </w:tcBorders>
            <w:vAlign w:val="center"/>
          </w:tcPr>
          <w:p w14:paraId="6662FC9B" w14:textId="77777777" w:rsidR="005F6833" w:rsidRPr="00831BF9" w:rsidRDefault="005F6833" w:rsidP="005F6833">
            <w:pPr>
              <w:pStyle w:val="Tabletext"/>
              <w:rPr>
                <w:lang w:val="es-ES"/>
              </w:rPr>
            </w:pPr>
            <w:r w:rsidRPr="00831BF9">
              <w:rPr>
                <w:lang w:val="es-ES"/>
              </w:rPr>
              <w:t>Porcentaje de facturas emitidas en 2021 y 2022 que vencían el 31/12/2022 y han sido pagadas</w:t>
            </w:r>
          </w:p>
        </w:tc>
        <w:tc>
          <w:tcPr>
            <w:tcW w:w="1980" w:type="dxa"/>
            <w:tcBorders>
              <w:top w:val="single" w:sz="12" w:space="0" w:color="auto"/>
              <w:left w:val="single" w:sz="2" w:space="0" w:color="auto"/>
              <w:bottom w:val="single" w:sz="12" w:space="0" w:color="auto"/>
              <w:right w:val="single" w:sz="2" w:space="0" w:color="auto"/>
            </w:tcBorders>
            <w:vAlign w:val="center"/>
          </w:tcPr>
          <w:p w14:paraId="7E81A5C4" w14:textId="77777777" w:rsidR="005F6833" w:rsidRPr="00831BF9" w:rsidRDefault="005F6833" w:rsidP="005F6833">
            <w:pPr>
              <w:pStyle w:val="Tabletext"/>
              <w:jc w:val="center"/>
              <w:rPr>
                <w:lang w:val="es-ES"/>
              </w:rPr>
            </w:pPr>
            <w:r w:rsidRPr="00831BF9">
              <w:rPr>
                <w:lang w:val="es-ES"/>
              </w:rPr>
              <w:t>&gt;99%</w:t>
            </w:r>
          </w:p>
        </w:tc>
      </w:tr>
      <w:tr w:rsidR="00221EC2" w:rsidRPr="00831BF9" w14:paraId="2787B501" w14:textId="77777777" w:rsidTr="00221EC2">
        <w:tc>
          <w:tcPr>
            <w:tcW w:w="7920" w:type="dxa"/>
            <w:gridSpan w:val="4"/>
            <w:tcBorders>
              <w:top w:val="single" w:sz="12" w:space="0" w:color="auto"/>
              <w:left w:val="nil"/>
              <w:bottom w:val="nil"/>
              <w:right w:val="nil"/>
            </w:tcBorders>
            <w:vAlign w:val="center"/>
          </w:tcPr>
          <w:p w14:paraId="631BA0A2" w14:textId="77777777" w:rsidR="00221EC2" w:rsidRPr="00831BF9" w:rsidRDefault="00221EC2" w:rsidP="00221EC2">
            <w:pPr>
              <w:ind w:left="11"/>
              <w:rPr>
                <w:sz w:val="20"/>
                <w:lang w:val="es-ES"/>
              </w:rPr>
            </w:pPr>
            <w:r w:rsidRPr="00831BF9">
              <w:rPr>
                <w:sz w:val="20"/>
                <w:lang w:val="es-ES"/>
              </w:rPr>
              <w:t>*</w:t>
            </w:r>
            <w:r>
              <w:rPr>
                <w:sz w:val="20"/>
                <w:lang w:val="es-ES"/>
              </w:rPr>
              <w:tab/>
            </w:r>
            <w:r w:rsidRPr="00831BF9">
              <w:rPr>
                <w:i/>
                <w:iCs/>
                <w:sz w:val="20"/>
                <w:lang w:val="es-ES"/>
              </w:rPr>
              <w:t>El pago de las facturas es exigible en un plazo de seis meses desde la fecha de emisión.</w:t>
            </w:r>
          </w:p>
          <w:p w14:paraId="210A69C0" w14:textId="0285252E" w:rsidR="00221EC2" w:rsidRPr="00221EC2" w:rsidRDefault="00221EC2" w:rsidP="00221EC2">
            <w:pPr>
              <w:spacing w:before="0" w:after="60"/>
              <w:ind w:left="11"/>
              <w:rPr>
                <w:i/>
                <w:iCs/>
                <w:sz w:val="20"/>
                <w:lang w:val="es-ES"/>
              </w:rPr>
            </w:pPr>
            <w:r w:rsidRPr="00831BF9">
              <w:rPr>
                <w:sz w:val="20"/>
                <w:lang w:val="es-ES"/>
              </w:rPr>
              <w:t>**</w:t>
            </w:r>
            <w:r>
              <w:rPr>
                <w:sz w:val="20"/>
                <w:lang w:val="es-ES"/>
              </w:rPr>
              <w:tab/>
            </w:r>
            <w:r w:rsidRPr="00831BF9">
              <w:rPr>
                <w:i/>
                <w:iCs/>
                <w:sz w:val="20"/>
                <w:lang w:val="es-ES"/>
              </w:rPr>
              <w:t>Los pagos recibidos incluyen las facturas emitidas en ejercicios anteriores.</w:t>
            </w:r>
          </w:p>
        </w:tc>
      </w:tr>
    </w:tbl>
    <w:p w14:paraId="16BCDA4A" w14:textId="2BA71973" w:rsidR="005F6833" w:rsidRDefault="005F6833" w:rsidP="00221EC2">
      <w:pPr>
        <w:spacing w:before="240"/>
        <w:rPr>
          <w:lang w:val="es-ES"/>
        </w:rPr>
      </w:pPr>
      <w:r w:rsidRPr="00831BF9">
        <w:rPr>
          <w:lang w:val="es-ES"/>
        </w:rPr>
        <w:t>3</w:t>
      </w:r>
      <w:r w:rsidRPr="00831BF9">
        <w:rPr>
          <w:lang w:val="es-ES"/>
        </w:rPr>
        <w:tab/>
      </w:r>
      <w:proofErr w:type="gramStart"/>
      <w:r w:rsidRPr="00831BF9">
        <w:rPr>
          <w:lang w:val="es-ES"/>
        </w:rPr>
        <w:t>En</w:t>
      </w:r>
      <w:proofErr w:type="gramEnd"/>
      <w:r w:rsidRPr="00831BF9">
        <w:rPr>
          <w:lang w:val="es-ES"/>
        </w:rPr>
        <w:t xml:space="preserve"> el Documento </w:t>
      </w:r>
      <w:hyperlink r:id="rId12" w:history="1">
        <w:r w:rsidRPr="00831BF9">
          <w:rPr>
            <w:rStyle w:val="Hyperlink"/>
            <w:lang w:val="es-ES"/>
          </w:rPr>
          <w:t>C23/11</w:t>
        </w:r>
      </w:hyperlink>
      <w:r w:rsidRPr="00831BF9">
        <w:rPr>
          <w:lang w:val="es-ES"/>
        </w:rPr>
        <w:t xml:space="preserve"> del Consejo se proporciona información sobre la situación de los atrasos y las cuentas especiales de atrasos a fecha de 31 de diciembre de 2022, que incluye conceptos relacionados con las notificaciones de redes de satélites.</w:t>
      </w:r>
    </w:p>
    <w:p w14:paraId="660F0A5E" w14:textId="44882047" w:rsidR="005F6833" w:rsidRPr="00831BF9" w:rsidRDefault="005F6833" w:rsidP="005F6833">
      <w:pPr>
        <w:rPr>
          <w:lang w:val="es-ES"/>
        </w:rPr>
      </w:pPr>
      <w:r w:rsidRPr="00831BF9">
        <w:rPr>
          <w:lang w:val="es-ES"/>
        </w:rPr>
        <w:t>4</w:t>
      </w:r>
      <w:r w:rsidRPr="00831BF9">
        <w:rPr>
          <w:lang w:val="es-ES"/>
        </w:rPr>
        <w:tab/>
      </w:r>
      <w:proofErr w:type="gramStart"/>
      <w:r w:rsidRPr="00831BF9">
        <w:rPr>
          <w:lang w:val="es-ES"/>
        </w:rPr>
        <w:t>La</w:t>
      </w:r>
      <w:proofErr w:type="gramEnd"/>
      <w:r w:rsidRPr="00831BF9">
        <w:rPr>
          <w:lang w:val="es-ES"/>
        </w:rPr>
        <w:t xml:space="preserve"> diferencia entre los importes presupuestados de la recuperación de costes y los importes realmente facturados se debe a un reequilibrio entre las notificaciones de redes de satélites geoestacionarios y las de los sistemas de satélites no geoestacionarios. Las notificaciones de redes de satélites geoestacionarios están generalmente sujetas a cánones más elevados que las de los sistemas de satélites no geoestacionarios. Tras los debates celebrados en la reunión del Consejo de 2022, se presentará en un documento separado un estudio para evaluar si la aplicación del Acuerdo 482 abarca los costes reales de la tramitación de notificaciones de redes de satélites.</w:t>
      </w:r>
    </w:p>
    <w:p w14:paraId="6A0DAEE8" w14:textId="354B12EB" w:rsidR="005F6833" w:rsidRDefault="005F6833" w:rsidP="005F6833">
      <w:pPr>
        <w:rPr>
          <w:lang w:val="es-ES"/>
        </w:rPr>
      </w:pPr>
      <w:r w:rsidRPr="00831BF9">
        <w:rPr>
          <w:lang w:val="es-ES"/>
        </w:rPr>
        <w:t>5</w:t>
      </w:r>
      <w:r w:rsidRPr="00831BF9">
        <w:rPr>
          <w:lang w:val="es-ES"/>
        </w:rPr>
        <w:tab/>
      </w:r>
      <w:proofErr w:type="gramStart"/>
      <w:r w:rsidRPr="00831BF9">
        <w:rPr>
          <w:lang w:val="es-ES"/>
        </w:rPr>
        <w:t>La</w:t>
      </w:r>
      <w:proofErr w:type="gramEnd"/>
      <w:r w:rsidRPr="00831BF9">
        <w:rPr>
          <w:lang w:val="es-ES"/>
        </w:rPr>
        <w:t xml:space="preserve"> aplicación del Acuerdo 482 por parte de la Oficina de Radiocomunicaciones no ha planteado ninguna dificultad administrativa ni operacional notable, ya sea a nivel interno o con las Administraciones notificantes de las redes de satélites.</w:t>
      </w:r>
    </w:p>
    <w:p w14:paraId="0E79524A" w14:textId="77777777" w:rsidR="00221EC2" w:rsidRDefault="00221EC2">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29FBF6AA" w14:textId="0A162440" w:rsidR="005F6833" w:rsidRPr="00831BF9" w:rsidRDefault="005F6833" w:rsidP="005F6833">
      <w:pPr>
        <w:pStyle w:val="Headingb"/>
        <w:rPr>
          <w:lang w:val="es-ES"/>
        </w:rPr>
      </w:pPr>
      <w:r w:rsidRPr="00831BF9">
        <w:rPr>
          <w:lang w:val="es-ES"/>
        </w:rPr>
        <w:lastRenderedPageBreak/>
        <w:t>Conclusión</w:t>
      </w:r>
    </w:p>
    <w:p w14:paraId="5F56ACB5" w14:textId="77777777" w:rsidR="00221EC2" w:rsidRDefault="005F6833" w:rsidP="00411C49">
      <w:pPr>
        <w:pStyle w:val="Reasons"/>
      </w:pPr>
      <w:r>
        <w:rPr>
          <w:lang w:val="es-ES"/>
        </w:rPr>
        <w:t>6</w:t>
      </w:r>
      <w:r w:rsidRPr="00831BF9">
        <w:rPr>
          <w:lang w:val="es-ES"/>
        </w:rPr>
        <w:tab/>
      </w:r>
      <w:proofErr w:type="gramStart"/>
      <w:r w:rsidRPr="00831BF9">
        <w:rPr>
          <w:lang w:val="es-ES"/>
        </w:rPr>
        <w:t>Se</w:t>
      </w:r>
      <w:proofErr w:type="gramEnd"/>
      <w:r w:rsidRPr="00831BF9">
        <w:rPr>
          <w:lang w:val="es-ES"/>
        </w:rPr>
        <w:t xml:space="preserve"> invita al Consejo a que </w:t>
      </w:r>
      <w:r w:rsidRPr="00831BF9">
        <w:rPr>
          <w:b/>
          <w:bCs/>
          <w:lang w:val="es-ES"/>
        </w:rPr>
        <w:t>tome nota</w:t>
      </w:r>
      <w:r w:rsidRPr="00831BF9">
        <w:rPr>
          <w:lang w:val="es-ES"/>
        </w:rPr>
        <w:t xml:space="preserve"> del informe de situación sobre la aplicación de la recuperación de costes a la tramitación de notificaciones de redes de satélites.</w:t>
      </w:r>
    </w:p>
    <w:p w14:paraId="1C7C2612" w14:textId="51D1CEC5" w:rsidR="00927F93" w:rsidRPr="00221EC2" w:rsidRDefault="00221EC2" w:rsidP="00221EC2">
      <w:pPr>
        <w:jc w:val="center"/>
      </w:pPr>
      <w:r>
        <w:t>______________</w:t>
      </w:r>
    </w:p>
    <w:sectPr w:rsidR="00927F93" w:rsidRPr="00221EC2" w:rsidSect="00C538FC">
      <w:headerReference w:type="even" r:id="rId13"/>
      <w:headerReference w:type="default" r:id="rId14"/>
      <w:footerReference w:type="even" r:id="rId15"/>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ACBB" w14:textId="77777777" w:rsidR="005F6833" w:rsidRDefault="005F6833">
      <w:r>
        <w:separator/>
      </w:r>
    </w:p>
  </w:endnote>
  <w:endnote w:type="continuationSeparator" w:id="0">
    <w:p w14:paraId="34C5FC74" w14:textId="77777777" w:rsidR="005F6833" w:rsidRDefault="005F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C687" w14:textId="77777777" w:rsidR="00050AC1" w:rsidRDefault="00050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DFD9FED" w14:textId="77777777" w:rsidTr="00E31DCE">
      <w:trPr>
        <w:jc w:val="center"/>
      </w:trPr>
      <w:tc>
        <w:tcPr>
          <w:tcW w:w="1803" w:type="dxa"/>
          <w:vAlign w:val="center"/>
        </w:tcPr>
        <w:p w14:paraId="0EE7CB72" w14:textId="513B24F7" w:rsidR="003273A4" w:rsidRDefault="003273A4" w:rsidP="003273A4">
          <w:pPr>
            <w:pStyle w:val="Header"/>
            <w:jc w:val="left"/>
            <w:rPr>
              <w:noProof/>
            </w:rPr>
          </w:pPr>
          <w:r>
            <w:rPr>
              <w:noProof/>
            </w:rPr>
            <w:t xml:space="preserve">DPS </w:t>
          </w:r>
          <w:r w:rsidR="005F6833">
            <w:rPr>
              <w:noProof/>
            </w:rPr>
            <w:t>520430</w:t>
          </w:r>
        </w:p>
      </w:tc>
      <w:tc>
        <w:tcPr>
          <w:tcW w:w="8261" w:type="dxa"/>
        </w:tcPr>
        <w:p w14:paraId="6D749ED1" w14:textId="5205DF99"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F6833">
            <w:rPr>
              <w:bCs/>
            </w:rPr>
            <w:t>16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5ED256E" w14:textId="15697CD0" w:rsidR="00760F1C" w:rsidRPr="00A909B7" w:rsidRDefault="00A909B7" w:rsidP="00A909B7">
    <w:pPr>
      <w:pStyle w:val="Footer"/>
      <w:rPr>
        <w:lang w:val="fr-FR"/>
      </w:rPr>
    </w:pPr>
    <w:r w:rsidRPr="00050AC1">
      <w:rPr>
        <w:color w:val="F2F2F2" w:themeColor="background1" w:themeShade="F2"/>
      </w:rPr>
      <w:fldChar w:fldCharType="begin"/>
    </w:r>
    <w:r w:rsidRPr="00050AC1">
      <w:rPr>
        <w:color w:val="F2F2F2" w:themeColor="background1" w:themeShade="F2"/>
        <w:lang w:val="fr-FR"/>
      </w:rPr>
      <w:instrText xml:space="preserve"> FILENAME \p  \* MERGEFORMAT </w:instrText>
    </w:r>
    <w:r w:rsidRPr="00050AC1">
      <w:rPr>
        <w:color w:val="F2F2F2" w:themeColor="background1" w:themeShade="F2"/>
      </w:rPr>
      <w:fldChar w:fldCharType="separate"/>
    </w:r>
    <w:r w:rsidRPr="00050AC1">
      <w:rPr>
        <w:color w:val="F2F2F2" w:themeColor="background1" w:themeShade="F2"/>
        <w:lang w:val="fr-FR"/>
      </w:rPr>
      <w:t>P:\ESP\SG\CONSEIL\C23\000\016S.docx</w:t>
    </w:r>
    <w:r w:rsidRPr="00050AC1">
      <w:rPr>
        <w:color w:val="F2F2F2" w:themeColor="background1" w:themeShade="F2"/>
      </w:rPr>
      <w:fldChar w:fldCharType="end"/>
    </w:r>
    <w:r w:rsidRPr="00050AC1">
      <w:rPr>
        <w:color w:val="F2F2F2" w:themeColor="background1" w:themeShade="F2"/>
        <w:lang w:val="fr-FR"/>
      </w:rPr>
      <w:t xml:space="preserve"> (520430)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B49E564" w14:textId="77777777" w:rsidTr="00E31DCE">
      <w:trPr>
        <w:jc w:val="center"/>
      </w:trPr>
      <w:tc>
        <w:tcPr>
          <w:tcW w:w="1803" w:type="dxa"/>
          <w:vAlign w:val="center"/>
        </w:tcPr>
        <w:p w14:paraId="08AF9A21" w14:textId="77777777" w:rsidR="00F24B71" w:rsidRDefault="00050AC1" w:rsidP="00F24B71">
          <w:pPr>
            <w:pStyle w:val="Header"/>
            <w:jc w:val="left"/>
            <w:rPr>
              <w:noProof/>
            </w:rPr>
          </w:pPr>
          <w:hyperlink r:id="rId1" w:history="1">
            <w:r w:rsidR="00F24B71" w:rsidRPr="00A514A4">
              <w:rPr>
                <w:rStyle w:val="Hyperlink"/>
                <w:szCs w:val="14"/>
              </w:rPr>
              <w:t>www.itu.int/council</w:t>
            </w:r>
          </w:hyperlink>
        </w:p>
      </w:tc>
      <w:tc>
        <w:tcPr>
          <w:tcW w:w="8261" w:type="dxa"/>
        </w:tcPr>
        <w:p w14:paraId="53B89571" w14:textId="67B8BDF5"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F6833">
            <w:rPr>
              <w:bCs/>
            </w:rPr>
            <w:t>16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CF22943" w14:textId="00DA5C0C" w:rsidR="00760F1C" w:rsidRPr="00221EC2" w:rsidRDefault="00221EC2" w:rsidP="00221EC2">
    <w:pPr>
      <w:pStyle w:val="Footer"/>
      <w:rPr>
        <w:lang w:val="fr-FR"/>
      </w:rPr>
    </w:pPr>
    <w:r w:rsidRPr="00050AC1">
      <w:rPr>
        <w:color w:val="F2F2F2" w:themeColor="background1" w:themeShade="F2"/>
      </w:rPr>
      <w:fldChar w:fldCharType="begin"/>
    </w:r>
    <w:r w:rsidRPr="00050AC1">
      <w:rPr>
        <w:color w:val="F2F2F2" w:themeColor="background1" w:themeShade="F2"/>
        <w:lang w:val="fr-FR"/>
      </w:rPr>
      <w:instrText xml:space="preserve"> FILENAME \p  \* MERGEFORMAT </w:instrText>
    </w:r>
    <w:r w:rsidRPr="00050AC1">
      <w:rPr>
        <w:color w:val="F2F2F2" w:themeColor="background1" w:themeShade="F2"/>
      </w:rPr>
      <w:fldChar w:fldCharType="separate"/>
    </w:r>
    <w:r w:rsidRPr="00050AC1">
      <w:rPr>
        <w:color w:val="F2F2F2" w:themeColor="background1" w:themeShade="F2"/>
        <w:lang w:val="fr-FR"/>
      </w:rPr>
      <w:t>P:\ESP\SG\CONSEIL\C23\000\016S.docx</w:t>
    </w:r>
    <w:r w:rsidRPr="00050AC1">
      <w:rPr>
        <w:color w:val="F2F2F2" w:themeColor="background1" w:themeShade="F2"/>
      </w:rPr>
      <w:fldChar w:fldCharType="end"/>
    </w:r>
    <w:r w:rsidRPr="00050AC1">
      <w:rPr>
        <w:color w:val="F2F2F2" w:themeColor="background1" w:themeShade="F2"/>
        <w:lang w:val="fr-FR"/>
      </w:rPr>
      <w:t xml:space="preserve"> (520430)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5309" w14:textId="77777777" w:rsidR="005F6833" w:rsidRDefault="005F6833">
      <w:r>
        <w:t>____________________</w:t>
      </w:r>
    </w:p>
  </w:footnote>
  <w:footnote w:type="continuationSeparator" w:id="0">
    <w:p w14:paraId="583496BF" w14:textId="77777777" w:rsidR="005F6833" w:rsidRDefault="005F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99B7" w14:textId="77777777" w:rsidR="00050AC1" w:rsidRDefault="0005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B5F4" w14:textId="77777777" w:rsidR="00050AC1" w:rsidRDefault="00050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D8CF7B1" w14:textId="77777777" w:rsidTr="00E31DCE">
      <w:trPr>
        <w:trHeight w:val="1104"/>
        <w:jc w:val="center"/>
      </w:trPr>
      <w:tc>
        <w:tcPr>
          <w:tcW w:w="4390" w:type="dxa"/>
          <w:vAlign w:val="center"/>
        </w:tcPr>
        <w:p w14:paraId="19E56AE7"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5221577B" wp14:editId="6425DF1A">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1142EC33" w14:textId="77777777" w:rsidR="001559F5" w:rsidRDefault="001559F5" w:rsidP="001559F5">
          <w:pPr>
            <w:pStyle w:val="Header"/>
            <w:jc w:val="right"/>
            <w:rPr>
              <w:rFonts w:ascii="Arial" w:hAnsi="Arial" w:cs="Arial"/>
              <w:b/>
              <w:bCs/>
              <w:color w:val="009CD6"/>
              <w:szCs w:val="18"/>
            </w:rPr>
          </w:pPr>
        </w:p>
        <w:p w14:paraId="4F6C108E" w14:textId="77777777" w:rsidR="001559F5" w:rsidRDefault="001559F5" w:rsidP="001559F5">
          <w:pPr>
            <w:pStyle w:val="Header"/>
            <w:jc w:val="right"/>
            <w:rPr>
              <w:rFonts w:ascii="Arial" w:hAnsi="Arial" w:cs="Arial"/>
              <w:b/>
              <w:bCs/>
              <w:color w:val="009CD6"/>
              <w:szCs w:val="18"/>
            </w:rPr>
          </w:pPr>
        </w:p>
        <w:p w14:paraId="7FC401FB"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4406FE5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BECC4FC" wp14:editId="654DB789">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6A6E2"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287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3"/>
    <w:rsid w:val="000007D1"/>
    <w:rsid w:val="00050AC1"/>
    <w:rsid w:val="00093EEB"/>
    <w:rsid w:val="000B0D00"/>
    <w:rsid w:val="000B7C15"/>
    <w:rsid w:val="000D1D0F"/>
    <w:rsid w:val="000F5290"/>
    <w:rsid w:val="0010165C"/>
    <w:rsid w:val="00146BFB"/>
    <w:rsid w:val="001559F5"/>
    <w:rsid w:val="001F14A2"/>
    <w:rsid w:val="00221EC2"/>
    <w:rsid w:val="00266A77"/>
    <w:rsid w:val="002801AA"/>
    <w:rsid w:val="002C4676"/>
    <w:rsid w:val="002C70B0"/>
    <w:rsid w:val="002F02A1"/>
    <w:rsid w:val="002F3CC4"/>
    <w:rsid w:val="003273A4"/>
    <w:rsid w:val="00513630"/>
    <w:rsid w:val="00560125"/>
    <w:rsid w:val="00585553"/>
    <w:rsid w:val="005B34D9"/>
    <w:rsid w:val="005D0CCF"/>
    <w:rsid w:val="005D7A91"/>
    <w:rsid w:val="005F3BCB"/>
    <w:rsid w:val="005F410F"/>
    <w:rsid w:val="005F6833"/>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04FD7"/>
    <w:rsid w:val="00913B9C"/>
    <w:rsid w:val="00927F93"/>
    <w:rsid w:val="00956E77"/>
    <w:rsid w:val="009F4811"/>
    <w:rsid w:val="00A909B7"/>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26DF7"/>
    <w:rsid w:val="00E34072"/>
    <w:rsid w:val="00E3592D"/>
    <w:rsid w:val="00E439BD"/>
    <w:rsid w:val="00E56102"/>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C5653"/>
  <w15:docId w15:val="{1EC94723-2470-468B-9395-B01076C1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833"/>
    <w:pPr>
      <w:ind w:left="720"/>
      <w:contextualSpacing/>
    </w:pPr>
    <w:rPr>
      <w:rFonts w:eastAsia="SimSun"/>
      <w:lang w:val="en-GB"/>
    </w:rPr>
  </w:style>
  <w:style w:type="character" w:styleId="UnresolvedMention">
    <w:name w:val="Unresolved Mention"/>
    <w:basedOn w:val="DefaultParagraphFont"/>
    <w:uiPriority w:val="99"/>
    <w:semiHidden/>
    <w:unhideWhenUsed/>
    <w:rsid w:val="00221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70/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en/council/Documents/basic-texts/RES-091-S.pdf" TargetMode="External"/><Relationship Id="rId12" Type="http://schemas.openxmlformats.org/officeDocument/2006/relationships/hyperlink" Target="https://www.itu.int/md/S23-CL-C-0011/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70/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2-CL-C-0016/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2-CL-C-0011/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3</Pages>
  <Words>615</Words>
  <Characters>3544</Characters>
  <Application>Microsoft Office Word</Application>
  <DocSecurity>4</DocSecurity>
  <Lines>29</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4151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recuperación de costes a la tramitación de notificaciones de redes de satélites</dc:title>
  <dc:subject>Consejo 2023</dc:subject>
  <dc:creator>Spanish</dc:creator>
  <cp:keywords>C2023, C23, Council-23</cp:keywords>
  <dc:description/>
  <cp:lastModifiedBy>Xue, Kun</cp:lastModifiedBy>
  <cp:revision>2</cp:revision>
  <cp:lastPrinted>2006-03-24T09:51:00Z</cp:lastPrinted>
  <dcterms:created xsi:type="dcterms:W3CDTF">2023-05-26T12:08:00Z</dcterms:created>
  <dcterms:modified xsi:type="dcterms:W3CDTF">2023-05-26T12:08:00Z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