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0E98070" w14:textId="77777777" w:rsidTr="00F363FE">
        <w:tc>
          <w:tcPr>
            <w:tcW w:w="6512" w:type="dxa"/>
          </w:tcPr>
          <w:p w14:paraId="742C3D11" w14:textId="2E586217"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221C4E">
              <w:rPr>
                <w:rFonts w:hint="cs"/>
                <w:b/>
                <w:bCs/>
                <w:rtl/>
                <w:lang w:bidi="ar-EG"/>
              </w:rPr>
              <w:t xml:space="preserve"> </w:t>
            </w:r>
            <w:r w:rsidR="00221C4E">
              <w:rPr>
                <w:b/>
                <w:bCs/>
                <w:lang w:bidi="ar-EG"/>
              </w:rPr>
              <w:t>ADM 3</w:t>
            </w:r>
          </w:p>
        </w:tc>
        <w:tc>
          <w:tcPr>
            <w:tcW w:w="3117" w:type="dxa"/>
          </w:tcPr>
          <w:p w14:paraId="602FB2C1" w14:textId="1846AFC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221C4E">
              <w:rPr>
                <w:b/>
                <w:bCs/>
                <w:lang w:bidi="ar-EG"/>
              </w:rPr>
              <w:t>18</w:t>
            </w:r>
            <w:r w:rsidRPr="007B0AA0">
              <w:rPr>
                <w:b/>
                <w:bCs/>
                <w:lang w:bidi="ar-EG"/>
              </w:rPr>
              <w:t>-A</w:t>
            </w:r>
          </w:p>
        </w:tc>
      </w:tr>
      <w:tr w:rsidR="007B0AA0" w14:paraId="65E3F7F9" w14:textId="77777777" w:rsidTr="00F363FE">
        <w:tc>
          <w:tcPr>
            <w:tcW w:w="6512" w:type="dxa"/>
          </w:tcPr>
          <w:p w14:paraId="38F118DD" w14:textId="77777777" w:rsidR="007B0AA0" w:rsidRPr="007B0AA0" w:rsidRDefault="007B0AA0" w:rsidP="00F363FE">
            <w:pPr>
              <w:spacing w:before="60" w:after="60" w:line="260" w:lineRule="exact"/>
              <w:rPr>
                <w:b/>
                <w:bCs/>
                <w:rtl/>
                <w:lang w:bidi="ar-EG"/>
              </w:rPr>
            </w:pPr>
          </w:p>
        </w:tc>
        <w:tc>
          <w:tcPr>
            <w:tcW w:w="3117" w:type="dxa"/>
          </w:tcPr>
          <w:p w14:paraId="14539767" w14:textId="20F51F5B" w:rsidR="007B0AA0" w:rsidRPr="007B0AA0" w:rsidRDefault="00221C4E" w:rsidP="00F363FE">
            <w:pPr>
              <w:spacing w:before="60" w:after="60" w:line="260" w:lineRule="exact"/>
              <w:rPr>
                <w:b/>
                <w:bCs/>
                <w:rtl/>
                <w:lang w:bidi="ar-EG"/>
              </w:rPr>
            </w:pPr>
            <w:r>
              <w:rPr>
                <w:rFonts w:hint="cs"/>
                <w:b/>
                <w:bCs/>
                <w:rtl/>
                <w:lang w:bidi="ar-EG"/>
              </w:rPr>
              <w:t xml:space="preserve">16 مايو </w:t>
            </w:r>
            <w:r w:rsidR="007B0AA0" w:rsidRPr="007B0AA0">
              <w:rPr>
                <w:b/>
                <w:bCs/>
                <w:lang w:bidi="ar-EG"/>
              </w:rPr>
              <w:t>2023</w:t>
            </w:r>
          </w:p>
        </w:tc>
      </w:tr>
      <w:tr w:rsidR="007B0AA0" w14:paraId="6D2E5934" w14:textId="77777777" w:rsidTr="00F363FE">
        <w:tc>
          <w:tcPr>
            <w:tcW w:w="6512" w:type="dxa"/>
          </w:tcPr>
          <w:p w14:paraId="75ACF614" w14:textId="77777777" w:rsidR="007B0AA0" w:rsidRPr="007B0AA0" w:rsidRDefault="007B0AA0" w:rsidP="00F363FE">
            <w:pPr>
              <w:spacing w:before="60" w:after="60" w:line="260" w:lineRule="exact"/>
              <w:rPr>
                <w:b/>
                <w:bCs/>
                <w:rtl/>
                <w:lang w:bidi="ar-EG"/>
              </w:rPr>
            </w:pPr>
          </w:p>
        </w:tc>
        <w:tc>
          <w:tcPr>
            <w:tcW w:w="3117" w:type="dxa"/>
          </w:tcPr>
          <w:p w14:paraId="07694951"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4C90F78E" w14:textId="77777777" w:rsidTr="00F363FE">
        <w:tc>
          <w:tcPr>
            <w:tcW w:w="6512" w:type="dxa"/>
          </w:tcPr>
          <w:p w14:paraId="2621033F" w14:textId="77777777" w:rsidR="007B0AA0" w:rsidRDefault="007B0AA0" w:rsidP="00F363FE">
            <w:pPr>
              <w:spacing w:before="60" w:after="60" w:line="260" w:lineRule="exact"/>
              <w:rPr>
                <w:lang w:bidi="ar-EG"/>
              </w:rPr>
            </w:pPr>
          </w:p>
        </w:tc>
        <w:tc>
          <w:tcPr>
            <w:tcW w:w="3117" w:type="dxa"/>
          </w:tcPr>
          <w:p w14:paraId="5B865C54" w14:textId="77777777" w:rsidR="007B0AA0" w:rsidRDefault="007B0AA0" w:rsidP="00F363FE">
            <w:pPr>
              <w:spacing w:before="60" w:after="60" w:line="260" w:lineRule="exact"/>
              <w:rPr>
                <w:rtl/>
                <w:lang w:bidi="ar-EG"/>
              </w:rPr>
            </w:pPr>
          </w:p>
        </w:tc>
      </w:tr>
      <w:tr w:rsidR="007B0AA0" w14:paraId="72FDE5A2" w14:textId="77777777" w:rsidTr="00EE7446">
        <w:tc>
          <w:tcPr>
            <w:tcW w:w="9629" w:type="dxa"/>
            <w:gridSpan w:val="2"/>
          </w:tcPr>
          <w:p w14:paraId="7075D1C8"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12323504" w14:textId="77777777" w:rsidTr="007B0AA0">
        <w:tc>
          <w:tcPr>
            <w:tcW w:w="9629" w:type="dxa"/>
            <w:gridSpan w:val="2"/>
            <w:tcBorders>
              <w:bottom w:val="single" w:sz="4" w:space="0" w:color="auto"/>
            </w:tcBorders>
          </w:tcPr>
          <w:p w14:paraId="115F5AFC" w14:textId="601F3EDB" w:rsidR="007B0AA0" w:rsidRDefault="00221C4E" w:rsidP="00221C4E">
            <w:pPr>
              <w:pStyle w:val="Subtitle0"/>
            </w:pPr>
            <w:r w:rsidRPr="00221C4E">
              <w:rPr>
                <w:rFonts w:hint="eastAsia"/>
                <w:rtl/>
                <w:lang w:bidi="ar-SA"/>
              </w:rPr>
              <w:t>تغييرات</w:t>
            </w:r>
            <w:r w:rsidRPr="00221C4E">
              <w:rPr>
                <w:rtl/>
                <w:lang w:bidi="ar-SA"/>
              </w:rPr>
              <w:t xml:space="preserve"> </w:t>
            </w:r>
            <w:r w:rsidRPr="00221C4E">
              <w:rPr>
                <w:rFonts w:hint="eastAsia"/>
                <w:rtl/>
                <w:lang w:bidi="ar-SA"/>
              </w:rPr>
              <w:t>في</w:t>
            </w:r>
            <w:r w:rsidRPr="00221C4E">
              <w:rPr>
                <w:rtl/>
                <w:lang w:bidi="ar-SA"/>
              </w:rPr>
              <w:t xml:space="preserve"> </w:t>
            </w:r>
            <w:r w:rsidRPr="00221C4E">
              <w:rPr>
                <w:rFonts w:hint="eastAsia"/>
                <w:rtl/>
                <w:lang w:bidi="ar-SA"/>
              </w:rPr>
              <w:t>شروط</w:t>
            </w:r>
            <w:r w:rsidRPr="00221C4E">
              <w:rPr>
                <w:rtl/>
                <w:lang w:bidi="ar-SA"/>
              </w:rPr>
              <w:t xml:space="preserve"> </w:t>
            </w:r>
            <w:r w:rsidRPr="00221C4E">
              <w:rPr>
                <w:rFonts w:hint="cs"/>
                <w:rtl/>
                <w:lang w:bidi="ar-SA"/>
              </w:rPr>
              <w:t xml:space="preserve">الخدمة </w:t>
            </w:r>
            <w:r w:rsidRPr="00221C4E">
              <w:rPr>
                <w:rFonts w:hint="eastAsia"/>
                <w:rtl/>
                <w:lang w:bidi="ar-SA"/>
              </w:rPr>
              <w:t>في</w:t>
            </w:r>
            <w:r w:rsidRPr="00221C4E">
              <w:rPr>
                <w:rtl/>
                <w:lang w:bidi="ar-SA"/>
              </w:rPr>
              <w:t xml:space="preserve"> </w:t>
            </w:r>
            <w:r w:rsidRPr="00221C4E">
              <w:rPr>
                <w:rFonts w:hint="eastAsia"/>
                <w:rtl/>
                <w:lang w:bidi="ar-SA"/>
              </w:rPr>
              <w:t>النظام</w:t>
            </w:r>
            <w:r w:rsidRPr="00221C4E">
              <w:rPr>
                <w:rtl/>
                <w:lang w:bidi="ar-SA"/>
              </w:rPr>
              <w:t xml:space="preserve"> </w:t>
            </w:r>
            <w:r w:rsidRPr="00221C4E">
              <w:rPr>
                <w:rFonts w:hint="cs"/>
                <w:rtl/>
                <w:lang w:bidi="ar-SA"/>
              </w:rPr>
              <w:t>الموحد</w:t>
            </w:r>
            <w:r w:rsidRPr="00221C4E">
              <w:rPr>
                <w:rtl/>
                <w:lang w:bidi="ar-SA"/>
              </w:rPr>
              <w:t xml:space="preserve"> </w:t>
            </w:r>
            <w:r w:rsidRPr="00221C4E">
              <w:rPr>
                <w:rFonts w:hint="eastAsia"/>
                <w:rtl/>
                <w:lang w:bidi="ar-SA"/>
              </w:rPr>
              <w:t>للأمم</w:t>
            </w:r>
            <w:r w:rsidRPr="00221C4E">
              <w:rPr>
                <w:rtl/>
                <w:lang w:bidi="ar-SA"/>
              </w:rPr>
              <w:t xml:space="preserve"> </w:t>
            </w:r>
            <w:r w:rsidRPr="00221C4E">
              <w:rPr>
                <w:rFonts w:hint="cs"/>
                <w:rtl/>
                <w:lang w:bidi="ar-SA"/>
              </w:rPr>
              <w:t>المتحدة</w:t>
            </w:r>
          </w:p>
        </w:tc>
      </w:tr>
      <w:tr w:rsidR="007B0AA0" w14:paraId="1EC1CC23" w14:textId="77777777" w:rsidTr="007B0AA0">
        <w:tc>
          <w:tcPr>
            <w:tcW w:w="9629" w:type="dxa"/>
            <w:gridSpan w:val="2"/>
            <w:tcBorders>
              <w:top w:val="single" w:sz="4" w:space="0" w:color="auto"/>
              <w:bottom w:val="single" w:sz="4" w:space="0" w:color="auto"/>
            </w:tcBorders>
          </w:tcPr>
          <w:p w14:paraId="2B288829" w14:textId="326C1566" w:rsidR="007B0AA0" w:rsidRPr="007B0AA0" w:rsidRDefault="007B0AA0" w:rsidP="007B0AA0">
            <w:pPr>
              <w:rPr>
                <w:b/>
                <w:bCs/>
                <w:rtl/>
              </w:rPr>
            </w:pPr>
            <w:r w:rsidRPr="007B0AA0">
              <w:rPr>
                <w:rFonts w:hint="cs"/>
                <w:b/>
                <w:bCs/>
                <w:rtl/>
              </w:rPr>
              <w:t xml:space="preserve">الغرض </w:t>
            </w:r>
          </w:p>
          <w:p w14:paraId="4CFC5F17" w14:textId="700B4BBB" w:rsidR="007B0AA0" w:rsidRDefault="00EC6F41" w:rsidP="007B0AA0">
            <w:pPr>
              <w:rPr>
                <w:rtl/>
              </w:rPr>
            </w:pPr>
            <w:r>
              <w:rPr>
                <w:rFonts w:hint="cs"/>
                <w:rtl/>
              </w:rPr>
              <w:t xml:space="preserve">هذا تقرير عن القرارات التي اتخذتها الجمعية العامة للأمم المتحدة </w:t>
            </w:r>
            <w:r>
              <w:t>(UNGA)</w:t>
            </w:r>
            <w:r>
              <w:rPr>
                <w:rFonts w:hint="cs"/>
                <w:rtl/>
              </w:rPr>
              <w:t xml:space="preserve"> في دورتها السابعة والسبعين (2022) فيما يتعلق بشروط الخدمة في النظام الموحد للأمم المتحدة.</w:t>
            </w:r>
          </w:p>
          <w:p w14:paraId="08D8D92A" w14:textId="77777777" w:rsidR="007B0AA0" w:rsidRPr="007B0AA0" w:rsidRDefault="007B0AA0" w:rsidP="007B0AA0">
            <w:pPr>
              <w:rPr>
                <w:b/>
                <w:bCs/>
                <w:rtl/>
              </w:rPr>
            </w:pPr>
            <w:r w:rsidRPr="007B0AA0">
              <w:rPr>
                <w:rFonts w:hint="cs"/>
                <w:b/>
                <w:bCs/>
                <w:rtl/>
              </w:rPr>
              <w:t>الإجراء المطلوب من المجلس</w:t>
            </w:r>
          </w:p>
          <w:p w14:paraId="020FD1A4" w14:textId="4205F839" w:rsidR="007B0AA0" w:rsidRDefault="00A6365A" w:rsidP="007B0AA0">
            <w:pPr>
              <w:rPr>
                <w:rtl/>
                <w:lang w:bidi="ar-EG"/>
              </w:rPr>
            </w:pPr>
            <w:r>
              <w:rPr>
                <w:rFonts w:hint="cs"/>
                <w:rtl/>
                <w:lang w:bidi="ar-EG"/>
              </w:rPr>
              <w:t>ي</w:t>
            </w:r>
            <w:r w:rsidR="001A7FE1">
              <w:rPr>
                <w:rFonts w:hint="cs"/>
                <w:rtl/>
                <w:lang w:bidi="ar-EG"/>
              </w:rPr>
              <w:t>ُ</w:t>
            </w:r>
            <w:r>
              <w:rPr>
                <w:rFonts w:hint="cs"/>
                <w:rtl/>
                <w:lang w:bidi="ar-EG"/>
              </w:rPr>
              <w:t xml:space="preserve">دعى مجلس الاتحاد إلى </w:t>
            </w:r>
            <w:r w:rsidRPr="001A7FE1">
              <w:rPr>
                <w:rFonts w:hint="cs"/>
                <w:b/>
                <w:bCs/>
                <w:rtl/>
                <w:lang w:bidi="ar-EG"/>
              </w:rPr>
              <w:t>الإحاطة علماً</w:t>
            </w:r>
            <w:r>
              <w:rPr>
                <w:rFonts w:hint="cs"/>
                <w:rtl/>
                <w:lang w:bidi="ar-EG"/>
              </w:rPr>
              <w:t xml:space="preserve"> بتنفيذ قرارات الجمعية العامة للأمم المتحدة وفقاً للنظام</w:t>
            </w:r>
            <w:r w:rsidR="001A7FE1">
              <w:rPr>
                <w:rFonts w:hint="cs"/>
                <w:rtl/>
                <w:lang w:bidi="ar-EG"/>
              </w:rPr>
              <w:t>ين</w:t>
            </w:r>
            <w:r>
              <w:rPr>
                <w:rFonts w:hint="cs"/>
                <w:rtl/>
                <w:lang w:bidi="ar-EG"/>
              </w:rPr>
              <w:t xml:space="preserve"> الأساسي </w:t>
            </w:r>
            <w:r w:rsidR="001A7FE1">
              <w:rPr>
                <w:rFonts w:hint="cs"/>
                <w:rtl/>
                <w:lang w:bidi="ar-EG"/>
              </w:rPr>
              <w:t>و</w:t>
            </w:r>
            <w:r>
              <w:rPr>
                <w:rFonts w:hint="cs"/>
                <w:rtl/>
                <w:lang w:bidi="ar-EG"/>
              </w:rPr>
              <w:t xml:space="preserve">الإداري لموظفي الاتحاد </w:t>
            </w:r>
            <w:r w:rsidR="001A7FE1">
              <w:rPr>
                <w:rFonts w:hint="cs"/>
                <w:rtl/>
                <w:lang w:bidi="ar-EG"/>
              </w:rPr>
              <w:t>المنطبقين على الموظفين المعينين، بما في ذلك تلك التي نفذها الأمين العام وفقاً للقرار 647 للمجلس (دورة المجلس لعام 1969، التعديل الأخير في 2003).</w:t>
            </w:r>
          </w:p>
          <w:p w14:paraId="66A1556F" w14:textId="214C4EAA" w:rsidR="001A7FE1" w:rsidRDefault="001A7FE1" w:rsidP="007B0AA0">
            <w:pPr>
              <w:rPr>
                <w:rtl/>
                <w:lang w:bidi="ar-EG"/>
              </w:rPr>
            </w:pPr>
            <w:r>
              <w:rPr>
                <w:rFonts w:hint="cs"/>
                <w:rtl/>
                <w:lang w:bidi="ar-EG"/>
              </w:rPr>
              <w:t xml:space="preserve">وعملاً بالقرار 46 (كيوتو، 1994) لمؤتمر المندوبين المفوضين، يُدعى المجلس </w:t>
            </w:r>
            <w:r w:rsidRPr="009F7080">
              <w:rPr>
                <w:rFonts w:hint="cs"/>
                <w:b/>
                <w:bCs/>
                <w:rtl/>
                <w:lang w:bidi="ar-EG"/>
              </w:rPr>
              <w:t>إلى الموافقة</w:t>
            </w:r>
            <w:r>
              <w:rPr>
                <w:rFonts w:hint="cs"/>
                <w:rtl/>
                <w:lang w:bidi="ar-EG"/>
              </w:rPr>
              <w:t xml:space="preserve"> على جدول المرتبات والأجر الداخل في حساب المعاش التقاعدي</w:t>
            </w:r>
            <w:r w:rsidR="00E633F9">
              <w:rPr>
                <w:rFonts w:hint="cs"/>
                <w:rtl/>
                <w:lang w:bidi="ar-EG"/>
              </w:rPr>
              <w:t xml:space="preserve"> المنطبقين على المسؤولين المنتخبين، على النحو الوارد في مشروع القرار الوارد في الملحق بهذه الوثيقة.</w:t>
            </w:r>
          </w:p>
          <w:p w14:paraId="33EA2897" w14:textId="02080034" w:rsidR="007B0AA0" w:rsidRPr="007B0AA0" w:rsidRDefault="00E633F9" w:rsidP="007B0AA0">
            <w:pPr>
              <w:rPr>
                <w:b/>
                <w:bCs/>
                <w:rtl/>
              </w:rPr>
            </w:pPr>
            <w:r>
              <w:rPr>
                <w:rFonts w:hint="cs"/>
                <w:b/>
                <w:bCs/>
                <w:rtl/>
              </w:rPr>
              <w:t>الروابط ذات</w:t>
            </w:r>
            <w:r w:rsidR="007B0AA0" w:rsidRPr="007B0AA0">
              <w:rPr>
                <w:b/>
                <w:bCs/>
                <w:rtl/>
              </w:rPr>
              <w:t xml:space="preserve"> الصلة بالخطة ال</w:t>
            </w:r>
            <w:r w:rsidR="007B0AA0" w:rsidRPr="007B0AA0">
              <w:rPr>
                <w:rFonts w:hint="cs"/>
                <w:b/>
                <w:bCs/>
                <w:rtl/>
              </w:rPr>
              <w:t>ا</w:t>
            </w:r>
            <w:r w:rsidR="007B0AA0" w:rsidRPr="007B0AA0">
              <w:rPr>
                <w:b/>
                <w:bCs/>
                <w:rtl/>
              </w:rPr>
              <w:t>ستراتيجية</w:t>
            </w:r>
          </w:p>
          <w:p w14:paraId="3924028C" w14:textId="51B61145" w:rsidR="007B0AA0" w:rsidRDefault="00E633F9" w:rsidP="007B0AA0">
            <w:pPr>
              <w:rPr>
                <w:rtl/>
                <w:lang w:bidi="ar-EG"/>
              </w:rPr>
            </w:pPr>
            <w:r>
              <w:rPr>
                <w:rFonts w:hint="cs"/>
                <w:rtl/>
              </w:rPr>
              <w:t>التميز في مجال الموارد البشرية والابتكار</w:t>
            </w:r>
            <w:r w:rsidR="00473BE7">
              <w:rPr>
                <w:rFonts w:hint="cs"/>
                <w:rtl/>
                <w:lang w:bidi="ar-EG"/>
              </w:rPr>
              <w:t xml:space="preserve"> التنظيمي.</w:t>
            </w:r>
          </w:p>
          <w:p w14:paraId="35828F99" w14:textId="2758C6A4" w:rsidR="007B0AA0" w:rsidRDefault="007B0AA0" w:rsidP="007B0AA0">
            <w:pPr>
              <w:rPr>
                <w:b/>
                <w:bCs/>
                <w:rtl/>
              </w:rPr>
            </w:pPr>
            <w:r w:rsidRPr="007B0AA0">
              <w:rPr>
                <w:rFonts w:hint="cs"/>
                <w:b/>
                <w:bCs/>
                <w:rtl/>
              </w:rPr>
              <w:t>الآثار المالية</w:t>
            </w:r>
          </w:p>
          <w:p w14:paraId="5EFE6F87" w14:textId="2A5A79DE" w:rsidR="00221C4E" w:rsidRDefault="00473BE7" w:rsidP="007B0AA0">
            <w:pPr>
              <w:rPr>
                <w:lang w:bidi="ar-EG"/>
              </w:rPr>
            </w:pPr>
            <w:r>
              <w:rPr>
                <w:rFonts w:hint="cs"/>
                <w:rtl/>
              </w:rPr>
              <w:t xml:space="preserve">تبلغ التكلفة الإجمالية لتنفيذ قرارات الجمعية العامة للأمم المتحدة </w:t>
            </w:r>
            <w:r w:rsidR="00EB71D0">
              <w:t>1 768 330</w:t>
            </w:r>
            <w:r>
              <w:rPr>
                <w:rFonts w:hint="cs"/>
                <w:rtl/>
              </w:rPr>
              <w:t xml:space="preserve"> فرنكاً سويسرياً لعام 2023، </w:t>
            </w:r>
            <w:r w:rsidR="00777C61">
              <w:rPr>
                <w:rFonts w:hint="cs"/>
                <w:rtl/>
                <w:lang w:bidi="ar-EG"/>
              </w:rPr>
              <w:t xml:space="preserve">وهي موزعة على النحو التالي: </w:t>
            </w:r>
          </w:p>
          <w:p w14:paraId="09275AB1" w14:textId="15F04AE6" w:rsidR="00221C4E" w:rsidRDefault="009F7080" w:rsidP="009F7080">
            <w:pPr>
              <w:pStyle w:val="enumlev1"/>
            </w:pPr>
            <w:r w:rsidRPr="009F7080">
              <w:rPr>
                <w:sz w:val="26"/>
                <w:szCs w:val="26"/>
                <w:rtl/>
              </w:rPr>
              <w:t>•</w:t>
            </w:r>
            <w:r>
              <w:rPr>
                <w:rtl/>
              </w:rPr>
              <w:tab/>
            </w:r>
            <w:r w:rsidR="002A6F26">
              <w:rPr>
                <w:rFonts w:hint="cs"/>
                <w:rtl/>
              </w:rPr>
              <w:t xml:space="preserve">زادت المرتبات الصافية لموظفي فئة الخدمات العامة تماشياً مع </w:t>
            </w:r>
            <w:r w:rsidR="00D332C6" w:rsidRPr="00011C27">
              <w:rPr>
                <w:rFonts w:hint="cs"/>
                <w:rtl/>
                <w:lang w:eastAsia="en-US"/>
              </w:rPr>
              <w:t>تطور مؤشر أسعار الاستهلاك</w:t>
            </w:r>
            <w:r w:rsidR="00D332C6">
              <w:rPr>
                <w:rFonts w:hint="eastAsia"/>
                <w:rtl/>
                <w:lang w:eastAsia="en-US"/>
              </w:rPr>
              <w:t> </w:t>
            </w:r>
            <w:r w:rsidR="00D332C6" w:rsidRPr="00011C27">
              <w:rPr>
                <w:lang w:eastAsia="en-US"/>
              </w:rPr>
              <w:t>(CPI)</w:t>
            </w:r>
            <w:r w:rsidR="00D332C6">
              <w:rPr>
                <w:rFonts w:hint="cs"/>
                <w:rtl/>
                <w:lang w:eastAsia="en-US"/>
              </w:rPr>
              <w:t xml:space="preserve"> في جنيف من سبتمبر 2021 إلى سبتمبر 2022، </w:t>
            </w:r>
            <w:r w:rsidR="00EB71D0">
              <w:rPr>
                <w:rFonts w:hint="cs"/>
                <w:rtl/>
                <w:lang w:eastAsia="en-US"/>
              </w:rPr>
              <w:t xml:space="preserve">والذي يقابل زيادة بنسبة </w:t>
            </w:r>
            <w:r w:rsidR="00EB71D0">
              <w:rPr>
                <w:lang w:eastAsia="en-US"/>
              </w:rPr>
              <w:t>2,9</w:t>
            </w:r>
            <w:r w:rsidR="00EB71D0">
              <w:rPr>
                <w:rFonts w:hint="cs"/>
                <w:rtl/>
                <w:lang w:eastAsia="en-US"/>
              </w:rPr>
              <w:t xml:space="preserve"> في المائة بعد مراعاة عامل الضرائب المحلية.</w:t>
            </w:r>
            <w:r w:rsidR="00EB71D0">
              <w:rPr>
                <w:lang w:eastAsia="en-US"/>
              </w:rPr>
              <w:t xml:space="preserve"> </w:t>
            </w:r>
            <w:r w:rsidR="00EB71D0">
              <w:rPr>
                <w:rFonts w:hint="cs"/>
                <w:rtl/>
                <w:lang w:eastAsia="en-US" w:bidi="ar-EG"/>
              </w:rPr>
              <w:t xml:space="preserve"> وتبلغ الآثار المالية لعام 2023 المترتبة على تنفيذ جداول المرتبات الجديدة </w:t>
            </w:r>
            <w:r w:rsidR="00EB71D0">
              <w:rPr>
                <w:lang w:eastAsia="en-US" w:bidi="ar-EG"/>
              </w:rPr>
              <w:t>1 200 000</w:t>
            </w:r>
            <w:r w:rsidR="00EB71D0">
              <w:rPr>
                <w:rFonts w:hint="cs"/>
                <w:rtl/>
                <w:lang w:eastAsia="en-US" w:bidi="ar-EG"/>
              </w:rPr>
              <w:t xml:space="preserve"> فرنك سويسري.</w:t>
            </w:r>
          </w:p>
          <w:p w14:paraId="5F37D39D" w14:textId="3AE3B141" w:rsidR="00EB71D0" w:rsidRDefault="009F7080" w:rsidP="009F7080">
            <w:pPr>
              <w:pStyle w:val="enumlev1"/>
              <w:rPr>
                <w:rtl/>
              </w:rPr>
            </w:pPr>
            <w:r w:rsidRPr="009F7080">
              <w:rPr>
                <w:sz w:val="26"/>
                <w:szCs w:val="26"/>
                <w:rtl/>
              </w:rPr>
              <w:t>•</w:t>
            </w:r>
            <w:r>
              <w:rPr>
                <w:rtl/>
              </w:rPr>
              <w:tab/>
            </w:r>
            <w:r w:rsidR="00EB71D0">
              <w:rPr>
                <w:rFonts w:hint="cs"/>
                <w:rtl/>
                <w:lang w:bidi="ar-EG"/>
              </w:rPr>
              <w:t xml:space="preserve">وفقاً للمادة 51 (ب) من النظام الأساسي للصندوق المشترك للمعاشات التقاعدية لموظفي الأمم المتحدة، تم تعديل </w:t>
            </w:r>
            <w:r w:rsidR="00CF34E0">
              <w:rPr>
                <w:rFonts w:hint="cs"/>
                <w:rtl/>
                <w:lang w:bidi="ar-EG"/>
              </w:rPr>
              <w:t xml:space="preserve">جدول الأجر الداخل في حساب المعاش التقاعدي المنطبق على جميع موظفي الفئتين الفنية والعليا. وتبلغ الآثار المالية لعام 2023 الناجمة عن تنفيذ الجدول الجديد للأجر الداخل في حساب المعاش التقاعدي </w:t>
            </w:r>
            <w:r w:rsidR="00CF34E0">
              <w:rPr>
                <w:lang w:bidi="ar-EG"/>
              </w:rPr>
              <w:t>568 330</w:t>
            </w:r>
            <w:r w:rsidR="00CF34E0">
              <w:rPr>
                <w:rFonts w:hint="cs"/>
                <w:rtl/>
                <w:lang w:bidi="ar-EG"/>
              </w:rPr>
              <w:t xml:space="preserve"> فرنكاً سويسرياً في عام 2023 (لتغطية فترة 11 شهراً من 1 فبراير 2023 </w:t>
            </w:r>
            <w:r w:rsidR="00145A1F">
              <w:rPr>
                <w:rFonts w:hint="cs"/>
                <w:rtl/>
                <w:lang w:bidi="ar-EG"/>
              </w:rPr>
              <w:t>حتى نهاية العام).</w:t>
            </w:r>
          </w:p>
          <w:p w14:paraId="5E8AB51A" w14:textId="77777777" w:rsidR="007B0AA0" w:rsidRPr="007B0AA0" w:rsidRDefault="007B0AA0" w:rsidP="007B0AA0">
            <w:pPr>
              <w:rPr>
                <w:b/>
                <w:bCs/>
                <w:rtl/>
              </w:rPr>
            </w:pPr>
            <w:r w:rsidRPr="007B0AA0">
              <w:rPr>
                <w:rFonts w:hint="cs"/>
                <w:b/>
                <w:bCs/>
                <w:rtl/>
              </w:rPr>
              <w:t>المراجع</w:t>
            </w:r>
          </w:p>
          <w:p w14:paraId="0A529F9C" w14:textId="4D69DAF4" w:rsidR="007B0AA0" w:rsidRPr="00221C4E" w:rsidRDefault="004D0706" w:rsidP="007812D9">
            <w:pPr>
              <w:spacing w:after="120"/>
              <w:rPr>
                <w:i/>
                <w:iCs/>
                <w:lang w:bidi="ar-EG"/>
              </w:rPr>
            </w:pPr>
            <w:hyperlink r:id="rId8" w:history="1">
              <w:r w:rsidR="00221C4E" w:rsidRPr="00221C4E">
                <w:rPr>
                  <w:rStyle w:val="Hyperlink"/>
                  <w:rFonts w:hint="cs"/>
                  <w:i/>
                  <w:iCs/>
                  <w:rtl/>
                </w:rPr>
                <w:t>القرار 46</w:t>
              </w:r>
            </w:hyperlink>
            <w:r w:rsidR="00221C4E" w:rsidRPr="00221C4E">
              <w:rPr>
                <w:rFonts w:hint="cs"/>
                <w:i/>
                <w:iCs/>
                <w:rtl/>
              </w:rPr>
              <w:t xml:space="preserve"> (</w:t>
            </w:r>
            <w:r w:rsidR="00221C4E" w:rsidRPr="00221C4E">
              <w:rPr>
                <w:i/>
                <w:iCs/>
                <w:rtl/>
              </w:rPr>
              <w:t>كيوتو</w:t>
            </w:r>
            <w:r w:rsidR="00221C4E" w:rsidRPr="00221C4E">
              <w:rPr>
                <w:rFonts w:hint="cs"/>
                <w:i/>
                <w:iCs/>
                <w:rtl/>
                <w:lang w:bidi="ar-EG"/>
              </w:rPr>
              <w:t xml:space="preserve">، 1994) لمؤتمر المندوبين المفوضين؛ </w:t>
            </w:r>
            <w:hyperlink r:id="rId9" w:history="1">
              <w:r w:rsidR="00221C4E" w:rsidRPr="00221C4E">
                <w:rPr>
                  <w:rStyle w:val="Hyperlink"/>
                  <w:rFonts w:hint="cs"/>
                  <w:i/>
                  <w:iCs/>
                  <w:rtl/>
                  <w:lang w:bidi="ar-EG"/>
                </w:rPr>
                <w:t>القرار 647</w:t>
              </w:r>
            </w:hyperlink>
            <w:r w:rsidR="00221C4E" w:rsidRPr="00221C4E">
              <w:rPr>
                <w:rFonts w:hint="cs"/>
                <w:i/>
                <w:iCs/>
                <w:rtl/>
                <w:lang w:bidi="ar-EG"/>
              </w:rPr>
              <w:t xml:space="preserve"> </w:t>
            </w:r>
            <w:r w:rsidR="00145A1F">
              <w:rPr>
                <w:rFonts w:hint="cs"/>
                <w:i/>
                <w:iCs/>
                <w:rtl/>
                <w:lang w:bidi="ar-EG"/>
              </w:rPr>
              <w:t xml:space="preserve">للمجلس </w:t>
            </w:r>
            <w:r w:rsidR="00221C4E" w:rsidRPr="00221C4E">
              <w:rPr>
                <w:rFonts w:hint="cs"/>
                <w:i/>
                <w:iCs/>
                <w:rtl/>
                <w:lang w:bidi="ar-EG"/>
              </w:rPr>
              <w:t>(</w:t>
            </w:r>
            <w:r w:rsidR="00145A1F">
              <w:rPr>
                <w:rFonts w:hint="cs"/>
                <w:i/>
                <w:iCs/>
                <w:rtl/>
                <w:lang w:bidi="ar-EG"/>
              </w:rPr>
              <w:t>دورة المجلس لعام 1969؛ التعديل الأخير في دورة المجلس لعام 2003</w:t>
            </w:r>
            <w:r w:rsidR="00221C4E" w:rsidRPr="00221C4E">
              <w:rPr>
                <w:rFonts w:hint="cs"/>
                <w:i/>
                <w:iCs/>
                <w:rtl/>
                <w:lang w:bidi="ar-EG"/>
              </w:rPr>
              <w:t xml:space="preserve">) </w:t>
            </w:r>
          </w:p>
        </w:tc>
      </w:tr>
    </w:tbl>
    <w:p w14:paraId="08ED95DC" w14:textId="77777777" w:rsidR="00133CE1" w:rsidRPr="00486E52" w:rsidRDefault="00133CE1" w:rsidP="00133CE1">
      <w:pPr>
        <w:pStyle w:val="Heading1"/>
        <w:rPr>
          <w:rtl/>
        </w:rPr>
      </w:pPr>
      <w:r w:rsidRPr="00486E52">
        <w:rPr>
          <w:rFonts w:hint="cs"/>
          <w:rtl/>
        </w:rPr>
        <w:lastRenderedPageBreak/>
        <w:t>أولاً</w:t>
      </w:r>
      <w:r w:rsidRPr="00486E52">
        <w:rPr>
          <w:rFonts w:hint="cs"/>
          <w:rtl/>
        </w:rPr>
        <w:tab/>
        <w:t>شروط خدمة الموظفين المعينين</w:t>
      </w:r>
    </w:p>
    <w:p w14:paraId="1D9ADA69" w14:textId="77777777" w:rsidR="00133CE1" w:rsidRPr="00486E52" w:rsidRDefault="00133CE1" w:rsidP="00133CE1">
      <w:pPr>
        <w:pStyle w:val="Heading2"/>
        <w:rPr>
          <w:rtl/>
        </w:rPr>
      </w:pPr>
      <w:r w:rsidRPr="00486E52">
        <w:rPr>
          <w:rFonts w:hint="cs"/>
          <w:rtl/>
        </w:rPr>
        <w:t>ألف</w:t>
      </w:r>
      <w:r w:rsidRPr="00486E52">
        <w:rPr>
          <w:rFonts w:hint="cs"/>
          <w:rtl/>
        </w:rPr>
        <w:tab/>
        <w:t>موظفو الفئتين الفنية والعليا</w:t>
      </w:r>
    </w:p>
    <w:p w14:paraId="58B9BE8B" w14:textId="4BD12EB4" w:rsidR="00133CE1" w:rsidRPr="00011C27" w:rsidRDefault="00133CE1" w:rsidP="00133CE1">
      <w:pPr>
        <w:rPr>
          <w:rFonts w:eastAsia="Times New Roman"/>
          <w:rtl/>
          <w:lang w:eastAsia="en-US" w:bidi="ar-EG"/>
        </w:rPr>
      </w:pPr>
      <w:r w:rsidRPr="00011C27">
        <w:rPr>
          <w:rFonts w:eastAsia="Times New Roman"/>
          <w:lang w:eastAsia="en-US" w:bidi="ar-SY"/>
        </w:rPr>
        <w:t>1</w:t>
      </w:r>
      <w:r w:rsidRPr="00011C27">
        <w:rPr>
          <w:rFonts w:eastAsia="Times New Roman" w:hint="cs"/>
          <w:rtl/>
          <w:lang w:eastAsia="en-US" w:bidi="ar-EG"/>
        </w:rPr>
        <w:tab/>
        <w:t>بناءً على التوصيات المقدمة من لجنة الخدمة المدنية الدولية</w:t>
      </w:r>
      <w:r w:rsidRPr="00011C27">
        <w:rPr>
          <w:rFonts w:eastAsia="Times New Roman" w:hint="eastAsia"/>
          <w:rtl/>
          <w:lang w:eastAsia="en-US" w:bidi="ar-EG"/>
        </w:rPr>
        <w:t> </w:t>
      </w:r>
      <w:r w:rsidRPr="00011C27">
        <w:rPr>
          <w:rFonts w:eastAsia="Times New Roman"/>
          <w:lang w:eastAsia="en-US" w:bidi="ar-SY"/>
        </w:rPr>
        <w:t>(ICSC)</w:t>
      </w:r>
      <w:r w:rsidRPr="00011C27">
        <w:rPr>
          <w:rFonts w:eastAsia="Times New Roman" w:hint="cs"/>
          <w:rtl/>
          <w:lang w:eastAsia="en-US" w:bidi="ar-EG"/>
        </w:rPr>
        <w:t xml:space="preserve"> عن عام</w:t>
      </w:r>
      <w:r>
        <w:rPr>
          <w:rFonts w:eastAsia="Times New Roman" w:hint="eastAsia"/>
          <w:rtl/>
          <w:lang w:eastAsia="en-US" w:bidi="ar-EG"/>
        </w:rPr>
        <w:t> </w:t>
      </w:r>
      <w:r>
        <w:rPr>
          <w:rFonts w:eastAsia="Times New Roman"/>
          <w:lang w:eastAsia="en-US" w:bidi="ar-SY"/>
        </w:rPr>
        <w:t>2022</w:t>
      </w:r>
      <w:r w:rsidRPr="00011C27">
        <w:rPr>
          <w:rFonts w:eastAsia="Times New Roman" w:hint="cs"/>
          <w:rtl/>
          <w:lang w:eastAsia="en-US" w:bidi="ar-EG"/>
        </w:rPr>
        <w:t>، اعتمدت الجمعية العامة للأمم المتحدة</w:t>
      </w:r>
      <w:r w:rsidR="00075FE5">
        <w:rPr>
          <w:rFonts w:eastAsia="Times New Roman" w:hint="cs"/>
          <w:rtl/>
          <w:lang w:eastAsia="en-US" w:bidi="ar-EG"/>
        </w:rPr>
        <w:t>،</w:t>
      </w:r>
      <w:r w:rsidRPr="00011C27">
        <w:rPr>
          <w:rFonts w:eastAsia="Times New Roman" w:hint="eastAsia"/>
          <w:rtl/>
          <w:lang w:eastAsia="en-US" w:bidi="ar-EG"/>
        </w:rPr>
        <w:t> </w:t>
      </w:r>
      <w:r w:rsidRPr="00011C27">
        <w:rPr>
          <w:rFonts w:eastAsia="Times New Roman" w:hint="cs"/>
          <w:rtl/>
          <w:lang w:eastAsia="en-US" w:bidi="ar-EG"/>
        </w:rPr>
        <w:t xml:space="preserve">بموجب </w:t>
      </w:r>
      <w:r w:rsidRPr="00133CE1">
        <w:rPr>
          <w:rFonts w:hint="cs"/>
          <w:rtl/>
        </w:rPr>
        <w:t xml:space="preserve">قرارها </w:t>
      </w:r>
      <w:r w:rsidRPr="00133CE1">
        <w:t>77/256</w:t>
      </w:r>
      <w:r w:rsidRPr="00A7732C">
        <w:rPr>
          <w:rFonts w:eastAsia="Times New Roman" w:hint="cs"/>
          <w:rtl/>
          <w:lang w:eastAsia="en-US" w:bidi="ar-EG"/>
        </w:rPr>
        <w:t xml:space="preserve"> </w:t>
      </w:r>
      <w:r w:rsidRPr="00011C27">
        <w:rPr>
          <w:rFonts w:eastAsia="Times New Roman" w:hint="cs"/>
          <w:rtl/>
          <w:lang w:eastAsia="en-US" w:bidi="ar-EG"/>
        </w:rPr>
        <w:t xml:space="preserve">المؤرخ </w:t>
      </w:r>
      <w:r>
        <w:rPr>
          <w:rFonts w:eastAsia="Times New Roman"/>
          <w:lang w:eastAsia="en-US" w:bidi="ar-SY"/>
        </w:rPr>
        <w:t>30</w:t>
      </w:r>
      <w:r>
        <w:rPr>
          <w:rFonts w:eastAsia="Times New Roman" w:hint="eastAsia"/>
          <w:rtl/>
          <w:lang w:eastAsia="en-US" w:bidi="ar-EG"/>
        </w:rPr>
        <w:t> </w:t>
      </w:r>
      <w:r w:rsidRPr="00011C27">
        <w:rPr>
          <w:rFonts w:eastAsia="Times New Roman" w:hint="cs"/>
          <w:rtl/>
          <w:lang w:eastAsia="en-US" w:bidi="ar-EG"/>
        </w:rPr>
        <w:t>ديسمبر</w:t>
      </w:r>
      <w:r>
        <w:rPr>
          <w:rFonts w:eastAsia="Times New Roman" w:hint="eastAsia"/>
          <w:rtl/>
          <w:lang w:eastAsia="en-US" w:bidi="ar-EG"/>
        </w:rPr>
        <w:t> </w:t>
      </w:r>
      <w:r>
        <w:rPr>
          <w:rFonts w:eastAsia="Times New Roman"/>
          <w:lang w:eastAsia="en-US" w:bidi="ar-SY"/>
        </w:rPr>
        <w:t>2022</w:t>
      </w:r>
      <w:r w:rsidRPr="00011C27">
        <w:rPr>
          <w:rFonts w:eastAsia="Times New Roman" w:hint="cs"/>
          <w:rtl/>
          <w:lang w:eastAsia="en-US" w:bidi="ar-EG"/>
        </w:rPr>
        <w:t>، قرارات بشأن شروط خدمة موظفي الفئتين الفنية والعليا.</w:t>
      </w:r>
    </w:p>
    <w:p w14:paraId="68CFB083" w14:textId="77777777" w:rsidR="00133CE1" w:rsidRPr="00011C27" w:rsidRDefault="00133CE1" w:rsidP="00133CE1">
      <w:pPr>
        <w:pStyle w:val="Headingb"/>
        <w:ind w:left="1928"/>
        <w:rPr>
          <w:rtl/>
          <w:lang w:bidi="ar-EG"/>
        </w:rPr>
      </w:pPr>
      <w:r w:rsidRPr="00011C27">
        <w:rPr>
          <w:rFonts w:hint="cs"/>
          <w:rtl/>
        </w:rPr>
        <w:t>جدول المرتبات الأساسية/الدنيا</w:t>
      </w:r>
    </w:p>
    <w:p w14:paraId="02B37F84" w14:textId="5AEF81DB" w:rsidR="00133CE1" w:rsidRPr="00011C27" w:rsidRDefault="00133CE1" w:rsidP="00133CE1">
      <w:pPr>
        <w:rPr>
          <w:rtl/>
          <w:lang w:eastAsia="en-US" w:bidi="ar-EG"/>
        </w:rPr>
      </w:pPr>
      <w:r w:rsidRPr="00011C27">
        <w:rPr>
          <w:lang w:eastAsia="en-US" w:bidi="ar-SY"/>
        </w:rPr>
        <w:t>2</w:t>
      </w:r>
      <w:r w:rsidRPr="00011C27">
        <w:rPr>
          <w:rFonts w:hint="cs"/>
          <w:rtl/>
          <w:lang w:eastAsia="en-US" w:bidi="ar-EG"/>
        </w:rPr>
        <w:tab/>
      </w:r>
      <w:r w:rsidR="001A52DF">
        <w:rPr>
          <w:rFonts w:hint="cs"/>
          <w:rtl/>
          <w:lang w:eastAsia="en-US" w:bidi="ar-EG"/>
        </w:rPr>
        <w:t>شهد</w:t>
      </w:r>
      <w:r w:rsidRPr="00011C27">
        <w:rPr>
          <w:rFonts w:hint="cs"/>
          <w:rtl/>
          <w:lang w:eastAsia="en-US" w:bidi="ar-EG"/>
        </w:rPr>
        <w:t xml:space="preserve"> جدول </w:t>
      </w:r>
      <w:r>
        <w:rPr>
          <w:rFonts w:hint="cs"/>
          <w:rtl/>
          <w:lang w:eastAsia="en-US" w:bidi="ar-EG"/>
        </w:rPr>
        <w:t>المرتبات</w:t>
      </w:r>
      <w:r w:rsidRPr="00011C27">
        <w:rPr>
          <w:rFonts w:hint="cs"/>
          <w:rtl/>
          <w:lang w:eastAsia="en-US" w:bidi="ar-EG"/>
        </w:rPr>
        <w:t xml:space="preserve"> الأساسية/الدنيا</w:t>
      </w:r>
      <w:r>
        <w:rPr>
          <w:rStyle w:val="FootnoteReference"/>
          <w:rtl/>
          <w:lang w:eastAsia="en-US" w:bidi="ar-EG"/>
        </w:rPr>
        <w:footnoteReference w:id="1"/>
      </w:r>
      <w:r w:rsidRPr="00011C27">
        <w:rPr>
          <w:rFonts w:hint="cs"/>
          <w:rtl/>
          <w:lang w:eastAsia="en-US" w:bidi="ar-EG"/>
        </w:rPr>
        <w:t xml:space="preserve"> زيادة قدرها </w:t>
      </w:r>
      <w:r>
        <w:rPr>
          <w:lang w:eastAsia="en-US" w:bidi="ar-SY"/>
        </w:rPr>
        <w:t>2,28</w:t>
      </w:r>
      <w:r w:rsidRPr="00011C27">
        <w:rPr>
          <w:rFonts w:hint="cs"/>
          <w:rtl/>
          <w:lang w:eastAsia="en-US" w:bidi="ar-EG"/>
        </w:rPr>
        <w:t xml:space="preserve"> في المائة اعتباراً من </w:t>
      </w:r>
      <w:r w:rsidRPr="00011C27">
        <w:rPr>
          <w:lang w:eastAsia="en-US" w:bidi="ar-SY"/>
        </w:rPr>
        <w:t>1</w:t>
      </w:r>
      <w:r>
        <w:rPr>
          <w:rFonts w:hint="eastAsia"/>
          <w:rtl/>
          <w:lang w:eastAsia="en-US" w:bidi="ar-EG"/>
        </w:rPr>
        <w:t> </w:t>
      </w:r>
      <w:r w:rsidRPr="00011C27">
        <w:rPr>
          <w:rFonts w:hint="cs"/>
          <w:rtl/>
          <w:lang w:eastAsia="en-US" w:bidi="ar-EG"/>
        </w:rPr>
        <w:t>يناير</w:t>
      </w:r>
      <w:r w:rsidRPr="00011C27">
        <w:rPr>
          <w:rFonts w:hint="eastAsia"/>
          <w:rtl/>
          <w:lang w:eastAsia="en-US" w:bidi="ar-EG"/>
        </w:rPr>
        <w:t> </w:t>
      </w:r>
      <w:r>
        <w:rPr>
          <w:rFonts w:hint="cs"/>
          <w:rtl/>
          <w:lang w:eastAsia="en-US" w:bidi="ar-SY"/>
        </w:rPr>
        <w:t>2023</w:t>
      </w:r>
      <w:r w:rsidRPr="00011C27">
        <w:rPr>
          <w:rFonts w:hint="cs"/>
          <w:rtl/>
          <w:lang w:eastAsia="en-US" w:bidi="ar-EG"/>
        </w:rPr>
        <w:t>.</w:t>
      </w:r>
    </w:p>
    <w:p w14:paraId="3B2F89F9" w14:textId="660E6941" w:rsidR="00133CE1" w:rsidRPr="00011C27" w:rsidRDefault="00133CE1" w:rsidP="003F1124">
      <w:pPr>
        <w:rPr>
          <w:rtl/>
          <w:lang w:eastAsia="en-US" w:bidi="ar-EG"/>
        </w:rPr>
      </w:pPr>
      <w:r w:rsidRPr="00011C27">
        <w:rPr>
          <w:lang w:eastAsia="en-US" w:bidi="ar-SY"/>
        </w:rPr>
        <w:t>3</w:t>
      </w:r>
      <w:r w:rsidRPr="00011C27">
        <w:rPr>
          <w:rFonts w:hint="cs"/>
          <w:rtl/>
          <w:lang w:eastAsia="en-US" w:bidi="ar-EG"/>
        </w:rPr>
        <w:tab/>
      </w:r>
      <w:r w:rsidR="00083574">
        <w:rPr>
          <w:rFonts w:hint="cs"/>
          <w:rtl/>
          <w:lang w:eastAsia="en-US" w:bidi="ar-EG"/>
        </w:rPr>
        <w:t>كما وافقت الجمعية العامة للأمم المتحدة</w:t>
      </w:r>
      <w:r>
        <w:rPr>
          <w:rStyle w:val="FootnoteReference"/>
          <w:rtl/>
          <w:lang w:eastAsia="en-US" w:bidi="ar-EG"/>
        </w:rPr>
        <w:footnoteReference w:id="2"/>
      </w:r>
      <w:r w:rsidR="00083574">
        <w:rPr>
          <w:rFonts w:hint="cs"/>
          <w:rtl/>
          <w:lang w:eastAsia="en-US" w:bidi="ar-EG"/>
        </w:rPr>
        <w:t>، وبناءً على تقرير لجنة الخدمة المدنية الدولية لعام 2022</w:t>
      </w:r>
      <w:r>
        <w:rPr>
          <w:rStyle w:val="FootnoteReference"/>
          <w:rtl/>
          <w:lang w:eastAsia="en-US" w:bidi="ar-EG"/>
        </w:rPr>
        <w:footnoteReference w:id="3"/>
      </w:r>
      <w:r w:rsidR="00083574">
        <w:rPr>
          <w:rFonts w:hint="cs"/>
          <w:rtl/>
          <w:lang w:eastAsia="en-US" w:bidi="ar-EG"/>
        </w:rPr>
        <w:t xml:space="preserve">، </w:t>
      </w:r>
      <w:r w:rsidRPr="00011C27">
        <w:rPr>
          <w:rFonts w:hint="cs"/>
          <w:rtl/>
          <w:lang w:eastAsia="en-US" w:bidi="ar-EG"/>
        </w:rPr>
        <w:t xml:space="preserve">جرى تنفيذ جدول المرتبات الأساسية/الدنيا المنقح </w:t>
      </w:r>
      <w:r w:rsidR="00083574">
        <w:rPr>
          <w:rFonts w:hint="cs"/>
          <w:rtl/>
          <w:lang w:eastAsia="en-US" w:bidi="ar-EG"/>
        </w:rPr>
        <w:t xml:space="preserve">لعام 2023 </w:t>
      </w:r>
      <w:r w:rsidRPr="00011C27">
        <w:rPr>
          <w:rFonts w:hint="cs"/>
          <w:rtl/>
          <w:lang w:eastAsia="en-US" w:bidi="ar-EG"/>
        </w:rPr>
        <w:t>على أساس "لا</w:t>
      </w:r>
      <w:r w:rsidRPr="00011C27">
        <w:rPr>
          <w:rFonts w:hint="eastAsia"/>
          <w:rtl/>
          <w:lang w:eastAsia="en-US" w:bidi="ar-EG"/>
        </w:rPr>
        <w:t> </w:t>
      </w:r>
      <w:r w:rsidRPr="00011C27">
        <w:rPr>
          <w:rFonts w:hint="cs"/>
          <w:rtl/>
          <w:lang w:eastAsia="en-US" w:bidi="ar-EG"/>
        </w:rPr>
        <w:t>خسارة ولا</w:t>
      </w:r>
      <w:r w:rsidRPr="00011C27">
        <w:rPr>
          <w:rFonts w:hint="eastAsia"/>
          <w:rtl/>
          <w:lang w:eastAsia="en-US" w:bidi="ar-EG"/>
        </w:rPr>
        <w:t> </w:t>
      </w:r>
      <w:r w:rsidR="00083574">
        <w:rPr>
          <w:rFonts w:hint="cs"/>
          <w:rtl/>
          <w:lang w:eastAsia="en-US" w:bidi="ar-EG"/>
        </w:rPr>
        <w:t>م</w:t>
      </w:r>
      <w:r w:rsidRPr="00011C27">
        <w:rPr>
          <w:rFonts w:hint="cs"/>
          <w:rtl/>
          <w:lang w:eastAsia="en-US" w:bidi="ar-EG"/>
        </w:rPr>
        <w:t>كسب". وبالتالي، جرى تخفيض مضاعفات تسوية مقر</w:t>
      </w:r>
      <w:r w:rsidRPr="00011C27">
        <w:rPr>
          <w:rFonts w:hint="eastAsia"/>
          <w:rtl/>
          <w:lang w:eastAsia="en-US" w:bidi="ar-EG"/>
        </w:rPr>
        <w:t> </w:t>
      </w:r>
      <w:r w:rsidRPr="00011C27">
        <w:rPr>
          <w:rFonts w:hint="cs"/>
          <w:rtl/>
          <w:lang w:eastAsia="en-US" w:bidi="ar-EG"/>
        </w:rPr>
        <w:t xml:space="preserve">العمل المطبقة في جميع مراكز العمل بنسبة </w:t>
      </w:r>
      <w:r>
        <w:rPr>
          <w:rFonts w:hint="cs"/>
          <w:rtl/>
          <w:lang w:eastAsia="en-US" w:bidi="ar-SY"/>
        </w:rPr>
        <w:t>2,28</w:t>
      </w:r>
      <w:r w:rsidRPr="00011C27">
        <w:rPr>
          <w:rFonts w:hint="cs"/>
          <w:rtl/>
          <w:lang w:eastAsia="en-US" w:bidi="ar-EG"/>
        </w:rPr>
        <w:t xml:space="preserve"> في المائة. وعليه، في حين زاد جزء المرتب الأساسي من الأجر الصافي بنسبة</w:t>
      </w:r>
      <w:r w:rsidRPr="00011C27">
        <w:rPr>
          <w:rFonts w:hint="eastAsia"/>
          <w:rtl/>
          <w:lang w:eastAsia="en-US" w:bidi="ar-EG"/>
        </w:rPr>
        <w:t> </w:t>
      </w:r>
      <w:r>
        <w:rPr>
          <w:rFonts w:hint="cs"/>
          <w:rtl/>
          <w:lang w:eastAsia="en-US" w:bidi="ar-SY"/>
        </w:rPr>
        <w:t>2,28</w:t>
      </w:r>
      <w:r w:rsidRPr="00011C27">
        <w:rPr>
          <w:rFonts w:hint="eastAsia"/>
          <w:rtl/>
          <w:lang w:eastAsia="en-US" w:bidi="ar-EG"/>
        </w:rPr>
        <w:t> </w:t>
      </w:r>
      <w:r w:rsidRPr="00011C27">
        <w:rPr>
          <w:rFonts w:hint="cs"/>
          <w:rtl/>
          <w:lang w:eastAsia="en-US" w:bidi="ar-EG"/>
        </w:rPr>
        <w:t>في</w:t>
      </w:r>
      <w:r w:rsidRPr="00011C27">
        <w:rPr>
          <w:rFonts w:hint="eastAsia"/>
          <w:rtl/>
          <w:lang w:eastAsia="en-US" w:bidi="ar-EG"/>
        </w:rPr>
        <w:t> </w:t>
      </w:r>
      <w:r w:rsidRPr="00011C27">
        <w:rPr>
          <w:rFonts w:hint="cs"/>
          <w:rtl/>
          <w:lang w:eastAsia="en-US" w:bidi="ar-EG"/>
        </w:rPr>
        <w:t>المائة، جرى تخفيض عنصر</w:t>
      </w:r>
      <w:r w:rsidRPr="00011C27">
        <w:rPr>
          <w:rFonts w:hint="eastAsia"/>
          <w:rtl/>
          <w:lang w:eastAsia="en-US" w:bidi="ar-EG"/>
        </w:rPr>
        <w:t xml:space="preserve"> </w:t>
      </w:r>
      <w:r w:rsidRPr="00011C27">
        <w:rPr>
          <w:rFonts w:hint="cs"/>
          <w:rtl/>
          <w:lang w:eastAsia="en-US" w:bidi="ar-EG"/>
        </w:rPr>
        <w:t>تسوية</w:t>
      </w:r>
      <w:r w:rsidRPr="00011C27">
        <w:rPr>
          <w:rtl/>
          <w:lang w:eastAsia="en-US" w:bidi="ar-EG"/>
        </w:rPr>
        <w:t xml:space="preserve"> </w:t>
      </w:r>
      <w:r w:rsidRPr="00011C27">
        <w:rPr>
          <w:rFonts w:hint="eastAsia"/>
          <w:rtl/>
          <w:lang w:eastAsia="en-US" w:bidi="ar-EG"/>
        </w:rPr>
        <w:t>مقر</w:t>
      </w:r>
      <w:r w:rsidRPr="00011C27">
        <w:rPr>
          <w:rtl/>
          <w:lang w:eastAsia="en-US" w:bidi="ar-EG"/>
        </w:rPr>
        <w:t xml:space="preserve"> </w:t>
      </w:r>
      <w:r w:rsidRPr="00011C27">
        <w:rPr>
          <w:rFonts w:hint="cs"/>
          <w:rtl/>
          <w:lang w:eastAsia="en-US" w:bidi="ar-EG"/>
        </w:rPr>
        <w:t>العمل بنفس النسبة المئوية، و</w:t>
      </w:r>
      <w:r w:rsidR="00083574">
        <w:rPr>
          <w:rFonts w:hint="cs"/>
          <w:rtl/>
          <w:lang w:eastAsia="en-US" w:bidi="ar-EG"/>
        </w:rPr>
        <w:t>ي</w:t>
      </w:r>
      <w:r w:rsidRPr="00011C27">
        <w:rPr>
          <w:rFonts w:hint="cs"/>
          <w:rtl/>
          <w:lang w:eastAsia="en-US" w:bidi="ar-EG"/>
        </w:rPr>
        <w:t xml:space="preserve">ظل إجمالي الأجر </w:t>
      </w:r>
      <w:r w:rsidR="00083574">
        <w:rPr>
          <w:rFonts w:hint="cs"/>
          <w:rtl/>
          <w:lang w:eastAsia="en-US" w:bidi="ar-EG"/>
        </w:rPr>
        <w:t xml:space="preserve">بالعملة المحلية </w:t>
      </w:r>
      <w:r w:rsidRPr="00011C27">
        <w:rPr>
          <w:rFonts w:hint="cs"/>
          <w:rtl/>
          <w:lang w:eastAsia="en-US" w:bidi="ar-EG"/>
        </w:rPr>
        <w:t xml:space="preserve">(المرتب الأساسي </w:t>
      </w:r>
      <w:r w:rsidR="00083574">
        <w:rPr>
          <w:rFonts w:hint="cs"/>
          <w:rtl/>
          <w:lang w:eastAsia="en-US" w:bidi="ar-EG"/>
        </w:rPr>
        <w:t>مضافاً إليه</w:t>
      </w:r>
      <w:r w:rsidRPr="00011C27">
        <w:rPr>
          <w:rFonts w:hint="cs"/>
          <w:rtl/>
          <w:lang w:eastAsia="en-US" w:bidi="ar-EG"/>
        </w:rPr>
        <w:t xml:space="preserve"> تسوية مقر العمل)</w:t>
      </w:r>
      <w:r w:rsidR="00083574">
        <w:rPr>
          <w:rFonts w:hint="cs"/>
          <w:rtl/>
          <w:lang w:eastAsia="en-US" w:bidi="ar-EG"/>
        </w:rPr>
        <w:t xml:space="preserve"> بدون تغيير</w:t>
      </w:r>
      <w:r w:rsidRPr="00011C27">
        <w:rPr>
          <w:rFonts w:hint="cs"/>
          <w:rtl/>
          <w:lang w:eastAsia="en-US" w:bidi="ar-EG"/>
        </w:rPr>
        <w:t>، رهناً بتغييرات بسيطة جداً نتيجة تقريب الأرقام.</w:t>
      </w:r>
      <w:r w:rsidR="00083574">
        <w:rPr>
          <w:rFonts w:hint="cs"/>
          <w:rtl/>
          <w:lang w:eastAsia="en-US" w:bidi="ar-EG"/>
        </w:rPr>
        <w:t xml:space="preserve"> ولا يسفر ذلك عن أي تغيير في صافي مرتبات الموظفين ولا يترتب عليه أي تكاليف إضافية تتحملها المنظمة.</w:t>
      </w:r>
    </w:p>
    <w:p w14:paraId="29CCF6F1" w14:textId="00D4074B" w:rsidR="00133CE1" w:rsidRPr="00011C27" w:rsidRDefault="00133CE1" w:rsidP="00133CE1">
      <w:pPr>
        <w:rPr>
          <w:rFonts w:eastAsia="Times New Roman"/>
          <w:rtl/>
          <w:lang w:eastAsia="en-US" w:bidi="ar-EG"/>
        </w:rPr>
      </w:pPr>
      <w:r w:rsidRPr="00011C27">
        <w:rPr>
          <w:rFonts w:eastAsia="Times New Roman"/>
          <w:lang w:eastAsia="en-US" w:bidi="ar-SY"/>
        </w:rPr>
        <w:t>4</w:t>
      </w:r>
      <w:r w:rsidRPr="00011C27">
        <w:rPr>
          <w:rFonts w:eastAsia="Times New Roman" w:hint="cs"/>
          <w:rtl/>
          <w:lang w:eastAsia="en-US" w:bidi="ar-EG"/>
        </w:rPr>
        <w:tab/>
        <w:t>وي</w:t>
      </w:r>
      <w:r w:rsidR="00E839BD">
        <w:rPr>
          <w:rFonts w:eastAsia="Times New Roman" w:hint="cs"/>
          <w:rtl/>
          <w:lang w:eastAsia="en-US" w:bidi="ar-EG"/>
        </w:rPr>
        <w:t>ُ</w:t>
      </w:r>
      <w:r w:rsidRPr="00011C27">
        <w:rPr>
          <w:rFonts w:eastAsia="Times New Roman" w:hint="cs"/>
          <w:rtl/>
          <w:lang w:eastAsia="en-US" w:bidi="ar-EG"/>
        </w:rPr>
        <w:t xml:space="preserve">ستعمل جدول </w:t>
      </w:r>
      <w:r>
        <w:rPr>
          <w:rFonts w:eastAsia="Times New Roman" w:hint="cs"/>
          <w:rtl/>
          <w:lang w:eastAsia="en-US" w:bidi="ar-EG"/>
        </w:rPr>
        <w:t>المرتبات</w:t>
      </w:r>
      <w:r w:rsidRPr="00011C27">
        <w:rPr>
          <w:rFonts w:eastAsia="Times New Roman" w:hint="cs"/>
          <w:rtl/>
          <w:lang w:eastAsia="en-US" w:bidi="ar-EG"/>
        </w:rPr>
        <w:t xml:space="preserve"> الأساسية/الدنيا أيضاً لحساب بعض استحقاقات نهاية الخدمة (منحة العودة إلى الوطن وتعويض إنهاء</w:t>
      </w:r>
      <w:r>
        <w:rPr>
          <w:rFonts w:eastAsia="Times New Roman" w:hint="eastAsia"/>
          <w:rtl/>
          <w:lang w:eastAsia="en-US" w:bidi="ar-EG"/>
        </w:rPr>
        <w:t> </w:t>
      </w:r>
      <w:r w:rsidRPr="00011C27">
        <w:rPr>
          <w:rFonts w:eastAsia="Times New Roman" w:hint="cs"/>
          <w:rtl/>
          <w:lang w:eastAsia="en-US" w:bidi="ar-EG"/>
        </w:rPr>
        <w:t>الخدمة ومنحة</w:t>
      </w:r>
      <w:r>
        <w:rPr>
          <w:rFonts w:eastAsia="Times New Roman" w:hint="eastAsia"/>
          <w:rtl/>
          <w:lang w:eastAsia="en-US" w:bidi="ar-EG"/>
        </w:rPr>
        <w:t> </w:t>
      </w:r>
      <w:r w:rsidRPr="00011C27">
        <w:rPr>
          <w:rFonts w:eastAsia="Times New Roman" w:hint="cs"/>
          <w:rtl/>
          <w:lang w:eastAsia="en-US" w:bidi="ar-EG"/>
        </w:rPr>
        <w:t>الوفاة، حسب الحالة). وسيستفيد الموظفون الذين سيتركون الخدمة في الاتحاد اعتباراً من</w:t>
      </w:r>
      <w:r w:rsidRPr="00011C27">
        <w:rPr>
          <w:rFonts w:eastAsia="Times New Roman" w:hint="eastAsia"/>
          <w:rtl/>
          <w:lang w:eastAsia="en-US" w:bidi="ar-EG"/>
        </w:rPr>
        <w:t> </w:t>
      </w:r>
      <w:r w:rsidRPr="00011C27">
        <w:rPr>
          <w:rFonts w:eastAsia="Times New Roman"/>
          <w:lang w:eastAsia="en-US" w:bidi="ar-SY"/>
        </w:rPr>
        <w:t>1</w:t>
      </w:r>
      <w:r w:rsidRPr="00011C27">
        <w:rPr>
          <w:rFonts w:eastAsia="Times New Roman" w:hint="eastAsia"/>
          <w:rtl/>
          <w:lang w:eastAsia="en-US" w:bidi="ar-EG"/>
        </w:rPr>
        <w:t> </w:t>
      </w:r>
      <w:r w:rsidRPr="00011C27">
        <w:rPr>
          <w:rFonts w:eastAsia="Times New Roman" w:hint="cs"/>
          <w:rtl/>
          <w:lang w:eastAsia="en-US" w:bidi="ar-EG"/>
        </w:rPr>
        <w:t>يناير</w:t>
      </w:r>
      <w:r w:rsidRPr="00011C27">
        <w:rPr>
          <w:rFonts w:eastAsia="Times New Roman" w:hint="eastAsia"/>
          <w:rtl/>
          <w:lang w:eastAsia="en-US" w:bidi="ar-EG"/>
        </w:rPr>
        <w:t> </w:t>
      </w:r>
      <w:r>
        <w:rPr>
          <w:rFonts w:eastAsia="Times New Roman" w:hint="cs"/>
          <w:rtl/>
          <w:lang w:eastAsia="en-US" w:bidi="ar-SY"/>
        </w:rPr>
        <w:t>2023</w:t>
      </w:r>
      <w:r w:rsidRPr="00011C27">
        <w:rPr>
          <w:rFonts w:eastAsia="Times New Roman" w:hint="cs"/>
          <w:rtl/>
          <w:lang w:eastAsia="en-US" w:bidi="ar-EG"/>
        </w:rPr>
        <w:t xml:space="preserve"> والمستحقون لهذه الاستحقاقات من التعديل المدخل على </w:t>
      </w:r>
      <w:r w:rsidR="00E839BD" w:rsidRPr="00011C27">
        <w:rPr>
          <w:rFonts w:eastAsia="Times New Roman" w:hint="cs"/>
          <w:rtl/>
          <w:lang w:eastAsia="en-US" w:bidi="ar-EG"/>
        </w:rPr>
        <w:t xml:space="preserve">جدول </w:t>
      </w:r>
      <w:r w:rsidR="00E839BD">
        <w:rPr>
          <w:rFonts w:eastAsia="Times New Roman" w:hint="cs"/>
          <w:rtl/>
          <w:lang w:eastAsia="en-US" w:bidi="ar-EG"/>
        </w:rPr>
        <w:t>المرتبات</w:t>
      </w:r>
      <w:r w:rsidR="00E839BD" w:rsidRPr="00011C27">
        <w:rPr>
          <w:rFonts w:eastAsia="Times New Roman" w:hint="cs"/>
          <w:rtl/>
          <w:lang w:eastAsia="en-US" w:bidi="ar-EG"/>
        </w:rPr>
        <w:t xml:space="preserve"> الأساسية/الدنيا</w:t>
      </w:r>
      <w:r w:rsidRPr="00011C27">
        <w:rPr>
          <w:rFonts w:eastAsia="Times New Roman" w:hint="cs"/>
          <w:rtl/>
          <w:lang w:eastAsia="en-US" w:bidi="ar-EG"/>
        </w:rPr>
        <w:t>.</w:t>
      </w:r>
      <w:r>
        <w:rPr>
          <w:rFonts w:eastAsia="Times New Roman" w:hint="cs"/>
          <w:rtl/>
          <w:lang w:eastAsia="en-US" w:bidi="ar-EG"/>
        </w:rPr>
        <w:t xml:space="preserve"> </w:t>
      </w:r>
      <w:r w:rsidR="00E839BD">
        <w:rPr>
          <w:rFonts w:eastAsia="Times New Roman" w:hint="cs"/>
          <w:rtl/>
          <w:lang w:eastAsia="en-US" w:bidi="ar-EG"/>
        </w:rPr>
        <w:t>ويتم كل سنة في نهاية السنة التقويمية تحديد وتحديث التكاليف الإضافية المتعلقة باستحقاقات نهاية الخدمة في حساب اعتمادات الاتحاد.</w:t>
      </w:r>
    </w:p>
    <w:p w14:paraId="372A5218" w14:textId="77777777" w:rsidR="00133CE1" w:rsidRPr="00011C27" w:rsidRDefault="00133CE1" w:rsidP="00133CE1">
      <w:pPr>
        <w:pStyle w:val="Headingb"/>
        <w:ind w:left="1928"/>
        <w:rPr>
          <w:lang w:eastAsia="en-US" w:bidi="ar-EG"/>
        </w:rPr>
      </w:pPr>
      <w:r w:rsidRPr="00011C27">
        <w:rPr>
          <w:rFonts w:hint="cs"/>
          <w:rtl/>
          <w:lang w:eastAsia="en-US" w:bidi="ar-EG"/>
        </w:rPr>
        <w:t>الأجر الداخل في حساب المعاش التقا</w:t>
      </w:r>
      <w:r>
        <w:rPr>
          <w:rFonts w:hint="cs"/>
          <w:rtl/>
          <w:lang w:eastAsia="en-US" w:bidi="ar-EG"/>
        </w:rPr>
        <w:t>ع</w:t>
      </w:r>
      <w:r w:rsidRPr="00011C27">
        <w:rPr>
          <w:rFonts w:hint="cs"/>
          <w:rtl/>
          <w:lang w:eastAsia="en-US" w:bidi="ar-EG"/>
        </w:rPr>
        <w:t>دي</w:t>
      </w:r>
    </w:p>
    <w:p w14:paraId="6D9C34B0" w14:textId="10796D32" w:rsidR="00133CE1" w:rsidRPr="00811EB4" w:rsidRDefault="00133CE1" w:rsidP="00133CE1">
      <w:pPr>
        <w:rPr>
          <w:rFonts w:eastAsia="Times New Roman"/>
          <w:spacing w:val="-2"/>
          <w:lang w:eastAsia="en-US" w:bidi="ar-EG"/>
        </w:rPr>
      </w:pPr>
      <w:r w:rsidRPr="00811EB4">
        <w:rPr>
          <w:rFonts w:eastAsia="Times New Roman"/>
          <w:spacing w:val="-2"/>
          <w:lang w:eastAsia="en-US" w:bidi="ar-EG"/>
        </w:rPr>
        <w:t>5</w:t>
      </w:r>
      <w:r w:rsidRPr="00811EB4">
        <w:rPr>
          <w:rFonts w:eastAsia="Times New Roman"/>
          <w:spacing w:val="-2"/>
          <w:rtl/>
          <w:lang w:eastAsia="en-US" w:bidi="ar-EG"/>
        </w:rPr>
        <w:tab/>
      </w:r>
      <w:r w:rsidR="00FC47AA">
        <w:rPr>
          <w:rFonts w:eastAsia="Times New Roman" w:hint="cs"/>
          <w:rtl/>
          <w:lang w:eastAsia="en-US" w:bidi="ar-EG"/>
        </w:rPr>
        <w:t xml:space="preserve">اعتباراً من 1 فبراير 2023، تم تغيير تصنيف تسوية مقر العمل في نيويورك من المضاعف </w:t>
      </w:r>
      <w:r w:rsidR="00352A24" w:rsidRPr="008C1C53">
        <w:t>69</w:t>
      </w:r>
      <w:r w:rsidR="00352A24">
        <w:t>,</w:t>
      </w:r>
      <w:r w:rsidR="00352A24" w:rsidRPr="008C1C53">
        <w:t>9</w:t>
      </w:r>
      <w:r w:rsidR="00FC47AA">
        <w:rPr>
          <w:rFonts w:eastAsia="Times New Roman" w:hint="cs"/>
          <w:rtl/>
          <w:lang w:eastAsia="en-US" w:bidi="ar-EG"/>
        </w:rPr>
        <w:t xml:space="preserve"> إلى المضاعف</w:t>
      </w:r>
      <w:r>
        <w:rPr>
          <w:rFonts w:eastAsia="Times New Roman" w:hint="cs"/>
          <w:rtl/>
          <w:lang w:eastAsia="en-US" w:bidi="ar-EG"/>
        </w:rPr>
        <w:t xml:space="preserve"> </w:t>
      </w:r>
      <w:r w:rsidR="00352A24" w:rsidRPr="008C1C53">
        <w:t>80</w:t>
      </w:r>
      <w:r w:rsidR="00352A24">
        <w:t>,</w:t>
      </w:r>
      <w:r w:rsidR="00352A24" w:rsidRPr="008C1C53">
        <w:t>5</w:t>
      </w:r>
      <w:r w:rsidR="00FC47AA">
        <w:rPr>
          <w:rFonts w:eastAsia="Times New Roman" w:hint="cs"/>
          <w:rtl/>
          <w:lang w:eastAsia="en-US" w:bidi="ar-EG"/>
        </w:rPr>
        <w:t xml:space="preserve">، مما أدى إلى زيادة في الأجر الصافي </w:t>
      </w:r>
      <w:r w:rsidR="00352A24">
        <w:rPr>
          <w:rFonts w:eastAsia="Times New Roman" w:hint="cs"/>
          <w:rtl/>
          <w:lang w:eastAsia="en-US" w:bidi="ar-EG"/>
        </w:rPr>
        <w:t>لموظفي الفئتين</w:t>
      </w:r>
      <w:r w:rsidR="00FC47AA">
        <w:rPr>
          <w:rFonts w:eastAsia="Times New Roman" w:hint="cs"/>
          <w:rtl/>
          <w:lang w:eastAsia="en-US" w:bidi="ar-EG"/>
        </w:rPr>
        <w:t xml:space="preserve"> المهنية والعليا </w:t>
      </w:r>
      <w:r w:rsidR="00352A24">
        <w:rPr>
          <w:rFonts w:eastAsia="Times New Roman" w:hint="cs"/>
          <w:rtl/>
          <w:lang w:eastAsia="en-US" w:bidi="ar-EG"/>
        </w:rPr>
        <w:t xml:space="preserve">في نيويورك </w:t>
      </w:r>
      <w:r w:rsidR="00FC47AA">
        <w:rPr>
          <w:rFonts w:eastAsia="Times New Roman" w:hint="cs"/>
          <w:rtl/>
          <w:lang w:eastAsia="en-US" w:bidi="ar-EG"/>
        </w:rPr>
        <w:t xml:space="preserve">بنسبة </w:t>
      </w:r>
      <w:r w:rsidR="00352A24" w:rsidRPr="008C1C53">
        <w:t>180</w:t>
      </w:r>
      <w:r w:rsidR="00352A24">
        <w:t>,</w:t>
      </w:r>
      <w:r w:rsidR="00352A24" w:rsidRPr="008C1C53">
        <w:t>5/169</w:t>
      </w:r>
      <w:r w:rsidR="00352A24">
        <w:t>,</w:t>
      </w:r>
      <w:r w:rsidR="00352A24" w:rsidRPr="008C1C53">
        <w:t>9</w:t>
      </w:r>
      <w:r w:rsidR="00352A24">
        <w:rPr>
          <w:rFonts w:eastAsia="Times New Roman" w:hint="cs"/>
          <w:rtl/>
          <w:lang w:eastAsia="en-US" w:bidi="ar-EG"/>
        </w:rPr>
        <w:t>.</w:t>
      </w:r>
      <w:r w:rsidR="00FC47AA">
        <w:rPr>
          <w:rFonts w:eastAsia="Times New Roman" w:hint="cs"/>
          <w:rtl/>
          <w:lang w:eastAsia="en-US" w:bidi="ar-EG"/>
        </w:rPr>
        <w:t xml:space="preserve"> </w:t>
      </w:r>
      <w:r w:rsidR="00352A24">
        <w:rPr>
          <w:rFonts w:eastAsia="Times New Roman" w:hint="cs"/>
          <w:rtl/>
          <w:lang w:eastAsia="en-US" w:bidi="ar-EG"/>
        </w:rPr>
        <w:t>و</w:t>
      </w:r>
      <w:r w:rsidRPr="00811EB4">
        <w:rPr>
          <w:rFonts w:eastAsia="Times New Roman" w:hint="cs"/>
          <w:spacing w:val="-2"/>
          <w:rtl/>
          <w:lang w:eastAsia="en-US" w:bidi="ar-EG"/>
        </w:rPr>
        <w:t xml:space="preserve">وفقاً </w:t>
      </w:r>
      <w:r w:rsidR="00352A24">
        <w:rPr>
          <w:rFonts w:eastAsia="Times New Roman" w:hint="cs"/>
          <w:spacing w:val="-2"/>
          <w:rtl/>
          <w:lang w:eastAsia="en-US" w:bidi="ar-EG"/>
        </w:rPr>
        <w:t>للمادة</w:t>
      </w:r>
      <w:r w:rsidRPr="00811EB4">
        <w:rPr>
          <w:rFonts w:eastAsia="Times New Roman" w:hint="cs"/>
          <w:spacing w:val="-2"/>
          <w:rtl/>
          <w:lang w:eastAsia="en-US" w:bidi="ar-EG"/>
        </w:rPr>
        <w:t xml:space="preserve"> </w:t>
      </w:r>
      <w:r>
        <w:rPr>
          <w:rFonts w:eastAsia="Times New Roman" w:hint="cs"/>
          <w:spacing w:val="-2"/>
          <w:rtl/>
          <w:lang w:eastAsia="en-US" w:bidi="ar-EG"/>
        </w:rPr>
        <w:t>51</w:t>
      </w:r>
      <w:r w:rsidRPr="00811EB4">
        <w:rPr>
          <w:rFonts w:eastAsia="Times New Roman" w:hint="cs"/>
          <w:spacing w:val="-2"/>
          <w:rtl/>
          <w:lang w:eastAsia="en-US" w:bidi="ar-EG"/>
        </w:rPr>
        <w:t>(ب) من النظام الأساسي للصندوق المشترك للمعاشات التقاعدية لموظفي الأمم المتحدة</w:t>
      </w:r>
      <w:r>
        <w:rPr>
          <w:rStyle w:val="FootnoteReference"/>
          <w:rFonts w:eastAsia="Times New Roman"/>
          <w:rtl/>
          <w:lang w:eastAsia="en-US" w:bidi="ar-EG"/>
        </w:rPr>
        <w:footnoteReference w:id="4"/>
      </w:r>
      <w:r w:rsidRPr="00811EB4">
        <w:rPr>
          <w:rFonts w:eastAsia="Times New Roman" w:hint="cs"/>
          <w:spacing w:val="-2"/>
          <w:rtl/>
          <w:lang w:eastAsia="en-US" w:bidi="ar-EG"/>
        </w:rPr>
        <w:t xml:space="preserve">، </w:t>
      </w:r>
      <w:r w:rsidR="00352A24">
        <w:rPr>
          <w:rFonts w:eastAsia="Times New Roman" w:hint="cs"/>
          <w:spacing w:val="-2"/>
          <w:rtl/>
          <w:lang w:eastAsia="en-US" w:bidi="ar-EG"/>
        </w:rPr>
        <w:t>جرى</w:t>
      </w:r>
      <w:r w:rsidRPr="00811EB4">
        <w:rPr>
          <w:rFonts w:eastAsia="Times New Roman" w:hint="cs"/>
          <w:spacing w:val="-2"/>
          <w:rtl/>
          <w:lang w:eastAsia="en-US" w:bidi="ar-EG"/>
        </w:rPr>
        <w:t xml:space="preserve"> تعديل جدول الأجر الداخل في</w:t>
      </w:r>
      <w:r w:rsidRPr="00811EB4">
        <w:rPr>
          <w:rFonts w:eastAsia="Times New Roman" w:hint="eastAsia"/>
          <w:spacing w:val="-2"/>
          <w:rtl/>
          <w:lang w:eastAsia="en-US" w:bidi="ar-EG"/>
        </w:rPr>
        <w:t> </w:t>
      </w:r>
      <w:r w:rsidRPr="00811EB4">
        <w:rPr>
          <w:rFonts w:eastAsia="Times New Roman" w:hint="cs"/>
          <w:spacing w:val="-2"/>
          <w:rtl/>
          <w:lang w:eastAsia="en-US" w:bidi="ar-EG"/>
        </w:rPr>
        <w:t>حساب المعاش التقاعدي المطبَّق على جميع موظفي الفئتين الفنية والعليا</w:t>
      </w:r>
      <w:r w:rsidR="00352A24">
        <w:rPr>
          <w:rFonts w:eastAsia="Times New Roman" w:hint="cs"/>
          <w:spacing w:val="-2"/>
          <w:rtl/>
          <w:lang w:eastAsia="en-US" w:bidi="ar-EG"/>
        </w:rPr>
        <w:t>، في نفس التاريخ وبنفس النسبة</w:t>
      </w:r>
      <w:r w:rsidRPr="00811EB4">
        <w:rPr>
          <w:rFonts w:eastAsia="Times New Roman" w:hint="cs"/>
          <w:spacing w:val="-2"/>
          <w:rtl/>
          <w:lang w:eastAsia="en-US" w:bidi="ar-EG"/>
        </w:rPr>
        <w:t>.</w:t>
      </w:r>
    </w:p>
    <w:p w14:paraId="1C9E3934" w14:textId="64C79C68" w:rsidR="00133CE1" w:rsidRPr="00CB40DD" w:rsidRDefault="00133CE1" w:rsidP="00133CE1">
      <w:pPr>
        <w:rPr>
          <w:rFonts w:eastAsia="Times New Roman"/>
          <w:spacing w:val="2"/>
          <w:rtl/>
          <w:lang w:eastAsia="en-US" w:bidi="ar-EG"/>
        </w:rPr>
      </w:pPr>
      <w:r>
        <w:rPr>
          <w:rFonts w:eastAsia="Times New Roman"/>
          <w:spacing w:val="2"/>
          <w:lang w:eastAsia="en-US" w:bidi="ar-EG"/>
        </w:rPr>
        <w:t>6</w:t>
      </w:r>
      <w:r>
        <w:rPr>
          <w:rFonts w:eastAsia="Times New Roman"/>
          <w:spacing w:val="2"/>
          <w:lang w:eastAsia="en-US" w:bidi="ar-EG"/>
        </w:rPr>
        <w:tab/>
      </w:r>
      <w:r>
        <w:rPr>
          <w:rFonts w:eastAsia="Times New Roman" w:hint="cs"/>
          <w:rtl/>
          <w:lang w:eastAsia="en-US" w:bidi="ar-EG"/>
        </w:rPr>
        <w:t>وبناءً على ذلك، جرى</w:t>
      </w:r>
      <w:r w:rsidRPr="00011C27">
        <w:rPr>
          <w:rFonts w:eastAsia="Times New Roman" w:hint="cs"/>
          <w:rtl/>
          <w:lang w:eastAsia="en-US" w:bidi="ar-EG"/>
        </w:rPr>
        <w:t xml:space="preserve"> تعديل جدول الأجر الداخل في حساب</w:t>
      </w:r>
      <w:r w:rsidRPr="00011C27">
        <w:rPr>
          <w:rFonts w:eastAsia="Times New Roman"/>
          <w:rtl/>
          <w:lang w:eastAsia="en-US" w:bidi="ar-EG"/>
        </w:rPr>
        <w:t xml:space="preserve"> </w:t>
      </w:r>
      <w:r w:rsidRPr="00011C27">
        <w:rPr>
          <w:rFonts w:eastAsia="Times New Roman" w:hint="cs"/>
          <w:rtl/>
          <w:lang w:eastAsia="en-US" w:bidi="ar-EG"/>
        </w:rPr>
        <w:t>المعاش</w:t>
      </w:r>
      <w:r w:rsidRPr="00011C27">
        <w:rPr>
          <w:rFonts w:eastAsia="Times New Roman"/>
          <w:rtl/>
          <w:lang w:eastAsia="en-US" w:bidi="ar-EG"/>
        </w:rPr>
        <w:t xml:space="preserve"> التقاعدي</w:t>
      </w:r>
      <w:r w:rsidRPr="00011C27">
        <w:rPr>
          <w:rFonts w:eastAsia="Times New Roman" w:hint="cs"/>
          <w:rtl/>
          <w:lang w:eastAsia="en-US" w:bidi="ar-EG"/>
        </w:rPr>
        <w:t xml:space="preserve"> لموظفي الفئتين الفنية والعليا </w:t>
      </w:r>
      <w:r>
        <w:rPr>
          <w:rFonts w:eastAsia="Times New Roman" w:hint="cs"/>
          <w:rtl/>
          <w:lang w:eastAsia="en-US" w:bidi="ar-EG"/>
        </w:rPr>
        <w:t>المعمول به منذ</w:t>
      </w:r>
      <w:r w:rsidRPr="00011C27">
        <w:rPr>
          <w:rFonts w:eastAsia="Times New Roman" w:hint="cs"/>
          <w:rtl/>
          <w:lang w:eastAsia="en-US" w:bidi="ar-EG"/>
        </w:rPr>
        <w:t xml:space="preserve"> </w:t>
      </w:r>
      <w:r w:rsidRPr="00011C27">
        <w:rPr>
          <w:rFonts w:eastAsia="Times New Roman"/>
          <w:lang w:eastAsia="en-US" w:bidi="ar-EG"/>
        </w:rPr>
        <w:t>1</w:t>
      </w:r>
      <w:r>
        <w:rPr>
          <w:rFonts w:eastAsia="Times New Roman" w:hint="eastAsia"/>
          <w:rtl/>
          <w:lang w:eastAsia="en-US" w:bidi="ar-EG"/>
        </w:rPr>
        <w:t> </w:t>
      </w:r>
      <w:r>
        <w:rPr>
          <w:rFonts w:eastAsia="Times New Roman" w:hint="cs"/>
          <w:rtl/>
          <w:lang w:eastAsia="en-US" w:bidi="ar-EG"/>
        </w:rPr>
        <w:t>فبراير</w:t>
      </w:r>
      <w:r>
        <w:rPr>
          <w:rFonts w:eastAsia="Times New Roman" w:hint="eastAsia"/>
          <w:rtl/>
          <w:lang w:eastAsia="en-US" w:bidi="ar-EG"/>
        </w:rPr>
        <w:t> </w:t>
      </w:r>
      <w:r w:rsidR="00352A24">
        <w:rPr>
          <w:rFonts w:eastAsia="Times New Roman" w:hint="cs"/>
          <w:rtl/>
          <w:lang w:eastAsia="en-US" w:bidi="ar-EG"/>
        </w:rPr>
        <w:t xml:space="preserve">2022، بزيادة قدرها </w:t>
      </w:r>
      <w:r w:rsidR="003C2359" w:rsidRPr="00432D92">
        <w:rPr>
          <w:rFonts w:asciiTheme="minorHAnsi" w:hAnsiTheme="minorHAnsi"/>
          <w:szCs w:val="24"/>
        </w:rPr>
        <w:t>1</w:t>
      </w:r>
      <w:r w:rsidR="003C2359">
        <w:rPr>
          <w:rFonts w:asciiTheme="minorHAnsi" w:hAnsiTheme="minorHAnsi"/>
          <w:szCs w:val="24"/>
        </w:rPr>
        <w:t>,</w:t>
      </w:r>
      <w:r w:rsidR="003C2359" w:rsidRPr="00432D92">
        <w:rPr>
          <w:rFonts w:asciiTheme="minorHAnsi" w:hAnsiTheme="minorHAnsi"/>
          <w:szCs w:val="24"/>
        </w:rPr>
        <w:t>06</w:t>
      </w:r>
      <w:r>
        <w:rPr>
          <w:rFonts w:eastAsia="Times New Roman" w:hint="cs"/>
          <w:rtl/>
          <w:lang w:eastAsia="en-US" w:bidi="ar-EG"/>
        </w:rPr>
        <w:t xml:space="preserve"> </w:t>
      </w:r>
      <w:r w:rsidR="005E54C1">
        <w:rPr>
          <w:rFonts w:eastAsia="Times New Roman" w:hint="cs"/>
          <w:rtl/>
          <w:lang w:eastAsia="en-US" w:bidi="ar-EG"/>
        </w:rPr>
        <w:t xml:space="preserve">في المائة، </w:t>
      </w:r>
      <w:r>
        <w:rPr>
          <w:rFonts w:eastAsia="Times New Roman" w:hint="cs"/>
          <w:rtl/>
          <w:lang w:eastAsia="en-US" w:bidi="ar-EG"/>
        </w:rPr>
        <w:t xml:space="preserve">وفقاً للحكم أعلاه، </w:t>
      </w:r>
      <w:r w:rsidR="00352A24">
        <w:rPr>
          <w:rFonts w:eastAsia="Times New Roman" w:hint="cs"/>
          <w:rtl/>
          <w:lang w:eastAsia="en-US" w:bidi="ar-EG"/>
        </w:rPr>
        <w:t>اعتباراً من</w:t>
      </w:r>
      <w:r>
        <w:rPr>
          <w:rFonts w:eastAsia="Times New Roman" w:hint="cs"/>
          <w:rtl/>
          <w:lang w:eastAsia="en-US" w:bidi="ar-EG"/>
        </w:rPr>
        <w:t xml:space="preserve"> </w:t>
      </w:r>
      <w:r w:rsidRPr="00011C27">
        <w:rPr>
          <w:rFonts w:eastAsia="Times New Roman"/>
          <w:lang w:eastAsia="en-US" w:bidi="ar-EG"/>
        </w:rPr>
        <w:t>1</w:t>
      </w:r>
      <w:r>
        <w:rPr>
          <w:rFonts w:eastAsia="Times New Roman" w:hint="eastAsia"/>
          <w:rtl/>
          <w:lang w:eastAsia="en-US" w:bidi="ar-EG"/>
        </w:rPr>
        <w:t> </w:t>
      </w:r>
      <w:r>
        <w:rPr>
          <w:rFonts w:eastAsia="Times New Roman" w:hint="cs"/>
          <w:rtl/>
          <w:lang w:eastAsia="en-US" w:bidi="ar-EG"/>
        </w:rPr>
        <w:t>فبراير</w:t>
      </w:r>
      <w:r>
        <w:rPr>
          <w:rFonts w:eastAsia="Times New Roman" w:hint="eastAsia"/>
          <w:rtl/>
          <w:lang w:eastAsia="en-US" w:bidi="ar-EG"/>
        </w:rPr>
        <w:t> </w:t>
      </w:r>
      <w:r w:rsidR="00352A24">
        <w:rPr>
          <w:rFonts w:eastAsia="Times New Roman" w:hint="cs"/>
          <w:rtl/>
          <w:lang w:eastAsia="en-US" w:bidi="ar-EG"/>
        </w:rPr>
        <w:t>2023</w:t>
      </w:r>
      <w:r>
        <w:rPr>
          <w:rFonts w:eastAsia="Times New Roman" w:hint="cs"/>
          <w:rtl/>
          <w:lang w:eastAsia="en-US" w:bidi="ar-EG"/>
        </w:rPr>
        <w:t>.</w:t>
      </w:r>
    </w:p>
    <w:p w14:paraId="7D053DB4" w14:textId="77777777" w:rsidR="00133CE1" w:rsidRPr="00486E52" w:rsidRDefault="00133CE1" w:rsidP="00133CE1">
      <w:pPr>
        <w:pStyle w:val="Heading2"/>
        <w:rPr>
          <w:rtl/>
        </w:rPr>
      </w:pPr>
      <w:r w:rsidRPr="00486E52">
        <w:rPr>
          <w:rFonts w:hint="cs"/>
          <w:rtl/>
        </w:rPr>
        <w:t>باء</w:t>
      </w:r>
      <w:r w:rsidRPr="00486E52">
        <w:rPr>
          <w:rFonts w:hint="cs"/>
          <w:rtl/>
        </w:rPr>
        <w:tab/>
        <w:t>موظفو فئة الخدمات العامة</w:t>
      </w:r>
    </w:p>
    <w:p w14:paraId="4D1D1CF9" w14:textId="24466173" w:rsidR="00133CE1" w:rsidRPr="00011C27" w:rsidRDefault="00133CE1" w:rsidP="00133CE1">
      <w:pPr>
        <w:rPr>
          <w:rtl/>
          <w:lang w:eastAsia="en-US" w:bidi="ar-EG"/>
        </w:rPr>
      </w:pPr>
      <w:r>
        <w:rPr>
          <w:rFonts w:hint="cs"/>
          <w:rtl/>
          <w:lang w:eastAsia="en-US" w:bidi="ar-EG"/>
        </w:rPr>
        <w:t>7</w:t>
      </w:r>
      <w:r w:rsidRPr="00011C27">
        <w:rPr>
          <w:rtl/>
          <w:lang w:eastAsia="en-US" w:bidi="ar-EG"/>
        </w:rPr>
        <w:tab/>
      </w:r>
      <w:r>
        <w:rPr>
          <w:rFonts w:hint="cs"/>
          <w:rtl/>
          <w:lang w:eastAsia="en-US" w:bidi="ar-EG"/>
        </w:rPr>
        <w:t>إن</w:t>
      </w:r>
      <w:r w:rsidRPr="00011C27">
        <w:rPr>
          <w:rFonts w:hint="cs"/>
          <w:rtl/>
          <w:lang w:eastAsia="en-US" w:bidi="ar-EG"/>
        </w:rPr>
        <w:t xml:space="preserve"> </w:t>
      </w:r>
      <w:r w:rsidR="0028786E">
        <w:rPr>
          <w:rFonts w:hint="cs"/>
          <w:rtl/>
          <w:lang w:eastAsia="en-US"/>
        </w:rPr>
        <w:t>منهجية لجنة الخدمة المدنية الدولية</w:t>
      </w:r>
      <w:r w:rsidR="00385F36">
        <w:rPr>
          <w:rFonts w:hint="cs"/>
          <w:rtl/>
          <w:lang w:eastAsia="en-US" w:bidi="ar-EG"/>
        </w:rPr>
        <w:t xml:space="preserve"> فيما يتعلق</w:t>
      </w:r>
      <w:r w:rsidRPr="00011C27">
        <w:rPr>
          <w:rFonts w:hint="cs"/>
          <w:rtl/>
          <w:lang w:eastAsia="en-US"/>
        </w:rPr>
        <w:t xml:space="preserve"> بإدخال تعديلات مؤقتة على جدول المرتبات لموظفي فئة الخدمات العامة </w:t>
      </w:r>
      <w:r w:rsidR="00385F36">
        <w:rPr>
          <w:rFonts w:hint="cs"/>
          <w:rtl/>
          <w:lang w:eastAsia="en-US"/>
        </w:rPr>
        <w:t xml:space="preserve">المقيمين </w:t>
      </w:r>
      <w:r w:rsidRPr="00011C27">
        <w:rPr>
          <w:rFonts w:hint="cs"/>
          <w:rtl/>
          <w:lang w:eastAsia="en-US"/>
        </w:rPr>
        <w:t xml:space="preserve">في جنيف </w:t>
      </w:r>
      <w:r w:rsidR="00385F36">
        <w:rPr>
          <w:rFonts w:hint="cs"/>
          <w:rtl/>
          <w:lang w:eastAsia="en-US"/>
        </w:rPr>
        <w:t>يتطلب</w:t>
      </w:r>
      <w:r w:rsidRPr="00011C27">
        <w:rPr>
          <w:rFonts w:hint="cs"/>
          <w:rtl/>
          <w:lang w:eastAsia="en-US"/>
        </w:rPr>
        <w:t xml:space="preserve"> التعديل في المرتبات الصافية لهؤلاء الموظفين كلما تطور مؤشر أسعار الاستهلاك</w:t>
      </w:r>
      <w:r>
        <w:rPr>
          <w:rFonts w:hint="eastAsia"/>
          <w:rtl/>
          <w:lang w:eastAsia="en-US"/>
        </w:rPr>
        <w:t> </w:t>
      </w:r>
      <w:r w:rsidRPr="00011C27">
        <w:rPr>
          <w:lang w:eastAsia="en-US"/>
        </w:rPr>
        <w:t>(CPI)</w:t>
      </w:r>
      <w:r w:rsidRPr="00011C27">
        <w:rPr>
          <w:rFonts w:hint="cs"/>
          <w:rtl/>
          <w:lang w:eastAsia="en-US"/>
        </w:rPr>
        <w:t xml:space="preserve"> لجنيف بنسبة </w:t>
      </w:r>
      <w:r w:rsidRPr="00011C27">
        <w:rPr>
          <w:lang w:eastAsia="en-US"/>
        </w:rPr>
        <w:t>5</w:t>
      </w:r>
      <w:r w:rsidRPr="00011C27">
        <w:rPr>
          <w:rFonts w:hint="cs"/>
          <w:rtl/>
          <w:lang w:eastAsia="en-US"/>
        </w:rPr>
        <w:t xml:space="preserve"> في المائة </w:t>
      </w:r>
      <w:r w:rsidR="00385F36">
        <w:rPr>
          <w:rFonts w:hint="cs"/>
          <w:rtl/>
          <w:lang w:eastAsia="en-US"/>
        </w:rPr>
        <w:t>مقابل</w:t>
      </w:r>
      <w:r w:rsidRPr="00011C27">
        <w:rPr>
          <w:rFonts w:hint="cs"/>
          <w:rtl/>
          <w:lang w:eastAsia="en-US"/>
        </w:rPr>
        <w:t xml:space="preserve"> المؤشر المستخدم في وقت التعديل السابق</w:t>
      </w:r>
      <w:r w:rsidR="00385F36">
        <w:rPr>
          <w:rFonts w:hint="cs"/>
          <w:rtl/>
          <w:lang w:eastAsia="en-US" w:bidi="ar-EG"/>
        </w:rPr>
        <w:t>،</w:t>
      </w:r>
      <w:r w:rsidRPr="00011C27">
        <w:rPr>
          <w:rFonts w:hint="cs"/>
          <w:rtl/>
          <w:lang w:eastAsia="en-US"/>
        </w:rPr>
        <w:t xml:space="preserve"> أو كل </w:t>
      </w:r>
      <w:r w:rsidRPr="00011C27">
        <w:rPr>
          <w:lang w:eastAsia="en-US"/>
        </w:rPr>
        <w:t>12</w:t>
      </w:r>
      <w:r>
        <w:rPr>
          <w:rFonts w:hint="eastAsia"/>
          <w:rtl/>
          <w:lang w:eastAsia="en-US" w:bidi="ar-EG"/>
        </w:rPr>
        <w:t> </w:t>
      </w:r>
      <w:r w:rsidRPr="00011C27">
        <w:rPr>
          <w:rFonts w:hint="cs"/>
          <w:rtl/>
          <w:lang w:eastAsia="en-US" w:bidi="ar-EG"/>
        </w:rPr>
        <w:t>شهراً، أيهما</w:t>
      </w:r>
      <w:r>
        <w:rPr>
          <w:rFonts w:hint="eastAsia"/>
          <w:rtl/>
          <w:lang w:eastAsia="en-US" w:bidi="ar-EG"/>
        </w:rPr>
        <w:t> </w:t>
      </w:r>
      <w:r w:rsidRPr="00011C27">
        <w:rPr>
          <w:rFonts w:hint="cs"/>
          <w:rtl/>
          <w:lang w:eastAsia="en-US" w:bidi="ar-EG"/>
        </w:rPr>
        <w:t>أسبق.</w:t>
      </w:r>
      <w:r>
        <w:rPr>
          <w:rStyle w:val="FootnoteReference"/>
          <w:rtl/>
          <w:lang w:eastAsia="en-US" w:bidi="ar-EG"/>
        </w:rPr>
        <w:footnoteReference w:id="5"/>
      </w:r>
    </w:p>
    <w:p w14:paraId="70ED5C96" w14:textId="0798CA96" w:rsidR="00133CE1" w:rsidRPr="00486E52" w:rsidRDefault="00133CE1" w:rsidP="00D7532C">
      <w:pPr>
        <w:rPr>
          <w:spacing w:val="-4"/>
          <w:rtl/>
          <w:lang w:eastAsia="en-US" w:bidi="ar-EG"/>
        </w:rPr>
      </w:pPr>
      <w:r>
        <w:rPr>
          <w:rFonts w:hint="cs"/>
          <w:rtl/>
          <w:lang w:eastAsia="en-US"/>
        </w:rPr>
        <w:lastRenderedPageBreak/>
        <w:t>8</w:t>
      </w:r>
      <w:r w:rsidRPr="00011C27">
        <w:rPr>
          <w:rtl/>
          <w:lang w:eastAsia="en-US" w:bidi="ar-EG"/>
        </w:rPr>
        <w:tab/>
      </w:r>
      <w:r w:rsidRPr="00486E52">
        <w:rPr>
          <w:rFonts w:hint="cs"/>
          <w:spacing w:val="-4"/>
          <w:rtl/>
          <w:lang w:eastAsia="en-US" w:bidi="ar-EG"/>
        </w:rPr>
        <w:t>ويبين تطور مؤشر أسعار الاستهلاك في جنيف من سبتمبر</w:t>
      </w:r>
      <w:r w:rsidRPr="00486E52">
        <w:rPr>
          <w:rFonts w:hint="eastAsia"/>
          <w:spacing w:val="-4"/>
          <w:rtl/>
          <w:lang w:eastAsia="en-US" w:bidi="ar-EG"/>
        </w:rPr>
        <w:t> </w:t>
      </w:r>
      <w:r>
        <w:rPr>
          <w:rFonts w:hint="cs"/>
          <w:spacing w:val="-4"/>
          <w:rtl/>
          <w:lang w:eastAsia="en-US" w:bidi="ar-EG"/>
        </w:rPr>
        <w:t>2021</w:t>
      </w:r>
      <w:r w:rsidRPr="00486E52">
        <w:rPr>
          <w:rFonts w:hint="cs"/>
          <w:spacing w:val="-4"/>
          <w:rtl/>
          <w:lang w:eastAsia="en-US" w:bidi="ar-EG"/>
        </w:rPr>
        <w:t xml:space="preserve"> إلى سبتمبر</w:t>
      </w:r>
      <w:r w:rsidRPr="00486E52">
        <w:rPr>
          <w:rFonts w:hint="eastAsia"/>
          <w:spacing w:val="-4"/>
          <w:rtl/>
          <w:lang w:eastAsia="en-US" w:bidi="ar-EG"/>
        </w:rPr>
        <w:t> </w:t>
      </w:r>
      <w:r>
        <w:rPr>
          <w:rFonts w:hint="cs"/>
          <w:spacing w:val="-4"/>
          <w:rtl/>
          <w:lang w:eastAsia="en-US" w:bidi="ar-EG"/>
        </w:rPr>
        <w:t>2022</w:t>
      </w:r>
      <w:r w:rsidRPr="00486E52">
        <w:rPr>
          <w:rFonts w:hint="cs"/>
          <w:spacing w:val="-4"/>
          <w:rtl/>
          <w:lang w:eastAsia="en-US"/>
        </w:rPr>
        <w:t xml:space="preserve"> تغيراً صافياً</w:t>
      </w:r>
      <w:r w:rsidRPr="00486E52">
        <w:rPr>
          <w:rFonts w:hint="cs"/>
          <w:spacing w:val="-4"/>
          <w:rtl/>
          <w:lang w:eastAsia="en-US" w:bidi="ar-EG"/>
        </w:rPr>
        <w:t xml:space="preserve"> في جداول المرتبات، وبعد مراعاة الضرائب المحلية،</w:t>
      </w:r>
      <w:r w:rsidR="000B01CC">
        <w:rPr>
          <w:rFonts w:hint="cs"/>
          <w:spacing w:val="-4"/>
          <w:rtl/>
          <w:lang w:eastAsia="en-US" w:bidi="ar-EG"/>
        </w:rPr>
        <w:t xml:space="preserve"> يمثل</w:t>
      </w:r>
      <w:r w:rsidRPr="00486E52">
        <w:rPr>
          <w:rFonts w:hint="cs"/>
          <w:spacing w:val="-4"/>
          <w:rtl/>
          <w:lang w:eastAsia="en-US" w:bidi="ar-EG"/>
        </w:rPr>
        <w:t xml:space="preserve"> هذا التغير </w:t>
      </w:r>
      <w:r w:rsidR="000B01CC">
        <w:rPr>
          <w:rFonts w:hint="cs"/>
          <w:spacing w:val="-4"/>
          <w:rtl/>
          <w:lang w:eastAsia="en-US" w:bidi="ar-EG"/>
        </w:rPr>
        <w:t>زيادة بمقدار</w:t>
      </w:r>
      <w:r w:rsidRPr="00486E52">
        <w:rPr>
          <w:rFonts w:hint="cs"/>
          <w:spacing w:val="-4"/>
          <w:rtl/>
          <w:lang w:eastAsia="en-US" w:bidi="ar-EG"/>
        </w:rPr>
        <w:t xml:space="preserve"> </w:t>
      </w:r>
      <w:r>
        <w:rPr>
          <w:rFonts w:hint="cs"/>
          <w:spacing w:val="-4"/>
          <w:rtl/>
          <w:lang w:eastAsia="en-US" w:bidi="ar-EG"/>
        </w:rPr>
        <w:t>2,9</w:t>
      </w:r>
      <w:r w:rsidR="000B01CC">
        <w:rPr>
          <w:rFonts w:hint="cs"/>
          <w:spacing w:val="-4"/>
          <w:rtl/>
          <w:lang w:eastAsia="en-US"/>
        </w:rPr>
        <w:t xml:space="preserve"> في المائة</w:t>
      </w:r>
      <w:r w:rsidRPr="00486E52">
        <w:rPr>
          <w:rFonts w:hint="cs"/>
          <w:spacing w:val="-4"/>
          <w:rtl/>
          <w:lang w:eastAsia="en-US" w:bidi="ar-EG"/>
        </w:rPr>
        <w:t xml:space="preserve">. وبالتالي، تطبيقاً للإجراء المذكور أعلاه، </w:t>
      </w:r>
      <w:r w:rsidR="000B01CC">
        <w:rPr>
          <w:rFonts w:hint="cs"/>
          <w:spacing w:val="-4"/>
          <w:rtl/>
          <w:lang w:eastAsia="en-US" w:bidi="ar-EG"/>
        </w:rPr>
        <w:t>قامت لجنة الخدمة المدنية الدولية بتحديث</w:t>
      </w:r>
      <w:r w:rsidRPr="00486E52">
        <w:rPr>
          <w:rFonts w:hint="cs"/>
          <w:spacing w:val="-4"/>
          <w:rtl/>
          <w:lang w:eastAsia="en-US" w:bidi="ar-EG"/>
        </w:rPr>
        <w:t xml:space="preserve"> المرتبات الصافية لموظفي فئة الخدمات العامة</w:t>
      </w:r>
      <w:r w:rsidR="000B01CC">
        <w:rPr>
          <w:rFonts w:hint="cs"/>
          <w:spacing w:val="-4"/>
          <w:rtl/>
          <w:lang w:eastAsia="en-US" w:bidi="ar-EG"/>
        </w:rPr>
        <w:t xml:space="preserve"> في جنيف</w:t>
      </w:r>
      <w:r w:rsidRPr="00486E52">
        <w:rPr>
          <w:rFonts w:hint="cs"/>
          <w:spacing w:val="-4"/>
          <w:rtl/>
          <w:lang w:eastAsia="en-US" w:bidi="ar-EG"/>
        </w:rPr>
        <w:t xml:space="preserve"> </w:t>
      </w:r>
      <w:r w:rsidRPr="00486E52">
        <w:rPr>
          <w:rFonts w:hint="cs"/>
          <w:spacing w:val="-4"/>
          <w:rtl/>
          <w:lang w:eastAsia="en-US"/>
        </w:rPr>
        <w:t>بناء على ذلك</w:t>
      </w:r>
      <w:r w:rsidRPr="00486E52">
        <w:rPr>
          <w:rFonts w:hint="cs"/>
          <w:spacing w:val="-4"/>
          <w:rtl/>
          <w:lang w:eastAsia="en-US" w:bidi="ar-EG"/>
        </w:rPr>
        <w:t xml:space="preserve">، </w:t>
      </w:r>
      <w:r w:rsidR="000B01CC">
        <w:rPr>
          <w:rFonts w:hint="cs"/>
          <w:spacing w:val="-4"/>
          <w:rtl/>
          <w:lang w:eastAsia="en-US" w:bidi="ar-EG"/>
        </w:rPr>
        <w:t>وكانت المراجعة</w:t>
      </w:r>
      <w:r w:rsidRPr="00486E52">
        <w:rPr>
          <w:rFonts w:hint="cs"/>
          <w:spacing w:val="-4"/>
          <w:rtl/>
          <w:lang w:eastAsia="en-US" w:bidi="ar-EG"/>
        </w:rPr>
        <w:t xml:space="preserve"> الأخيرة</w:t>
      </w:r>
      <w:r w:rsidR="000B01CC">
        <w:rPr>
          <w:rFonts w:hint="cs"/>
          <w:spacing w:val="-4"/>
          <w:rtl/>
          <w:lang w:eastAsia="en-US" w:bidi="ar-EG"/>
        </w:rPr>
        <w:t xml:space="preserve"> هي المراجعة</w:t>
      </w:r>
      <w:r w:rsidRPr="00486E52">
        <w:rPr>
          <w:rFonts w:hint="cs"/>
          <w:spacing w:val="-4"/>
          <w:rtl/>
          <w:lang w:eastAsia="en-US" w:bidi="ar-EG"/>
        </w:rPr>
        <w:t xml:space="preserve"> </w:t>
      </w:r>
      <w:r>
        <w:rPr>
          <w:rFonts w:hint="cs"/>
          <w:spacing w:val="-4"/>
          <w:rtl/>
          <w:lang w:eastAsia="en-US" w:bidi="ar-EG"/>
        </w:rPr>
        <w:t>58</w:t>
      </w:r>
      <w:r w:rsidRPr="00486E52">
        <w:rPr>
          <w:rFonts w:hint="cs"/>
          <w:spacing w:val="-4"/>
          <w:rtl/>
          <w:lang w:eastAsia="en-US" w:bidi="ar-EG"/>
        </w:rPr>
        <w:t xml:space="preserve"> </w:t>
      </w:r>
      <w:r w:rsidR="000B01CC">
        <w:rPr>
          <w:rFonts w:hint="cs"/>
          <w:spacing w:val="-4"/>
          <w:rtl/>
          <w:lang w:eastAsia="en-US" w:bidi="ar-EG"/>
        </w:rPr>
        <w:t>ال</w:t>
      </w:r>
      <w:r w:rsidRPr="00486E52">
        <w:rPr>
          <w:rFonts w:hint="cs"/>
          <w:spacing w:val="-4"/>
          <w:rtl/>
          <w:lang w:eastAsia="en-US" w:bidi="ar-EG"/>
        </w:rPr>
        <w:t xml:space="preserve">نافذة اعتباراً من 1 سبتمبر </w:t>
      </w:r>
      <w:r>
        <w:rPr>
          <w:rFonts w:hint="cs"/>
          <w:spacing w:val="-4"/>
          <w:rtl/>
          <w:lang w:eastAsia="en-US" w:bidi="ar-EG"/>
        </w:rPr>
        <w:t>2022</w:t>
      </w:r>
      <w:r w:rsidRPr="00486E52">
        <w:rPr>
          <w:rFonts w:hint="cs"/>
          <w:spacing w:val="-4"/>
          <w:rtl/>
          <w:lang w:eastAsia="en-US" w:bidi="ar-EG"/>
        </w:rPr>
        <w:t>.</w:t>
      </w:r>
    </w:p>
    <w:p w14:paraId="5D05E86B" w14:textId="77777777" w:rsidR="00133CE1" w:rsidRPr="00486E52" w:rsidRDefault="00133CE1" w:rsidP="00133CE1">
      <w:pPr>
        <w:pStyle w:val="Heading1"/>
        <w:rPr>
          <w:rtl/>
        </w:rPr>
      </w:pPr>
      <w:r w:rsidRPr="00486E52">
        <w:rPr>
          <w:rFonts w:hint="cs"/>
          <w:rtl/>
        </w:rPr>
        <w:t>ثانياً</w:t>
      </w:r>
      <w:r w:rsidRPr="00486E52">
        <w:rPr>
          <w:rtl/>
        </w:rPr>
        <w:tab/>
        <w:t>شروط خدمة الموظفين المنتخبين</w:t>
      </w:r>
    </w:p>
    <w:p w14:paraId="55F7C9AE" w14:textId="69477C4F" w:rsidR="00A733E6" w:rsidRDefault="00133CE1" w:rsidP="00133CE1">
      <w:pPr>
        <w:rPr>
          <w:rtl/>
          <w:lang w:eastAsia="en-US" w:bidi="ar-EG"/>
        </w:rPr>
      </w:pPr>
      <w:r>
        <w:rPr>
          <w:rFonts w:hint="cs"/>
          <w:rtl/>
          <w:lang w:eastAsia="en-US" w:bidi="ar-SY"/>
        </w:rPr>
        <w:t>9</w:t>
      </w:r>
      <w:r w:rsidRPr="00EA3496">
        <w:rPr>
          <w:rtl/>
          <w:lang w:eastAsia="en-US" w:bidi="ar-EG"/>
        </w:rPr>
        <w:tab/>
      </w:r>
      <w:r w:rsidRPr="00EA3496">
        <w:rPr>
          <w:rFonts w:hint="cs"/>
          <w:rtl/>
          <w:lang w:eastAsia="en-US" w:bidi="ar-EG"/>
        </w:rPr>
        <w:t xml:space="preserve">وفقاً للقرار </w:t>
      </w:r>
      <w:r w:rsidRPr="00EA3496">
        <w:rPr>
          <w:lang w:eastAsia="en-US" w:bidi="ar-SY"/>
        </w:rPr>
        <w:t>46</w:t>
      </w:r>
      <w:r w:rsidRPr="00EA3496">
        <w:rPr>
          <w:rFonts w:hint="cs"/>
          <w:rtl/>
          <w:lang w:eastAsia="en-US" w:bidi="ar-EG"/>
        </w:rPr>
        <w:t xml:space="preserve"> (كيوتو،</w:t>
      </w:r>
      <w:r w:rsidRPr="00EA3496">
        <w:rPr>
          <w:rFonts w:hint="eastAsia"/>
          <w:rtl/>
          <w:lang w:eastAsia="en-US" w:bidi="ar-EG"/>
        </w:rPr>
        <w:t> </w:t>
      </w:r>
      <w:r w:rsidRPr="00EA3496">
        <w:rPr>
          <w:lang w:eastAsia="en-US" w:bidi="ar-SY"/>
        </w:rPr>
        <w:t>1994</w:t>
      </w:r>
      <w:r w:rsidRPr="00EA3496">
        <w:rPr>
          <w:rFonts w:hint="cs"/>
          <w:rtl/>
          <w:lang w:eastAsia="en-US" w:bidi="ar-EG"/>
        </w:rPr>
        <w:t xml:space="preserve">) </w:t>
      </w:r>
      <w:r w:rsidR="00A733E6">
        <w:rPr>
          <w:rFonts w:hint="cs"/>
          <w:rtl/>
          <w:lang w:eastAsia="en-US" w:bidi="ar-EG"/>
        </w:rPr>
        <w:t>ل</w:t>
      </w:r>
      <w:r w:rsidRPr="00EA3496">
        <w:rPr>
          <w:rFonts w:hint="cs"/>
          <w:rtl/>
          <w:lang w:eastAsia="en-US" w:bidi="ar-EG"/>
        </w:rPr>
        <w:t>مؤتمر المندوبين المفوضين، فإن الأجر الذي يتلقاه الموظفون المنتخبون يحدد على أساس أعلى مرتب يدفع للموظفين المعينين بتطبيق النسب المئوية المحددة في هذا القرار. وبالتالي، يقتضي الأمر تعديل أجور الموظفين المنتخبين نتيجةً لزيادة مستوى أجور الموظفين المعينين التي وافقت عليها الجمعية العامة للأمم المتحدة</w:t>
      </w:r>
      <w:r w:rsidRPr="00EA3496">
        <w:rPr>
          <w:rFonts w:hint="cs"/>
          <w:rtl/>
          <w:lang w:eastAsia="en-US"/>
        </w:rPr>
        <w:t xml:space="preserve"> في</w:t>
      </w:r>
      <w:r>
        <w:rPr>
          <w:rFonts w:hint="eastAsia"/>
          <w:rtl/>
          <w:lang w:eastAsia="en-US"/>
        </w:rPr>
        <w:t> </w:t>
      </w:r>
      <w:r w:rsidRPr="00EA3496">
        <w:rPr>
          <w:rFonts w:hint="cs"/>
          <w:rtl/>
          <w:lang w:eastAsia="en-US"/>
        </w:rPr>
        <w:t>دورتها الأخيرة</w:t>
      </w:r>
      <w:r w:rsidRPr="00EA3496">
        <w:rPr>
          <w:rFonts w:hint="cs"/>
          <w:rtl/>
          <w:lang w:eastAsia="en-US" w:bidi="ar-EG"/>
        </w:rPr>
        <w:t xml:space="preserve">. </w:t>
      </w:r>
      <w:r w:rsidR="00A733E6">
        <w:rPr>
          <w:rFonts w:hint="cs"/>
          <w:rtl/>
          <w:lang w:eastAsia="en-US" w:bidi="ar-EG"/>
        </w:rPr>
        <w:t>ووفقاً لل</w:t>
      </w:r>
      <w:r w:rsidR="00D15C65">
        <w:rPr>
          <w:rFonts w:hint="cs"/>
          <w:rtl/>
          <w:lang w:eastAsia="en-US" w:bidi="ar-EG"/>
        </w:rPr>
        <w:t>م</w:t>
      </w:r>
      <w:r w:rsidR="00A733E6">
        <w:rPr>
          <w:rFonts w:hint="cs"/>
          <w:rtl/>
          <w:lang w:eastAsia="en-US" w:bidi="ar-EG"/>
        </w:rPr>
        <w:t>مارسة المتبعة، يجري تنفيذ الجدول المنقح للمرتبات الأساسية/الدنيا على أساس "لا خسارة ولا مكسب"، على النحو الموضح أعلاه (انظر الفقرتين 2 و3).</w:t>
      </w:r>
    </w:p>
    <w:p w14:paraId="533C0E56" w14:textId="3DA3898D" w:rsidR="00133CE1" w:rsidRPr="00EA3496" w:rsidRDefault="00133CE1" w:rsidP="00133CE1">
      <w:pPr>
        <w:rPr>
          <w:rtl/>
          <w:lang w:eastAsia="en-US" w:bidi="ar-EG"/>
        </w:rPr>
      </w:pPr>
      <w:r>
        <w:rPr>
          <w:rFonts w:hint="cs"/>
          <w:rtl/>
          <w:lang w:eastAsia="en-US" w:bidi="ar-EG"/>
        </w:rPr>
        <w:t>10</w:t>
      </w:r>
      <w:r>
        <w:rPr>
          <w:rtl/>
          <w:lang w:eastAsia="en-US" w:bidi="ar-EG"/>
        </w:rPr>
        <w:tab/>
      </w:r>
      <w:r w:rsidR="00992B12">
        <w:rPr>
          <w:rFonts w:hint="cs"/>
          <w:rtl/>
          <w:lang w:eastAsia="en-US" w:bidi="ar-EG"/>
        </w:rPr>
        <w:t>ويتعين أيضاً</w:t>
      </w:r>
      <w:r w:rsidRPr="00EA3496">
        <w:rPr>
          <w:rFonts w:hint="cs"/>
          <w:rtl/>
          <w:lang w:eastAsia="en-US" w:bidi="ar-EG"/>
        </w:rPr>
        <w:t xml:space="preserve"> تعديل </w:t>
      </w:r>
      <w:r w:rsidR="00992B12">
        <w:rPr>
          <w:rFonts w:hint="cs"/>
          <w:rtl/>
          <w:lang w:eastAsia="en-US" w:bidi="ar-EG"/>
        </w:rPr>
        <w:t>الأجر الداخل في حساب المعاش التقاعدي الم</w:t>
      </w:r>
      <w:r w:rsidR="00F9091C">
        <w:rPr>
          <w:rFonts w:hint="cs"/>
          <w:rtl/>
          <w:lang w:eastAsia="en-US" w:bidi="ar-EG"/>
        </w:rPr>
        <w:t>ن</w:t>
      </w:r>
      <w:r w:rsidR="00992B12">
        <w:rPr>
          <w:rFonts w:hint="cs"/>
          <w:rtl/>
          <w:lang w:eastAsia="en-US" w:bidi="ar-EG"/>
        </w:rPr>
        <w:t>طبق على</w:t>
      </w:r>
      <w:r w:rsidRPr="00EA3496">
        <w:rPr>
          <w:rFonts w:hint="cs"/>
          <w:rtl/>
          <w:lang w:eastAsia="en-US" w:bidi="ar-EG"/>
        </w:rPr>
        <w:t xml:space="preserve"> الموظفين المنتخبين</w:t>
      </w:r>
      <w:r w:rsidR="00992B12">
        <w:rPr>
          <w:rFonts w:hint="cs"/>
          <w:rtl/>
          <w:lang w:eastAsia="en-US" w:bidi="ar-EG"/>
        </w:rPr>
        <w:t xml:space="preserve"> من أجل زيادته</w:t>
      </w:r>
      <w:r w:rsidRPr="00EA3496">
        <w:rPr>
          <w:rFonts w:hint="cs"/>
          <w:rtl/>
          <w:lang w:eastAsia="en-US" w:bidi="ar-EG"/>
        </w:rPr>
        <w:t xml:space="preserve"> </w:t>
      </w:r>
      <w:r w:rsidR="00992B12">
        <w:rPr>
          <w:rFonts w:hint="cs"/>
          <w:rtl/>
          <w:lang w:eastAsia="en-US" w:bidi="ar-EG"/>
        </w:rPr>
        <w:t>نتيجةً</w:t>
      </w:r>
      <w:r w:rsidRPr="00EA3496">
        <w:rPr>
          <w:rFonts w:hint="cs"/>
          <w:rtl/>
          <w:lang w:eastAsia="en-US" w:bidi="ar-EG"/>
        </w:rPr>
        <w:t xml:space="preserve"> لزيادة </w:t>
      </w:r>
      <w:r w:rsidR="00992B12">
        <w:rPr>
          <w:rFonts w:hint="cs"/>
          <w:rtl/>
          <w:lang w:eastAsia="en-US" w:bidi="ar-EG"/>
        </w:rPr>
        <w:t>الأجر الداخل في حساب المعاش التقاعدي الم</w:t>
      </w:r>
      <w:r w:rsidR="00F9091C">
        <w:rPr>
          <w:rFonts w:hint="cs"/>
          <w:rtl/>
          <w:lang w:eastAsia="en-US" w:bidi="ar-EG"/>
        </w:rPr>
        <w:t>ن</w:t>
      </w:r>
      <w:r w:rsidR="00992B12">
        <w:rPr>
          <w:rFonts w:hint="cs"/>
          <w:rtl/>
          <w:lang w:eastAsia="en-US" w:bidi="ar-EG"/>
        </w:rPr>
        <w:t>طبق على</w:t>
      </w:r>
      <w:r w:rsidR="00992B12" w:rsidRPr="00EA3496">
        <w:rPr>
          <w:rFonts w:hint="cs"/>
          <w:rtl/>
          <w:lang w:eastAsia="en-US" w:bidi="ar-EG"/>
        </w:rPr>
        <w:t xml:space="preserve"> </w:t>
      </w:r>
      <w:r w:rsidRPr="00EA3496">
        <w:rPr>
          <w:rFonts w:hint="cs"/>
          <w:rtl/>
          <w:lang w:eastAsia="en-US" w:bidi="ar-EG"/>
        </w:rPr>
        <w:t>الموظفين المعينين التي وافقت عليها الجمعية العامة للأمم المتحدة.</w:t>
      </w:r>
      <w:r>
        <w:rPr>
          <w:rFonts w:hint="cs"/>
          <w:rtl/>
          <w:lang w:eastAsia="en-US" w:bidi="ar-EG"/>
        </w:rPr>
        <w:t xml:space="preserve"> </w:t>
      </w:r>
      <w:r w:rsidR="00F9091C">
        <w:rPr>
          <w:rFonts w:hint="cs"/>
          <w:rtl/>
          <w:lang w:eastAsia="en-US" w:bidi="ar-EG"/>
        </w:rPr>
        <w:t>ويؤدي</w:t>
      </w:r>
      <w:r w:rsidR="00A1491D">
        <w:rPr>
          <w:rFonts w:hint="cs"/>
          <w:rtl/>
          <w:lang w:eastAsia="en-US" w:bidi="ar-EG"/>
        </w:rPr>
        <w:t xml:space="preserve"> ذلك إلى زيادة بنفس النسبة</w:t>
      </w:r>
      <w:r w:rsidR="00F9091C">
        <w:rPr>
          <w:rFonts w:hint="cs"/>
          <w:rtl/>
          <w:lang w:eastAsia="en-US" w:bidi="ar-EG"/>
        </w:rPr>
        <w:t xml:space="preserve"> المئوية</w:t>
      </w:r>
      <w:r w:rsidR="00A1491D">
        <w:rPr>
          <w:rFonts w:hint="cs"/>
          <w:rtl/>
          <w:lang w:eastAsia="en-US" w:bidi="ar-EG"/>
        </w:rPr>
        <w:t xml:space="preserve"> في الأجر الداخل في حساب المعاش التقاعدي (</w:t>
      </w:r>
      <w:r w:rsidR="00A1491D">
        <w:rPr>
          <w:lang w:eastAsia="en-US" w:bidi="ar-EG"/>
        </w:rPr>
        <w:t>1,06</w:t>
      </w:r>
      <w:r w:rsidR="00A1491D">
        <w:rPr>
          <w:rFonts w:hint="cs"/>
          <w:rtl/>
          <w:lang w:eastAsia="en-US" w:bidi="ar-EG"/>
        </w:rPr>
        <w:t xml:space="preserve"> في المائة) المنطبقة على الموظفين المعينين، كما ورد أعلاه (انظر الفرتين 5 و6) و</w:t>
      </w:r>
      <w:r w:rsidR="00F9091C">
        <w:rPr>
          <w:rFonts w:hint="cs"/>
          <w:rtl/>
          <w:lang w:eastAsia="en-US" w:bidi="ar-EG"/>
        </w:rPr>
        <w:t>أُ</w:t>
      </w:r>
      <w:r w:rsidR="00A1491D">
        <w:rPr>
          <w:rFonts w:hint="cs"/>
          <w:rtl/>
          <w:lang w:eastAsia="en-US" w:bidi="ar-EG"/>
        </w:rPr>
        <w:t>درجت التكاليف الإضافية في الآثار المالية.</w:t>
      </w:r>
    </w:p>
    <w:p w14:paraId="3BEF5BDC" w14:textId="77777777" w:rsidR="00133CE1" w:rsidRPr="00011C27" w:rsidRDefault="00133CE1" w:rsidP="00133CE1">
      <w:pPr>
        <w:rPr>
          <w:rFonts w:eastAsia="Times New Roman"/>
          <w:rtl/>
          <w:lang w:eastAsia="en-US" w:bidi="ar-EG"/>
        </w:rPr>
      </w:pPr>
      <w:r w:rsidRPr="00011C27">
        <w:rPr>
          <w:rFonts w:eastAsia="Times New Roman"/>
          <w:rtl/>
          <w:lang w:eastAsia="en-US" w:bidi="ar-SY"/>
        </w:rPr>
        <w:br w:type="page"/>
      </w:r>
    </w:p>
    <w:p w14:paraId="68A3D585" w14:textId="77777777" w:rsidR="00133CE1" w:rsidRPr="00011C27" w:rsidRDefault="00133CE1" w:rsidP="00133CE1">
      <w:pPr>
        <w:pStyle w:val="AnnexNo"/>
        <w:rPr>
          <w:rtl/>
        </w:rPr>
      </w:pPr>
      <w:r w:rsidRPr="00011C27">
        <w:rPr>
          <w:rFonts w:hint="cs"/>
          <w:rtl/>
        </w:rPr>
        <w:lastRenderedPageBreak/>
        <w:t>الملحـق</w:t>
      </w:r>
    </w:p>
    <w:p w14:paraId="70433DE8" w14:textId="57E1F241" w:rsidR="00133CE1" w:rsidRPr="00011C27" w:rsidRDefault="00133CE1" w:rsidP="00133CE1">
      <w:pPr>
        <w:pStyle w:val="ResNo"/>
        <w:rPr>
          <w:rtl/>
          <w:lang w:bidi="ar-EG"/>
        </w:rPr>
      </w:pPr>
      <w:r w:rsidRPr="00011C27">
        <w:rPr>
          <w:rFonts w:hint="cs"/>
          <w:rtl/>
        </w:rPr>
        <w:t xml:space="preserve">مشـروع </w:t>
      </w:r>
      <w:r w:rsidR="00F9091C">
        <w:rPr>
          <w:rFonts w:hint="cs"/>
          <w:rtl/>
        </w:rPr>
        <w:t>ال</w:t>
      </w:r>
      <w:r w:rsidRPr="00011C27">
        <w:rPr>
          <w:rFonts w:hint="cs"/>
          <w:rtl/>
        </w:rPr>
        <w:t>قـرار</w:t>
      </w:r>
      <w:r>
        <w:rPr>
          <w:rFonts w:hint="cs"/>
          <w:rtl/>
          <w:lang w:bidi="ar-EG"/>
        </w:rPr>
        <w:t xml:space="preserve"> [...]</w:t>
      </w:r>
    </w:p>
    <w:p w14:paraId="5EAAF161" w14:textId="77777777" w:rsidR="00133CE1" w:rsidRPr="00011C27" w:rsidRDefault="00133CE1" w:rsidP="00133CE1">
      <w:pPr>
        <w:pStyle w:val="Restitle"/>
        <w:rPr>
          <w:rtl/>
        </w:rPr>
      </w:pPr>
      <w:r w:rsidRPr="00011C27">
        <w:rPr>
          <w:rFonts w:hint="cs"/>
          <w:rtl/>
        </w:rPr>
        <w:t>شروط خدمة الموظفين المنتخبين في الاتحاد</w:t>
      </w:r>
    </w:p>
    <w:p w14:paraId="5EFAF911" w14:textId="77777777" w:rsidR="00133CE1" w:rsidRPr="00011C27" w:rsidRDefault="00133CE1" w:rsidP="00133CE1">
      <w:pPr>
        <w:pStyle w:val="Normalaftertitle"/>
        <w:rPr>
          <w:rtl/>
          <w:lang w:eastAsia="en-US"/>
        </w:rPr>
      </w:pPr>
      <w:r w:rsidRPr="00011C27">
        <w:rPr>
          <w:rFonts w:hint="cs"/>
          <w:rtl/>
          <w:lang w:eastAsia="en-US"/>
        </w:rPr>
        <w:t xml:space="preserve">إن </w:t>
      </w:r>
      <w:r>
        <w:rPr>
          <w:rtl/>
          <w:lang w:eastAsia="en-US"/>
        </w:rPr>
        <w:t>مجلس الاتحاد الدولي للاتصالات</w:t>
      </w:r>
      <w:r w:rsidRPr="00011C27">
        <w:rPr>
          <w:rFonts w:hint="cs"/>
          <w:rtl/>
          <w:lang w:eastAsia="en-US"/>
        </w:rPr>
        <w:t>،</w:t>
      </w:r>
    </w:p>
    <w:p w14:paraId="5D31F16B" w14:textId="0F2E44FE" w:rsidR="00133CE1" w:rsidRPr="00011C27" w:rsidRDefault="00133CE1" w:rsidP="00133CE1">
      <w:pPr>
        <w:pStyle w:val="Call"/>
        <w:rPr>
          <w:rtl/>
          <w:lang w:eastAsia="en-US" w:bidi="ar-EG"/>
        </w:rPr>
      </w:pPr>
      <w:r w:rsidRPr="00011C27">
        <w:rPr>
          <w:rFonts w:hint="cs"/>
          <w:rtl/>
          <w:lang w:eastAsia="en-US" w:bidi="ar-EG"/>
        </w:rPr>
        <w:t xml:space="preserve">إذ </w:t>
      </w:r>
      <w:r w:rsidR="00F9091C">
        <w:rPr>
          <w:rFonts w:hint="cs"/>
          <w:rtl/>
          <w:lang w:eastAsia="en-US" w:bidi="ar-EG"/>
        </w:rPr>
        <w:t>يذكّر</w:t>
      </w:r>
      <w:r w:rsidRPr="00011C27">
        <w:rPr>
          <w:rFonts w:hint="cs"/>
          <w:rtl/>
          <w:lang w:eastAsia="en-US" w:bidi="ar-EG"/>
        </w:rPr>
        <w:t xml:space="preserve"> </w:t>
      </w:r>
    </w:p>
    <w:p w14:paraId="60077374" w14:textId="56DCEFC7" w:rsidR="00133CE1" w:rsidRPr="00011C27" w:rsidRDefault="00F9091C" w:rsidP="00133CE1">
      <w:pPr>
        <w:rPr>
          <w:rFonts w:eastAsia="Times New Roman"/>
          <w:rtl/>
          <w:lang w:eastAsia="en-US" w:bidi="ar-EG"/>
        </w:rPr>
      </w:pPr>
      <w:r>
        <w:rPr>
          <w:rFonts w:eastAsia="Times New Roman" w:hint="cs"/>
          <w:rtl/>
          <w:lang w:eastAsia="en-US" w:bidi="ar-EG"/>
        </w:rPr>
        <w:t>ب</w:t>
      </w:r>
      <w:r w:rsidR="00133CE1" w:rsidRPr="00011C27">
        <w:rPr>
          <w:rFonts w:eastAsia="Times New Roman" w:hint="cs"/>
          <w:rtl/>
          <w:lang w:eastAsia="en-US" w:bidi="ar-EG"/>
        </w:rPr>
        <w:t>القرار</w:t>
      </w:r>
      <w:r w:rsidR="00133CE1">
        <w:rPr>
          <w:rFonts w:eastAsia="Times New Roman" w:hint="eastAsia"/>
          <w:rtl/>
          <w:lang w:eastAsia="en-US" w:bidi="ar-EG"/>
        </w:rPr>
        <w:t> </w:t>
      </w:r>
      <w:r w:rsidR="00133CE1" w:rsidRPr="00011C27">
        <w:rPr>
          <w:rFonts w:eastAsia="Times New Roman"/>
          <w:lang w:eastAsia="en-US" w:bidi="ar-SY"/>
        </w:rPr>
        <w:t>46</w:t>
      </w:r>
      <w:r w:rsidR="00133CE1" w:rsidRPr="00011C27">
        <w:rPr>
          <w:rFonts w:eastAsia="Times New Roman" w:hint="cs"/>
          <w:rtl/>
          <w:lang w:eastAsia="en-US" w:bidi="ar-EG"/>
        </w:rPr>
        <w:t xml:space="preserve"> (كيوتو،</w:t>
      </w:r>
      <w:r w:rsidR="00133CE1">
        <w:rPr>
          <w:rFonts w:eastAsia="Times New Roman" w:hint="eastAsia"/>
          <w:rtl/>
          <w:lang w:eastAsia="en-US" w:bidi="ar-EG"/>
        </w:rPr>
        <w:t> </w:t>
      </w:r>
      <w:r w:rsidR="00133CE1" w:rsidRPr="00011C27">
        <w:rPr>
          <w:rFonts w:eastAsia="Times New Roman"/>
          <w:lang w:eastAsia="en-US" w:bidi="ar-SY"/>
        </w:rPr>
        <w:t>1994</w:t>
      </w:r>
      <w:r w:rsidR="00133CE1" w:rsidRPr="00011C27">
        <w:rPr>
          <w:rFonts w:eastAsia="Times New Roman" w:hint="cs"/>
          <w:rtl/>
          <w:lang w:eastAsia="en-US" w:bidi="ar-EG"/>
        </w:rPr>
        <w:t xml:space="preserve">) </w:t>
      </w:r>
      <w:r>
        <w:rPr>
          <w:rFonts w:eastAsia="Times New Roman" w:hint="cs"/>
          <w:rtl/>
          <w:lang w:eastAsia="en-US" w:bidi="ar-EG"/>
        </w:rPr>
        <w:t>ل</w:t>
      </w:r>
      <w:r w:rsidR="00133CE1" w:rsidRPr="00011C27">
        <w:rPr>
          <w:rFonts w:eastAsia="Times New Roman" w:hint="cs"/>
          <w:rtl/>
          <w:lang w:eastAsia="en-US" w:bidi="ar-EG"/>
        </w:rPr>
        <w:t>مؤتمر المندوبين المفوضين،</w:t>
      </w:r>
    </w:p>
    <w:p w14:paraId="18E52453" w14:textId="77777777" w:rsidR="00133CE1" w:rsidRPr="00011C27" w:rsidRDefault="00133CE1" w:rsidP="00133CE1">
      <w:pPr>
        <w:pStyle w:val="Call"/>
        <w:rPr>
          <w:rtl/>
          <w:lang w:eastAsia="en-US" w:bidi="ar-EG"/>
        </w:rPr>
      </w:pPr>
      <w:r w:rsidRPr="00011C27">
        <w:rPr>
          <w:rFonts w:hint="cs"/>
          <w:rtl/>
          <w:lang w:eastAsia="en-US" w:bidi="ar-EG"/>
        </w:rPr>
        <w:t>وقد نظر</w:t>
      </w:r>
    </w:p>
    <w:p w14:paraId="29AF4F4F" w14:textId="45E52CBE" w:rsidR="00133CE1" w:rsidRPr="00011C27" w:rsidRDefault="00133CE1" w:rsidP="00133CE1">
      <w:pPr>
        <w:rPr>
          <w:rFonts w:eastAsia="Times New Roman"/>
          <w:rtl/>
          <w:lang w:eastAsia="en-US" w:bidi="ar-EG"/>
        </w:rPr>
      </w:pPr>
      <w:r w:rsidRPr="00011C27">
        <w:rPr>
          <w:rFonts w:eastAsia="Times New Roman" w:hint="cs"/>
          <w:rtl/>
          <w:lang w:eastAsia="en-US" w:bidi="ar-EG"/>
        </w:rPr>
        <w:t>في تقرير الأمين</w:t>
      </w:r>
      <w:r w:rsidR="00F9091C">
        <w:rPr>
          <w:rFonts w:eastAsia="Times New Roman" w:hint="cs"/>
          <w:rtl/>
          <w:lang w:eastAsia="en-US" w:bidi="ar-EG"/>
        </w:rPr>
        <w:t>ة</w:t>
      </w:r>
      <w:r w:rsidRPr="00011C27">
        <w:rPr>
          <w:rFonts w:eastAsia="Times New Roman" w:hint="cs"/>
          <w:rtl/>
          <w:lang w:eastAsia="en-US" w:bidi="ar-EG"/>
        </w:rPr>
        <w:t xml:space="preserve"> العام</w:t>
      </w:r>
      <w:r w:rsidR="00F9091C">
        <w:rPr>
          <w:rFonts w:eastAsia="Times New Roman" w:hint="cs"/>
          <w:rtl/>
          <w:lang w:eastAsia="en-US" w:bidi="ar-EG"/>
        </w:rPr>
        <w:t>ة</w:t>
      </w:r>
      <w:r w:rsidRPr="00011C27">
        <w:rPr>
          <w:rFonts w:eastAsia="Times New Roman" w:hint="cs"/>
          <w:rtl/>
          <w:lang w:eastAsia="en-US" w:bidi="ar-EG"/>
        </w:rPr>
        <w:t xml:space="preserve"> بشأن التدابير المتخذة داخل النظام الموحد للأمم المتحدة نتيجة للقرا</w:t>
      </w:r>
      <w:r w:rsidR="00A13AA9">
        <w:rPr>
          <w:rFonts w:eastAsia="Times New Roman" w:hint="cs"/>
          <w:rtl/>
          <w:lang w:eastAsia="en-US" w:bidi="ar-EG"/>
        </w:rPr>
        <w:t xml:space="preserve">ر </w:t>
      </w:r>
      <w:r w:rsidR="00F9091C">
        <w:rPr>
          <w:rFonts w:eastAsia="Times New Roman"/>
          <w:lang w:eastAsia="en-US" w:bidi="ar-EG"/>
        </w:rPr>
        <w:t>77/256</w:t>
      </w:r>
      <w:r w:rsidRPr="00011C27">
        <w:rPr>
          <w:rFonts w:eastAsia="Times New Roman" w:hint="cs"/>
          <w:rtl/>
          <w:lang w:eastAsia="en-US" w:bidi="ar-EG"/>
        </w:rPr>
        <w:t xml:space="preserve"> </w:t>
      </w:r>
      <w:r w:rsidR="00A13AA9">
        <w:rPr>
          <w:rFonts w:eastAsia="Times New Roman" w:hint="cs"/>
          <w:rtl/>
          <w:lang w:eastAsia="en-US" w:bidi="ar-EG"/>
        </w:rPr>
        <w:t>ل</w:t>
      </w:r>
      <w:r w:rsidRPr="00011C27">
        <w:rPr>
          <w:rFonts w:eastAsia="Times New Roman" w:hint="cs"/>
          <w:rtl/>
          <w:lang w:eastAsia="en-US" w:bidi="ar-EG"/>
        </w:rPr>
        <w:t>لجمعية العامة للأمم المتحدة فيما</w:t>
      </w:r>
      <w:r>
        <w:rPr>
          <w:rFonts w:eastAsia="Times New Roman" w:hint="eastAsia"/>
          <w:rtl/>
          <w:lang w:eastAsia="en-US" w:bidi="ar-EG"/>
        </w:rPr>
        <w:t> </w:t>
      </w:r>
      <w:r w:rsidRPr="00011C27">
        <w:rPr>
          <w:rFonts w:eastAsia="Times New Roman" w:hint="cs"/>
          <w:rtl/>
          <w:lang w:eastAsia="en-US" w:bidi="ar-EG"/>
        </w:rPr>
        <w:t>يخص شروط الخدمة</w:t>
      </w:r>
      <w:r w:rsidR="00A13AA9">
        <w:rPr>
          <w:rFonts w:eastAsia="Times New Roman" w:hint="cs"/>
          <w:rtl/>
          <w:lang w:eastAsia="en-US" w:bidi="ar-EG"/>
        </w:rPr>
        <w:t>،</w:t>
      </w:r>
    </w:p>
    <w:p w14:paraId="4582444B" w14:textId="77777777" w:rsidR="00133CE1" w:rsidRPr="00011C27" w:rsidRDefault="00133CE1" w:rsidP="00133CE1">
      <w:pPr>
        <w:pStyle w:val="Call"/>
        <w:rPr>
          <w:rtl/>
          <w:lang w:eastAsia="en-US" w:bidi="ar-EG"/>
        </w:rPr>
      </w:pPr>
      <w:r w:rsidRPr="00011C27">
        <w:rPr>
          <w:rFonts w:hint="cs"/>
          <w:rtl/>
          <w:lang w:eastAsia="en-US" w:bidi="ar-EG"/>
        </w:rPr>
        <w:t>يقـرر</w:t>
      </w:r>
    </w:p>
    <w:p w14:paraId="3182CCBC" w14:textId="01046AB2" w:rsidR="00133CE1" w:rsidRPr="00011C27" w:rsidRDefault="00133CE1" w:rsidP="00133CE1">
      <w:pPr>
        <w:spacing w:after="120"/>
        <w:rPr>
          <w:rtl/>
          <w:lang w:eastAsia="en-US" w:bidi="ar-EG"/>
        </w:rPr>
      </w:pPr>
      <w:r w:rsidRPr="00011C27">
        <w:rPr>
          <w:rFonts w:hint="cs"/>
          <w:rtl/>
          <w:lang w:eastAsia="en-US" w:bidi="ar-EG"/>
        </w:rPr>
        <w:t>الموافقة على المرتبات</w:t>
      </w:r>
      <w:r>
        <w:rPr>
          <w:rFonts w:hint="cs"/>
          <w:rtl/>
          <w:lang w:eastAsia="en-US" w:bidi="ar-EG"/>
        </w:rPr>
        <w:t xml:space="preserve"> التالية</w:t>
      </w:r>
      <w:r w:rsidRPr="00011C27">
        <w:rPr>
          <w:rFonts w:hint="cs"/>
          <w:rtl/>
          <w:lang w:eastAsia="en-US" w:bidi="ar-EG"/>
        </w:rPr>
        <w:t xml:space="preserve"> اعتباراً من </w:t>
      </w:r>
      <w:r w:rsidRPr="00011C27">
        <w:rPr>
          <w:lang w:eastAsia="en-US" w:bidi="ar-SY"/>
        </w:rPr>
        <w:t>1</w:t>
      </w:r>
      <w:r>
        <w:rPr>
          <w:rFonts w:hint="eastAsia"/>
          <w:rtl/>
          <w:lang w:eastAsia="en-US" w:bidi="ar-EG"/>
        </w:rPr>
        <w:t> </w:t>
      </w:r>
      <w:r w:rsidRPr="00011C27">
        <w:rPr>
          <w:rFonts w:hint="cs"/>
          <w:rtl/>
          <w:lang w:eastAsia="en-US" w:bidi="ar-EG"/>
        </w:rPr>
        <w:t>يناير</w:t>
      </w:r>
      <w:r>
        <w:rPr>
          <w:rFonts w:hint="eastAsia"/>
          <w:rtl/>
          <w:lang w:eastAsia="en-US" w:bidi="ar-EG"/>
        </w:rPr>
        <w:t> </w:t>
      </w:r>
      <w:r>
        <w:rPr>
          <w:rFonts w:hint="cs"/>
          <w:rtl/>
          <w:lang w:eastAsia="en-US" w:bidi="ar-SY"/>
        </w:rPr>
        <w:t>2023</w:t>
      </w:r>
      <w:r w:rsidRPr="00011C27">
        <w:rPr>
          <w:rFonts w:hint="cs"/>
          <w:rtl/>
          <w:lang w:eastAsia="en-US" w:bidi="ar-EG"/>
        </w:rPr>
        <w:t xml:space="preserve"> </w:t>
      </w:r>
      <w:r>
        <w:rPr>
          <w:rFonts w:hint="cs"/>
          <w:rtl/>
          <w:lang w:eastAsia="en-US" w:bidi="ar-EG"/>
        </w:rPr>
        <w:t>وعلى</w:t>
      </w:r>
      <w:r w:rsidRPr="00011C27">
        <w:rPr>
          <w:rFonts w:hint="cs"/>
          <w:rtl/>
          <w:lang w:eastAsia="en-US" w:bidi="ar-EG"/>
        </w:rPr>
        <w:t xml:space="preserve"> الأجر</w:t>
      </w:r>
      <w:r>
        <w:rPr>
          <w:rFonts w:hint="cs"/>
          <w:rtl/>
          <w:lang w:eastAsia="en-US" w:bidi="ar-EG"/>
        </w:rPr>
        <w:t xml:space="preserve"> التالي</w:t>
      </w:r>
      <w:r w:rsidRPr="00011C27">
        <w:rPr>
          <w:rFonts w:hint="cs"/>
          <w:rtl/>
          <w:lang w:eastAsia="en-US" w:bidi="ar-EG"/>
        </w:rPr>
        <w:t xml:space="preserve"> الداخل في حساب المعاش التقاعدي اعتباراً من</w:t>
      </w:r>
      <w:r>
        <w:rPr>
          <w:rFonts w:hint="eastAsia"/>
          <w:rtl/>
          <w:lang w:eastAsia="en-US" w:bidi="ar-EG"/>
        </w:rPr>
        <w:t> </w:t>
      </w:r>
      <w:r w:rsidRPr="00011C27">
        <w:rPr>
          <w:lang w:eastAsia="en-US" w:bidi="ar-SY"/>
        </w:rPr>
        <w:t>1</w:t>
      </w:r>
      <w:r>
        <w:rPr>
          <w:rFonts w:hint="eastAsia"/>
          <w:rtl/>
          <w:lang w:eastAsia="en-US" w:bidi="ar-EG"/>
        </w:rPr>
        <w:t> </w:t>
      </w:r>
      <w:r w:rsidRPr="00011C27">
        <w:rPr>
          <w:rFonts w:hint="cs"/>
          <w:rtl/>
          <w:lang w:eastAsia="en-US" w:bidi="ar-EG"/>
        </w:rPr>
        <w:t>فبراير</w:t>
      </w:r>
      <w:r>
        <w:rPr>
          <w:rFonts w:hint="eastAsia"/>
          <w:rtl/>
          <w:lang w:eastAsia="en-US" w:bidi="ar-EG"/>
        </w:rPr>
        <w:t> </w:t>
      </w:r>
      <w:r>
        <w:rPr>
          <w:rFonts w:hint="cs"/>
          <w:rtl/>
          <w:lang w:eastAsia="en-US" w:bidi="ar-SY"/>
        </w:rPr>
        <w:t>2023</w:t>
      </w:r>
      <w:r w:rsidRPr="00011C27">
        <w:rPr>
          <w:rFonts w:hint="cs"/>
          <w:rtl/>
          <w:lang w:eastAsia="en-US" w:bidi="ar-EG"/>
        </w:rPr>
        <w:t xml:space="preserve"> للموظفين المنتخبين في الاتحاد:</w:t>
      </w:r>
    </w:p>
    <w:tbl>
      <w:tblPr>
        <w:bidiVisual/>
        <w:tblW w:w="0" w:type="auto"/>
        <w:jc w:val="center"/>
        <w:tblCellMar>
          <w:left w:w="0" w:type="dxa"/>
          <w:right w:w="0" w:type="dxa"/>
        </w:tblCellMar>
        <w:tblLook w:val="04A0" w:firstRow="1" w:lastRow="0" w:firstColumn="1" w:lastColumn="0" w:noHBand="0" w:noVBand="1"/>
      </w:tblPr>
      <w:tblGrid>
        <w:gridCol w:w="2191"/>
        <w:gridCol w:w="2055"/>
        <w:gridCol w:w="1964"/>
        <w:gridCol w:w="3419"/>
      </w:tblGrid>
      <w:tr w:rsidR="00133CE1" w:rsidRPr="00486E52" w14:paraId="3015477F" w14:textId="77777777" w:rsidTr="003F407A">
        <w:trPr>
          <w:jc w:val="center"/>
        </w:trPr>
        <w:tc>
          <w:tcPr>
            <w:tcW w:w="2191" w:type="dxa"/>
            <w:tcMar>
              <w:top w:w="0" w:type="dxa"/>
              <w:left w:w="108" w:type="dxa"/>
              <w:bottom w:w="0" w:type="dxa"/>
              <w:right w:w="108" w:type="dxa"/>
            </w:tcMar>
          </w:tcPr>
          <w:p w14:paraId="01F519D3" w14:textId="77777777" w:rsidR="00133CE1" w:rsidRPr="00486E52" w:rsidRDefault="00133CE1" w:rsidP="003F407A">
            <w:pPr>
              <w:pStyle w:val="Tabletexte"/>
              <w:bidi w:val="0"/>
              <w:spacing w:line="240" w:lineRule="exact"/>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C58BE" w14:textId="77777777" w:rsidR="00133CE1" w:rsidRPr="00486E52" w:rsidRDefault="00133CE1" w:rsidP="003F407A">
            <w:pPr>
              <w:pStyle w:val="TableHead"/>
              <w:spacing w:line="240" w:lineRule="exact"/>
              <w:rPr>
                <w:rtl/>
              </w:rPr>
            </w:pPr>
            <w:r w:rsidRPr="00486E52">
              <w:rPr>
                <w:rFonts w:hint="cs"/>
                <w:rtl/>
              </w:rPr>
              <w:t>دولار أمريكي سنوياً</w:t>
            </w:r>
          </w:p>
        </w:tc>
      </w:tr>
      <w:tr w:rsidR="00133CE1" w:rsidRPr="00486E52" w14:paraId="27E64BE8" w14:textId="77777777" w:rsidTr="003F407A">
        <w:trPr>
          <w:jc w:val="center"/>
        </w:trPr>
        <w:tc>
          <w:tcPr>
            <w:tcW w:w="2191" w:type="dxa"/>
            <w:tcMar>
              <w:top w:w="0" w:type="dxa"/>
              <w:left w:w="108" w:type="dxa"/>
              <w:bottom w:w="0" w:type="dxa"/>
              <w:right w:w="108" w:type="dxa"/>
            </w:tcMar>
          </w:tcPr>
          <w:p w14:paraId="3B648EC8" w14:textId="77777777" w:rsidR="00133CE1" w:rsidRPr="00486E52" w:rsidRDefault="00133CE1" w:rsidP="003F407A">
            <w:pPr>
              <w:pStyle w:val="Tabletexte"/>
              <w:bidi w:val="0"/>
              <w:spacing w:line="240" w:lineRule="exact"/>
              <w:rPr>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14:paraId="1BC6589D" w14:textId="77777777" w:rsidR="00133CE1" w:rsidRPr="00486E52" w:rsidRDefault="00133CE1" w:rsidP="003F407A">
            <w:pPr>
              <w:pStyle w:val="TableHead"/>
              <w:spacing w:line="240" w:lineRule="exact"/>
            </w:pPr>
            <w:r w:rsidRPr="00486E52">
              <w:rPr>
                <w:rFonts w:hint="cs"/>
                <w:rtl/>
              </w:rPr>
              <w:t>المرتب الإجمالي</w:t>
            </w:r>
          </w:p>
          <w:p w14:paraId="23423D3A" w14:textId="2F2F61CB" w:rsidR="00133CE1" w:rsidRPr="00486E52" w:rsidRDefault="00133CE1" w:rsidP="003F407A">
            <w:pPr>
              <w:pStyle w:val="TableHead"/>
              <w:spacing w:line="240" w:lineRule="exact"/>
              <w:rPr>
                <w:b w:val="0"/>
                <w:bCs w:val="0"/>
                <w:rtl/>
                <w:lang w:bidi="ar-EG"/>
              </w:rPr>
            </w:pPr>
            <w:r w:rsidRPr="00486E52">
              <w:rPr>
                <w:rFonts w:hint="cs"/>
                <w:b w:val="0"/>
                <w:bCs w:val="0"/>
                <w:rtl/>
                <w:lang w:bidi="ar-EG"/>
              </w:rPr>
              <w:t>(</w:t>
            </w:r>
            <w:r w:rsidRPr="00486E52">
              <w:rPr>
                <w:b w:val="0"/>
                <w:bCs w:val="0"/>
                <w:lang w:bidi="ar-EG"/>
              </w:rPr>
              <w:t>1</w:t>
            </w:r>
            <w:r w:rsidRPr="00486E52">
              <w:rPr>
                <w:rFonts w:hint="cs"/>
                <w:b w:val="0"/>
                <w:bCs w:val="0"/>
                <w:rtl/>
                <w:lang w:bidi="ar-EG"/>
              </w:rPr>
              <w:t xml:space="preserve"> يناير </w:t>
            </w:r>
            <w:r>
              <w:rPr>
                <w:rFonts w:hint="cs"/>
                <w:b w:val="0"/>
                <w:bCs w:val="0"/>
                <w:rtl/>
                <w:lang w:bidi="ar-EG"/>
              </w:rPr>
              <w:t>2023</w:t>
            </w:r>
            <w:r w:rsidRPr="00486E52">
              <w:rPr>
                <w:rFonts w:hint="cs"/>
                <w:b w:val="0"/>
                <w:bCs w:val="0"/>
                <w:rtl/>
                <w:lang w:bidi="ar-EG"/>
              </w:rPr>
              <w:t>)</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14:paraId="3F33AAC5" w14:textId="77777777" w:rsidR="00133CE1" w:rsidRPr="00486E52" w:rsidRDefault="00133CE1" w:rsidP="003F407A">
            <w:pPr>
              <w:pStyle w:val="TableHead"/>
              <w:spacing w:line="240" w:lineRule="exact"/>
              <w:rPr>
                <w:rtl/>
              </w:rPr>
            </w:pPr>
            <w:r w:rsidRPr="00486E52">
              <w:rPr>
                <w:rFonts w:hint="cs"/>
                <w:rtl/>
              </w:rPr>
              <w:t>المرتب الصافي</w:t>
            </w:r>
          </w:p>
          <w:p w14:paraId="3C2B1318" w14:textId="78C66096" w:rsidR="00133CE1" w:rsidRPr="00486E52" w:rsidRDefault="00133CE1" w:rsidP="003F407A">
            <w:pPr>
              <w:pStyle w:val="TableHead"/>
              <w:spacing w:line="240" w:lineRule="exact"/>
              <w:rPr>
                <w:b w:val="0"/>
                <w:bCs w:val="0"/>
              </w:rPr>
            </w:pPr>
            <w:r w:rsidRPr="00486E52">
              <w:rPr>
                <w:rFonts w:hint="cs"/>
                <w:b w:val="0"/>
                <w:bCs w:val="0"/>
                <w:rtl/>
                <w:lang w:bidi="ar-EG"/>
              </w:rPr>
              <w:t>(</w:t>
            </w:r>
            <w:r w:rsidRPr="00486E52">
              <w:rPr>
                <w:b w:val="0"/>
                <w:bCs w:val="0"/>
                <w:lang w:bidi="ar-EG"/>
              </w:rPr>
              <w:t>1</w:t>
            </w:r>
            <w:r w:rsidRPr="00486E52">
              <w:rPr>
                <w:rFonts w:hint="cs"/>
                <w:b w:val="0"/>
                <w:bCs w:val="0"/>
                <w:rtl/>
                <w:lang w:bidi="ar-EG"/>
              </w:rPr>
              <w:t xml:space="preserve"> يناير </w:t>
            </w:r>
            <w:r>
              <w:rPr>
                <w:rFonts w:hint="cs"/>
                <w:b w:val="0"/>
                <w:bCs w:val="0"/>
                <w:rtl/>
                <w:lang w:bidi="ar-EG"/>
              </w:rPr>
              <w:t>2023</w:t>
            </w:r>
            <w:r w:rsidRPr="00486E52">
              <w:rPr>
                <w:rFonts w:hint="cs"/>
                <w:b w:val="0"/>
                <w:bCs w:val="0"/>
                <w:rtl/>
                <w:lang w:bidi="ar-EG"/>
              </w:rPr>
              <w:t>)</w:t>
            </w:r>
          </w:p>
        </w:tc>
        <w:tc>
          <w:tcPr>
            <w:tcW w:w="3419" w:type="dxa"/>
            <w:tcBorders>
              <w:top w:val="single" w:sz="8" w:space="0" w:color="auto"/>
              <w:left w:val="nil"/>
              <w:bottom w:val="nil"/>
              <w:right w:val="single" w:sz="8" w:space="0" w:color="auto"/>
            </w:tcBorders>
            <w:tcMar>
              <w:left w:w="108" w:type="dxa"/>
              <w:right w:w="108" w:type="dxa"/>
            </w:tcMar>
          </w:tcPr>
          <w:p w14:paraId="5B885D27" w14:textId="77777777" w:rsidR="00133CE1" w:rsidRPr="00486E52" w:rsidRDefault="00133CE1" w:rsidP="003F407A">
            <w:pPr>
              <w:pStyle w:val="TableHead"/>
              <w:spacing w:line="240" w:lineRule="exact"/>
              <w:rPr>
                <w:rtl/>
              </w:rPr>
            </w:pPr>
            <w:r w:rsidRPr="00486E52">
              <w:rPr>
                <w:rFonts w:hint="cs"/>
                <w:rtl/>
              </w:rPr>
              <w:t>الأجر الداخل</w:t>
            </w:r>
            <w:r w:rsidRPr="00486E52">
              <w:rPr>
                <w:rtl/>
              </w:rPr>
              <w:br/>
            </w:r>
            <w:r w:rsidRPr="00486E52">
              <w:rPr>
                <w:rFonts w:hint="cs"/>
                <w:rtl/>
              </w:rPr>
              <w:t>في حساب المعاش التقاعدي</w:t>
            </w:r>
          </w:p>
          <w:p w14:paraId="196A8E6B" w14:textId="4D3702E1" w:rsidR="00133CE1" w:rsidRPr="00486E52" w:rsidRDefault="00133CE1" w:rsidP="003F407A">
            <w:pPr>
              <w:pStyle w:val="TableHead"/>
              <w:spacing w:line="240" w:lineRule="exact"/>
              <w:rPr>
                <w:b w:val="0"/>
                <w:bCs w:val="0"/>
                <w:rtl/>
              </w:rPr>
            </w:pPr>
            <w:r w:rsidRPr="00486E52">
              <w:rPr>
                <w:rFonts w:hint="cs"/>
                <w:b w:val="0"/>
                <w:bCs w:val="0"/>
                <w:rtl/>
                <w:lang w:bidi="ar-EG"/>
              </w:rPr>
              <w:t>(</w:t>
            </w:r>
            <w:r w:rsidRPr="00486E52">
              <w:rPr>
                <w:b w:val="0"/>
                <w:bCs w:val="0"/>
                <w:lang w:bidi="ar-EG"/>
              </w:rPr>
              <w:t>1</w:t>
            </w:r>
            <w:r w:rsidRPr="00486E52">
              <w:rPr>
                <w:rFonts w:hint="cs"/>
                <w:b w:val="0"/>
                <w:bCs w:val="0"/>
                <w:rtl/>
                <w:lang w:bidi="ar-EG"/>
              </w:rPr>
              <w:t xml:space="preserve"> فبراير </w:t>
            </w:r>
            <w:r>
              <w:rPr>
                <w:rFonts w:hint="cs"/>
                <w:b w:val="0"/>
                <w:bCs w:val="0"/>
                <w:rtl/>
                <w:lang w:bidi="ar-EG"/>
              </w:rPr>
              <w:t>2023</w:t>
            </w:r>
            <w:r w:rsidRPr="00486E52">
              <w:rPr>
                <w:rFonts w:hint="cs"/>
                <w:b w:val="0"/>
                <w:bCs w:val="0"/>
                <w:rtl/>
                <w:lang w:bidi="ar-EG"/>
              </w:rPr>
              <w:t>)</w:t>
            </w:r>
          </w:p>
        </w:tc>
      </w:tr>
      <w:tr w:rsidR="00133CE1" w:rsidRPr="00486E52" w14:paraId="31331385" w14:textId="77777777" w:rsidTr="003F407A">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FABD20" w14:textId="77777777" w:rsidR="00133CE1" w:rsidRPr="00486E52" w:rsidRDefault="00133CE1" w:rsidP="00133CE1">
            <w:pPr>
              <w:pStyle w:val="Tabletexte"/>
              <w:spacing w:line="240" w:lineRule="exact"/>
              <w:rPr>
                <w:rFonts w:eastAsia="Times New Roman"/>
                <w:lang w:val="fr-FR" w:eastAsia="en-US" w:bidi="ar-EG"/>
              </w:rPr>
            </w:pPr>
            <w:r w:rsidRPr="00486E52">
              <w:rPr>
                <w:rFonts w:eastAsia="Times New Roman" w:hint="cs"/>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365728" w14:textId="74693044" w:rsidR="00133CE1" w:rsidRPr="00486E52" w:rsidRDefault="00133CE1" w:rsidP="00133CE1">
            <w:pPr>
              <w:pStyle w:val="Tabletexte"/>
              <w:spacing w:line="240" w:lineRule="exact"/>
              <w:jc w:val="center"/>
              <w:rPr>
                <w:rFonts w:eastAsia="Times New Roman"/>
                <w:lang w:val="en-GB" w:eastAsia="en-US"/>
              </w:rPr>
            </w:pPr>
            <w:r w:rsidRPr="000538AD">
              <w:rPr>
                <w:rFonts w:cs="Calibri"/>
                <w:szCs w:val="24"/>
              </w:rPr>
              <w:t>257</w:t>
            </w:r>
            <w:r>
              <w:rPr>
                <w:rFonts w:cs="Calibri"/>
                <w:szCs w:val="24"/>
              </w:rPr>
              <w:t> </w:t>
            </w:r>
            <w:r w:rsidRPr="000538AD">
              <w:rPr>
                <w:rFonts w:cs="Calibri"/>
                <w:szCs w:val="24"/>
              </w:rPr>
              <w:t>276</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BA6DE6" w14:textId="42C875C5" w:rsidR="00133CE1" w:rsidRPr="00486E52" w:rsidRDefault="00133CE1" w:rsidP="00133CE1">
            <w:pPr>
              <w:pStyle w:val="Tabletexte"/>
              <w:spacing w:line="240" w:lineRule="exact"/>
              <w:jc w:val="center"/>
              <w:rPr>
                <w:rFonts w:eastAsia="Times New Roman"/>
                <w:lang w:val="en-GB" w:eastAsia="en-US"/>
              </w:rPr>
            </w:pPr>
            <w:r w:rsidRPr="000538AD">
              <w:rPr>
                <w:rFonts w:cs="Calibri"/>
                <w:szCs w:val="24"/>
              </w:rPr>
              <w:t>185</w:t>
            </w:r>
            <w:r>
              <w:rPr>
                <w:rFonts w:cs="Calibri"/>
                <w:szCs w:val="24"/>
              </w:rPr>
              <w:t> </w:t>
            </w:r>
            <w:r w:rsidRPr="000538AD">
              <w:rPr>
                <w:rFonts w:cs="Calibri"/>
                <w:szCs w:val="24"/>
              </w:rPr>
              <w:t>302</w:t>
            </w:r>
          </w:p>
        </w:tc>
        <w:tc>
          <w:tcPr>
            <w:tcW w:w="3419" w:type="dxa"/>
            <w:tcBorders>
              <w:top w:val="single" w:sz="8" w:space="0" w:color="auto"/>
              <w:left w:val="nil"/>
              <w:bottom w:val="single" w:sz="8" w:space="0" w:color="auto"/>
              <w:right w:val="single" w:sz="8" w:space="0" w:color="auto"/>
            </w:tcBorders>
            <w:tcMar>
              <w:left w:w="108" w:type="dxa"/>
              <w:right w:w="108" w:type="dxa"/>
            </w:tcMar>
          </w:tcPr>
          <w:p w14:paraId="7416FE9F" w14:textId="7C1DC16D" w:rsidR="00133CE1" w:rsidRPr="00486E52" w:rsidRDefault="00133CE1" w:rsidP="00133CE1">
            <w:pPr>
              <w:pStyle w:val="Tabletexte"/>
              <w:spacing w:line="240" w:lineRule="exact"/>
              <w:jc w:val="center"/>
              <w:rPr>
                <w:rFonts w:eastAsia="Times New Roman"/>
                <w:lang w:val="en-GB" w:eastAsia="en-US"/>
              </w:rPr>
            </w:pPr>
            <w:r w:rsidRPr="000538AD">
              <w:rPr>
                <w:rFonts w:cs="Calibri"/>
                <w:szCs w:val="24"/>
              </w:rPr>
              <w:t>434</w:t>
            </w:r>
            <w:r>
              <w:rPr>
                <w:rFonts w:cs="Calibri"/>
                <w:szCs w:val="24"/>
              </w:rPr>
              <w:t> </w:t>
            </w:r>
            <w:r w:rsidRPr="000538AD">
              <w:rPr>
                <w:rFonts w:cs="Calibri"/>
                <w:szCs w:val="24"/>
              </w:rPr>
              <w:t>756</w:t>
            </w:r>
          </w:p>
        </w:tc>
      </w:tr>
      <w:tr w:rsidR="00133CE1" w:rsidRPr="00486E52" w14:paraId="01E4C018" w14:textId="77777777" w:rsidTr="003F407A">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0B59A" w14:textId="77777777" w:rsidR="00133CE1" w:rsidRPr="00486E52" w:rsidRDefault="00133CE1" w:rsidP="00133CE1">
            <w:pPr>
              <w:pStyle w:val="Tabletexte"/>
              <w:spacing w:line="240" w:lineRule="exact"/>
              <w:jc w:val="left"/>
              <w:rPr>
                <w:rFonts w:eastAsia="Times New Roman"/>
                <w:lang w:eastAsia="en-US"/>
              </w:rPr>
            </w:pPr>
            <w:r w:rsidRPr="00486E52">
              <w:rPr>
                <w:rFonts w:eastAsia="Times New Roman" w:hint="cs"/>
                <w:rtl/>
                <w:lang w:val="fr-FR" w:eastAsia="en-US" w:bidi="ar-EG"/>
              </w:rPr>
              <w:t>نائب الأمين العام ومديرو</w:t>
            </w:r>
            <w:r w:rsidRPr="00486E52">
              <w:rPr>
                <w:rFonts w:eastAsia="Times New Roman" w:hint="eastAsia"/>
                <w:rtl/>
                <w:lang w:val="fr-FR" w:eastAsia="en-US" w:bidi="ar-EG"/>
              </w:rPr>
              <w:t> </w:t>
            </w:r>
            <w:r w:rsidRPr="00486E52">
              <w:rPr>
                <w:rFonts w:eastAsia="Times New Roman" w:hint="cs"/>
                <w:rtl/>
                <w:lang w:val="fr-FR" w:eastAsia="en-US" w:bidi="ar-EG"/>
              </w:rPr>
              <w:t>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14:paraId="57C39814" w14:textId="3A92A57A" w:rsidR="00133CE1" w:rsidRPr="00486E52" w:rsidRDefault="00133CE1" w:rsidP="00133CE1">
            <w:pPr>
              <w:pStyle w:val="Tabletexte"/>
              <w:spacing w:line="240" w:lineRule="exact"/>
              <w:jc w:val="center"/>
              <w:rPr>
                <w:rFonts w:eastAsia="Times New Roman"/>
                <w:lang w:val="en-GB" w:eastAsia="en-US"/>
              </w:rPr>
            </w:pPr>
            <w:r w:rsidRPr="000538AD">
              <w:rPr>
                <w:rFonts w:cs="Calibri"/>
                <w:szCs w:val="24"/>
              </w:rPr>
              <w:t>234</w:t>
            </w:r>
            <w:r>
              <w:rPr>
                <w:rFonts w:cs="Calibri"/>
                <w:szCs w:val="24"/>
              </w:rPr>
              <w:t> </w:t>
            </w:r>
            <w:r w:rsidRPr="000538AD">
              <w:rPr>
                <w:rFonts w:cs="Calibri"/>
                <w:szCs w:val="24"/>
              </w:rPr>
              <w:t>229</w:t>
            </w:r>
          </w:p>
        </w:tc>
        <w:tc>
          <w:tcPr>
            <w:tcW w:w="1964" w:type="dxa"/>
            <w:tcBorders>
              <w:top w:val="nil"/>
              <w:left w:val="nil"/>
              <w:bottom w:val="single" w:sz="8" w:space="0" w:color="auto"/>
              <w:right w:val="single" w:sz="8" w:space="0" w:color="auto"/>
            </w:tcBorders>
            <w:tcMar>
              <w:top w:w="0" w:type="dxa"/>
              <w:left w:w="108" w:type="dxa"/>
              <w:bottom w:w="0" w:type="dxa"/>
              <w:right w:w="108" w:type="dxa"/>
            </w:tcMar>
          </w:tcPr>
          <w:p w14:paraId="05AE2DE2" w14:textId="6FF2C29C" w:rsidR="00133CE1" w:rsidRPr="00486E52" w:rsidRDefault="00133CE1" w:rsidP="00133CE1">
            <w:pPr>
              <w:pStyle w:val="Tabletexte"/>
              <w:spacing w:line="240" w:lineRule="exact"/>
              <w:jc w:val="center"/>
              <w:rPr>
                <w:rFonts w:eastAsia="Times New Roman"/>
                <w:lang w:val="en-GB" w:eastAsia="en-US"/>
              </w:rPr>
            </w:pPr>
            <w:r w:rsidRPr="000538AD">
              <w:rPr>
                <w:rFonts w:cs="Calibri"/>
                <w:szCs w:val="24"/>
              </w:rPr>
              <w:t>170</w:t>
            </w:r>
            <w:r>
              <w:rPr>
                <w:rFonts w:cs="Calibri"/>
                <w:szCs w:val="24"/>
              </w:rPr>
              <w:t> </w:t>
            </w:r>
            <w:r w:rsidRPr="000538AD">
              <w:rPr>
                <w:rFonts w:cs="Calibri"/>
                <w:szCs w:val="24"/>
              </w:rPr>
              <w:t>091</w:t>
            </w:r>
          </w:p>
        </w:tc>
        <w:tc>
          <w:tcPr>
            <w:tcW w:w="3419" w:type="dxa"/>
            <w:tcBorders>
              <w:top w:val="nil"/>
              <w:left w:val="nil"/>
              <w:bottom w:val="single" w:sz="8" w:space="0" w:color="auto"/>
              <w:right w:val="single" w:sz="8" w:space="0" w:color="auto"/>
            </w:tcBorders>
            <w:tcMar>
              <w:left w:w="108" w:type="dxa"/>
              <w:right w:w="108" w:type="dxa"/>
            </w:tcMar>
          </w:tcPr>
          <w:p w14:paraId="0622D8D3" w14:textId="35BF6BA5" w:rsidR="00133CE1" w:rsidRPr="00486E52" w:rsidRDefault="00133CE1" w:rsidP="00133CE1">
            <w:pPr>
              <w:pStyle w:val="Tabletexte"/>
              <w:spacing w:line="240" w:lineRule="exact"/>
              <w:jc w:val="center"/>
              <w:rPr>
                <w:rFonts w:eastAsia="Times New Roman"/>
                <w:lang w:val="en-GB" w:eastAsia="en-US"/>
              </w:rPr>
            </w:pPr>
            <w:r w:rsidRPr="000538AD">
              <w:rPr>
                <w:rFonts w:cs="Calibri"/>
                <w:szCs w:val="24"/>
              </w:rPr>
              <w:t>403</w:t>
            </w:r>
            <w:r>
              <w:rPr>
                <w:rFonts w:cs="Calibri"/>
                <w:szCs w:val="24"/>
              </w:rPr>
              <w:t> </w:t>
            </w:r>
            <w:r w:rsidRPr="000538AD">
              <w:rPr>
                <w:rFonts w:cs="Calibri"/>
                <w:szCs w:val="24"/>
              </w:rPr>
              <w:t>221</w:t>
            </w:r>
          </w:p>
        </w:tc>
      </w:tr>
    </w:tbl>
    <w:p w14:paraId="403E21C6" w14:textId="0A61167E" w:rsidR="00F50E3F" w:rsidRDefault="00133CE1" w:rsidP="00133CE1">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7075" w14:textId="77777777" w:rsidR="00221C4E" w:rsidRDefault="00221C4E" w:rsidP="006C3242">
      <w:pPr>
        <w:spacing w:before="0" w:line="240" w:lineRule="auto"/>
      </w:pPr>
      <w:r>
        <w:separator/>
      </w:r>
    </w:p>
  </w:endnote>
  <w:endnote w:type="continuationSeparator" w:id="0">
    <w:p w14:paraId="5A88C8AE" w14:textId="77777777" w:rsidR="00221C4E" w:rsidRDefault="00221C4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6778" w14:textId="77777777" w:rsidR="004D0706" w:rsidRDefault="004D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0DD6A3A" w14:textId="77777777" w:rsidTr="00357086">
      <w:trPr>
        <w:jc w:val="center"/>
      </w:trPr>
      <w:tc>
        <w:tcPr>
          <w:tcW w:w="868" w:type="pct"/>
          <w:vAlign w:val="center"/>
        </w:tcPr>
        <w:p w14:paraId="755AE318" w14:textId="5B3D1E1B"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133CE1">
            <w:rPr>
              <w:rFonts w:ascii="Calibri" w:hAnsi="Calibri" w:cs="Arial"/>
              <w:sz w:val="18"/>
              <w:szCs w:val="14"/>
            </w:rPr>
            <w:t>520477</w:t>
          </w:r>
        </w:p>
      </w:tc>
      <w:tc>
        <w:tcPr>
          <w:tcW w:w="3912" w:type="pct"/>
        </w:tcPr>
        <w:p w14:paraId="3AC709A1" w14:textId="75B4780A"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133CE1">
            <w:rPr>
              <w:rFonts w:ascii="Calibri" w:hAnsi="Calibri" w:cs="Arial"/>
              <w:bCs/>
              <w:color w:val="7F7F7F"/>
              <w:sz w:val="18"/>
            </w:rPr>
            <w:t>18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0C92D59"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9410413" w14:textId="14DD061E" w:rsidR="006C3242" w:rsidRPr="009027DD" w:rsidRDefault="009027DD" w:rsidP="009027DD">
    <w:pPr>
      <w:pStyle w:val="Footer"/>
      <w:tabs>
        <w:tab w:val="clear" w:pos="4153"/>
        <w:tab w:val="clear" w:pos="8306"/>
        <w:tab w:val="center" w:pos="5103"/>
        <w:tab w:val="right" w:pos="9639"/>
      </w:tabs>
      <w:spacing w:before="120"/>
      <w:rPr>
        <w:sz w:val="16"/>
        <w:szCs w:val="16"/>
        <w:lang w:val="fr-CH"/>
      </w:rPr>
    </w:pPr>
    <w:r w:rsidRPr="004D0706">
      <w:rPr>
        <w:color w:val="F2F2F2" w:themeColor="background1" w:themeShade="F2"/>
        <w:sz w:val="16"/>
        <w:szCs w:val="16"/>
        <w:lang w:val="fr-FR"/>
      </w:rPr>
      <w:fldChar w:fldCharType="begin"/>
    </w:r>
    <w:r w:rsidRPr="004D0706">
      <w:rPr>
        <w:color w:val="F2F2F2" w:themeColor="background1" w:themeShade="F2"/>
        <w:sz w:val="16"/>
        <w:szCs w:val="16"/>
        <w:lang w:val="fr-FR"/>
      </w:rPr>
      <w:instrText xml:space="preserve"> FILENAME \p \* MERGEFORMAT </w:instrText>
    </w:r>
    <w:r w:rsidRPr="004D0706">
      <w:rPr>
        <w:color w:val="F2F2F2" w:themeColor="background1" w:themeShade="F2"/>
        <w:sz w:val="16"/>
        <w:szCs w:val="16"/>
        <w:lang w:val="fr-FR"/>
      </w:rPr>
      <w:fldChar w:fldCharType="separate"/>
    </w:r>
    <w:r w:rsidR="007812D9" w:rsidRPr="004D0706">
      <w:rPr>
        <w:noProof/>
        <w:color w:val="F2F2F2" w:themeColor="background1" w:themeShade="F2"/>
        <w:sz w:val="16"/>
        <w:szCs w:val="16"/>
        <w:lang w:val="fr-FR"/>
      </w:rPr>
      <w:t>P:\ARA\SG\CONSEIL\C23\000\018A.docx</w:t>
    </w:r>
    <w:r w:rsidRPr="004D0706">
      <w:rPr>
        <w:color w:val="F2F2F2" w:themeColor="background1" w:themeShade="F2"/>
        <w:sz w:val="16"/>
        <w:szCs w:val="16"/>
      </w:rPr>
      <w:fldChar w:fldCharType="end"/>
    </w:r>
    <w:proofErr w:type="gramStart"/>
    <w:r w:rsidRPr="004D0706">
      <w:rPr>
        <w:color w:val="F2F2F2" w:themeColor="background1" w:themeShade="F2"/>
        <w:sz w:val="16"/>
        <w:szCs w:val="16"/>
        <w:lang w:val="fr-CH"/>
      </w:rPr>
      <w:t xml:space="preserve">  </w:t>
    </w:r>
    <w:r w:rsidRPr="004D0706">
      <w:rPr>
        <w:color w:val="F2F2F2" w:themeColor="background1" w:themeShade="F2"/>
        <w:sz w:val="16"/>
        <w:szCs w:val="16"/>
        <w:lang w:val="fr-FR"/>
      </w:rPr>
      <w:t xml:space="preserve"> (</w:t>
    </w:r>
    <w:proofErr w:type="gramEnd"/>
    <w:r w:rsidRPr="004D0706">
      <w:rPr>
        <w:color w:val="F2F2F2" w:themeColor="background1" w:themeShade="F2"/>
        <w:sz w:val="16"/>
        <w:szCs w:val="16"/>
        <w:lang w:val="fr-FR"/>
      </w:rPr>
      <w:t>520477)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E3B966D" w14:textId="77777777" w:rsidTr="00F50E3F">
      <w:trPr>
        <w:jc w:val="center"/>
      </w:trPr>
      <w:tc>
        <w:tcPr>
          <w:tcW w:w="868" w:type="pct"/>
          <w:vAlign w:val="center"/>
        </w:tcPr>
        <w:p w14:paraId="2EBA417B" w14:textId="77777777" w:rsidR="007B0AA0" w:rsidRPr="007B0AA0" w:rsidRDefault="004D0706"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A6EC514" w14:textId="521E72C1"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133CE1">
            <w:rPr>
              <w:rFonts w:ascii="Calibri" w:hAnsi="Calibri" w:cs="Arial"/>
              <w:bCs/>
              <w:color w:val="7F7F7F"/>
              <w:sz w:val="18"/>
            </w:rPr>
            <w:t>18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68B6F59"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F06BF6A" w14:textId="68DA06D6" w:rsidR="0006468A" w:rsidRPr="009027DD" w:rsidRDefault="0006468A" w:rsidP="0006468A">
    <w:pPr>
      <w:pStyle w:val="Footer"/>
      <w:tabs>
        <w:tab w:val="clear" w:pos="4153"/>
        <w:tab w:val="clear" w:pos="8306"/>
        <w:tab w:val="center" w:pos="5103"/>
        <w:tab w:val="right" w:pos="9639"/>
      </w:tabs>
      <w:spacing w:before="120"/>
      <w:rPr>
        <w:sz w:val="16"/>
        <w:szCs w:val="16"/>
        <w:lang w:val="fr-CH"/>
      </w:rPr>
    </w:pPr>
    <w:r w:rsidRPr="004D0706">
      <w:rPr>
        <w:color w:val="F2F2F2" w:themeColor="background1" w:themeShade="F2"/>
        <w:sz w:val="16"/>
        <w:szCs w:val="16"/>
        <w:lang w:val="fr-FR"/>
      </w:rPr>
      <w:fldChar w:fldCharType="begin"/>
    </w:r>
    <w:r w:rsidRPr="004D0706">
      <w:rPr>
        <w:color w:val="F2F2F2" w:themeColor="background1" w:themeShade="F2"/>
        <w:sz w:val="16"/>
        <w:szCs w:val="16"/>
        <w:lang w:val="fr-FR"/>
      </w:rPr>
      <w:instrText xml:space="preserve"> FILENAME \p \* MERGEFORMAT </w:instrText>
    </w:r>
    <w:r w:rsidRPr="004D0706">
      <w:rPr>
        <w:color w:val="F2F2F2" w:themeColor="background1" w:themeShade="F2"/>
        <w:sz w:val="16"/>
        <w:szCs w:val="16"/>
        <w:lang w:val="fr-FR"/>
      </w:rPr>
      <w:fldChar w:fldCharType="separate"/>
    </w:r>
    <w:r w:rsidR="007812D9" w:rsidRPr="004D0706">
      <w:rPr>
        <w:noProof/>
        <w:color w:val="F2F2F2" w:themeColor="background1" w:themeShade="F2"/>
        <w:sz w:val="16"/>
        <w:szCs w:val="16"/>
        <w:lang w:val="fr-FR"/>
      </w:rPr>
      <w:t>P:\ARA\SG\CONSEIL\C23\000\018A.docx</w:t>
    </w:r>
    <w:r w:rsidRPr="004D0706">
      <w:rPr>
        <w:color w:val="F2F2F2" w:themeColor="background1" w:themeShade="F2"/>
        <w:sz w:val="16"/>
        <w:szCs w:val="16"/>
      </w:rPr>
      <w:fldChar w:fldCharType="end"/>
    </w:r>
    <w:proofErr w:type="gramStart"/>
    <w:r w:rsidRPr="004D0706">
      <w:rPr>
        <w:color w:val="F2F2F2" w:themeColor="background1" w:themeShade="F2"/>
        <w:sz w:val="16"/>
        <w:szCs w:val="16"/>
        <w:lang w:val="fr-CH"/>
      </w:rPr>
      <w:t xml:space="preserve">  </w:t>
    </w:r>
    <w:r w:rsidRPr="004D0706">
      <w:rPr>
        <w:color w:val="F2F2F2" w:themeColor="background1" w:themeShade="F2"/>
        <w:sz w:val="16"/>
        <w:szCs w:val="16"/>
        <w:lang w:val="fr-FR"/>
      </w:rPr>
      <w:t xml:space="preserve"> (</w:t>
    </w:r>
    <w:proofErr w:type="gramEnd"/>
    <w:r w:rsidR="009027DD" w:rsidRPr="004D0706">
      <w:rPr>
        <w:color w:val="F2F2F2" w:themeColor="background1" w:themeShade="F2"/>
        <w:sz w:val="16"/>
        <w:szCs w:val="16"/>
        <w:lang w:val="fr-FR"/>
      </w:rPr>
      <w:t>520477</w:t>
    </w:r>
    <w:r w:rsidRPr="004D0706">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78CE" w14:textId="77777777" w:rsidR="00221C4E" w:rsidRDefault="00221C4E" w:rsidP="006C3242">
      <w:pPr>
        <w:spacing w:before="0" w:line="240" w:lineRule="auto"/>
      </w:pPr>
      <w:r>
        <w:separator/>
      </w:r>
    </w:p>
  </w:footnote>
  <w:footnote w:type="continuationSeparator" w:id="0">
    <w:p w14:paraId="695EA717" w14:textId="77777777" w:rsidR="00221C4E" w:rsidRDefault="00221C4E" w:rsidP="006C3242">
      <w:pPr>
        <w:spacing w:before="0" w:line="240" w:lineRule="auto"/>
      </w:pPr>
      <w:r>
        <w:continuationSeparator/>
      </w:r>
    </w:p>
  </w:footnote>
  <w:footnote w:id="1">
    <w:p w14:paraId="12AD8391" w14:textId="2EBAF720" w:rsidR="00133CE1" w:rsidRDefault="00133CE1" w:rsidP="00133CE1">
      <w:pPr>
        <w:pStyle w:val="Footnotetexte"/>
        <w:rPr>
          <w:lang w:bidi="ar-EG"/>
        </w:rPr>
      </w:pPr>
      <w:r>
        <w:rPr>
          <w:rStyle w:val="FootnoteReference"/>
        </w:rPr>
        <w:footnoteRef/>
      </w:r>
      <w:r>
        <w:rPr>
          <w:rtl/>
        </w:rPr>
        <w:t xml:space="preserve"> </w:t>
      </w:r>
      <w:r>
        <w:rPr>
          <w:lang w:bidi="ar-EG"/>
        </w:rPr>
        <w:tab/>
      </w:r>
      <w:r w:rsidR="00075FE5" w:rsidRPr="003F1124">
        <w:rPr>
          <w:rFonts w:hint="cs"/>
          <w:rtl/>
          <w:lang w:bidi="ar-EG"/>
        </w:rPr>
        <w:t xml:space="preserve">يعبَّر عن </w:t>
      </w:r>
      <w:r w:rsidR="00F52B73" w:rsidRPr="003F1124">
        <w:rPr>
          <w:rFonts w:hint="cs"/>
          <w:rtl/>
          <w:lang w:bidi="ar-EG"/>
        </w:rPr>
        <w:t>جدول المرتبات الأساسية/الدنيا</w:t>
      </w:r>
      <w:r w:rsidR="00075FE5" w:rsidRPr="003F1124">
        <w:rPr>
          <w:rFonts w:hint="cs"/>
          <w:rtl/>
          <w:lang w:bidi="ar-EG"/>
        </w:rPr>
        <w:t xml:space="preserve"> السنوية بالقيم الإجمالية والقيم الصافية بعد خصم الاقتطاعات الإلزامية (أي، الضرائب الداخلية). انظر </w:t>
      </w:r>
      <w:hyperlink r:id="rId1" w:history="1">
        <w:r w:rsidR="00075FE5" w:rsidRPr="003F1124">
          <w:rPr>
            <w:rStyle w:val="Hyperlink"/>
          </w:rPr>
          <w:t>https://icsc.un.org/Home/SalaryScales</w:t>
        </w:r>
      </w:hyperlink>
      <w:r w:rsidR="00075FE5" w:rsidRPr="003F1124">
        <w:rPr>
          <w:rFonts w:hint="cs"/>
          <w:rtl/>
          <w:lang w:bidi="ar-EG"/>
        </w:rPr>
        <w:t>.</w:t>
      </w:r>
    </w:p>
  </w:footnote>
  <w:footnote w:id="2">
    <w:p w14:paraId="5682B486" w14:textId="3883D0D3" w:rsidR="00133CE1" w:rsidRDefault="00133CE1" w:rsidP="00133CE1">
      <w:pPr>
        <w:pStyle w:val="Footnotetexte"/>
        <w:rPr>
          <w:rtl/>
          <w:lang w:bidi="ar-EG"/>
        </w:rPr>
      </w:pPr>
      <w:r>
        <w:rPr>
          <w:rStyle w:val="FootnoteReference"/>
        </w:rPr>
        <w:footnoteRef/>
      </w:r>
      <w:r>
        <w:rPr>
          <w:rtl/>
        </w:rPr>
        <w:t xml:space="preserve"> </w:t>
      </w:r>
      <w:r>
        <w:rPr>
          <w:rtl/>
          <w:lang w:bidi="ar-EG"/>
        </w:rPr>
        <w:tab/>
      </w:r>
      <w:r w:rsidR="00D6131B" w:rsidRPr="003F1124">
        <w:rPr>
          <w:rFonts w:hint="cs"/>
          <w:rtl/>
          <w:lang w:bidi="ar-EG"/>
        </w:rPr>
        <w:t xml:space="preserve">القرار </w:t>
      </w:r>
      <w:r w:rsidR="00D6131B" w:rsidRPr="003F1124">
        <w:t>77/256</w:t>
      </w:r>
      <w:r w:rsidR="00D6131B" w:rsidRPr="003F1124">
        <w:rPr>
          <w:rFonts w:hint="cs"/>
          <w:rtl/>
          <w:lang w:bidi="ar-EG"/>
        </w:rPr>
        <w:t xml:space="preserve"> للجمعية العامة للأمم المتحدة، </w:t>
      </w:r>
      <w:hyperlink r:id="rId2" w:history="1">
        <w:r w:rsidR="00D6131B" w:rsidRPr="003F1124">
          <w:rPr>
            <w:rStyle w:val="Hyperlink"/>
          </w:rPr>
          <w:t>A/RES/77/256</w:t>
        </w:r>
      </w:hyperlink>
      <w:r w:rsidR="00D6131B" w:rsidRPr="003F1124">
        <w:rPr>
          <w:rFonts w:hint="cs"/>
          <w:rtl/>
          <w:lang w:bidi="ar-EG"/>
        </w:rPr>
        <w:t>، عن النظام الموحد للأمم المتحدة، الذي اعتُمد في 30 ديسمبر 2022.</w:t>
      </w:r>
    </w:p>
  </w:footnote>
  <w:footnote w:id="3">
    <w:p w14:paraId="417A522F" w14:textId="4868EA7D" w:rsidR="00133CE1" w:rsidRDefault="00133CE1" w:rsidP="00133CE1">
      <w:pPr>
        <w:pStyle w:val="Footnotetexte"/>
        <w:rPr>
          <w:lang w:bidi="ar-EG"/>
        </w:rPr>
      </w:pPr>
      <w:r>
        <w:rPr>
          <w:rStyle w:val="FootnoteReference"/>
        </w:rPr>
        <w:footnoteRef/>
      </w:r>
      <w:r>
        <w:rPr>
          <w:rtl/>
        </w:rPr>
        <w:t xml:space="preserve"> </w:t>
      </w:r>
      <w:r>
        <w:rPr>
          <w:rtl/>
          <w:lang w:bidi="ar-EG"/>
        </w:rPr>
        <w:tab/>
      </w:r>
      <w:r w:rsidR="00D6131B">
        <w:rPr>
          <w:rFonts w:hint="cs"/>
          <w:rtl/>
          <w:lang w:bidi="ar-EG"/>
        </w:rPr>
        <w:t>الجمعية العامة للأمم المتحدة،</w:t>
      </w:r>
      <w:r w:rsidR="00FC47AA">
        <w:rPr>
          <w:rFonts w:hint="cs"/>
          <w:rtl/>
          <w:lang w:bidi="ar-EG"/>
        </w:rPr>
        <w:t xml:space="preserve"> الوثائق الرسمية، الدورة السابعة والسبعون، الملحق رقم 30، </w:t>
      </w:r>
      <w:hyperlink r:id="rId3" w:history="1">
        <w:r w:rsidR="00FC47AA" w:rsidRPr="00470D44">
          <w:rPr>
            <w:rStyle w:val="Hyperlink"/>
          </w:rPr>
          <w:t>A/77/30</w:t>
        </w:r>
      </w:hyperlink>
      <w:r w:rsidR="00FC47AA">
        <w:rPr>
          <w:rFonts w:hint="cs"/>
          <w:rtl/>
          <w:lang w:bidi="ar-EG"/>
        </w:rPr>
        <w:t xml:space="preserve"> (2022). </w:t>
      </w:r>
    </w:p>
  </w:footnote>
  <w:footnote w:id="4">
    <w:p w14:paraId="4BAAEBC0" w14:textId="786826CF" w:rsidR="00133CE1" w:rsidRDefault="00133CE1" w:rsidP="00133CE1">
      <w:pPr>
        <w:pStyle w:val="Footnotetexte"/>
        <w:rPr>
          <w:lang w:bidi="ar-EG"/>
        </w:rPr>
      </w:pPr>
      <w:r>
        <w:rPr>
          <w:rStyle w:val="FootnoteReference"/>
        </w:rPr>
        <w:footnoteRef/>
      </w:r>
      <w:r>
        <w:rPr>
          <w:rtl/>
        </w:rPr>
        <w:t xml:space="preserve"> </w:t>
      </w:r>
      <w:r>
        <w:rPr>
          <w:rtl/>
          <w:lang w:bidi="ar-EG"/>
        </w:rPr>
        <w:tab/>
      </w:r>
      <w:r w:rsidR="000A16E8">
        <w:rPr>
          <w:rFonts w:hint="cs"/>
          <w:rtl/>
          <w:lang w:bidi="ar-EG"/>
        </w:rPr>
        <w:t>المادة 51(ب): "في حالة المشتركين من الفئتين المهنية والعليا، يكون جدول الأجر الداخل في حساب المعاش التقاعدي على النحو المبين في الموقع الإلكتروني للجنة الخدمة المدنية الدولية ... ويجري تعديله في نفس تاريخ تعديل مبالغ الأج</w:t>
      </w:r>
      <w:r w:rsidR="00193579">
        <w:rPr>
          <w:rFonts w:hint="cs"/>
          <w:rtl/>
          <w:lang w:bidi="ar-EG"/>
        </w:rPr>
        <w:t>و</w:t>
      </w:r>
      <w:r w:rsidR="000A16E8">
        <w:rPr>
          <w:rFonts w:hint="cs"/>
          <w:rtl/>
          <w:lang w:bidi="ar-EG"/>
        </w:rPr>
        <w:t>ر الصافي</w:t>
      </w:r>
      <w:r w:rsidR="00193579">
        <w:rPr>
          <w:rFonts w:hint="cs"/>
          <w:rtl/>
          <w:lang w:bidi="ar-EG"/>
        </w:rPr>
        <w:t>ة</w:t>
      </w:r>
      <w:r w:rsidR="000A16E8">
        <w:rPr>
          <w:rFonts w:hint="cs"/>
          <w:rtl/>
          <w:lang w:bidi="ar-EG"/>
        </w:rPr>
        <w:t xml:space="preserve"> لموظفي الفئتين المهنية والعليا في نيويورك. </w:t>
      </w:r>
      <w:r w:rsidR="00193579">
        <w:rPr>
          <w:rFonts w:hint="cs"/>
          <w:rtl/>
          <w:lang w:bidi="ar-EG"/>
        </w:rPr>
        <w:t>ويكون هذا التعديل بنسبة مئوية موحدة تساوي المتوسط المرجح للنسبة المئوية للفرق في مبالغ الأجور الصافية، على النحو الذي تحدده لجنة الخدمة المدنية الدولية".</w:t>
      </w:r>
    </w:p>
  </w:footnote>
  <w:footnote w:id="5">
    <w:p w14:paraId="53A8A256" w14:textId="44B4D8F6" w:rsidR="00133CE1" w:rsidRDefault="00133CE1" w:rsidP="00133CE1">
      <w:pPr>
        <w:pStyle w:val="Footnotetexte"/>
        <w:rPr>
          <w:lang w:bidi="ar-EG"/>
        </w:rPr>
      </w:pPr>
      <w:r>
        <w:rPr>
          <w:rStyle w:val="FootnoteReference"/>
        </w:rPr>
        <w:footnoteRef/>
      </w:r>
      <w:r>
        <w:rPr>
          <w:rtl/>
        </w:rPr>
        <w:t xml:space="preserve"> </w:t>
      </w:r>
      <w:r>
        <w:rPr>
          <w:rtl/>
          <w:lang w:bidi="ar-EG"/>
        </w:rPr>
        <w:tab/>
      </w:r>
      <w:r w:rsidR="000C0756" w:rsidRPr="003F1124">
        <w:rPr>
          <w:rFonts w:hint="cs"/>
          <w:rtl/>
          <w:lang w:bidi="ar-EG"/>
        </w:rPr>
        <w:t xml:space="preserve">"منهجية الدراسات الاستقصائية لأفضل شروط العمل المتبعة في </w:t>
      </w:r>
      <w:r w:rsidR="006C7E15" w:rsidRPr="003F1124">
        <w:rPr>
          <w:rFonts w:hint="cs"/>
          <w:rtl/>
          <w:lang w:bidi="ar-EG"/>
        </w:rPr>
        <w:t xml:space="preserve">مراكز العمل </w:t>
      </w:r>
      <w:r w:rsidR="0028786E" w:rsidRPr="003F1124">
        <w:rPr>
          <w:rFonts w:hint="cs"/>
          <w:rtl/>
          <w:lang w:bidi="ar-EG"/>
        </w:rPr>
        <w:t>في المقر</w:t>
      </w:r>
      <w:r w:rsidR="000C0756" w:rsidRPr="003F1124">
        <w:rPr>
          <w:rFonts w:hint="cs"/>
          <w:rtl/>
          <w:lang w:bidi="ar-EG"/>
        </w:rPr>
        <w:t xml:space="preserve"> </w:t>
      </w:r>
      <w:r w:rsidR="006C7E15" w:rsidRPr="003F1124">
        <w:rPr>
          <w:rFonts w:hint="cs"/>
          <w:rtl/>
          <w:lang w:bidi="ar-EG"/>
        </w:rPr>
        <w:t>(منهجية الدراس</w:t>
      </w:r>
      <w:r w:rsidR="0028786E" w:rsidRPr="003F1124">
        <w:rPr>
          <w:rFonts w:hint="cs"/>
          <w:rtl/>
          <w:lang w:bidi="ar-EG"/>
        </w:rPr>
        <w:t>ة</w:t>
      </w:r>
      <w:r w:rsidR="006C7E15" w:rsidRPr="003F1124">
        <w:rPr>
          <w:rFonts w:hint="cs"/>
          <w:rtl/>
          <w:lang w:bidi="ar-EG"/>
        </w:rPr>
        <w:t xml:space="preserve"> الاستقصائية الأولى)"، </w:t>
      </w:r>
      <w:r w:rsidR="006C7E15" w:rsidRPr="003F1124">
        <w:t>ICSC/94/R.16</w:t>
      </w:r>
      <w:r w:rsidR="006C7E15" w:rsidRPr="003F1124">
        <w:rPr>
          <w:rFonts w:hint="cs"/>
          <w:rtl/>
          <w:lang w:bidi="ar-EG"/>
        </w:rPr>
        <w:t xml:space="preserve">، 10 أغسطس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7A1E" w14:textId="77777777" w:rsidR="004D0706" w:rsidRDefault="004D0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077F" w14:textId="77777777" w:rsidR="004D0706" w:rsidRDefault="004D0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B1ED" w14:textId="77777777" w:rsidR="007B0AA0" w:rsidRDefault="00D13941" w:rsidP="007B0AA0">
    <w:pPr>
      <w:pStyle w:val="Header"/>
      <w:spacing w:before="120" w:after="240"/>
    </w:pPr>
    <w:r>
      <w:rPr>
        <w:noProof/>
      </w:rPr>
      <w:drawing>
        <wp:inline distT="0" distB="0" distL="0" distR="0" wp14:anchorId="41F29937" wp14:editId="12EC99F1">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616D4A"/>
    <w:multiLevelType w:val="hybridMultilevel"/>
    <w:tmpl w:val="29760C74"/>
    <w:lvl w:ilvl="0" w:tplc="462EDF7C">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947346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4E"/>
    <w:rsid w:val="0006468A"/>
    <w:rsid w:val="00075FE5"/>
    <w:rsid w:val="00083574"/>
    <w:rsid w:val="00090574"/>
    <w:rsid w:val="000A16E8"/>
    <w:rsid w:val="000B01CC"/>
    <w:rsid w:val="000C0756"/>
    <w:rsid w:val="000C1C0E"/>
    <w:rsid w:val="000C548A"/>
    <w:rsid w:val="00133CE1"/>
    <w:rsid w:val="00145A1F"/>
    <w:rsid w:val="00193579"/>
    <w:rsid w:val="001A52DF"/>
    <w:rsid w:val="001A7FE1"/>
    <w:rsid w:val="001C0169"/>
    <w:rsid w:val="001D1D50"/>
    <w:rsid w:val="001D6745"/>
    <w:rsid w:val="001E446E"/>
    <w:rsid w:val="002154EE"/>
    <w:rsid w:val="00221C4E"/>
    <w:rsid w:val="002276D2"/>
    <w:rsid w:val="0023283D"/>
    <w:rsid w:val="00256262"/>
    <w:rsid w:val="002602ED"/>
    <w:rsid w:val="0026373E"/>
    <w:rsid w:val="00271C43"/>
    <w:rsid w:val="0028786E"/>
    <w:rsid w:val="00290728"/>
    <w:rsid w:val="002978F4"/>
    <w:rsid w:val="002A6F26"/>
    <w:rsid w:val="002B028D"/>
    <w:rsid w:val="002E6541"/>
    <w:rsid w:val="00315AFA"/>
    <w:rsid w:val="00334924"/>
    <w:rsid w:val="003409BC"/>
    <w:rsid w:val="00352A24"/>
    <w:rsid w:val="00357185"/>
    <w:rsid w:val="00383829"/>
    <w:rsid w:val="00385F36"/>
    <w:rsid w:val="003C2359"/>
    <w:rsid w:val="003F1124"/>
    <w:rsid w:val="003F4B29"/>
    <w:rsid w:val="0042686F"/>
    <w:rsid w:val="004317D8"/>
    <w:rsid w:val="00434183"/>
    <w:rsid w:val="00443869"/>
    <w:rsid w:val="00447F32"/>
    <w:rsid w:val="00473BE7"/>
    <w:rsid w:val="00474747"/>
    <w:rsid w:val="004B7334"/>
    <w:rsid w:val="004D0706"/>
    <w:rsid w:val="004E11DC"/>
    <w:rsid w:val="00525DDD"/>
    <w:rsid w:val="00534EFB"/>
    <w:rsid w:val="005409AC"/>
    <w:rsid w:val="0055516A"/>
    <w:rsid w:val="00582D80"/>
    <w:rsid w:val="0058491B"/>
    <w:rsid w:val="00592EA5"/>
    <w:rsid w:val="005A3170"/>
    <w:rsid w:val="005E54C1"/>
    <w:rsid w:val="00677396"/>
    <w:rsid w:val="0069200F"/>
    <w:rsid w:val="006A65CB"/>
    <w:rsid w:val="006C3242"/>
    <w:rsid w:val="006C7CC0"/>
    <w:rsid w:val="006C7E15"/>
    <w:rsid w:val="006F63F7"/>
    <w:rsid w:val="007025C7"/>
    <w:rsid w:val="00706D7A"/>
    <w:rsid w:val="007209E5"/>
    <w:rsid w:val="00722F0D"/>
    <w:rsid w:val="0074420E"/>
    <w:rsid w:val="00777C61"/>
    <w:rsid w:val="007812D9"/>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027DD"/>
    <w:rsid w:val="0091702E"/>
    <w:rsid w:val="00923B0C"/>
    <w:rsid w:val="0094021C"/>
    <w:rsid w:val="00952F86"/>
    <w:rsid w:val="00982B28"/>
    <w:rsid w:val="00992B12"/>
    <w:rsid w:val="009D313F"/>
    <w:rsid w:val="009E1E28"/>
    <w:rsid w:val="009F7080"/>
    <w:rsid w:val="00A13AA9"/>
    <w:rsid w:val="00A1491D"/>
    <w:rsid w:val="00A47A5A"/>
    <w:rsid w:val="00A6365A"/>
    <w:rsid w:val="00A6683B"/>
    <w:rsid w:val="00A733E6"/>
    <w:rsid w:val="00A97F94"/>
    <w:rsid w:val="00AA7EA2"/>
    <w:rsid w:val="00AF41ED"/>
    <w:rsid w:val="00B03099"/>
    <w:rsid w:val="00B05BC8"/>
    <w:rsid w:val="00B1326F"/>
    <w:rsid w:val="00B64B47"/>
    <w:rsid w:val="00B95654"/>
    <w:rsid w:val="00C002DE"/>
    <w:rsid w:val="00C53BF8"/>
    <w:rsid w:val="00C66157"/>
    <w:rsid w:val="00C674FE"/>
    <w:rsid w:val="00C67501"/>
    <w:rsid w:val="00C75633"/>
    <w:rsid w:val="00CE2EE1"/>
    <w:rsid w:val="00CE3349"/>
    <w:rsid w:val="00CE36E5"/>
    <w:rsid w:val="00CF27F5"/>
    <w:rsid w:val="00CF34E0"/>
    <w:rsid w:val="00CF3FFD"/>
    <w:rsid w:val="00CF5FC7"/>
    <w:rsid w:val="00D10CCF"/>
    <w:rsid w:val="00D13941"/>
    <w:rsid w:val="00D15C65"/>
    <w:rsid w:val="00D332C6"/>
    <w:rsid w:val="00D6131B"/>
    <w:rsid w:val="00D7532C"/>
    <w:rsid w:val="00D77D0F"/>
    <w:rsid w:val="00DA1CF0"/>
    <w:rsid w:val="00DC1E02"/>
    <w:rsid w:val="00DC24B4"/>
    <w:rsid w:val="00DC5FB0"/>
    <w:rsid w:val="00DF16DC"/>
    <w:rsid w:val="00E45211"/>
    <w:rsid w:val="00E473C5"/>
    <w:rsid w:val="00E61BE8"/>
    <w:rsid w:val="00E633F9"/>
    <w:rsid w:val="00E839BD"/>
    <w:rsid w:val="00E92863"/>
    <w:rsid w:val="00EB71D0"/>
    <w:rsid w:val="00EB796D"/>
    <w:rsid w:val="00EC6F41"/>
    <w:rsid w:val="00F058DC"/>
    <w:rsid w:val="00F24FC4"/>
    <w:rsid w:val="00F2676C"/>
    <w:rsid w:val="00F363FE"/>
    <w:rsid w:val="00F50E3F"/>
    <w:rsid w:val="00F52B73"/>
    <w:rsid w:val="00F84366"/>
    <w:rsid w:val="00F85089"/>
    <w:rsid w:val="00F9091C"/>
    <w:rsid w:val="00F974C5"/>
    <w:rsid w:val="00FA6F46"/>
    <w:rsid w:val="00FC4592"/>
    <w:rsid w:val="00FC47AA"/>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0B4F"/>
  <w15:chartTrackingRefBased/>
  <w15:docId w15:val="{E9EF67F0-867B-4333-BDC5-AD1F0697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133CE1"/>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1C4E"/>
    <w:rPr>
      <w:color w:val="605E5C"/>
      <w:shd w:val="clear" w:color="auto" w:fill="E1DFDD"/>
    </w:rPr>
  </w:style>
  <w:style w:type="character" w:styleId="FollowedHyperlink">
    <w:name w:val="FollowedHyperlink"/>
    <w:basedOn w:val="DefaultParagraphFont"/>
    <w:uiPriority w:val="99"/>
    <w:semiHidden/>
    <w:unhideWhenUsed/>
    <w:rsid w:val="00D61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46-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S-CONF-CL-2021"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sc.un.org/Resources/General/AnnualReports/AR2022.pdf?r=06588929" TargetMode="External"/><Relationship Id="rId2" Type="http://schemas.openxmlformats.org/officeDocument/2006/relationships/hyperlink" Target="https://documents-dds-ny.un.org/doc/UNDOC/GEN/N23/006/30/PDF/N2300630.pdf?OpenElement" TargetMode="External"/><Relationship Id="rId1" Type="http://schemas.openxmlformats.org/officeDocument/2006/relationships/hyperlink" Target="https://icsc.un.org/Home/SalarySca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2023</dc:subject>
  <dc:creator>Arabic_GE</dc:creator>
  <cp:keywords>C23, C2023, Council-23</cp:keywords>
  <dc:description/>
  <cp:lastModifiedBy>Xue, Kun</cp:lastModifiedBy>
  <cp:revision>2</cp:revision>
  <dcterms:created xsi:type="dcterms:W3CDTF">2023-06-14T09:32:00Z</dcterms:created>
  <dcterms:modified xsi:type="dcterms:W3CDTF">2023-06-14T09:32:00Z</dcterms:modified>
</cp:coreProperties>
</file>