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2CFC97F0"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221A06">
              <w:rPr>
                <w:b/>
              </w:rPr>
              <w:t>ADM 1</w:t>
            </w:r>
          </w:p>
        </w:tc>
        <w:tc>
          <w:tcPr>
            <w:tcW w:w="5245" w:type="dxa"/>
          </w:tcPr>
          <w:p w14:paraId="2F0CB53A" w14:textId="6C832FE7" w:rsidR="00AD3606" w:rsidRPr="00E85629" w:rsidRDefault="00AD3606" w:rsidP="00472BAD">
            <w:pPr>
              <w:tabs>
                <w:tab w:val="left" w:pos="851"/>
              </w:tabs>
              <w:spacing w:before="0" w:line="240" w:lineRule="atLeast"/>
              <w:jc w:val="right"/>
              <w:rPr>
                <w:b/>
              </w:rPr>
            </w:pPr>
            <w:r>
              <w:rPr>
                <w:b/>
              </w:rPr>
              <w:t>Document C23/</w:t>
            </w:r>
            <w:r w:rsidR="00010AC5">
              <w:rPr>
                <w:b/>
              </w:rPr>
              <w:t>19</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05E1BD29" w:rsidR="00AD3606" w:rsidRPr="00E85629" w:rsidRDefault="00221A06" w:rsidP="00AD3606">
            <w:pPr>
              <w:tabs>
                <w:tab w:val="left" w:pos="851"/>
              </w:tabs>
              <w:spacing w:before="0"/>
              <w:jc w:val="right"/>
              <w:rPr>
                <w:b/>
              </w:rPr>
            </w:pPr>
            <w:r>
              <w:rPr>
                <w:b/>
              </w:rPr>
              <w:t>1</w:t>
            </w:r>
            <w:r w:rsidR="003A2773">
              <w:rPr>
                <w:b/>
              </w:rPr>
              <w:t>6</w:t>
            </w:r>
            <w:r>
              <w:rPr>
                <w:b/>
              </w:rPr>
              <w:t xml:space="preserve"> May</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77777777" w:rsidR="00AD3606" w:rsidRPr="00813E5E" w:rsidRDefault="00AD3606" w:rsidP="00C65ABC">
            <w:pPr>
              <w:pStyle w:val="Source"/>
              <w:framePr w:hSpace="0" w:wrap="auto" w:vAnchor="margin" w:hAnchor="text" w:xAlign="lef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00AD3606">
        <w:trPr>
          <w:cantSplit/>
        </w:trPr>
        <w:tc>
          <w:tcPr>
            <w:tcW w:w="9214" w:type="dxa"/>
            <w:gridSpan w:val="2"/>
            <w:tcMar>
              <w:left w:w="0" w:type="dxa"/>
            </w:tcMar>
          </w:tcPr>
          <w:p w14:paraId="556A1BCF" w14:textId="33864EED" w:rsidR="00AD3606" w:rsidRPr="00813E5E" w:rsidRDefault="00221A06" w:rsidP="00891E23">
            <w:pPr>
              <w:pStyle w:val="Subtitle"/>
              <w:framePr w:hSpace="0" w:wrap="auto" w:xAlign="left" w:yAlign="inline"/>
            </w:pPr>
            <w:bookmarkStart w:id="5" w:name="_Hlk134702186"/>
            <w:bookmarkStart w:id="6" w:name="dtitle1" w:colFirst="0" w:colLast="0"/>
            <w:bookmarkEnd w:id="4"/>
            <w:r>
              <w:t xml:space="preserve">STUDY ON THE APPROPRIATENESS OF COUNCIL DECISION 482 </w:t>
            </w:r>
            <w:r>
              <w:br/>
              <w:t xml:space="preserve">TO RECOVER COSTS ASSOCIATED WITH </w:t>
            </w:r>
            <w:r w:rsidRPr="005E080B">
              <w:t>THE PROCESSING OF SATELLITE NETWORK FILINGS</w:t>
            </w:r>
            <w:bookmarkEnd w:id="5"/>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55DAA1A1" w:rsidR="00AD3606" w:rsidRPr="00F16BAB" w:rsidRDefault="00F16BAB" w:rsidP="00F16BAB">
            <w:pPr>
              <w:spacing w:before="160"/>
              <w:rPr>
                <w:b/>
                <w:bCs/>
                <w:sz w:val="26"/>
                <w:szCs w:val="26"/>
              </w:rPr>
            </w:pPr>
            <w:r w:rsidRPr="00F16BAB">
              <w:rPr>
                <w:b/>
                <w:bCs/>
                <w:sz w:val="26"/>
                <w:szCs w:val="26"/>
              </w:rPr>
              <w:t>Purpose</w:t>
            </w:r>
          </w:p>
          <w:p w14:paraId="7001A517" w14:textId="4B1CC07F" w:rsidR="00CA241C" w:rsidRPr="002B7E70" w:rsidRDefault="00CA241C" w:rsidP="00CA241C">
            <w:pPr>
              <w:spacing w:after="120"/>
              <w:jc w:val="both"/>
              <w:rPr>
                <w:szCs w:val="24"/>
              </w:rPr>
            </w:pPr>
            <w:r w:rsidRPr="00107093">
              <w:rPr>
                <w:szCs w:val="24"/>
              </w:rPr>
              <w:t xml:space="preserve">This document </w:t>
            </w:r>
            <w:r w:rsidR="006C6A0B">
              <w:rPr>
                <w:szCs w:val="24"/>
              </w:rPr>
              <w:t xml:space="preserve">studies </w:t>
            </w:r>
            <w:r>
              <w:rPr>
                <w:szCs w:val="24"/>
              </w:rPr>
              <w:t xml:space="preserve">the </w:t>
            </w:r>
            <w:r w:rsidR="006C6A0B">
              <w:rPr>
                <w:szCs w:val="24"/>
              </w:rPr>
              <w:t xml:space="preserve">appropriateness of </w:t>
            </w:r>
            <w:r w:rsidR="00D10300">
              <w:rPr>
                <w:szCs w:val="24"/>
              </w:rPr>
              <w:t xml:space="preserve">ITU </w:t>
            </w:r>
            <w:r w:rsidR="006C6A0B">
              <w:t xml:space="preserve">Council Decision 482 </w:t>
            </w:r>
            <w:r w:rsidR="006C6A0B" w:rsidRPr="00107093">
              <w:rPr>
                <w:szCs w:val="24"/>
              </w:rPr>
              <w:t>(</w:t>
            </w:r>
            <w:r w:rsidR="00221A06">
              <w:rPr>
                <w:szCs w:val="24"/>
              </w:rPr>
              <w:t>C01, last amended C20</w:t>
            </w:r>
            <w:r w:rsidR="006C6A0B" w:rsidRPr="00107093">
              <w:rPr>
                <w:szCs w:val="24"/>
              </w:rPr>
              <w:t>)</w:t>
            </w:r>
            <w:r w:rsidR="006C6A0B">
              <w:rPr>
                <w:szCs w:val="24"/>
              </w:rPr>
              <w:t xml:space="preserve"> </w:t>
            </w:r>
            <w:r w:rsidR="006C6A0B">
              <w:t xml:space="preserve">to recover costs associated with </w:t>
            </w:r>
            <w:r w:rsidR="006C6A0B" w:rsidRPr="005E080B">
              <w:t>the processing of satellite network filings</w:t>
            </w:r>
            <w:r w:rsidRPr="00107093">
              <w:rPr>
                <w:szCs w:val="24"/>
              </w:rPr>
              <w:t xml:space="preserve">. </w:t>
            </w:r>
          </w:p>
          <w:p w14:paraId="45B1495A" w14:textId="6B44E175" w:rsidR="00AD3606" w:rsidRPr="00F16BAB" w:rsidRDefault="00AD3606" w:rsidP="00F16BAB">
            <w:pPr>
              <w:spacing w:before="160"/>
              <w:rPr>
                <w:b/>
                <w:bCs/>
                <w:sz w:val="26"/>
                <w:szCs w:val="26"/>
              </w:rPr>
            </w:pPr>
            <w:r w:rsidRPr="00F16BAB">
              <w:rPr>
                <w:b/>
                <w:bCs/>
                <w:sz w:val="26"/>
                <w:szCs w:val="26"/>
              </w:rPr>
              <w:t>Action</w:t>
            </w:r>
            <w:r w:rsidR="006C6A0B">
              <w:rPr>
                <w:b/>
                <w:bCs/>
                <w:sz w:val="26"/>
                <w:szCs w:val="26"/>
              </w:rPr>
              <w:t>s</w:t>
            </w:r>
            <w:r w:rsidRPr="00F16BAB">
              <w:rPr>
                <w:b/>
                <w:bCs/>
                <w:sz w:val="26"/>
                <w:szCs w:val="26"/>
              </w:rPr>
              <w:t xml:space="preserve">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3D57EDF8" w14:textId="18276677" w:rsidR="00AD3606" w:rsidRDefault="005E080B" w:rsidP="00AD3606">
            <w:pPr>
              <w:rPr>
                <w:lang w:val="en-US"/>
              </w:rPr>
            </w:pPr>
            <w:r w:rsidRPr="005E080B">
              <w:rPr>
                <w:lang w:val="en-US"/>
              </w:rPr>
              <w:t>The Council is invited</w:t>
            </w:r>
            <w:r w:rsidR="00C150FC">
              <w:rPr>
                <w:lang w:val="en-US"/>
              </w:rPr>
              <w:t xml:space="preserve">: </w:t>
            </w:r>
          </w:p>
          <w:p w14:paraId="6015AACB" w14:textId="7825156D" w:rsidR="004F5A70" w:rsidRPr="00EF19AF" w:rsidRDefault="00221A06" w:rsidP="00441997">
            <w:pPr>
              <w:tabs>
                <w:tab w:val="clear" w:pos="567"/>
                <w:tab w:val="clear" w:pos="1134"/>
                <w:tab w:val="clear" w:pos="1701"/>
                <w:tab w:val="clear" w:pos="2268"/>
                <w:tab w:val="clear" w:pos="2835"/>
              </w:tabs>
              <w:spacing w:after="120"/>
              <w:jc w:val="both"/>
              <w:rPr>
                <w:lang w:val="en-US"/>
              </w:rPr>
            </w:pPr>
            <w:r>
              <w:rPr>
                <w:lang w:val="en-US"/>
              </w:rPr>
              <w:t>1</w:t>
            </w:r>
            <w:r w:rsidR="004F5A70">
              <w:rPr>
                <w:lang w:val="en-US"/>
              </w:rPr>
              <w:tab/>
            </w:r>
            <w:r w:rsidR="00D85242" w:rsidRPr="00EF19AF">
              <w:rPr>
                <w:b/>
                <w:bCs/>
                <w:lang w:val="en-US"/>
              </w:rPr>
              <w:t xml:space="preserve">to </w:t>
            </w:r>
            <w:r w:rsidR="00D85242" w:rsidRPr="00D85242">
              <w:rPr>
                <w:b/>
                <w:bCs/>
                <w:lang w:val="en-US"/>
              </w:rPr>
              <w:t>c</w:t>
            </w:r>
            <w:r w:rsidR="004F5A70" w:rsidRPr="00EF19AF">
              <w:rPr>
                <w:b/>
                <w:bCs/>
                <w:lang w:val="en-US"/>
              </w:rPr>
              <w:t>onsider the study</w:t>
            </w:r>
            <w:r w:rsidR="004F5A70">
              <w:rPr>
                <w:lang w:val="en-US"/>
              </w:rPr>
              <w:t xml:space="preserve"> presented in </w:t>
            </w:r>
            <w:hyperlink w:anchor="Annex1" w:history="1">
              <w:r w:rsidR="004F5A70" w:rsidRPr="00462F8F">
                <w:rPr>
                  <w:rStyle w:val="Hyperlink"/>
                  <w:lang w:val="en-US"/>
                </w:rPr>
                <w:t>Annex 1</w:t>
              </w:r>
            </w:hyperlink>
            <w:r w:rsidR="004F5A70">
              <w:rPr>
                <w:lang w:val="en-US"/>
              </w:rPr>
              <w:t xml:space="preserve"> of this report </w:t>
            </w:r>
            <w:r w:rsidR="004F5A70" w:rsidRPr="004F5A70">
              <w:rPr>
                <w:lang w:val="en-US"/>
              </w:rPr>
              <w:t>on the extent to which the implementation of Council Decision 482 (</w:t>
            </w:r>
            <w:r>
              <w:rPr>
                <w:lang w:val="en-US"/>
              </w:rPr>
              <w:t>C01, last amended C20</w:t>
            </w:r>
            <w:r w:rsidR="004F5A70" w:rsidRPr="004F5A70">
              <w:rPr>
                <w:lang w:val="en-US"/>
              </w:rPr>
              <w:t xml:space="preserve">) recovers the costs associated with the processing of satellite network </w:t>
            </w:r>
            <w:proofErr w:type="gramStart"/>
            <w:r w:rsidR="004F5A70" w:rsidRPr="004F5A70">
              <w:rPr>
                <w:lang w:val="en-US"/>
              </w:rPr>
              <w:t>filings</w:t>
            </w:r>
            <w:r w:rsidR="00D10300">
              <w:rPr>
                <w:lang w:val="en-US"/>
              </w:rPr>
              <w:t>;</w:t>
            </w:r>
            <w:proofErr w:type="gramEnd"/>
            <w:r w:rsidR="004F5A70">
              <w:t xml:space="preserve"> </w:t>
            </w:r>
          </w:p>
          <w:p w14:paraId="582D4015" w14:textId="37D97D13" w:rsidR="00C150FC" w:rsidRPr="00C150FC" w:rsidRDefault="00221A06" w:rsidP="00C150FC">
            <w:pPr>
              <w:tabs>
                <w:tab w:val="clear" w:pos="567"/>
                <w:tab w:val="clear" w:pos="1134"/>
                <w:tab w:val="clear" w:pos="1701"/>
                <w:tab w:val="clear" w:pos="2268"/>
                <w:tab w:val="clear" w:pos="2835"/>
              </w:tabs>
              <w:spacing w:after="120"/>
              <w:jc w:val="both"/>
            </w:pPr>
            <w:r>
              <w:t>2</w:t>
            </w:r>
            <w:r w:rsidR="00C150FC" w:rsidRPr="002A7C0C">
              <w:tab/>
            </w:r>
            <w:r w:rsidR="00C150FC" w:rsidRPr="00E22476">
              <w:rPr>
                <w:b/>
                <w:bCs/>
              </w:rPr>
              <w:t>to</w:t>
            </w:r>
            <w:r w:rsidR="00C150FC">
              <w:rPr>
                <w:b/>
                <w:bCs/>
              </w:rPr>
              <w:t xml:space="preserve"> create a Council </w:t>
            </w:r>
            <w:r w:rsidR="009A694E">
              <w:rPr>
                <w:b/>
                <w:bCs/>
              </w:rPr>
              <w:t>e</w:t>
            </w:r>
            <w:r w:rsidR="00C150FC">
              <w:rPr>
                <w:b/>
                <w:bCs/>
              </w:rPr>
              <w:t xml:space="preserve">xpert </w:t>
            </w:r>
            <w:r w:rsidR="009A694E">
              <w:rPr>
                <w:b/>
                <w:bCs/>
              </w:rPr>
              <w:t>g</w:t>
            </w:r>
            <w:r w:rsidR="00C150FC">
              <w:rPr>
                <w:b/>
                <w:bCs/>
              </w:rPr>
              <w:t xml:space="preserve">roup on Decision 482 </w:t>
            </w:r>
            <w:r w:rsidR="00C150FC">
              <w:t xml:space="preserve">(draft terms of reference are provided in </w:t>
            </w:r>
            <w:hyperlink w:anchor="Annex2" w:history="1">
              <w:r w:rsidR="00C150FC" w:rsidRPr="00462F8F">
                <w:rPr>
                  <w:rStyle w:val="Hyperlink"/>
                </w:rPr>
                <w:t>Annex 2</w:t>
              </w:r>
            </w:hyperlink>
            <w:r w:rsidR="00C150FC">
              <w:t>).</w:t>
            </w:r>
          </w:p>
          <w:p w14:paraId="71511FA1" w14:textId="0C9BA1BB" w:rsidR="00F16BAB" w:rsidRDefault="00F16BAB" w:rsidP="00F16BAB">
            <w:pPr>
              <w:spacing w:before="160"/>
              <w:rPr>
                <w:b/>
                <w:bCs/>
                <w:sz w:val="26"/>
                <w:szCs w:val="26"/>
              </w:rPr>
            </w:pPr>
            <w:r>
              <w:rPr>
                <w:b/>
                <w:bCs/>
                <w:sz w:val="26"/>
                <w:szCs w:val="26"/>
              </w:rPr>
              <w:t>Relevant link</w:t>
            </w:r>
            <w:r w:rsidR="00A54171">
              <w:rPr>
                <w:b/>
                <w:bCs/>
                <w:sz w:val="26"/>
                <w:szCs w:val="26"/>
              </w:rPr>
              <w:t>s</w:t>
            </w:r>
            <w:r>
              <w:rPr>
                <w:b/>
                <w:bCs/>
                <w:sz w:val="26"/>
                <w:szCs w:val="26"/>
              </w:rPr>
              <w:t xml:space="preserve"> with the Strategic Plan</w:t>
            </w:r>
          </w:p>
          <w:p w14:paraId="503749D7" w14:textId="46F606A0" w:rsidR="00F16BAB" w:rsidRDefault="00642FF1" w:rsidP="00F16BAB">
            <w:r>
              <w:t>Thematic priority</w:t>
            </w:r>
            <w:r w:rsidR="00D10300">
              <w:t>:</w:t>
            </w:r>
            <w:r>
              <w:t xml:space="preserve"> </w:t>
            </w:r>
            <w:r w:rsidR="003F462A">
              <w:t>s</w:t>
            </w:r>
            <w:r>
              <w:t>pectrum use for space and terrestrial services</w:t>
            </w:r>
            <w:r w:rsidR="00D10300">
              <w:t>.</w:t>
            </w:r>
          </w:p>
          <w:p w14:paraId="5A98B4A9" w14:textId="270EB2F3" w:rsidR="00642FF1" w:rsidRPr="00F16BAB" w:rsidRDefault="00642FF1" w:rsidP="00F16BAB">
            <w:r>
              <w:t>Product and service offerings</w:t>
            </w:r>
            <w:r w:rsidR="00D10300">
              <w:t>:</w:t>
            </w:r>
            <w:r>
              <w:t xml:space="preserve"> </w:t>
            </w:r>
            <w:r w:rsidR="003F462A">
              <w:t>a</w:t>
            </w:r>
            <w:r>
              <w:t>llocation and management of resources</w:t>
            </w:r>
            <w:r w:rsidR="00D10300">
              <w:t>.</w:t>
            </w:r>
          </w:p>
          <w:p w14:paraId="1DAD92AB" w14:textId="0FDF67C1" w:rsidR="00D10300" w:rsidRDefault="00F16BAB" w:rsidP="00F16BAB">
            <w:pPr>
              <w:spacing w:before="160"/>
              <w:rPr>
                <w:b/>
                <w:bCs/>
                <w:sz w:val="26"/>
                <w:szCs w:val="26"/>
              </w:rPr>
            </w:pPr>
            <w:r w:rsidRPr="007E519D">
              <w:rPr>
                <w:b/>
                <w:bCs/>
                <w:sz w:val="26"/>
                <w:szCs w:val="26"/>
              </w:rPr>
              <w:t>Financial implications</w:t>
            </w:r>
          </w:p>
          <w:p w14:paraId="74189BBD" w14:textId="16BCE146" w:rsidR="00F16BAB" w:rsidRPr="00B57D26" w:rsidRDefault="00D10300" w:rsidP="00F16BAB">
            <w:pPr>
              <w:spacing w:before="160"/>
              <w:rPr>
                <w:szCs w:val="24"/>
              </w:rPr>
            </w:pPr>
            <w:r>
              <w:rPr>
                <w:szCs w:val="24"/>
              </w:rPr>
              <w:t>U</w:t>
            </w:r>
            <w:r w:rsidRPr="00B57D26">
              <w:rPr>
                <w:szCs w:val="24"/>
              </w:rPr>
              <w:t xml:space="preserve">p </w:t>
            </w:r>
            <w:r w:rsidR="002A7C0C" w:rsidRPr="00B57D26">
              <w:rPr>
                <w:szCs w:val="24"/>
              </w:rPr>
              <w:t xml:space="preserve">to </w:t>
            </w:r>
            <w:r>
              <w:rPr>
                <w:szCs w:val="24"/>
              </w:rPr>
              <w:t>CHF </w:t>
            </w:r>
            <w:r w:rsidR="002A7C0C" w:rsidRPr="00B57D26">
              <w:rPr>
                <w:szCs w:val="24"/>
              </w:rPr>
              <w:t>22</w:t>
            </w:r>
            <w:r w:rsidR="00221A06">
              <w:rPr>
                <w:szCs w:val="24"/>
              </w:rPr>
              <w:t> </w:t>
            </w:r>
            <w:r w:rsidR="002A7C0C" w:rsidRPr="00B57D26">
              <w:rPr>
                <w:szCs w:val="24"/>
              </w:rPr>
              <w:t>778</w:t>
            </w:r>
            <w:r w:rsidR="00221A06">
              <w:rPr>
                <w:szCs w:val="24"/>
              </w:rPr>
              <w:t> </w:t>
            </w:r>
            <w:r w:rsidR="002A7C0C" w:rsidRPr="00B57D26">
              <w:rPr>
                <w:szCs w:val="24"/>
              </w:rPr>
              <w:t>000</w:t>
            </w:r>
            <w:r>
              <w:rPr>
                <w:szCs w:val="24"/>
              </w:rPr>
              <w:t>.</w:t>
            </w:r>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0EBC340A" w14:textId="77777777" w:rsidR="00AD3606" w:rsidRDefault="00AD3606" w:rsidP="00F16BAB">
            <w:pPr>
              <w:spacing w:before="160"/>
              <w:rPr>
                <w:b/>
                <w:bCs/>
                <w:sz w:val="26"/>
                <w:szCs w:val="26"/>
              </w:rPr>
            </w:pPr>
            <w:r w:rsidRPr="00F16BAB">
              <w:rPr>
                <w:b/>
                <w:bCs/>
                <w:sz w:val="26"/>
                <w:szCs w:val="26"/>
              </w:rPr>
              <w:t>References</w:t>
            </w:r>
          </w:p>
          <w:p w14:paraId="65250B1E" w14:textId="57C02C49" w:rsidR="00AD3606" w:rsidRDefault="00843B1B" w:rsidP="00F16BAB">
            <w:pPr>
              <w:spacing w:after="160"/>
            </w:pPr>
            <w:hyperlink r:id="rId8" w:history="1">
              <w:r w:rsidR="005D4C63" w:rsidRPr="002368A8">
                <w:rPr>
                  <w:rStyle w:val="Hyperlink"/>
                  <w:i/>
                  <w:iCs/>
                </w:rPr>
                <w:t>Resolution 91 (Rev. Guadalajara, 2010)</w:t>
              </w:r>
            </w:hyperlink>
            <w:r w:rsidR="00221A06">
              <w:rPr>
                <w:rStyle w:val="Hyperlink"/>
                <w:i/>
                <w:iCs/>
              </w:rPr>
              <w:t xml:space="preserve"> of the Plenipotentiary Conference</w:t>
            </w:r>
            <w:r w:rsidR="005D4C63" w:rsidRPr="002368A8">
              <w:rPr>
                <w:i/>
                <w:iCs/>
                <w:szCs w:val="24"/>
              </w:rPr>
              <w:t>;</w:t>
            </w:r>
            <w:r w:rsidR="005D4C63" w:rsidRPr="008D2ED9">
              <w:rPr>
                <w:i/>
                <w:iCs/>
                <w:szCs w:val="24"/>
              </w:rPr>
              <w:t xml:space="preserve"> </w:t>
            </w:r>
            <w:hyperlink r:id="rId9" w:history="1">
              <w:r w:rsidR="005D4C63" w:rsidRPr="00AC322E">
                <w:rPr>
                  <w:rStyle w:val="Hyperlink"/>
                  <w:i/>
                  <w:iCs/>
                  <w:szCs w:val="24"/>
                </w:rPr>
                <w:t>Council Decision 482 (</w:t>
              </w:r>
              <w:r w:rsidR="00221A06">
                <w:rPr>
                  <w:rStyle w:val="Hyperlink"/>
                  <w:i/>
                  <w:iCs/>
                  <w:szCs w:val="24"/>
                </w:rPr>
                <w:t>C01, last amended C20</w:t>
              </w:r>
              <w:r w:rsidR="005D4C63" w:rsidRPr="00AC322E">
                <w:rPr>
                  <w:rStyle w:val="Hyperlink"/>
                  <w:i/>
                  <w:iCs/>
                  <w:szCs w:val="24"/>
                </w:rPr>
                <w:t>)</w:t>
              </w:r>
            </w:hyperlink>
            <w:r w:rsidR="005D4C63" w:rsidRPr="008D2ED9">
              <w:rPr>
                <w:i/>
                <w:iCs/>
                <w:szCs w:val="24"/>
              </w:rPr>
              <w:t>;</w:t>
            </w:r>
            <w:r w:rsidR="00221A06">
              <w:rPr>
                <w:i/>
                <w:iCs/>
                <w:szCs w:val="24"/>
              </w:rPr>
              <w:t xml:space="preserve"> </w:t>
            </w:r>
            <w:hyperlink r:id="rId10" w:history="1">
              <w:r w:rsidR="006C6A0B" w:rsidRPr="00F74B3F">
                <w:rPr>
                  <w:rStyle w:val="Hyperlink"/>
                  <w:i/>
                  <w:iCs/>
                  <w:szCs w:val="24"/>
                </w:rPr>
                <w:t>C2</w:t>
              </w:r>
              <w:r w:rsidR="006C6A0B">
                <w:rPr>
                  <w:rStyle w:val="Hyperlink"/>
                  <w:i/>
                  <w:iCs/>
                  <w:szCs w:val="24"/>
                </w:rPr>
                <w:t>2</w:t>
              </w:r>
              <w:r w:rsidR="006C6A0B" w:rsidRPr="00F74B3F">
                <w:rPr>
                  <w:rStyle w:val="Hyperlink"/>
                  <w:i/>
                  <w:iCs/>
                  <w:szCs w:val="24"/>
                </w:rPr>
                <w:t>/16</w:t>
              </w:r>
            </w:hyperlink>
            <w:r w:rsidR="006C6A0B">
              <w:rPr>
                <w:i/>
                <w:iCs/>
                <w:szCs w:val="24"/>
              </w:rPr>
              <w:t xml:space="preserve">, </w:t>
            </w:r>
            <w:hyperlink r:id="rId11" w:history="1">
              <w:r w:rsidR="006C6A0B" w:rsidRPr="00221A06">
                <w:rPr>
                  <w:rStyle w:val="Hyperlink"/>
                  <w:i/>
                  <w:iCs/>
                  <w:szCs w:val="24"/>
                </w:rPr>
                <w:t>C23/16</w:t>
              </w:r>
            </w:hyperlink>
          </w:p>
        </w:tc>
      </w:tr>
      <w:bookmarkEnd w:id="6"/>
    </w:tbl>
    <w:p w14:paraId="18E9C8EC" w14:textId="77777777" w:rsidR="00891E23" w:rsidRDefault="00891E23">
      <w:pPr>
        <w:tabs>
          <w:tab w:val="clear" w:pos="567"/>
          <w:tab w:val="clear" w:pos="1134"/>
          <w:tab w:val="clear" w:pos="1701"/>
          <w:tab w:val="clear" w:pos="2268"/>
          <w:tab w:val="clear" w:pos="2835"/>
        </w:tabs>
        <w:overflowPunct/>
        <w:autoSpaceDE/>
        <w:autoSpaceDN/>
        <w:adjustRightInd/>
        <w:spacing w:before="0"/>
        <w:textAlignment w:val="auto"/>
        <w:rPr>
          <w:b/>
          <w:bCs/>
        </w:rPr>
      </w:pPr>
      <w:r>
        <w:rPr>
          <w:b/>
          <w:bCs/>
        </w:rPr>
        <w:br w:type="page"/>
      </w:r>
    </w:p>
    <w:p w14:paraId="01398892" w14:textId="616B951A" w:rsidR="00C45DAC" w:rsidRPr="00B57D26" w:rsidRDefault="00683E67" w:rsidP="00B57D26">
      <w:pPr>
        <w:keepNext/>
        <w:keepLines/>
        <w:tabs>
          <w:tab w:val="clear" w:pos="567"/>
          <w:tab w:val="clear" w:pos="1134"/>
          <w:tab w:val="clear" w:pos="1701"/>
          <w:tab w:val="clear" w:pos="2268"/>
          <w:tab w:val="clear" w:pos="2835"/>
        </w:tabs>
        <w:snapToGrid w:val="0"/>
        <w:spacing w:before="360" w:after="120"/>
        <w:rPr>
          <w:b/>
          <w:bCs/>
          <w:sz w:val="26"/>
          <w:szCs w:val="26"/>
        </w:rPr>
      </w:pPr>
      <w:r w:rsidRPr="00B57D26">
        <w:rPr>
          <w:b/>
          <w:bCs/>
          <w:sz w:val="26"/>
          <w:szCs w:val="26"/>
        </w:rPr>
        <w:lastRenderedPageBreak/>
        <w:t>1</w:t>
      </w:r>
      <w:r w:rsidRPr="00B57D26">
        <w:rPr>
          <w:b/>
          <w:bCs/>
          <w:sz w:val="26"/>
          <w:szCs w:val="26"/>
        </w:rPr>
        <w:tab/>
      </w:r>
      <w:r w:rsidR="00C45DAC" w:rsidRPr="00B57D26">
        <w:rPr>
          <w:b/>
          <w:bCs/>
          <w:sz w:val="26"/>
          <w:szCs w:val="26"/>
        </w:rPr>
        <w:t>Background</w:t>
      </w:r>
    </w:p>
    <w:p w14:paraId="6B66A9EB" w14:textId="1968F2D2" w:rsidR="00C16C9D" w:rsidRDefault="002A7C0C" w:rsidP="00C16C9D">
      <w:pPr>
        <w:tabs>
          <w:tab w:val="clear" w:pos="567"/>
          <w:tab w:val="clear" w:pos="1134"/>
          <w:tab w:val="clear" w:pos="1701"/>
          <w:tab w:val="clear" w:pos="2268"/>
          <w:tab w:val="clear" w:pos="2835"/>
        </w:tabs>
        <w:snapToGrid w:val="0"/>
        <w:spacing w:after="120"/>
        <w:jc w:val="both"/>
        <w:rPr>
          <w:rFonts w:asciiTheme="minorHAnsi" w:hAnsiTheme="minorHAnsi" w:cstheme="majorBidi"/>
        </w:rPr>
      </w:pPr>
      <w:r>
        <w:rPr>
          <w:rFonts w:asciiTheme="minorHAnsi" w:hAnsiTheme="minorHAnsi" w:cstheme="majorBidi"/>
        </w:rPr>
        <w:t>1.</w:t>
      </w:r>
      <w:r w:rsidR="009B51A4">
        <w:rPr>
          <w:rFonts w:asciiTheme="minorHAnsi" w:hAnsiTheme="minorHAnsi" w:cstheme="majorBidi"/>
        </w:rPr>
        <w:t>1</w:t>
      </w:r>
      <w:r w:rsidR="00221A06">
        <w:rPr>
          <w:rFonts w:asciiTheme="minorHAnsi" w:hAnsiTheme="minorHAnsi" w:cstheme="majorBidi"/>
        </w:rPr>
        <w:tab/>
      </w:r>
      <w:r w:rsidR="00C16C9D">
        <w:rPr>
          <w:rFonts w:asciiTheme="minorHAnsi" w:hAnsiTheme="minorHAnsi" w:cstheme="majorBidi"/>
        </w:rPr>
        <w:t>The current structure of Decision 482</w:t>
      </w:r>
      <w:r w:rsidR="00D10300">
        <w:rPr>
          <w:rFonts w:asciiTheme="minorHAnsi" w:hAnsiTheme="minorHAnsi" w:cstheme="majorBidi"/>
        </w:rPr>
        <w:t xml:space="preserve"> </w:t>
      </w:r>
      <w:r w:rsidR="00D10300" w:rsidRPr="00107093">
        <w:rPr>
          <w:szCs w:val="24"/>
        </w:rPr>
        <w:t>(</w:t>
      </w:r>
      <w:r w:rsidR="00D10300">
        <w:rPr>
          <w:szCs w:val="24"/>
        </w:rPr>
        <w:t>C01, last amended C20</w:t>
      </w:r>
      <w:r w:rsidR="00D10300" w:rsidRPr="00107093">
        <w:rPr>
          <w:szCs w:val="24"/>
        </w:rPr>
        <w:t>)</w:t>
      </w:r>
      <w:r w:rsidR="00C16C9D">
        <w:rPr>
          <w:rFonts w:asciiTheme="minorHAnsi" w:hAnsiTheme="minorHAnsi" w:cstheme="majorBidi"/>
        </w:rPr>
        <w:t xml:space="preserve"> was essentially decided </w:t>
      </w:r>
      <w:r w:rsidR="00D10300">
        <w:rPr>
          <w:rFonts w:asciiTheme="minorHAnsi" w:hAnsiTheme="minorHAnsi" w:cstheme="majorBidi"/>
        </w:rPr>
        <w:t>by the ITU Council at its 2005 session</w:t>
      </w:r>
      <w:r w:rsidR="00C16C9D">
        <w:rPr>
          <w:rFonts w:asciiTheme="minorHAnsi" w:hAnsiTheme="minorHAnsi" w:cstheme="majorBidi"/>
        </w:rPr>
        <w:t xml:space="preserve">, on the basis of </w:t>
      </w:r>
      <w:hyperlink r:id="rId12" w:history="1">
        <w:r w:rsidR="00D10300">
          <w:rPr>
            <w:rStyle w:val="Hyperlink"/>
            <w:rFonts w:asciiTheme="minorHAnsi" w:hAnsiTheme="minorHAnsi" w:cstheme="majorBidi"/>
          </w:rPr>
          <w:t>D</w:t>
        </w:r>
        <w:r w:rsidR="00D10300" w:rsidRPr="007D1321">
          <w:rPr>
            <w:rStyle w:val="Hyperlink"/>
            <w:rFonts w:asciiTheme="minorHAnsi" w:hAnsiTheme="minorHAnsi" w:cstheme="majorBidi"/>
          </w:rPr>
          <w:t>ocument C05/29</w:t>
        </w:r>
      </w:hyperlink>
      <w:r w:rsidR="00D10300">
        <w:rPr>
          <w:rFonts w:asciiTheme="minorHAnsi" w:hAnsiTheme="minorHAnsi" w:cstheme="majorBidi"/>
        </w:rPr>
        <w:t xml:space="preserve">, </w:t>
      </w:r>
      <w:r w:rsidR="00C16C9D" w:rsidRPr="00BD1DA8">
        <w:rPr>
          <w:rFonts w:asciiTheme="minorHAnsi" w:eastAsiaTheme="minorEastAsia" w:hAnsiTheme="minorHAnsi" w:cs="Calibri"/>
        </w:rPr>
        <w:t>on cost recovery for the processing of satellite network filings</w:t>
      </w:r>
      <w:r w:rsidR="00D10300">
        <w:rPr>
          <w:rFonts w:asciiTheme="minorHAnsi" w:eastAsiaTheme="minorEastAsia" w:hAnsiTheme="minorHAnsi" w:cs="Calibri"/>
        </w:rPr>
        <w:t>,</w:t>
      </w:r>
      <w:r w:rsidR="00C16C9D">
        <w:rPr>
          <w:rFonts w:asciiTheme="minorHAnsi" w:eastAsiaTheme="minorEastAsia" w:hAnsiTheme="minorHAnsi" w:cs="Calibri"/>
        </w:rPr>
        <w:t xml:space="preserve"> </w:t>
      </w:r>
      <w:r w:rsidR="00D10300">
        <w:rPr>
          <w:rFonts w:asciiTheme="minorHAnsi" w:eastAsiaTheme="minorEastAsia" w:hAnsiTheme="minorHAnsi" w:cs="Calibri"/>
        </w:rPr>
        <w:t xml:space="preserve">which </w:t>
      </w:r>
      <w:r w:rsidR="00C16C9D">
        <w:rPr>
          <w:rFonts w:asciiTheme="minorHAnsi" w:eastAsiaTheme="minorEastAsia" w:hAnsiTheme="minorHAnsi" w:cs="Calibri"/>
        </w:rPr>
        <w:t xml:space="preserve">is referenced in </w:t>
      </w:r>
      <w:r w:rsidR="00D10300">
        <w:rPr>
          <w:rFonts w:asciiTheme="minorHAnsi" w:eastAsiaTheme="minorEastAsia" w:hAnsiTheme="minorHAnsi" w:cs="Calibri"/>
          <w:i/>
          <w:iCs/>
        </w:rPr>
        <w:t>considering</w:t>
      </w:r>
      <w:r w:rsidR="00D10300">
        <w:rPr>
          <w:rFonts w:asciiTheme="minorHAnsi" w:eastAsiaTheme="minorEastAsia" w:hAnsiTheme="minorHAnsi" w:cs="Calibri"/>
        </w:rPr>
        <w:t xml:space="preserve"> </w:t>
      </w:r>
      <w:proofErr w:type="spellStart"/>
      <w:r w:rsidR="00D10300" w:rsidRPr="00356383">
        <w:rPr>
          <w:rFonts w:asciiTheme="minorHAnsi" w:eastAsiaTheme="minorEastAsia" w:hAnsiTheme="minorHAnsi" w:cs="Calibri"/>
          <w:i/>
          <w:iCs/>
        </w:rPr>
        <w:t>ebis</w:t>
      </w:r>
      <w:proofErr w:type="spellEnd"/>
      <w:r w:rsidR="00D10300">
        <w:rPr>
          <w:rFonts w:asciiTheme="minorHAnsi" w:eastAsiaTheme="minorEastAsia" w:hAnsiTheme="minorHAnsi" w:cs="Calibri"/>
          <w:i/>
          <w:iCs/>
        </w:rPr>
        <w:t>)</w:t>
      </w:r>
      <w:r w:rsidR="00D10300">
        <w:rPr>
          <w:rFonts w:asciiTheme="minorHAnsi" w:eastAsiaTheme="minorEastAsia" w:hAnsiTheme="minorHAnsi" w:cs="Calibri"/>
        </w:rPr>
        <w:t xml:space="preserve"> of </w:t>
      </w:r>
      <w:r w:rsidR="00C16C9D">
        <w:rPr>
          <w:rFonts w:asciiTheme="minorHAnsi" w:eastAsiaTheme="minorEastAsia" w:hAnsiTheme="minorHAnsi" w:cs="Calibri"/>
        </w:rPr>
        <w:t xml:space="preserve">the Decision. </w:t>
      </w:r>
    </w:p>
    <w:p w14:paraId="4455FBB8" w14:textId="11FA1648" w:rsidR="00F37354" w:rsidRDefault="009B51A4" w:rsidP="00F37354">
      <w:pPr>
        <w:tabs>
          <w:tab w:val="clear" w:pos="567"/>
          <w:tab w:val="clear" w:pos="1134"/>
          <w:tab w:val="clear" w:pos="1701"/>
          <w:tab w:val="clear" w:pos="2268"/>
          <w:tab w:val="clear" w:pos="2835"/>
        </w:tabs>
        <w:snapToGrid w:val="0"/>
        <w:spacing w:after="120"/>
        <w:jc w:val="both"/>
      </w:pPr>
      <w:r>
        <w:rPr>
          <w:rFonts w:asciiTheme="minorHAnsi" w:hAnsiTheme="minorHAnsi" w:cstheme="majorBidi"/>
        </w:rPr>
        <w:t>1.2</w:t>
      </w:r>
      <w:r w:rsidR="00221A06">
        <w:rPr>
          <w:rFonts w:asciiTheme="minorHAnsi" w:hAnsiTheme="minorHAnsi" w:cstheme="majorBidi"/>
        </w:rPr>
        <w:tab/>
      </w:r>
      <w:r w:rsidR="00C16C9D">
        <w:rPr>
          <w:rFonts w:asciiTheme="minorHAnsi" w:hAnsiTheme="minorHAnsi" w:cstheme="majorBidi"/>
        </w:rPr>
        <w:t xml:space="preserve">At its 2017 session, the Council </w:t>
      </w:r>
      <w:r w:rsidR="00C16C9D" w:rsidRPr="006156C8">
        <w:rPr>
          <w:rFonts w:asciiTheme="minorHAnsi" w:hAnsiTheme="minorHAnsi" w:cstheme="majorBidi"/>
        </w:rPr>
        <w:t>instruct</w:t>
      </w:r>
      <w:r w:rsidR="00C16C9D">
        <w:rPr>
          <w:rFonts w:asciiTheme="minorHAnsi" w:hAnsiTheme="minorHAnsi" w:cstheme="majorBidi"/>
        </w:rPr>
        <w:t>ed</w:t>
      </w:r>
      <w:r w:rsidR="00C16C9D" w:rsidRPr="006156C8">
        <w:rPr>
          <w:rFonts w:asciiTheme="minorHAnsi" w:hAnsiTheme="minorHAnsi" w:cstheme="majorBidi"/>
        </w:rPr>
        <w:t xml:space="preserve"> the </w:t>
      </w:r>
      <w:r w:rsidR="00C16C9D">
        <w:rPr>
          <w:rFonts w:asciiTheme="minorHAnsi" w:hAnsiTheme="minorHAnsi" w:cstheme="majorBidi"/>
        </w:rPr>
        <w:t xml:space="preserve">Radiocommunication Bureau </w:t>
      </w:r>
      <w:r w:rsidR="00C16C9D" w:rsidRPr="006156C8">
        <w:rPr>
          <w:rFonts w:asciiTheme="minorHAnsi" w:hAnsiTheme="minorHAnsi" w:cstheme="majorBidi"/>
        </w:rPr>
        <w:t xml:space="preserve">to submit a study on the technical issues arising in connection with </w:t>
      </w:r>
      <w:r w:rsidR="00891E23">
        <w:rPr>
          <w:rFonts w:asciiTheme="minorHAnsi" w:hAnsiTheme="minorHAnsi" w:cstheme="majorBidi"/>
        </w:rPr>
        <w:t xml:space="preserve">the </w:t>
      </w:r>
      <w:r w:rsidR="00C16C9D" w:rsidRPr="006156C8">
        <w:rPr>
          <w:rFonts w:asciiTheme="minorHAnsi" w:hAnsiTheme="minorHAnsi" w:cstheme="majorBidi"/>
        </w:rPr>
        <w:t>processing of complex non-geostationary satellite (non-GSO) systems</w:t>
      </w:r>
      <w:r w:rsidR="00C16C9D">
        <w:rPr>
          <w:rFonts w:asciiTheme="minorHAnsi" w:hAnsiTheme="minorHAnsi" w:cstheme="majorBidi"/>
        </w:rPr>
        <w:t>.</w:t>
      </w:r>
      <w:r w:rsidR="00C16C9D" w:rsidRPr="006156C8">
        <w:rPr>
          <w:rFonts w:asciiTheme="minorHAnsi" w:hAnsiTheme="minorHAnsi" w:cstheme="majorBidi"/>
        </w:rPr>
        <w:t xml:space="preserve"> </w:t>
      </w:r>
      <w:proofErr w:type="gramStart"/>
      <w:r w:rsidR="00F37354">
        <w:rPr>
          <w:rFonts w:asciiTheme="minorHAnsi" w:hAnsiTheme="minorHAnsi" w:cstheme="majorBidi"/>
        </w:rPr>
        <w:t>As a consequence</w:t>
      </w:r>
      <w:proofErr w:type="gramEnd"/>
      <w:r w:rsidR="00F37354">
        <w:rPr>
          <w:rFonts w:asciiTheme="minorHAnsi" w:hAnsiTheme="minorHAnsi" w:cstheme="majorBidi"/>
        </w:rPr>
        <w:t xml:space="preserve">, </w:t>
      </w:r>
      <w:r w:rsidR="00F37354">
        <w:t>a</w:t>
      </w:r>
      <w:r w:rsidR="003A4EEC" w:rsidRPr="003A4EEC">
        <w:t xml:space="preserve">t its 2018 and 2019 sessions, </w:t>
      </w:r>
      <w:r w:rsidR="005046D3">
        <w:t xml:space="preserve">the </w:t>
      </w:r>
      <w:r w:rsidR="003A4EEC" w:rsidRPr="003A4EEC">
        <w:t xml:space="preserve">Council revised Decision 482 in order to address </w:t>
      </w:r>
      <w:r w:rsidR="00F37354">
        <w:t xml:space="preserve">the </w:t>
      </w:r>
      <w:r w:rsidR="003A4EEC" w:rsidRPr="003A4EEC">
        <w:t xml:space="preserve">issues related to </w:t>
      </w:r>
      <w:r w:rsidR="003F462A">
        <w:t>non-GSO</w:t>
      </w:r>
      <w:r w:rsidR="003A4EEC" w:rsidRPr="003A4EEC">
        <w:t xml:space="preserve"> systems</w:t>
      </w:r>
      <w:r w:rsidR="00F37354">
        <w:t xml:space="preserve"> that were </w:t>
      </w:r>
      <w:r w:rsidR="00D10300">
        <w:t xml:space="preserve">described </w:t>
      </w:r>
      <w:r w:rsidR="00F37354">
        <w:t xml:space="preserve">in the </w:t>
      </w:r>
      <w:r w:rsidR="003F462A">
        <w:t xml:space="preserve">Bureau’s </w:t>
      </w:r>
      <w:r w:rsidR="00F37354">
        <w:t>study</w:t>
      </w:r>
      <w:r w:rsidR="003A4EEC" w:rsidRPr="003A4EEC">
        <w:t xml:space="preserve">. </w:t>
      </w:r>
    </w:p>
    <w:p w14:paraId="00B7C012" w14:textId="7915CE30" w:rsidR="00C45DAC" w:rsidRDefault="009B51A4" w:rsidP="00F37354">
      <w:pPr>
        <w:tabs>
          <w:tab w:val="clear" w:pos="567"/>
          <w:tab w:val="clear" w:pos="1134"/>
          <w:tab w:val="clear" w:pos="1701"/>
          <w:tab w:val="clear" w:pos="2268"/>
          <w:tab w:val="clear" w:pos="2835"/>
        </w:tabs>
        <w:snapToGrid w:val="0"/>
        <w:spacing w:after="120"/>
        <w:jc w:val="both"/>
      </w:pPr>
      <w:r>
        <w:t>1.3</w:t>
      </w:r>
      <w:r w:rsidR="00221A06">
        <w:tab/>
      </w:r>
      <w:r w:rsidR="009A694E">
        <w:t>T</w:t>
      </w:r>
      <w:r w:rsidR="005046D3">
        <w:t>he</w:t>
      </w:r>
      <w:r w:rsidR="003A4EEC" w:rsidRPr="003A4EEC">
        <w:t xml:space="preserve"> </w:t>
      </w:r>
      <w:r w:rsidR="00D10300">
        <w:t>v</w:t>
      </w:r>
      <w:r w:rsidR="003A4EEC" w:rsidRPr="003A4EEC">
        <w:t xml:space="preserve">irtual </w:t>
      </w:r>
      <w:r w:rsidR="00D10300">
        <w:t>c</w:t>
      </w:r>
      <w:r w:rsidR="003A4EEC" w:rsidRPr="003A4EEC">
        <w:t>onsultation of Councillors</w:t>
      </w:r>
      <w:r w:rsidR="00D10300">
        <w:t xml:space="preserve"> in June 2020</w:t>
      </w:r>
      <w:r w:rsidR="003A4EEC" w:rsidRPr="003A4EEC">
        <w:t xml:space="preserve"> concluded that consultation by correspondence of Council Member States should be organized </w:t>
      </w:r>
      <w:r w:rsidR="00D10300">
        <w:t>for</w:t>
      </w:r>
      <w:r w:rsidR="00D10300" w:rsidRPr="003A4EEC">
        <w:t xml:space="preserve"> </w:t>
      </w:r>
      <w:r w:rsidR="003A4EEC" w:rsidRPr="003A4EEC">
        <w:t xml:space="preserve">the approval of the draft </w:t>
      </w:r>
      <w:r w:rsidR="00D10300">
        <w:t>amended</w:t>
      </w:r>
      <w:r w:rsidR="00D10300" w:rsidRPr="003A4EEC">
        <w:t xml:space="preserve"> </w:t>
      </w:r>
      <w:r w:rsidR="003A4EEC" w:rsidRPr="003A4EEC">
        <w:t>Decision 482</w:t>
      </w:r>
      <w:r w:rsidR="00D10300">
        <w:t>, which</w:t>
      </w:r>
      <w:r w:rsidR="003A4EEC" w:rsidRPr="003A4EEC">
        <w:t xml:space="preserve"> contain</w:t>
      </w:r>
      <w:r w:rsidR="00D10300">
        <w:t>ed</w:t>
      </w:r>
      <w:r w:rsidR="003A4EEC" w:rsidRPr="003A4EEC">
        <w:t xml:space="preserve"> modifications that were either consequential to decisions taken by</w:t>
      </w:r>
      <w:r w:rsidR="00807ED6">
        <w:t xml:space="preserve"> the World Radiocommunication Conference</w:t>
      </w:r>
      <w:r w:rsidR="006A16CB">
        <w:t xml:space="preserve"> </w:t>
      </w:r>
      <w:r w:rsidR="006A16CB" w:rsidRPr="006A16CB">
        <w:t>(Sharm el</w:t>
      </w:r>
      <w:r w:rsidR="006A16CB">
        <w:t>-</w:t>
      </w:r>
      <w:r w:rsidR="006A16CB" w:rsidRPr="006A16CB">
        <w:t>Sheikh, 2019)</w:t>
      </w:r>
      <w:r w:rsidR="00807ED6" w:rsidRPr="003A4EEC">
        <w:t xml:space="preserve"> </w:t>
      </w:r>
      <w:r w:rsidR="003A4EEC" w:rsidRPr="003A4EEC">
        <w:t xml:space="preserve">or </w:t>
      </w:r>
      <w:r w:rsidR="00D10300">
        <w:t xml:space="preserve">were </w:t>
      </w:r>
      <w:r w:rsidR="003A4EEC" w:rsidRPr="003A4EEC">
        <w:t xml:space="preserve">required to address a specific case of satellite network filings not covered by the Decision. As a result of this consultation, Council Member States approved the </w:t>
      </w:r>
      <w:r w:rsidR="00D10300">
        <w:t>amended</w:t>
      </w:r>
      <w:r w:rsidR="00D10300" w:rsidRPr="003A4EEC">
        <w:t xml:space="preserve"> </w:t>
      </w:r>
      <w:r w:rsidR="003A4EEC" w:rsidRPr="003A4EEC">
        <w:t>Decision 482</w:t>
      </w:r>
      <w:r w:rsidR="00D10300">
        <w:t>,</w:t>
      </w:r>
      <w:r w:rsidR="003A4EEC" w:rsidRPr="003A4EEC">
        <w:t xml:space="preserve"> as contained in Annex 4 </w:t>
      </w:r>
      <w:r w:rsidR="00D10300">
        <w:t>to</w:t>
      </w:r>
      <w:r w:rsidR="00D10300" w:rsidRPr="003A4EEC">
        <w:t xml:space="preserve"> </w:t>
      </w:r>
      <w:r w:rsidR="003A4EEC" w:rsidRPr="003A4EEC">
        <w:t xml:space="preserve">Circular </w:t>
      </w:r>
      <w:hyperlink r:id="rId13" w:history="1">
        <w:r w:rsidR="003A4EEC" w:rsidRPr="00462F8F">
          <w:rPr>
            <w:rStyle w:val="Hyperlink"/>
          </w:rPr>
          <w:t>DM-20/1011</w:t>
        </w:r>
      </w:hyperlink>
      <w:r w:rsidR="003A4EEC" w:rsidRPr="003A4EEC">
        <w:t xml:space="preserve"> of 3 August 2020</w:t>
      </w:r>
      <w:r w:rsidR="00F37354">
        <w:t xml:space="preserve">, which </w:t>
      </w:r>
      <w:r w:rsidR="003A4EEC" w:rsidRPr="003A4EEC">
        <w:t>entered into force on 1</w:t>
      </w:r>
      <w:r w:rsidR="006A16CB">
        <w:t> </w:t>
      </w:r>
      <w:r w:rsidR="003A4EEC" w:rsidRPr="003A4EEC">
        <w:t>September 2020.</w:t>
      </w:r>
    </w:p>
    <w:p w14:paraId="3B30ADC3" w14:textId="6F86BD47" w:rsidR="00891E23" w:rsidRDefault="009B51A4" w:rsidP="002A7C0C">
      <w:pPr>
        <w:tabs>
          <w:tab w:val="clear" w:pos="567"/>
          <w:tab w:val="clear" w:pos="1134"/>
          <w:tab w:val="clear" w:pos="1701"/>
          <w:tab w:val="clear" w:pos="2268"/>
          <w:tab w:val="clear" w:pos="2835"/>
        </w:tabs>
        <w:snapToGrid w:val="0"/>
        <w:spacing w:after="120"/>
        <w:jc w:val="both"/>
      </w:pPr>
      <w:r>
        <w:t>1.4</w:t>
      </w:r>
      <w:r w:rsidR="00221A06">
        <w:tab/>
      </w:r>
      <w:r w:rsidR="002A7C0C">
        <w:t xml:space="preserve">At </w:t>
      </w:r>
      <w:r w:rsidR="00D85242">
        <w:t xml:space="preserve">the </w:t>
      </w:r>
      <w:r w:rsidR="002A7C0C">
        <w:t>2022 session</w:t>
      </w:r>
      <w:r w:rsidR="00D85242">
        <w:t xml:space="preserve"> of </w:t>
      </w:r>
      <w:r w:rsidR="00D10300">
        <w:t xml:space="preserve">the </w:t>
      </w:r>
      <w:r w:rsidR="00D85242">
        <w:t>Council</w:t>
      </w:r>
      <w:r w:rsidR="002A7C0C">
        <w:t>, it was indicated that the Radiocommunication Bureau</w:t>
      </w:r>
      <w:r w:rsidR="00D10300">
        <w:t>,</w:t>
      </w:r>
      <w:r w:rsidR="002A7C0C">
        <w:t xml:space="preserve"> together with the General Secretariat</w:t>
      </w:r>
      <w:r w:rsidR="00D10300">
        <w:t>,</w:t>
      </w:r>
      <w:r w:rsidR="002A7C0C">
        <w:t xml:space="preserve"> w</w:t>
      </w:r>
      <w:r w:rsidR="00D10300">
        <w:t>ould</w:t>
      </w:r>
      <w:r w:rsidR="002A7C0C">
        <w:t xml:space="preserve"> </w:t>
      </w:r>
      <w:r w:rsidR="00131F85">
        <w:t xml:space="preserve">assess </w:t>
      </w:r>
      <w:r w:rsidR="002A7C0C">
        <w:t>whether further revisions to Decision 482 should be considered</w:t>
      </w:r>
      <w:r w:rsidR="00131F85">
        <w:t xml:space="preserve"> </w:t>
      </w:r>
      <w:proofErr w:type="gramStart"/>
      <w:r w:rsidR="00131F85">
        <w:t>in order to</w:t>
      </w:r>
      <w:proofErr w:type="gramEnd"/>
      <w:r w:rsidR="00131F85">
        <w:t xml:space="preserve"> ensure that costs associated with the processing of satellite network filings </w:t>
      </w:r>
      <w:r w:rsidR="00D10300">
        <w:t xml:space="preserve">be </w:t>
      </w:r>
      <w:r w:rsidR="00131F85">
        <w:t>appropriately recovered</w:t>
      </w:r>
      <w:r w:rsidR="002A7C0C">
        <w:t xml:space="preserve">. This assessment is </w:t>
      </w:r>
      <w:r w:rsidR="00131F85">
        <w:t xml:space="preserve">contained in </w:t>
      </w:r>
      <w:hyperlink w:anchor="Annex1" w:history="1">
        <w:r w:rsidR="00131F85" w:rsidRPr="00462F8F">
          <w:rPr>
            <w:rStyle w:val="Hyperlink"/>
          </w:rPr>
          <w:t>Annex 1</w:t>
        </w:r>
      </w:hyperlink>
      <w:r w:rsidR="00131F85">
        <w:t xml:space="preserve"> </w:t>
      </w:r>
      <w:r w:rsidR="00D10300">
        <w:t>to</w:t>
      </w:r>
      <w:r w:rsidR="00891E23">
        <w:t xml:space="preserve"> </w:t>
      </w:r>
      <w:r w:rsidR="00131F85">
        <w:t>this document</w:t>
      </w:r>
      <w:r w:rsidR="002A7C0C">
        <w:t>.</w:t>
      </w:r>
    </w:p>
    <w:p w14:paraId="1CDDC298" w14:textId="6B738294" w:rsidR="00891E23" w:rsidRPr="00B57D26" w:rsidRDefault="009B51A4" w:rsidP="00B57D26">
      <w:pPr>
        <w:tabs>
          <w:tab w:val="clear" w:pos="567"/>
          <w:tab w:val="clear" w:pos="1134"/>
          <w:tab w:val="clear" w:pos="1701"/>
          <w:tab w:val="clear" w:pos="2268"/>
          <w:tab w:val="clear" w:pos="2835"/>
        </w:tabs>
        <w:snapToGrid w:val="0"/>
        <w:spacing w:before="360" w:after="120"/>
        <w:jc w:val="both"/>
        <w:rPr>
          <w:b/>
          <w:bCs/>
          <w:sz w:val="26"/>
          <w:szCs w:val="26"/>
        </w:rPr>
      </w:pPr>
      <w:r w:rsidRPr="00B57D26">
        <w:rPr>
          <w:b/>
          <w:bCs/>
          <w:sz w:val="26"/>
          <w:szCs w:val="26"/>
        </w:rPr>
        <w:t>2</w:t>
      </w:r>
      <w:r w:rsidRPr="00B57D26">
        <w:rPr>
          <w:b/>
          <w:bCs/>
          <w:sz w:val="26"/>
          <w:szCs w:val="26"/>
        </w:rPr>
        <w:tab/>
      </w:r>
      <w:r w:rsidR="006C0C3B" w:rsidRPr="00B57D26">
        <w:rPr>
          <w:b/>
          <w:bCs/>
          <w:sz w:val="26"/>
          <w:szCs w:val="26"/>
        </w:rPr>
        <w:t>Conclusions of the 2023 session of the Radiocommunication Advisory Group</w:t>
      </w:r>
    </w:p>
    <w:p w14:paraId="052EAC97" w14:textId="5CC7E0BA" w:rsidR="00891E23" w:rsidRDefault="009B51A4" w:rsidP="00EF19AF">
      <w:pPr>
        <w:tabs>
          <w:tab w:val="clear" w:pos="567"/>
          <w:tab w:val="clear" w:pos="1134"/>
          <w:tab w:val="clear" w:pos="1701"/>
          <w:tab w:val="clear" w:pos="2268"/>
          <w:tab w:val="clear" w:pos="2835"/>
        </w:tabs>
        <w:snapToGrid w:val="0"/>
        <w:spacing w:after="120"/>
        <w:jc w:val="both"/>
      </w:pPr>
      <w:r>
        <w:t>2.1</w:t>
      </w:r>
      <w:r w:rsidR="00462F8F">
        <w:tab/>
      </w:r>
      <w:r w:rsidR="002A7C0C">
        <w:t xml:space="preserve">The issue of the appropriateness of the current version of Council Decision 482 to recover costs associated with </w:t>
      </w:r>
      <w:r w:rsidR="002A7C0C" w:rsidRPr="005E080B">
        <w:t>the processing of satellite network filings</w:t>
      </w:r>
      <w:r w:rsidR="002A7C0C">
        <w:t xml:space="preserve"> </w:t>
      </w:r>
      <w:r w:rsidR="00891E23">
        <w:t xml:space="preserve">was </w:t>
      </w:r>
      <w:r w:rsidR="002A7C0C">
        <w:t>also discussed by the Radiocommunication Advisory Group</w:t>
      </w:r>
      <w:r w:rsidR="00D10300">
        <w:t xml:space="preserve"> (RAG).</w:t>
      </w:r>
      <w:r w:rsidR="002A7C0C">
        <w:t xml:space="preserve"> </w:t>
      </w:r>
      <w:r w:rsidR="00D10300">
        <w:t>I</w:t>
      </w:r>
      <w:r w:rsidR="00DC3614">
        <w:t>tem 5 of the summary of conclusions of the</w:t>
      </w:r>
      <w:r w:rsidR="00DC3614" w:rsidRPr="009A694E">
        <w:t xml:space="preserve"> 3</w:t>
      </w:r>
      <w:r w:rsidR="00DC3614">
        <w:t>0</w:t>
      </w:r>
      <w:r w:rsidR="00DC3614" w:rsidRPr="00B57D26">
        <w:t>th</w:t>
      </w:r>
      <w:r w:rsidR="00DC3614">
        <w:t xml:space="preserve"> meeting of </w:t>
      </w:r>
      <w:r w:rsidR="00D10300">
        <w:t>RAG</w:t>
      </w:r>
      <w:r w:rsidR="00DC3614">
        <w:t xml:space="preserve"> indicates: </w:t>
      </w:r>
    </w:p>
    <w:p w14:paraId="3DF60946" w14:textId="623B5A55" w:rsidR="00891E23" w:rsidRPr="00DC3614" w:rsidRDefault="006C0C3B" w:rsidP="00EF19AF">
      <w:pPr>
        <w:tabs>
          <w:tab w:val="clear" w:pos="567"/>
          <w:tab w:val="clear" w:pos="1134"/>
          <w:tab w:val="clear" w:pos="1701"/>
          <w:tab w:val="clear" w:pos="2268"/>
          <w:tab w:val="clear" w:pos="2835"/>
        </w:tabs>
        <w:snapToGrid w:val="0"/>
        <w:spacing w:after="120"/>
        <w:ind w:left="720"/>
        <w:jc w:val="both"/>
        <w:rPr>
          <w:i/>
          <w:iCs/>
        </w:rPr>
      </w:pPr>
      <w:r>
        <w:t>“</w:t>
      </w:r>
      <w:r w:rsidRPr="00DC3614">
        <w:rPr>
          <w:i/>
          <w:iCs/>
        </w:rPr>
        <w:t xml:space="preserve">The RAG took note of the information from the Director of the BR about the issues related to the processing of satellite fillings, including the difficulty to treat filings with thousands of satellites without necessary time required to further developing BR software tools.  RAG agreed that the BR lacks sufficient dedicated resources needed to continually update and modernize BR software applications used for satellite and terrestrial filings. The RAG also discussed the outcome from Council 2022 </w:t>
      </w:r>
      <w:proofErr w:type="gramStart"/>
      <w:r w:rsidRPr="00DC3614">
        <w:rPr>
          <w:i/>
          <w:iCs/>
        </w:rPr>
        <w:t>with regard to</w:t>
      </w:r>
      <w:proofErr w:type="gramEnd"/>
      <w:r w:rsidRPr="00DC3614">
        <w:rPr>
          <w:i/>
          <w:iCs/>
        </w:rPr>
        <w:t xml:space="preserve"> the review of Cost Recovery Methodology and the potential creation of a fund for software development by the Bureau. </w:t>
      </w:r>
    </w:p>
    <w:p w14:paraId="0F7D809A" w14:textId="3F13E897" w:rsidR="006C0C3B" w:rsidRDefault="006C0C3B" w:rsidP="00EF19AF">
      <w:pPr>
        <w:tabs>
          <w:tab w:val="clear" w:pos="567"/>
          <w:tab w:val="clear" w:pos="1134"/>
          <w:tab w:val="clear" w:pos="1701"/>
          <w:tab w:val="clear" w:pos="2268"/>
          <w:tab w:val="clear" w:pos="2835"/>
        </w:tabs>
        <w:snapToGrid w:val="0"/>
        <w:spacing w:after="120"/>
        <w:ind w:left="720"/>
        <w:jc w:val="both"/>
      </w:pPr>
      <w:r w:rsidRPr="00DC3614">
        <w:rPr>
          <w:i/>
          <w:iCs/>
        </w:rPr>
        <w:t xml:space="preserve">The RAG advised the Director to request Council 2023 to reactivate the Expert Group addressing Council Decision 482 (modified </w:t>
      </w:r>
      <w:r w:rsidR="00462F8F" w:rsidRPr="00DC3614">
        <w:rPr>
          <w:i/>
          <w:iCs/>
        </w:rPr>
        <w:t>202</w:t>
      </w:r>
      <w:r w:rsidR="00462F8F">
        <w:rPr>
          <w:i/>
          <w:iCs/>
        </w:rPr>
        <w:t>0</w:t>
      </w:r>
      <w:r w:rsidRPr="00DC3614">
        <w:rPr>
          <w:i/>
          <w:iCs/>
        </w:rPr>
        <w:t>) so that it can commence its work towards making a recommendation to Council 2024 on the increased costs incurred by the BR from those filings whose size and/or complexity, as well as resubmission of the same system, are such that the current methodology does not accurately capture their costs.</w:t>
      </w:r>
      <w:r>
        <w:t xml:space="preserve">” </w:t>
      </w:r>
    </w:p>
    <w:p w14:paraId="40A0A91D" w14:textId="79CEAF49" w:rsidR="00CA241C" w:rsidRPr="00797196" w:rsidRDefault="009B51A4" w:rsidP="00B57D26">
      <w:pPr>
        <w:keepNext/>
        <w:keepLines/>
        <w:tabs>
          <w:tab w:val="clear" w:pos="567"/>
          <w:tab w:val="clear" w:pos="1134"/>
          <w:tab w:val="clear" w:pos="1701"/>
          <w:tab w:val="clear" w:pos="2268"/>
          <w:tab w:val="clear" w:pos="2835"/>
        </w:tabs>
        <w:spacing w:before="360" w:after="120"/>
        <w:jc w:val="both"/>
        <w:rPr>
          <w:b/>
          <w:bCs/>
        </w:rPr>
      </w:pPr>
      <w:r w:rsidRPr="00B57D26">
        <w:rPr>
          <w:b/>
          <w:bCs/>
          <w:sz w:val="26"/>
          <w:szCs w:val="26"/>
        </w:rPr>
        <w:lastRenderedPageBreak/>
        <w:t>3</w:t>
      </w:r>
      <w:r w:rsidRPr="00B57D26">
        <w:rPr>
          <w:b/>
          <w:bCs/>
          <w:sz w:val="26"/>
          <w:szCs w:val="26"/>
        </w:rPr>
        <w:tab/>
      </w:r>
      <w:r w:rsidR="00CA241C" w:rsidRPr="00B57D26">
        <w:rPr>
          <w:b/>
          <w:bCs/>
          <w:sz w:val="26"/>
          <w:szCs w:val="26"/>
        </w:rPr>
        <w:t>Conclusion</w:t>
      </w:r>
    </w:p>
    <w:p w14:paraId="07995EFD" w14:textId="4A79B306" w:rsidR="002A7C0C" w:rsidRDefault="009B51A4" w:rsidP="00B57D26">
      <w:pPr>
        <w:keepNext/>
        <w:keepLines/>
        <w:tabs>
          <w:tab w:val="clear" w:pos="567"/>
          <w:tab w:val="clear" w:pos="1134"/>
          <w:tab w:val="clear" w:pos="1701"/>
          <w:tab w:val="clear" w:pos="2268"/>
          <w:tab w:val="clear" w:pos="2835"/>
        </w:tabs>
        <w:spacing w:after="120"/>
        <w:jc w:val="both"/>
        <w:rPr>
          <w:bCs/>
        </w:rPr>
      </w:pPr>
      <w:r>
        <w:tab/>
      </w:r>
      <w:r w:rsidR="00CA241C" w:rsidRPr="00E22476">
        <w:t xml:space="preserve">The </w:t>
      </w:r>
      <w:r w:rsidR="00CA241C" w:rsidRPr="00E22476">
        <w:rPr>
          <w:bCs/>
        </w:rPr>
        <w:t>Council is invited</w:t>
      </w:r>
      <w:r w:rsidR="002A7C0C">
        <w:rPr>
          <w:bCs/>
        </w:rPr>
        <w:t>:</w:t>
      </w:r>
    </w:p>
    <w:p w14:paraId="64FA49E0" w14:textId="24B9158F" w:rsidR="002A7C0C" w:rsidRDefault="009B51A4" w:rsidP="00B57D26">
      <w:pPr>
        <w:keepNext/>
        <w:keepLines/>
        <w:tabs>
          <w:tab w:val="clear" w:pos="567"/>
          <w:tab w:val="clear" w:pos="1134"/>
          <w:tab w:val="clear" w:pos="1701"/>
          <w:tab w:val="clear" w:pos="2268"/>
          <w:tab w:val="clear" w:pos="2835"/>
        </w:tabs>
        <w:spacing w:after="120"/>
        <w:jc w:val="both"/>
        <w:rPr>
          <w:lang w:val="en-US"/>
        </w:rPr>
      </w:pPr>
      <w:r>
        <w:rPr>
          <w:lang w:val="en-US"/>
        </w:rPr>
        <w:t>3</w:t>
      </w:r>
      <w:r w:rsidR="002A7C0C">
        <w:rPr>
          <w:lang w:val="en-US"/>
        </w:rPr>
        <w:t>.</w:t>
      </w:r>
      <w:r w:rsidR="00815A41">
        <w:rPr>
          <w:lang w:val="en-US"/>
        </w:rPr>
        <w:t>1</w:t>
      </w:r>
      <w:r w:rsidR="002A7C0C">
        <w:rPr>
          <w:lang w:val="en-US"/>
        </w:rPr>
        <w:tab/>
      </w:r>
      <w:r w:rsidR="00121770" w:rsidRPr="00EF19AF">
        <w:rPr>
          <w:b/>
          <w:bCs/>
          <w:lang w:val="en-US"/>
        </w:rPr>
        <w:t>to c</w:t>
      </w:r>
      <w:r w:rsidR="00815A41" w:rsidRPr="00EF19AF">
        <w:rPr>
          <w:b/>
          <w:bCs/>
          <w:lang w:val="en-US"/>
        </w:rPr>
        <w:t>onsider the study</w:t>
      </w:r>
      <w:r w:rsidR="00815A41">
        <w:rPr>
          <w:lang w:val="en-US"/>
        </w:rPr>
        <w:t xml:space="preserve"> presented in </w:t>
      </w:r>
      <w:hyperlink w:anchor="Annex1" w:history="1">
        <w:r w:rsidR="00815A41" w:rsidRPr="00462F8F">
          <w:rPr>
            <w:rStyle w:val="Hyperlink"/>
            <w:lang w:val="en-US"/>
          </w:rPr>
          <w:t xml:space="preserve">Annex </w:t>
        </w:r>
        <w:r w:rsidR="004F5A70" w:rsidRPr="00462F8F">
          <w:rPr>
            <w:rStyle w:val="Hyperlink"/>
            <w:lang w:val="en-US"/>
          </w:rPr>
          <w:t>1</w:t>
        </w:r>
      </w:hyperlink>
      <w:r w:rsidR="004F5A70">
        <w:rPr>
          <w:lang w:val="en-US"/>
        </w:rPr>
        <w:t xml:space="preserve"> </w:t>
      </w:r>
      <w:r w:rsidR="00815A41">
        <w:rPr>
          <w:lang w:val="en-US"/>
        </w:rPr>
        <w:t xml:space="preserve">of this report </w:t>
      </w:r>
      <w:r w:rsidR="004F5A70" w:rsidRPr="004F5A70">
        <w:rPr>
          <w:lang w:val="en-US"/>
        </w:rPr>
        <w:t>on the extent to which the implementation of Council Decision 482 (</w:t>
      </w:r>
      <w:r w:rsidR="00462F8F">
        <w:rPr>
          <w:szCs w:val="24"/>
        </w:rPr>
        <w:t>C01, last amended C20</w:t>
      </w:r>
      <w:r w:rsidR="004F5A70" w:rsidRPr="004F5A70">
        <w:rPr>
          <w:lang w:val="en-US"/>
        </w:rPr>
        <w:t xml:space="preserve">) recovers the costs associated with the processing of satellite network </w:t>
      </w:r>
      <w:proofErr w:type="gramStart"/>
      <w:r w:rsidR="004F5A70" w:rsidRPr="004F5A70">
        <w:rPr>
          <w:lang w:val="en-US"/>
        </w:rPr>
        <w:t>filings</w:t>
      </w:r>
      <w:r w:rsidR="00D10300">
        <w:rPr>
          <w:lang w:val="en-US"/>
        </w:rPr>
        <w:t>;</w:t>
      </w:r>
      <w:proofErr w:type="gramEnd"/>
      <w:r w:rsidR="002A7C0C">
        <w:t xml:space="preserve"> </w:t>
      </w:r>
    </w:p>
    <w:p w14:paraId="24D12880" w14:textId="027CFFB2" w:rsidR="00C45DAC" w:rsidRDefault="009B51A4" w:rsidP="00CA241C">
      <w:pPr>
        <w:tabs>
          <w:tab w:val="clear" w:pos="567"/>
          <w:tab w:val="clear" w:pos="1134"/>
          <w:tab w:val="clear" w:pos="1701"/>
          <w:tab w:val="clear" w:pos="2268"/>
          <w:tab w:val="clear" w:pos="2835"/>
        </w:tabs>
        <w:spacing w:after="120"/>
        <w:jc w:val="both"/>
      </w:pPr>
      <w:r>
        <w:t>3</w:t>
      </w:r>
      <w:r w:rsidR="002A7C0C" w:rsidRPr="002A7C0C">
        <w:t>.</w:t>
      </w:r>
      <w:r w:rsidR="00815A41">
        <w:t>2</w:t>
      </w:r>
      <w:r w:rsidR="002A7C0C" w:rsidRPr="002A7C0C">
        <w:tab/>
      </w:r>
      <w:r w:rsidR="00CA241C" w:rsidRPr="00E22476">
        <w:rPr>
          <w:b/>
          <w:bCs/>
        </w:rPr>
        <w:t>to</w:t>
      </w:r>
      <w:r w:rsidR="004463CF">
        <w:rPr>
          <w:b/>
          <w:bCs/>
        </w:rPr>
        <w:t xml:space="preserve"> create a Council </w:t>
      </w:r>
      <w:r w:rsidR="009A694E">
        <w:rPr>
          <w:b/>
          <w:bCs/>
        </w:rPr>
        <w:t>e</w:t>
      </w:r>
      <w:r w:rsidR="004463CF">
        <w:rPr>
          <w:b/>
          <w:bCs/>
        </w:rPr>
        <w:t xml:space="preserve">xpert </w:t>
      </w:r>
      <w:r w:rsidR="009A694E">
        <w:rPr>
          <w:b/>
          <w:bCs/>
        </w:rPr>
        <w:t>g</w:t>
      </w:r>
      <w:r w:rsidR="004463CF">
        <w:rPr>
          <w:b/>
          <w:bCs/>
        </w:rPr>
        <w:t>roup on Decision 482</w:t>
      </w:r>
      <w:r w:rsidR="002A7C0C">
        <w:rPr>
          <w:b/>
          <w:bCs/>
        </w:rPr>
        <w:t xml:space="preserve"> </w:t>
      </w:r>
      <w:r w:rsidR="002A7C0C">
        <w:t>(d</w:t>
      </w:r>
      <w:r w:rsidR="004463CF">
        <w:t xml:space="preserve">raft terms of reference are </w:t>
      </w:r>
      <w:r w:rsidR="00D10300">
        <w:t xml:space="preserve">presented </w:t>
      </w:r>
      <w:r w:rsidR="004463CF">
        <w:t xml:space="preserve">in </w:t>
      </w:r>
      <w:hyperlink w:anchor="Annex2" w:history="1">
        <w:r w:rsidR="004463CF" w:rsidRPr="00462F8F">
          <w:rPr>
            <w:rStyle w:val="Hyperlink"/>
          </w:rPr>
          <w:t>Annex 2</w:t>
        </w:r>
      </w:hyperlink>
      <w:r w:rsidR="002A7C0C">
        <w:t>).</w:t>
      </w:r>
    </w:p>
    <w:p w14:paraId="7A17065E" w14:textId="605C2B9F" w:rsidR="00C45DAC" w:rsidRDefault="00C45DAC">
      <w:pPr>
        <w:tabs>
          <w:tab w:val="clear" w:pos="567"/>
          <w:tab w:val="clear" w:pos="1134"/>
          <w:tab w:val="clear" w:pos="1701"/>
          <w:tab w:val="clear" w:pos="2268"/>
          <w:tab w:val="clear" w:pos="2835"/>
        </w:tabs>
        <w:overflowPunct/>
        <w:autoSpaceDE/>
        <w:autoSpaceDN/>
        <w:adjustRightInd/>
        <w:spacing w:before="0"/>
        <w:textAlignment w:val="auto"/>
      </w:pPr>
      <w:r>
        <w:br w:type="page"/>
      </w:r>
    </w:p>
    <w:p w14:paraId="4B026D1F" w14:textId="621B337B" w:rsidR="00C45DAC" w:rsidRDefault="00C45DAC" w:rsidP="00C45DAC">
      <w:pPr>
        <w:pStyle w:val="AnnexNo"/>
      </w:pPr>
      <w:bookmarkStart w:id="7" w:name="Annex1"/>
      <w:r>
        <w:lastRenderedPageBreak/>
        <w:t xml:space="preserve">Annex </w:t>
      </w:r>
      <w:r w:rsidR="004F5A70">
        <w:t>1</w:t>
      </w:r>
      <w:bookmarkEnd w:id="7"/>
    </w:p>
    <w:p w14:paraId="19DD5F1C" w14:textId="0FDAAAB6" w:rsidR="00C45DAC" w:rsidRDefault="00C45DAC" w:rsidP="00C45DAC">
      <w:pPr>
        <w:pStyle w:val="Annextitle"/>
      </w:pPr>
      <w:bookmarkStart w:id="8" w:name="_Hlk134634550"/>
      <w:r>
        <w:t xml:space="preserve">Study on the </w:t>
      </w:r>
      <w:r w:rsidR="00815A41">
        <w:t>extent to which the implementation of</w:t>
      </w:r>
      <w:r>
        <w:t xml:space="preserve"> Council Decision 482 (</w:t>
      </w:r>
      <w:r w:rsidR="009B51A4">
        <w:rPr>
          <w:szCs w:val="24"/>
        </w:rPr>
        <w:t>C01, last amended C20</w:t>
      </w:r>
      <w:r>
        <w:t>) recover</w:t>
      </w:r>
      <w:r w:rsidR="00815A41">
        <w:t>s the</w:t>
      </w:r>
      <w:r>
        <w:t xml:space="preserve"> costs associated with the processing of satellite network </w:t>
      </w:r>
      <w:proofErr w:type="gramStart"/>
      <w:r>
        <w:t>filings</w:t>
      </w:r>
      <w:bookmarkEnd w:id="8"/>
      <w:proofErr w:type="gramEnd"/>
    </w:p>
    <w:p w14:paraId="55CAA889" w14:textId="10E02882" w:rsidR="00C45DAC" w:rsidRPr="003A4EEC" w:rsidRDefault="003A4EEC" w:rsidP="00B57D26">
      <w:pPr>
        <w:tabs>
          <w:tab w:val="clear" w:pos="567"/>
          <w:tab w:val="clear" w:pos="1134"/>
          <w:tab w:val="clear" w:pos="1701"/>
          <w:tab w:val="clear" w:pos="2268"/>
          <w:tab w:val="clear" w:pos="2835"/>
        </w:tabs>
        <w:spacing w:before="480" w:after="120"/>
        <w:jc w:val="both"/>
        <w:rPr>
          <w:b/>
          <w:bCs/>
        </w:rPr>
      </w:pPr>
      <w:r w:rsidRPr="003A4EEC">
        <w:rPr>
          <w:b/>
          <w:bCs/>
        </w:rPr>
        <w:t>1.</w:t>
      </w:r>
      <w:r w:rsidRPr="003A4EEC">
        <w:rPr>
          <w:b/>
          <w:bCs/>
        </w:rPr>
        <w:tab/>
      </w:r>
      <w:r w:rsidR="00B574C6">
        <w:rPr>
          <w:b/>
          <w:bCs/>
        </w:rPr>
        <w:t>The full c</w:t>
      </w:r>
      <w:r w:rsidRPr="003A4EEC">
        <w:rPr>
          <w:b/>
          <w:bCs/>
        </w:rPr>
        <w:t xml:space="preserve">osts of </w:t>
      </w:r>
      <w:r w:rsidR="00D10300">
        <w:rPr>
          <w:b/>
          <w:bCs/>
        </w:rPr>
        <w:t xml:space="preserve">the </w:t>
      </w:r>
      <w:r w:rsidRPr="003A4EEC">
        <w:rPr>
          <w:b/>
          <w:bCs/>
        </w:rPr>
        <w:t xml:space="preserve">processing </w:t>
      </w:r>
      <w:r w:rsidR="00D10300">
        <w:rPr>
          <w:b/>
          <w:bCs/>
        </w:rPr>
        <w:t xml:space="preserve">of </w:t>
      </w:r>
      <w:r w:rsidRPr="003A4EEC">
        <w:rPr>
          <w:b/>
          <w:bCs/>
        </w:rPr>
        <w:t>satellite network filings</w:t>
      </w:r>
    </w:p>
    <w:p w14:paraId="4D235469" w14:textId="0B1089A8" w:rsidR="0050636F" w:rsidRDefault="00B574C6" w:rsidP="00291761">
      <w:pPr>
        <w:tabs>
          <w:tab w:val="clear" w:pos="567"/>
          <w:tab w:val="clear" w:pos="1134"/>
          <w:tab w:val="clear" w:pos="1701"/>
          <w:tab w:val="clear" w:pos="2268"/>
          <w:tab w:val="clear" w:pos="2835"/>
        </w:tabs>
        <w:spacing w:after="120"/>
        <w:jc w:val="both"/>
      </w:pPr>
      <w:r w:rsidRPr="00B574C6">
        <w:t xml:space="preserve">At </w:t>
      </w:r>
      <w:r w:rsidR="00D85242">
        <w:t xml:space="preserve">the </w:t>
      </w:r>
      <w:r w:rsidRPr="00B574C6">
        <w:t>2022 session</w:t>
      </w:r>
      <w:r w:rsidR="00D85242">
        <w:t xml:space="preserve"> of </w:t>
      </w:r>
      <w:r w:rsidR="00D10300">
        <w:t xml:space="preserve">the ITU </w:t>
      </w:r>
      <w:r w:rsidR="00D85242">
        <w:t>Council</w:t>
      </w:r>
      <w:r w:rsidRPr="00B574C6">
        <w:t xml:space="preserve">, </w:t>
      </w:r>
      <w:r w:rsidR="00D85242">
        <w:t xml:space="preserve">it was indicated that </w:t>
      </w:r>
      <w:r>
        <w:t>a study</w:t>
      </w:r>
      <w:r w:rsidRPr="00B574C6">
        <w:t xml:space="preserve"> </w:t>
      </w:r>
      <w:r w:rsidR="00D10300">
        <w:t xml:space="preserve">would </w:t>
      </w:r>
      <w:r w:rsidR="00D85242">
        <w:t xml:space="preserve">be undertaken to </w:t>
      </w:r>
      <w:r w:rsidRPr="00B574C6">
        <w:t xml:space="preserve">assess whether further revisions to Decision 482 should be considered </w:t>
      </w:r>
      <w:proofErr w:type="gramStart"/>
      <w:r w:rsidRPr="00B574C6">
        <w:t>in order to</w:t>
      </w:r>
      <w:proofErr w:type="gramEnd"/>
      <w:r w:rsidRPr="00B574C6">
        <w:t xml:space="preserve"> ensure that costs associated with the processing of satellite network filings </w:t>
      </w:r>
      <w:r w:rsidR="00D10300">
        <w:t>be</w:t>
      </w:r>
      <w:r w:rsidR="00D10300" w:rsidRPr="00B574C6">
        <w:t xml:space="preserve"> </w:t>
      </w:r>
      <w:r w:rsidRPr="00B574C6">
        <w:t>appropriately recovered.</w:t>
      </w:r>
      <w:r>
        <w:t xml:space="preserve"> In carrying out this study, the </w:t>
      </w:r>
      <w:r w:rsidR="00D85242">
        <w:t xml:space="preserve">Radiocommunication Bureau </w:t>
      </w:r>
      <w:r>
        <w:t xml:space="preserve">has identified activities it </w:t>
      </w:r>
      <w:r w:rsidR="00D10300">
        <w:t>conducts</w:t>
      </w:r>
      <w:r>
        <w:t xml:space="preserve"> </w:t>
      </w:r>
      <w:r w:rsidRPr="00B57D26">
        <w:rPr>
          <w:spacing w:val="-2"/>
        </w:rPr>
        <w:t xml:space="preserve">in the processing </w:t>
      </w:r>
      <w:r w:rsidR="00891E23" w:rsidRPr="00B57D26">
        <w:rPr>
          <w:spacing w:val="-2"/>
        </w:rPr>
        <w:t xml:space="preserve">of </w:t>
      </w:r>
      <w:r w:rsidRPr="00B57D26">
        <w:rPr>
          <w:spacing w:val="-2"/>
        </w:rPr>
        <w:t xml:space="preserve">each satellite network filing </w:t>
      </w:r>
      <w:r w:rsidR="00D10300">
        <w:rPr>
          <w:spacing w:val="-2"/>
        </w:rPr>
        <w:t>which</w:t>
      </w:r>
      <w:r w:rsidR="00D10300" w:rsidRPr="00B57D26">
        <w:rPr>
          <w:spacing w:val="-2"/>
        </w:rPr>
        <w:t xml:space="preserve"> </w:t>
      </w:r>
      <w:r w:rsidRPr="00B57D26">
        <w:rPr>
          <w:spacing w:val="-2"/>
        </w:rPr>
        <w:t xml:space="preserve">are not </w:t>
      </w:r>
      <w:proofErr w:type="gramStart"/>
      <w:r w:rsidRPr="00B57D26">
        <w:rPr>
          <w:spacing w:val="-2"/>
        </w:rPr>
        <w:t>taken into account</w:t>
      </w:r>
      <w:proofErr w:type="gramEnd"/>
      <w:r w:rsidRPr="00B57D26">
        <w:rPr>
          <w:spacing w:val="-2"/>
        </w:rPr>
        <w:t xml:space="preserve"> by </w:t>
      </w:r>
      <w:r w:rsidR="00D10300">
        <w:rPr>
          <w:spacing w:val="-2"/>
        </w:rPr>
        <w:t xml:space="preserve">Council </w:t>
      </w:r>
      <w:r w:rsidRPr="00B57D26">
        <w:rPr>
          <w:spacing w:val="-2"/>
        </w:rPr>
        <w:t>Dec</w:t>
      </w:r>
      <w:r w:rsidR="00D85242" w:rsidRPr="00B57D26">
        <w:rPr>
          <w:spacing w:val="-2"/>
        </w:rPr>
        <w:t>ision</w:t>
      </w:r>
      <w:r w:rsidR="009B51A4" w:rsidRPr="00B57D26">
        <w:rPr>
          <w:spacing w:val="-2"/>
        </w:rPr>
        <w:t> </w:t>
      </w:r>
      <w:r w:rsidRPr="00B57D26">
        <w:rPr>
          <w:spacing w:val="-2"/>
        </w:rPr>
        <w:t>482</w:t>
      </w:r>
      <w:r w:rsidR="00D10300">
        <w:rPr>
          <w:spacing w:val="-2"/>
        </w:rPr>
        <w:t xml:space="preserve"> </w:t>
      </w:r>
      <w:r w:rsidR="00D10300" w:rsidRPr="00D10300">
        <w:rPr>
          <w:spacing w:val="-2"/>
        </w:rPr>
        <w:t>(C01, last amended C20)</w:t>
      </w:r>
      <w:r w:rsidRPr="00B574C6">
        <w:t xml:space="preserve"> and for which cost recovery is </w:t>
      </w:r>
      <w:r w:rsidR="00D85242">
        <w:t xml:space="preserve">therefore </w:t>
      </w:r>
      <w:r w:rsidRPr="00B574C6">
        <w:t xml:space="preserve">not applied. </w:t>
      </w:r>
      <w:r>
        <w:t xml:space="preserve">These activities are presented in sections 2 to 3 </w:t>
      </w:r>
      <w:r w:rsidR="00DD5A26">
        <w:t>of this report.</w:t>
      </w:r>
    </w:p>
    <w:p w14:paraId="06289691" w14:textId="5F90268C" w:rsidR="0050636F" w:rsidRPr="0050636F" w:rsidRDefault="004F5A70" w:rsidP="00B57D26">
      <w:pPr>
        <w:tabs>
          <w:tab w:val="clear" w:pos="567"/>
          <w:tab w:val="clear" w:pos="1134"/>
          <w:tab w:val="clear" w:pos="1701"/>
          <w:tab w:val="clear" w:pos="2268"/>
          <w:tab w:val="clear" w:pos="2835"/>
        </w:tabs>
        <w:spacing w:before="360" w:after="120"/>
        <w:ind w:left="709" w:hanging="709"/>
        <w:jc w:val="both"/>
        <w:rPr>
          <w:b/>
          <w:bCs/>
        </w:rPr>
      </w:pPr>
      <w:r>
        <w:rPr>
          <w:b/>
          <w:bCs/>
        </w:rPr>
        <w:t>2</w:t>
      </w:r>
      <w:r w:rsidR="0050636F" w:rsidRPr="0050636F">
        <w:rPr>
          <w:b/>
          <w:bCs/>
        </w:rPr>
        <w:t>.</w:t>
      </w:r>
      <w:r w:rsidR="0050636F" w:rsidRPr="0050636F">
        <w:rPr>
          <w:b/>
          <w:bCs/>
        </w:rPr>
        <w:tab/>
        <w:t xml:space="preserve">Activities related to </w:t>
      </w:r>
      <w:r w:rsidR="00891E23">
        <w:rPr>
          <w:b/>
          <w:bCs/>
        </w:rPr>
        <w:t xml:space="preserve">the </w:t>
      </w:r>
      <w:r w:rsidR="0050636F" w:rsidRPr="0050636F">
        <w:rPr>
          <w:b/>
          <w:bCs/>
        </w:rPr>
        <w:t xml:space="preserve">processing of satellite network filings not </w:t>
      </w:r>
      <w:r w:rsidR="003F462A" w:rsidRPr="0050636F">
        <w:rPr>
          <w:b/>
          <w:bCs/>
        </w:rPr>
        <w:t xml:space="preserve">currently </w:t>
      </w:r>
      <w:r w:rsidR="0050636F" w:rsidRPr="0050636F">
        <w:rPr>
          <w:b/>
          <w:bCs/>
        </w:rPr>
        <w:t>covered by Decision 482</w:t>
      </w:r>
    </w:p>
    <w:p w14:paraId="333C24B7" w14:textId="37EC8526" w:rsidR="00291761" w:rsidRDefault="004F5A70" w:rsidP="00291761">
      <w:pPr>
        <w:jc w:val="both"/>
      </w:pPr>
      <w:r>
        <w:t>2</w:t>
      </w:r>
      <w:r w:rsidR="0050636F" w:rsidRPr="008D14AA">
        <w:t>.1</w:t>
      </w:r>
      <w:r w:rsidR="007D7463" w:rsidRPr="008D14AA">
        <w:tab/>
      </w:r>
      <w:r w:rsidR="008D14AA" w:rsidRPr="006C0C3B">
        <w:rPr>
          <w:u w:val="single"/>
        </w:rPr>
        <w:t xml:space="preserve">Submissions not </w:t>
      </w:r>
      <w:r w:rsidR="00EF19AF">
        <w:rPr>
          <w:u w:val="single"/>
        </w:rPr>
        <w:t>l</w:t>
      </w:r>
      <w:r w:rsidR="00891E23" w:rsidRPr="006C0C3B">
        <w:rPr>
          <w:u w:val="single"/>
        </w:rPr>
        <w:t xml:space="preserve">eading </w:t>
      </w:r>
      <w:r w:rsidR="008D14AA" w:rsidRPr="006C0C3B">
        <w:rPr>
          <w:u w:val="single"/>
        </w:rPr>
        <w:t xml:space="preserve">to </w:t>
      </w:r>
      <w:proofErr w:type="gramStart"/>
      <w:r w:rsidR="00EF19AF">
        <w:rPr>
          <w:u w:val="single"/>
        </w:rPr>
        <w:t>p</w:t>
      </w:r>
      <w:r w:rsidR="00891E23" w:rsidRPr="006C0C3B">
        <w:rPr>
          <w:u w:val="single"/>
        </w:rPr>
        <w:t>ublications</w:t>
      </w:r>
      <w:proofErr w:type="gramEnd"/>
    </w:p>
    <w:p w14:paraId="5587B8D8" w14:textId="04FA8B86" w:rsidR="003D69E4" w:rsidRDefault="00291761" w:rsidP="00291761">
      <w:pPr>
        <w:jc w:val="both"/>
      </w:pPr>
      <w:r>
        <w:t>I</w:t>
      </w:r>
      <w:r w:rsidR="008D14AA">
        <w:t xml:space="preserve">n </w:t>
      </w:r>
      <w:r w:rsidR="008D14AA" w:rsidRPr="008D14AA">
        <w:rPr>
          <w:i/>
          <w:iCs/>
        </w:rPr>
        <w:t>decides</w:t>
      </w:r>
      <w:r w:rsidR="008D14AA">
        <w:t xml:space="preserve"> 2f) to 2m)</w:t>
      </w:r>
      <w:r w:rsidR="005956EF">
        <w:t xml:space="preserve"> and 9</w:t>
      </w:r>
      <w:r w:rsidR="00D10300" w:rsidRPr="00D10300">
        <w:t xml:space="preserve"> </w:t>
      </w:r>
      <w:r w:rsidR="00D10300">
        <w:t xml:space="preserve">of Decision 482 </w:t>
      </w:r>
      <w:r w:rsidR="00D10300" w:rsidRPr="00D10300">
        <w:t>(C01, last amended C20)</w:t>
      </w:r>
      <w:r w:rsidR="008D14AA">
        <w:t>, it is indicated that the fee for pro</w:t>
      </w:r>
      <w:r w:rsidR="005956EF">
        <w:t>c</w:t>
      </w:r>
      <w:r w:rsidR="008D14AA">
        <w:t>essing the filing “</w:t>
      </w:r>
      <w:r w:rsidR="008D14AA" w:rsidRPr="007E04E8">
        <w:t>is payable after receipt of the notice</w:t>
      </w:r>
      <w:r w:rsidR="008D14AA">
        <w:t>”</w:t>
      </w:r>
      <w:r w:rsidR="00932E30">
        <w:t xml:space="preserve"> or that the invoice is issued “upon receipt of the filing”</w:t>
      </w:r>
      <w:r w:rsidR="008D14AA">
        <w:t xml:space="preserve">. Noting that, in </w:t>
      </w:r>
      <w:r w:rsidR="008D14AA" w:rsidRPr="008D14AA">
        <w:rPr>
          <w:i/>
          <w:iCs/>
        </w:rPr>
        <w:t>decides</w:t>
      </w:r>
      <w:r w:rsidR="008D14AA">
        <w:t xml:space="preserve"> 2a) to 2e), reference is made to “date of receipt” and “publication of the notice”, the implementation practice of </w:t>
      </w:r>
      <w:r w:rsidR="008D14AA" w:rsidRPr="008D14AA">
        <w:rPr>
          <w:i/>
          <w:iCs/>
        </w:rPr>
        <w:t>decides</w:t>
      </w:r>
      <w:r w:rsidR="008D14AA">
        <w:t xml:space="preserve"> 2f) to 2m) has been </w:t>
      </w:r>
      <w:r w:rsidR="00D85242">
        <w:t xml:space="preserve">not </w:t>
      </w:r>
      <w:r w:rsidR="00D10300">
        <w:t xml:space="preserve">to </w:t>
      </w:r>
      <w:r w:rsidR="00D85242">
        <w:t xml:space="preserve">charge any fee </w:t>
      </w:r>
      <w:r w:rsidR="008D14AA">
        <w:t xml:space="preserve">for </w:t>
      </w:r>
      <w:r w:rsidR="006C0C3B">
        <w:t xml:space="preserve">satellite network filings that are not receivable by the </w:t>
      </w:r>
      <w:r w:rsidR="003F462A">
        <w:t xml:space="preserve">Radiocommunication </w:t>
      </w:r>
      <w:r w:rsidR="006C0C3B">
        <w:t>Bureau, thus identifying the actual receipt of the notice with its regulatory receivability. In accordance</w:t>
      </w:r>
      <w:r w:rsidR="003720C0">
        <w:t xml:space="preserve"> with the Rule of Procedure on </w:t>
      </w:r>
      <w:r w:rsidR="003C092D">
        <w:t xml:space="preserve">the </w:t>
      </w:r>
      <w:r w:rsidR="00D10300">
        <w:t>r</w:t>
      </w:r>
      <w:r w:rsidR="003C092D">
        <w:t>eceivability of forms of notice</w:t>
      </w:r>
      <w:r w:rsidR="003720C0">
        <w:t xml:space="preserve">, there are </w:t>
      </w:r>
      <w:r w:rsidR="003C092D">
        <w:t xml:space="preserve">five </w:t>
      </w:r>
      <w:r w:rsidR="003720C0">
        <w:t xml:space="preserve">cases </w:t>
      </w:r>
      <w:r w:rsidR="003D69E4">
        <w:t>when a notice should be considered “not receivable”:</w:t>
      </w:r>
    </w:p>
    <w:p w14:paraId="52CB297C" w14:textId="04A7BEA4" w:rsidR="003D69E4" w:rsidRDefault="003D69E4" w:rsidP="00291761">
      <w:pPr>
        <w:pStyle w:val="ListParagraph"/>
        <w:numPr>
          <w:ilvl w:val="0"/>
          <w:numId w:val="6"/>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
        <w:t xml:space="preserve">Under </w:t>
      </w:r>
      <w:r>
        <w:rPr>
          <w:rFonts w:cstheme="minorHAnsi"/>
        </w:rPr>
        <w:t>§</w:t>
      </w:r>
      <w:r w:rsidR="00D10300">
        <w:rPr>
          <w:rFonts w:cstheme="minorHAnsi"/>
        </w:rPr>
        <w:t> </w:t>
      </w:r>
      <w:r>
        <w:t>3.2 of the Rule, if the notifying administration submits incorrect information.</w:t>
      </w:r>
    </w:p>
    <w:p w14:paraId="57034CEB" w14:textId="0EE3ECC3" w:rsidR="003D69E4" w:rsidRDefault="003D69E4" w:rsidP="00291761">
      <w:pPr>
        <w:pStyle w:val="ListParagraph"/>
        <w:numPr>
          <w:ilvl w:val="0"/>
          <w:numId w:val="6"/>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
        <w:t xml:space="preserve">Under </w:t>
      </w:r>
      <w:r>
        <w:rPr>
          <w:rFonts w:cstheme="minorHAnsi"/>
        </w:rPr>
        <w:t>§</w:t>
      </w:r>
      <w:r w:rsidR="00D10300">
        <w:rPr>
          <w:rFonts w:cstheme="minorHAnsi"/>
        </w:rPr>
        <w:t> </w:t>
      </w:r>
      <w:r>
        <w:t xml:space="preserve">3.3 of the Rule, if mandatory information required by Appendix </w:t>
      </w:r>
      <w:r>
        <w:rPr>
          <w:b/>
          <w:bCs/>
        </w:rPr>
        <w:t xml:space="preserve">4 </w:t>
      </w:r>
      <w:r>
        <w:t>of the Radio Regulations is missing in the submission.</w:t>
      </w:r>
    </w:p>
    <w:p w14:paraId="34AAA92A" w14:textId="29EACFD3" w:rsidR="003D69E4" w:rsidRDefault="003D69E4" w:rsidP="00291761">
      <w:pPr>
        <w:pStyle w:val="ListParagraph"/>
        <w:numPr>
          <w:ilvl w:val="0"/>
          <w:numId w:val="6"/>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
        <w:t xml:space="preserve">Under </w:t>
      </w:r>
      <w:r>
        <w:rPr>
          <w:rFonts w:cstheme="minorHAnsi"/>
        </w:rPr>
        <w:t>§</w:t>
      </w:r>
      <w:r w:rsidR="00D10300">
        <w:rPr>
          <w:rFonts w:cstheme="minorHAnsi"/>
        </w:rPr>
        <w:t> </w:t>
      </w:r>
      <w:r>
        <w:t>3.8 of the Rule, if no reply is received within 30 days from the date of the Bureau’s request for clarification.</w:t>
      </w:r>
    </w:p>
    <w:p w14:paraId="3F714C56" w14:textId="74CDF7F3" w:rsidR="00911412" w:rsidRDefault="003C092D" w:rsidP="00911412">
      <w:pPr>
        <w:pStyle w:val="ListParagraph"/>
        <w:numPr>
          <w:ilvl w:val="0"/>
          <w:numId w:val="6"/>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
        <w:t>Under footnote (*) to the title of the Rule, if conditions for the set of orbital characteristics in the request for coordination related to a non-geostationary satellite</w:t>
      </w:r>
      <w:r w:rsidR="005046D3">
        <w:t xml:space="preserve"> (</w:t>
      </w:r>
      <w:r w:rsidR="003F462A">
        <w:t>non-GSO</w:t>
      </w:r>
      <w:r w:rsidR="005046D3">
        <w:t>)</w:t>
      </w:r>
      <w:r>
        <w:t xml:space="preserve"> network or system are not met.</w:t>
      </w:r>
    </w:p>
    <w:p w14:paraId="671FA573" w14:textId="33E5B7DC" w:rsidR="00911412" w:rsidRDefault="003C092D" w:rsidP="00EF19AF">
      <w:pPr>
        <w:pStyle w:val="ListParagraph"/>
        <w:numPr>
          <w:ilvl w:val="0"/>
          <w:numId w:val="6"/>
        </w:num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
        <w:t>Under §</w:t>
      </w:r>
      <w:r w:rsidR="00D10300">
        <w:t> </w:t>
      </w:r>
      <w:r>
        <w:t xml:space="preserve">4 of the </w:t>
      </w:r>
      <w:r w:rsidR="00911412">
        <w:t>Rule</w:t>
      </w:r>
      <w:r>
        <w:t>, if various other conditions are not met.</w:t>
      </w:r>
    </w:p>
    <w:p w14:paraId="03466A03" w14:textId="1CD2FCC6" w:rsidR="003577C3" w:rsidRDefault="00291761" w:rsidP="00911412">
      <w:pPr>
        <w:jc w:val="both"/>
      </w:pPr>
      <w:r>
        <w:t xml:space="preserve">In the </w:t>
      </w:r>
      <w:r w:rsidR="00911412">
        <w:t xml:space="preserve">second </w:t>
      </w:r>
      <w:r>
        <w:t xml:space="preserve">case, the Bureau’s </w:t>
      </w:r>
      <w:r w:rsidR="00005F37">
        <w:t xml:space="preserve">review </w:t>
      </w:r>
      <w:r w:rsidR="00C13D2F">
        <w:t xml:space="preserve">could be </w:t>
      </w:r>
      <w:r>
        <w:t>limited to an initial validation, but</w:t>
      </w:r>
      <w:r w:rsidR="00C13D2F">
        <w:t xml:space="preserve"> all other </w:t>
      </w:r>
      <w:r>
        <w:t>case</w:t>
      </w:r>
      <w:r w:rsidR="00C13D2F">
        <w:t>s</w:t>
      </w:r>
      <w:r>
        <w:t xml:space="preserve"> require </w:t>
      </w:r>
      <w:r w:rsidR="00005F37">
        <w:t>the B</w:t>
      </w:r>
      <w:r w:rsidR="00D85242">
        <w:t>ureau</w:t>
      </w:r>
      <w:r w:rsidR="00005F37">
        <w:t xml:space="preserve"> </w:t>
      </w:r>
      <w:r>
        <w:t xml:space="preserve">to conduct </w:t>
      </w:r>
      <w:r w:rsidR="00891E23">
        <w:t xml:space="preserve">a </w:t>
      </w:r>
      <w:r>
        <w:t xml:space="preserve">completeness </w:t>
      </w:r>
      <w:r w:rsidR="00005F37">
        <w:t xml:space="preserve">review </w:t>
      </w:r>
      <w:r w:rsidR="00C13D2F">
        <w:t xml:space="preserve">of the whole satellite network, sometimes including the previously received and published notice(s), </w:t>
      </w:r>
      <w:r>
        <w:t xml:space="preserve">in full. Moreover, </w:t>
      </w:r>
      <w:r w:rsidR="00C13D2F">
        <w:t xml:space="preserve">these cases </w:t>
      </w:r>
      <w:r>
        <w:t xml:space="preserve">could potentially be used by administrations </w:t>
      </w:r>
      <w:proofErr w:type="gramStart"/>
      <w:r>
        <w:t>in order to</w:t>
      </w:r>
      <w:proofErr w:type="gramEnd"/>
      <w:r>
        <w:t xml:space="preserve"> “withdraw” their submission after the period of 15 days allowed by </w:t>
      </w:r>
      <w:r w:rsidRPr="00911412">
        <w:rPr>
          <w:i/>
          <w:iCs/>
        </w:rPr>
        <w:t>decides</w:t>
      </w:r>
      <w:r>
        <w:t xml:space="preserve"> 10 of Decision 482. In order to recover </w:t>
      </w:r>
      <w:r w:rsidRPr="007E04E8">
        <w:t xml:space="preserve">the costs of </w:t>
      </w:r>
      <w:r w:rsidR="00005F37">
        <w:t xml:space="preserve">determining </w:t>
      </w:r>
      <w:r w:rsidR="00891E23">
        <w:t xml:space="preserve">the </w:t>
      </w:r>
      <w:r>
        <w:t xml:space="preserve">completeness </w:t>
      </w:r>
      <w:r w:rsidR="00C13D2F">
        <w:t xml:space="preserve">and correctness </w:t>
      </w:r>
      <w:r>
        <w:t>of</w:t>
      </w:r>
      <w:r w:rsidRPr="007E04E8">
        <w:t xml:space="preserve"> filings</w:t>
      </w:r>
      <w:r w:rsidR="00C13D2F">
        <w:t>,</w:t>
      </w:r>
      <w:r w:rsidRPr="007E04E8">
        <w:t xml:space="preserve"> requesting </w:t>
      </w:r>
      <w:r>
        <w:t>complete</w:t>
      </w:r>
      <w:r w:rsidRPr="007E04E8">
        <w:t xml:space="preserve"> </w:t>
      </w:r>
      <w:r>
        <w:t xml:space="preserve">information and </w:t>
      </w:r>
      <w:r w:rsidR="00891E23">
        <w:t>ensuring</w:t>
      </w:r>
      <w:r w:rsidR="00C13D2F">
        <w:t xml:space="preserve"> fair </w:t>
      </w:r>
      <w:r>
        <w:t xml:space="preserve">treatment of </w:t>
      </w:r>
      <w:r w:rsidR="00C13D2F">
        <w:t xml:space="preserve">all </w:t>
      </w:r>
      <w:r>
        <w:t xml:space="preserve">filings after </w:t>
      </w:r>
      <w:r w:rsidR="00C13D2F">
        <w:t xml:space="preserve">this </w:t>
      </w:r>
      <w:r>
        <w:t>initial period of 15 days,</w:t>
      </w:r>
      <w:r w:rsidRPr="007E04E8">
        <w:t xml:space="preserve"> </w:t>
      </w:r>
      <w:r>
        <w:t xml:space="preserve">studies should be undertaken with </w:t>
      </w:r>
      <w:r w:rsidR="003F462A">
        <w:t xml:space="preserve">the </w:t>
      </w:r>
      <w:r>
        <w:t xml:space="preserve">view that satellite network filings </w:t>
      </w:r>
      <w:r w:rsidR="00C13D2F">
        <w:t xml:space="preserve">deemed </w:t>
      </w:r>
      <w:r>
        <w:t xml:space="preserve">“not receivable” </w:t>
      </w:r>
      <w:r w:rsidR="00D10300">
        <w:t xml:space="preserve">owing </w:t>
      </w:r>
      <w:r w:rsidR="00C13D2F">
        <w:t xml:space="preserve">to </w:t>
      </w:r>
      <w:r>
        <w:t xml:space="preserve">a </w:t>
      </w:r>
      <w:r>
        <w:lastRenderedPageBreak/>
        <w:t xml:space="preserve">lack of </w:t>
      </w:r>
      <w:r w:rsidR="00C13D2F">
        <w:t xml:space="preserve">response </w:t>
      </w:r>
      <w:r>
        <w:t xml:space="preserve">to the </w:t>
      </w:r>
      <w:r w:rsidR="00005F37">
        <w:t xml:space="preserve">Bureau’s </w:t>
      </w:r>
      <w:r>
        <w:t>request for clarification should also be subject to cost</w:t>
      </w:r>
      <w:r w:rsidR="005046D3">
        <w:t>-</w:t>
      </w:r>
      <w:r>
        <w:t xml:space="preserve">recovery charges </w:t>
      </w:r>
      <w:r w:rsidRPr="007E04E8">
        <w:t>calculated in accordance with the fee schedule</w:t>
      </w:r>
      <w:r>
        <w:t xml:space="preserve"> based on units and category of the submitted</w:t>
      </w:r>
      <w:r w:rsidRPr="00C3309B">
        <w:t xml:space="preserve"> </w:t>
      </w:r>
      <w:r>
        <w:t>filing.</w:t>
      </w:r>
    </w:p>
    <w:p w14:paraId="1B861AB0" w14:textId="27E85D8D" w:rsidR="0062437C" w:rsidRPr="0062437C" w:rsidRDefault="004F5A70" w:rsidP="00B57D26">
      <w:pPr>
        <w:tabs>
          <w:tab w:val="clear" w:pos="567"/>
          <w:tab w:val="clear" w:pos="1134"/>
          <w:tab w:val="clear" w:pos="1701"/>
          <w:tab w:val="clear" w:pos="2268"/>
          <w:tab w:val="clear" w:pos="2835"/>
        </w:tabs>
        <w:spacing w:before="360" w:after="120"/>
        <w:ind w:left="709" w:hanging="709"/>
        <w:jc w:val="both"/>
        <w:rPr>
          <w:b/>
          <w:bCs/>
        </w:rPr>
      </w:pPr>
      <w:r>
        <w:rPr>
          <w:b/>
          <w:bCs/>
        </w:rPr>
        <w:t>3</w:t>
      </w:r>
      <w:r w:rsidR="0062437C" w:rsidRPr="0062437C">
        <w:rPr>
          <w:b/>
          <w:bCs/>
        </w:rPr>
        <w:t>.</w:t>
      </w:r>
      <w:r w:rsidR="0062437C" w:rsidRPr="0062437C">
        <w:rPr>
          <w:b/>
          <w:bCs/>
        </w:rPr>
        <w:tab/>
        <w:t xml:space="preserve">Activities related to </w:t>
      </w:r>
      <w:r w:rsidR="00891E23">
        <w:rPr>
          <w:b/>
          <w:bCs/>
        </w:rPr>
        <w:t xml:space="preserve">the </w:t>
      </w:r>
      <w:r w:rsidR="0062437C" w:rsidRPr="0062437C">
        <w:rPr>
          <w:b/>
          <w:bCs/>
        </w:rPr>
        <w:t xml:space="preserve">processing of satellite filings </w:t>
      </w:r>
      <w:r w:rsidR="00891E23">
        <w:rPr>
          <w:b/>
          <w:bCs/>
        </w:rPr>
        <w:t xml:space="preserve">that are </w:t>
      </w:r>
      <w:r w:rsidR="0062437C" w:rsidRPr="0062437C">
        <w:rPr>
          <w:b/>
          <w:bCs/>
        </w:rPr>
        <w:t>currently free of charge under Decision 482</w:t>
      </w:r>
    </w:p>
    <w:p w14:paraId="0B71C96F" w14:textId="4CEBD1C6" w:rsidR="005956EF" w:rsidRDefault="004F5A70" w:rsidP="00291761">
      <w:pPr>
        <w:tabs>
          <w:tab w:val="clear" w:pos="567"/>
          <w:tab w:val="clear" w:pos="1134"/>
          <w:tab w:val="clear" w:pos="1701"/>
          <w:tab w:val="clear" w:pos="2268"/>
          <w:tab w:val="clear" w:pos="2835"/>
        </w:tabs>
        <w:spacing w:after="120"/>
        <w:jc w:val="both"/>
      </w:pPr>
      <w:r>
        <w:t>3</w:t>
      </w:r>
      <w:r w:rsidR="0062437C">
        <w:t>.1</w:t>
      </w:r>
      <w:r w:rsidR="0062437C">
        <w:tab/>
      </w:r>
      <w:r w:rsidR="004463CF" w:rsidRPr="005956EF">
        <w:rPr>
          <w:u w:val="single"/>
        </w:rPr>
        <w:t xml:space="preserve">Modifications which do not result in </w:t>
      </w:r>
      <w:r w:rsidR="00891E23">
        <w:rPr>
          <w:u w:val="single"/>
        </w:rPr>
        <w:t xml:space="preserve">a </w:t>
      </w:r>
      <w:r w:rsidR="004463CF" w:rsidRPr="005956EF">
        <w:rPr>
          <w:u w:val="single"/>
        </w:rPr>
        <w:t>further technical or regulatory examination</w:t>
      </w:r>
      <w:r w:rsidR="004463CF">
        <w:t xml:space="preserve">: as indicated in </w:t>
      </w:r>
      <w:r w:rsidR="004463CF">
        <w:rPr>
          <w:i/>
          <w:iCs/>
        </w:rPr>
        <w:t xml:space="preserve">decides </w:t>
      </w:r>
      <w:r w:rsidR="004463CF">
        <w:t>3 of Decision 482</w:t>
      </w:r>
      <w:r w:rsidR="00D10300">
        <w:t xml:space="preserve"> </w:t>
      </w:r>
      <w:r w:rsidR="00D10300" w:rsidRPr="00D10300">
        <w:t>(C01, last amended C20)</w:t>
      </w:r>
      <w:r w:rsidR="004463CF">
        <w:t>, there is “</w:t>
      </w:r>
      <w:r w:rsidR="004463CF" w:rsidRPr="007E04E8">
        <w:t>no charge for modifications which do not result in further technical or regulatory examination by the Radiocommunication Bureau</w:t>
      </w:r>
      <w:r w:rsidR="004463CF">
        <w:t>”</w:t>
      </w:r>
      <w:r w:rsidR="005956EF">
        <w:t>. The nature and extent of work required by the Bureau have not substantially changed since 2005</w:t>
      </w:r>
      <w:r w:rsidR="003F462A">
        <w:t>; thus,</w:t>
      </w:r>
      <w:r w:rsidR="005956EF">
        <w:t xml:space="preserve"> the fee exemption should continue to apply. However</w:t>
      </w:r>
      <w:r w:rsidR="00891E23">
        <w:t>,</w:t>
      </w:r>
      <w:r w:rsidR="005956EF">
        <w:t xml:space="preserve"> </w:t>
      </w:r>
      <w:r w:rsidR="00D10300">
        <w:t xml:space="preserve">the </w:t>
      </w:r>
      <w:r w:rsidR="005956EF">
        <w:t xml:space="preserve">Council needs to be aware that these activities </w:t>
      </w:r>
      <w:r w:rsidR="000C4229">
        <w:t>are</w:t>
      </w:r>
      <w:r w:rsidR="005956EF">
        <w:t xml:space="preserve"> funded in the regular budget </w:t>
      </w:r>
      <w:r w:rsidR="000C4229">
        <w:t xml:space="preserve">of the </w:t>
      </w:r>
      <w:r w:rsidR="00D85242">
        <w:t>Bureau</w:t>
      </w:r>
      <w:r w:rsidR="000C4229">
        <w:t xml:space="preserve"> and are not subject to </w:t>
      </w:r>
      <w:r w:rsidR="005956EF">
        <w:t>cost</w:t>
      </w:r>
      <w:r w:rsidR="00D10300">
        <w:t xml:space="preserve"> </w:t>
      </w:r>
      <w:r w:rsidR="005956EF">
        <w:t>recovery.</w:t>
      </w:r>
    </w:p>
    <w:p w14:paraId="6AFEF325" w14:textId="6B8ACA13" w:rsidR="0062437C" w:rsidRDefault="004F5A70" w:rsidP="00291761">
      <w:pPr>
        <w:tabs>
          <w:tab w:val="clear" w:pos="567"/>
          <w:tab w:val="clear" w:pos="1134"/>
          <w:tab w:val="clear" w:pos="1701"/>
          <w:tab w:val="clear" w:pos="2268"/>
          <w:tab w:val="clear" w:pos="2835"/>
        </w:tabs>
        <w:spacing w:after="120"/>
        <w:jc w:val="both"/>
      </w:pPr>
      <w:r>
        <w:t>3</w:t>
      </w:r>
      <w:r w:rsidR="005956EF">
        <w:t>.2</w:t>
      </w:r>
      <w:r w:rsidR="005956EF">
        <w:tab/>
      </w:r>
      <w:r w:rsidR="004463CF" w:rsidRPr="005956EF">
        <w:rPr>
          <w:u w:val="single"/>
        </w:rPr>
        <w:t>Free filing</w:t>
      </w:r>
      <w:r w:rsidR="004463CF">
        <w:t>:</w:t>
      </w:r>
      <w:r w:rsidR="005956EF">
        <w:t xml:space="preserve"> as provided </w:t>
      </w:r>
      <w:r w:rsidR="00D10300">
        <w:t xml:space="preserve">for </w:t>
      </w:r>
      <w:r w:rsidR="005956EF">
        <w:t xml:space="preserve">by </w:t>
      </w:r>
      <w:r w:rsidR="005956EF">
        <w:rPr>
          <w:i/>
          <w:iCs/>
        </w:rPr>
        <w:t xml:space="preserve">decides </w:t>
      </w:r>
      <w:r w:rsidR="005956EF">
        <w:t>4 of Decision 482, “</w:t>
      </w:r>
      <w:r w:rsidR="005956EF" w:rsidRPr="007E04E8">
        <w:t>each Member State shall be entitled to the publication of special sections or parts of the BR IFIC (space services) for one satellite network filing each year without the charges</w:t>
      </w:r>
      <w:r w:rsidR="005956EF">
        <w:t xml:space="preserve">”. Document C23/16 provides the financial value of the free filings for the years 2021 and 2022. A </w:t>
      </w:r>
      <w:r w:rsidR="00D10300">
        <w:t xml:space="preserve">review </w:t>
      </w:r>
      <w:r w:rsidR="005956EF">
        <w:t xml:space="preserve">should be conducted to assess whether certain limitations should not be put </w:t>
      </w:r>
      <w:r w:rsidR="00891E23">
        <w:t xml:space="preserve">on </w:t>
      </w:r>
      <w:r w:rsidR="005956EF">
        <w:t>filings eligible to benefit from the ex</w:t>
      </w:r>
      <w:r w:rsidR="00DD5A26">
        <w:t>e</w:t>
      </w:r>
      <w:r w:rsidR="005956EF">
        <w:t>mption of charges</w:t>
      </w:r>
      <w:r w:rsidR="003F462A">
        <w:t>, such as</w:t>
      </w:r>
      <w:r w:rsidR="005956EF">
        <w:t xml:space="preserve"> limiting </w:t>
      </w:r>
      <w:r w:rsidR="00891E23">
        <w:t xml:space="preserve">eligibility </w:t>
      </w:r>
      <w:r w:rsidR="005956EF">
        <w:t>in the planned services to filings having a national service area</w:t>
      </w:r>
      <w:r w:rsidR="00F9516F">
        <w:t xml:space="preserve"> or </w:t>
      </w:r>
      <w:r w:rsidR="00F9516F" w:rsidRPr="00E84A56">
        <w:t xml:space="preserve">excluding </w:t>
      </w:r>
      <w:r w:rsidR="003F462A">
        <w:t>non-GSO</w:t>
      </w:r>
      <w:r w:rsidR="00EF19AF">
        <w:t xml:space="preserve"> </w:t>
      </w:r>
      <w:r w:rsidR="00F9516F" w:rsidRPr="00E84A56">
        <w:t xml:space="preserve">filings with multiple configurations and/or those </w:t>
      </w:r>
      <w:r w:rsidR="00EF19AF">
        <w:t xml:space="preserve">subject to </w:t>
      </w:r>
      <w:proofErr w:type="spellStart"/>
      <w:r w:rsidR="00F9516F">
        <w:t>epfd</w:t>
      </w:r>
      <w:proofErr w:type="spellEnd"/>
      <w:r w:rsidR="00F9516F">
        <w:t xml:space="preserve"> </w:t>
      </w:r>
      <w:r w:rsidR="00EF19AF">
        <w:t>limits</w:t>
      </w:r>
      <w:r w:rsidR="00F9516F">
        <w:t xml:space="preserve">, </w:t>
      </w:r>
      <w:r w:rsidR="00F9516F" w:rsidRPr="00E84A56">
        <w:t xml:space="preserve">which </w:t>
      </w:r>
      <w:r w:rsidR="00F9516F">
        <w:t xml:space="preserve">require a substantial </w:t>
      </w:r>
      <w:r w:rsidR="00F9516F" w:rsidRPr="00E84A56">
        <w:t>amo</w:t>
      </w:r>
      <w:r w:rsidR="00F9516F">
        <w:t>u</w:t>
      </w:r>
      <w:r w:rsidR="00F9516F" w:rsidRPr="00E84A56">
        <w:t xml:space="preserve">nt of </w:t>
      </w:r>
      <w:r w:rsidR="00D10300">
        <w:t xml:space="preserve">Radiocommunication </w:t>
      </w:r>
      <w:r w:rsidR="00F9516F" w:rsidRPr="00E84A56">
        <w:t>Bureau resources</w:t>
      </w:r>
      <w:r w:rsidR="005956EF">
        <w:t xml:space="preserve">. </w:t>
      </w:r>
    </w:p>
    <w:p w14:paraId="445170C6" w14:textId="7EB78FDC" w:rsidR="00D82650" w:rsidRDefault="004F5A70" w:rsidP="00291761">
      <w:pPr>
        <w:tabs>
          <w:tab w:val="clear" w:pos="567"/>
          <w:tab w:val="clear" w:pos="1134"/>
          <w:tab w:val="clear" w:pos="1701"/>
          <w:tab w:val="clear" w:pos="2268"/>
          <w:tab w:val="clear" w:pos="2835"/>
        </w:tabs>
        <w:spacing w:after="120"/>
        <w:jc w:val="both"/>
      </w:pPr>
      <w:r>
        <w:t>3</w:t>
      </w:r>
      <w:r w:rsidR="00D82650">
        <w:t>.3</w:t>
      </w:r>
      <w:r w:rsidR="00D82650">
        <w:tab/>
      </w:r>
      <w:r w:rsidR="00D82650" w:rsidRPr="00D82650">
        <w:rPr>
          <w:u w:val="single"/>
        </w:rPr>
        <w:t>Submissions exempt from any charges</w:t>
      </w:r>
      <w:r w:rsidR="00D82650">
        <w:t xml:space="preserve">: pursuant to </w:t>
      </w:r>
      <w:r w:rsidR="00D82650">
        <w:rPr>
          <w:i/>
          <w:iCs/>
        </w:rPr>
        <w:t xml:space="preserve">decides </w:t>
      </w:r>
      <w:r w:rsidR="00D82650">
        <w:t xml:space="preserve">11 of Decision 482, the following submissions are </w:t>
      </w:r>
      <w:r w:rsidR="00D82650" w:rsidRPr="007E04E8">
        <w:t>exempt from any charges</w:t>
      </w:r>
      <w:r w:rsidR="003D69E4">
        <w:t>.</w:t>
      </w:r>
      <w:r w:rsidR="00D82650">
        <w:t xml:space="preserve"> </w:t>
      </w:r>
    </w:p>
    <w:p w14:paraId="44A9695D" w14:textId="702196FA" w:rsidR="003D69E4" w:rsidRDefault="004F5A70" w:rsidP="00B57D26">
      <w:pPr>
        <w:tabs>
          <w:tab w:val="clear" w:pos="567"/>
          <w:tab w:val="clear" w:pos="1134"/>
          <w:tab w:val="clear" w:pos="1701"/>
          <w:tab w:val="clear" w:pos="2268"/>
          <w:tab w:val="clear" w:pos="2835"/>
        </w:tabs>
        <w:spacing w:after="120"/>
        <w:jc w:val="both"/>
      </w:pPr>
      <w:r>
        <w:t>3</w:t>
      </w:r>
      <w:r w:rsidR="003D69E4">
        <w:t xml:space="preserve">.3.1 </w:t>
      </w:r>
      <w:r w:rsidR="003D69E4">
        <w:tab/>
      </w:r>
      <w:r w:rsidR="00D82650">
        <w:t>P</w:t>
      </w:r>
      <w:r w:rsidR="00D82650" w:rsidRPr="007E04E8">
        <w:t>ublication of special sections or parts of the BR IFIC (space services) for the amateur-satellite service</w:t>
      </w:r>
    </w:p>
    <w:p w14:paraId="350408D5" w14:textId="1B997E39" w:rsidR="003D69E4" w:rsidRDefault="003D69E4" w:rsidP="00E84A56">
      <w:pPr>
        <w:spacing w:after="120"/>
        <w:jc w:val="both"/>
        <w:rPr>
          <w:lang w:val="en-US"/>
        </w:rPr>
      </w:pPr>
      <w:r>
        <w:t>T</w:t>
      </w:r>
      <w:r w:rsidR="00D82650">
        <w:t xml:space="preserve">his is linked </w:t>
      </w:r>
      <w:r w:rsidR="006A14CB">
        <w:t xml:space="preserve">to </w:t>
      </w:r>
      <w:r w:rsidR="00D82650">
        <w:t>the nature of the amateur-satellite service</w:t>
      </w:r>
      <w:r>
        <w:t xml:space="preserve"> being “</w:t>
      </w:r>
      <w:r>
        <w:rPr>
          <w:lang w:val="en-US"/>
        </w:rPr>
        <w:t xml:space="preserve">carried out by amateurs, that is, by duly authorized persons interested in radio technique solely with a personal aim and without pecuniary interest” (see Nos. </w:t>
      </w:r>
      <w:r w:rsidRPr="00E84A56">
        <w:rPr>
          <w:b/>
          <w:bCs/>
          <w:lang w:val="en-US"/>
        </w:rPr>
        <w:t>1.56</w:t>
      </w:r>
      <w:r>
        <w:rPr>
          <w:lang w:val="en-US"/>
        </w:rPr>
        <w:t xml:space="preserve"> and </w:t>
      </w:r>
      <w:r w:rsidRPr="00E84A56">
        <w:rPr>
          <w:b/>
          <w:bCs/>
          <w:lang w:val="en-US"/>
        </w:rPr>
        <w:t>1.57</w:t>
      </w:r>
      <w:r>
        <w:rPr>
          <w:lang w:val="en-US"/>
        </w:rPr>
        <w:t xml:space="preserve"> of the Radio Regulations). The Radiocommunication Bureau has</w:t>
      </w:r>
      <w:r w:rsidR="00D10300">
        <w:rPr>
          <w:lang w:val="en-US"/>
        </w:rPr>
        <w:t>,</w:t>
      </w:r>
      <w:r>
        <w:rPr>
          <w:lang w:val="en-US"/>
        </w:rPr>
        <w:t xml:space="preserve"> however</w:t>
      </w:r>
      <w:r w:rsidR="00D10300">
        <w:rPr>
          <w:lang w:val="en-US"/>
        </w:rPr>
        <w:t>,</w:t>
      </w:r>
      <w:r>
        <w:rPr>
          <w:lang w:val="en-US"/>
        </w:rPr>
        <w:t xml:space="preserve"> received some satellite networks operating in this service where the operating agency could be </w:t>
      </w:r>
      <w:r w:rsidR="00D10300">
        <w:rPr>
          <w:lang w:val="en-US"/>
        </w:rPr>
        <w:t>considered</w:t>
      </w:r>
      <w:r>
        <w:rPr>
          <w:lang w:val="en-US"/>
        </w:rPr>
        <w:t xml:space="preserve"> a commercial operator. This practice could lead to unfair regulatory advantages</w:t>
      </w:r>
      <w:r w:rsidR="006A14CB">
        <w:rPr>
          <w:lang w:val="en-US"/>
        </w:rPr>
        <w:t>,</w:t>
      </w:r>
      <w:r>
        <w:rPr>
          <w:lang w:val="en-US"/>
        </w:rPr>
        <w:t xml:space="preserve"> but </w:t>
      </w:r>
      <w:r w:rsidR="006A14CB">
        <w:rPr>
          <w:lang w:val="en-US"/>
        </w:rPr>
        <w:t xml:space="preserve">it </w:t>
      </w:r>
      <w:r>
        <w:rPr>
          <w:lang w:val="en-US"/>
        </w:rPr>
        <w:t xml:space="preserve">also deprives the Union </w:t>
      </w:r>
      <w:r w:rsidR="00891E23">
        <w:rPr>
          <w:lang w:val="en-US"/>
        </w:rPr>
        <w:t xml:space="preserve">of </w:t>
      </w:r>
      <w:r>
        <w:rPr>
          <w:lang w:val="en-US"/>
        </w:rPr>
        <w:t>cost</w:t>
      </w:r>
      <w:r w:rsidR="00D10300">
        <w:rPr>
          <w:lang w:val="en-US"/>
        </w:rPr>
        <w:t>-</w:t>
      </w:r>
      <w:r>
        <w:rPr>
          <w:lang w:val="en-US"/>
        </w:rPr>
        <w:t>recovery fees</w:t>
      </w:r>
      <w:r w:rsidR="00D10300">
        <w:rPr>
          <w:lang w:val="en-US"/>
        </w:rPr>
        <w:t>. Consequently,</w:t>
      </w:r>
      <w:r>
        <w:rPr>
          <w:lang w:val="en-US"/>
        </w:rPr>
        <w:t xml:space="preserve"> while the principle of exemption should continue to apply to filings in the amateur-satellite</w:t>
      </w:r>
      <w:r w:rsidR="00D10300">
        <w:rPr>
          <w:lang w:val="en-US"/>
        </w:rPr>
        <w:t xml:space="preserve"> service</w:t>
      </w:r>
      <w:r>
        <w:rPr>
          <w:lang w:val="en-US"/>
        </w:rPr>
        <w:t xml:space="preserve">, </w:t>
      </w:r>
      <w:r w:rsidRPr="00E84A56">
        <w:rPr>
          <w:lang w:val="en-US"/>
        </w:rPr>
        <w:t xml:space="preserve">Member States </w:t>
      </w:r>
      <w:r w:rsidR="00E84A56" w:rsidRPr="00E84A56">
        <w:rPr>
          <w:lang w:val="en-US"/>
        </w:rPr>
        <w:t>should</w:t>
      </w:r>
      <w:r w:rsidR="00E84A56">
        <w:rPr>
          <w:lang w:val="en-US"/>
        </w:rPr>
        <w:t xml:space="preserve"> be reminded </w:t>
      </w:r>
      <w:r>
        <w:rPr>
          <w:lang w:val="en-US"/>
        </w:rPr>
        <w:t xml:space="preserve">of the conditions of eligibility stated in Nos. </w:t>
      </w:r>
      <w:r w:rsidRPr="00E84A56">
        <w:rPr>
          <w:b/>
          <w:bCs/>
          <w:lang w:val="en-US"/>
        </w:rPr>
        <w:t>1.56</w:t>
      </w:r>
      <w:r>
        <w:rPr>
          <w:lang w:val="en-US"/>
        </w:rPr>
        <w:t xml:space="preserve"> and </w:t>
      </w:r>
      <w:r w:rsidRPr="00E84A56">
        <w:rPr>
          <w:b/>
          <w:bCs/>
          <w:lang w:val="en-US"/>
        </w:rPr>
        <w:t>1.57</w:t>
      </w:r>
      <w:r>
        <w:rPr>
          <w:lang w:val="en-US"/>
        </w:rPr>
        <w:t xml:space="preserve"> of the Radio Regulations.</w:t>
      </w:r>
    </w:p>
    <w:p w14:paraId="447FFBF4" w14:textId="10171DBB" w:rsidR="00D82650" w:rsidRDefault="004F5A70" w:rsidP="00291761">
      <w:pPr>
        <w:tabs>
          <w:tab w:val="clear" w:pos="567"/>
          <w:tab w:val="clear" w:pos="1134"/>
          <w:tab w:val="clear" w:pos="1701"/>
          <w:tab w:val="clear" w:pos="2268"/>
          <w:tab w:val="clear" w:pos="2835"/>
        </w:tabs>
        <w:spacing w:after="120"/>
        <w:jc w:val="both"/>
      </w:pPr>
      <w:r>
        <w:t>3</w:t>
      </w:r>
      <w:r w:rsidR="00D82650">
        <w:t>.3.2</w:t>
      </w:r>
      <w:r w:rsidR="00D82650">
        <w:tab/>
        <w:t>N</w:t>
      </w:r>
      <w:r w:rsidR="00D82650" w:rsidRPr="007E04E8">
        <w:t xml:space="preserve">otification for </w:t>
      </w:r>
      <w:r w:rsidR="00891E23">
        <w:t xml:space="preserve">the </w:t>
      </w:r>
      <w:r w:rsidR="00D82650" w:rsidRPr="007E04E8">
        <w:t xml:space="preserve">recording of frequency assignments </w:t>
      </w:r>
      <w:r w:rsidR="00D10300">
        <w:t>to</w:t>
      </w:r>
      <w:r w:rsidR="00D10300" w:rsidRPr="007E04E8">
        <w:t xml:space="preserve"> </w:t>
      </w:r>
      <w:r w:rsidR="00D82650" w:rsidRPr="007E04E8">
        <w:t>earth stations</w:t>
      </w:r>
    </w:p>
    <w:p w14:paraId="71D9BD80" w14:textId="1C56EC87" w:rsidR="00F53DBF" w:rsidRPr="000D3421" w:rsidRDefault="00F53DBF" w:rsidP="009320E4">
      <w:pPr>
        <w:tabs>
          <w:tab w:val="clear" w:pos="567"/>
          <w:tab w:val="clear" w:pos="1134"/>
          <w:tab w:val="clear" w:pos="1701"/>
          <w:tab w:val="clear" w:pos="2268"/>
          <w:tab w:val="clear" w:pos="2835"/>
        </w:tabs>
        <w:spacing w:after="120"/>
        <w:jc w:val="both"/>
      </w:pPr>
      <w:r>
        <w:t>The reason for exemption f</w:t>
      </w:r>
      <w:r w:rsidR="006A14CB">
        <w:t>rom</w:t>
      </w:r>
      <w:r>
        <w:t xml:space="preserve"> the cost</w:t>
      </w:r>
      <w:r w:rsidR="00D10300">
        <w:t>-</w:t>
      </w:r>
      <w:r>
        <w:t xml:space="preserve">recovery scheme set forth in Decision 482 is the potential interest from all Member States, including those not having their own satellites, to record frequency </w:t>
      </w:r>
      <w:r w:rsidR="009320E4">
        <w:t>assignments to earth stations. However, in recent years, o</w:t>
      </w:r>
      <w:r w:rsidRPr="000D3421">
        <w:t xml:space="preserve">nly 15 </w:t>
      </w:r>
      <w:r w:rsidR="00891E23">
        <w:t xml:space="preserve">or fewer </w:t>
      </w:r>
      <w:r w:rsidRPr="000D3421">
        <w:t xml:space="preserve">administrations </w:t>
      </w:r>
      <w:r w:rsidR="00D10300">
        <w:t xml:space="preserve">have </w:t>
      </w:r>
      <w:r w:rsidR="009320E4">
        <w:t>submit</w:t>
      </w:r>
      <w:r w:rsidR="00D10300">
        <w:t>ted</w:t>
      </w:r>
      <w:r w:rsidR="009320E4">
        <w:t xml:space="preserve"> </w:t>
      </w:r>
      <w:r w:rsidR="009320E4" w:rsidRPr="000D3421">
        <w:t>notification</w:t>
      </w:r>
      <w:r w:rsidR="009320E4">
        <w:t>s f</w:t>
      </w:r>
      <w:r w:rsidR="00D10300">
        <w:t>or</w:t>
      </w:r>
      <w:r w:rsidR="009320E4">
        <w:t xml:space="preserve"> earth stations </w:t>
      </w:r>
      <w:r>
        <w:t>per year.</w:t>
      </w:r>
      <w:r w:rsidR="00F4534A">
        <w:t xml:space="preserve"> Moreover, in 2021 and 2022, more than 400 notifications were received, which means that the Radiocommunication Bureau work mainly benefits </w:t>
      </w:r>
      <w:r w:rsidR="00D10300">
        <w:t xml:space="preserve">only </w:t>
      </w:r>
      <w:r w:rsidR="00F4534A">
        <w:t xml:space="preserve">a few administrations. Studies should therefore be carried out to determine whether specific fees should be paid when more </w:t>
      </w:r>
      <w:r w:rsidR="007E7ED1">
        <w:t xml:space="preserve">than </w:t>
      </w:r>
      <w:r w:rsidR="00F4534A">
        <w:lastRenderedPageBreak/>
        <w:t xml:space="preserve">a given number (to be determined) of notifications </w:t>
      </w:r>
      <w:r w:rsidR="00D10300">
        <w:t xml:space="preserve">for </w:t>
      </w:r>
      <w:r w:rsidR="00F4534A">
        <w:t xml:space="preserve">earth stations </w:t>
      </w:r>
      <w:r w:rsidR="00D10300">
        <w:t xml:space="preserve">are </w:t>
      </w:r>
      <w:r w:rsidR="00F4534A">
        <w:t>submitted by the same administration.</w:t>
      </w:r>
    </w:p>
    <w:p w14:paraId="736C7752" w14:textId="72898A86" w:rsidR="003D69E4" w:rsidRDefault="004F5A70" w:rsidP="00291761">
      <w:pPr>
        <w:tabs>
          <w:tab w:val="clear" w:pos="567"/>
          <w:tab w:val="clear" w:pos="1134"/>
          <w:tab w:val="clear" w:pos="1701"/>
          <w:tab w:val="clear" w:pos="2268"/>
          <w:tab w:val="clear" w:pos="2835"/>
        </w:tabs>
        <w:spacing w:after="120"/>
        <w:jc w:val="both"/>
        <w:rPr>
          <w:bCs/>
        </w:rPr>
      </w:pPr>
      <w:r>
        <w:t>3</w:t>
      </w:r>
      <w:r w:rsidR="00D82650">
        <w:t>.3.3</w:t>
      </w:r>
      <w:r w:rsidR="00D82650">
        <w:tab/>
        <w:t>C</w:t>
      </w:r>
      <w:r w:rsidR="00D82650" w:rsidRPr="007E04E8">
        <w:t>onversion of an allotment into an assignment in accordance with the procedure of former Section</w:t>
      </w:r>
      <w:r w:rsidR="00D82650">
        <w:t> </w:t>
      </w:r>
      <w:r w:rsidR="00D82650" w:rsidRPr="007E04E8">
        <w:t xml:space="preserve">I of Article 6 of Appendix </w:t>
      </w:r>
      <w:r w:rsidR="00D82650" w:rsidRPr="00F14BC7">
        <w:rPr>
          <w:b/>
        </w:rPr>
        <w:t>30B</w:t>
      </w:r>
    </w:p>
    <w:p w14:paraId="74592C6F" w14:textId="0AA93809" w:rsidR="00D82650" w:rsidRPr="00F53DBF" w:rsidRDefault="003F462A" w:rsidP="00291761">
      <w:pPr>
        <w:tabs>
          <w:tab w:val="clear" w:pos="567"/>
          <w:tab w:val="clear" w:pos="1134"/>
          <w:tab w:val="clear" w:pos="1701"/>
          <w:tab w:val="clear" w:pos="2268"/>
          <w:tab w:val="clear" w:pos="2835"/>
        </w:tabs>
        <w:spacing w:after="120"/>
        <w:jc w:val="both"/>
        <w:rPr>
          <w:b/>
          <w:bCs/>
        </w:rPr>
      </w:pPr>
      <w:r>
        <w:rPr>
          <w:bCs/>
        </w:rPr>
        <w:t>E</w:t>
      </w:r>
      <w:r w:rsidR="003D69E4">
        <w:rPr>
          <w:bCs/>
        </w:rPr>
        <w:t xml:space="preserve">xemption is linked to the fact that each ITU Member State has the right </w:t>
      </w:r>
      <w:r w:rsidR="00891E23">
        <w:rPr>
          <w:bCs/>
        </w:rPr>
        <w:t xml:space="preserve">to </w:t>
      </w:r>
      <w:r w:rsidR="003D69E4">
        <w:rPr>
          <w:bCs/>
        </w:rPr>
        <w:t xml:space="preserve">such an allotment and therefore the right to use it by converting it into assignments. As such, the conversion should remain exempt </w:t>
      </w:r>
      <w:r w:rsidR="00891E23">
        <w:rPr>
          <w:bCs/>
        </w:rPr>
        <w:t xml:space="preserve">from </w:t>
      </w:r>
      <w:r w:rsidR="003D69E4">
        <w:rPr>
          <w:bCs/>
        </w:rPr>
        <w:t>charges as long as it remains within the envelop</w:t>
      </w:r>
      <w:r w:rsidR="00891E23">
        <w:rPr>
          <w:bCs/>
        </w:rPr>
        <w:t>e</w:t>
      </w:r>
      <w:r w:rsidR="003D69E4">
        <w:rPr>
          <w:bCs/>
        </w:rPr>
        <w:t xml:space="preserve"> of </w:t>
      </w:r>
      <w:r w:rsidR="003D69E4" w:rsidRPr="00B57D26">
        <w:rPr>
          <w:bCs/>
          <w:spacing w:val="2"/>
        </w:rPr>
        <w:t>the national allotment.</w:t>
      </w:r>
      <w:r w:rsidR="00D82650" w:rsidRPr="00B57D26">
        <w:rPr>
          <w:spacing w:val="2"/>
        </w:rPr>
        <w:t xml:space="preserve"> </w:t>
      </w:r>
      <w:r w:rsidR="00F53DBF" w:rsidRPr="00B57D26">
        <w:rPr>
          <w:spacing w:val="2"/>
        </w:rPr>
        <w:t>The Radio Regulations Board has</w:t>
      </w:r>
      <w:r w:rsidR="00D10300">
        <w:rPr>
          <w:spacing w:val="2"/>
        </w:rPr>
        <w:t>,</w:t>
      </w:r>
      <w:r w:rsidR="00F53DBF" w:rsidRPr="00B57D26">
        <w:rPr>
          <w:spacing w:val="2"/>
        </w:rPr>
        <w:t xml:space="preserve"> however</w:t>
      </w:r>
      <w:r w:rsidR="00D10300">
        <w:rPr>
          <w:spacing w:val="2"/>
        </w:rPr>
        <w:t>,</w:t>
      </w:r>
      <w:r w:rsidR="00F53DBF" w:rsidRPr="00B57D26">
        <w:rPr>
          <w:spacing w:val="2"/>
        </w:rPr>
        <w:t xml:space="preserve"> raised in its report to</w:t>
      </w:r>
      <w:r w:rsidR="00F53DBF">
        <w:t xml:space="preserve"> </w:t>
      </w:r>
      <w:r w:rsidR="00D10300">
        <w:t>the 2023 world radiocommunication conference (</w:t>
      </w:r>
      <w:r w:rsidR="00F53DBF">
        <w:t>WRC-23</w:t>
      </w:r>
      <w:r w:rsidR="00D10300">
        <w:t>)</w:t>
      </w:r>
      <w:r w:rsidR="00F53DBF">
        <w:t xml:space="preserve"> on Resolution </w:t>
      </w:r>
      <w:r w:rsidR="00F53DBF" w:rsidRPr="00F14BC7">
        <w:rPr>
          <w:b/>
          <w:bCs/>
        </w:rPr>
        <w:t>80</w:t>
      </w:r>
      <w:r w:rsidR="00D10300" w:rsidRPr="00F14BC7">
        <w:rPr>
          <w:b/>
          <w:bCs/>
        </w:rPr>
        <w:t xml:space="preserve"> (Rev.WRC-07)</w:t>
      </w:r>
      <w:r w:rsidR="00F53DBF">
        <w:t xml:space="preserve"> that some simplifications of the conversion procedure could be considered to ease the regulatory workload of administrations and the Radiocommunication Bureau. </w:t>
      </w:r>
      <w:r w:rsidR="00D10300">
        <w:t xml:space="preserve">The </w:t>
      </w:r>
      <w:r w:rsidR="00F53DBF">
        <w:t xml:space="preserve">Council is also invited </w:t>
      </w:r>
      <w:r w:rsidR="00F53DBF" w:rsidRPr="00F53DBF">
        <w:rPr>
          <w:b/>
          <w:bCs/>
        </w:rPr>
        <w:t xml:space="preserve">to </w:t>
      </w:r>
      <w:r w:rsidR="00D10300">
        <w:rPr>
          <w:b/>
          <w:bCs/>
        </w:rPr>
        <w:t>draw the</w:t>
      </w:r>
      <w:r w:rsidR="00F53DBF" w:rsidRPr="00F53DBF">
        <w:rPr>
          <w:b/>
          <w:bCs/>
        </w:rPr>
        <w:t xml:space="preserve"> attention of WRC-23</w:t>
      </w:r>
      <w:r w:rsidR="00F53DBF">
        <w:t xml:space="preserve"> </w:t>
      </w:r>
      <w:r w:rsidR="00D10300">
        <w:t>to</w:t>
      </w:r>
      <w:r w:rsidR="00F53DBF" w:rsidRPr="00F53DBF">
        <w:t xml:space="preserve"> the</w:t>
      </w:r>
      <w:r w:rsidR="00F53DBF">
        <w:t xml:space="preserve"> financial benefits for the Union </w:t>
      </w:r>
      <w:r w:rsidR="00D10300">
        <w:t xml:space="preserve">of </w:t>
      </w:r>
      <w:r w:rsidR="00F53DBF">
        <w:t>reduc</w:t>
      </w:r>
      <w:r w:rsidR="00D10300">
        <w:t>ing</w:t>
      </w:r>
      <w:r w:rsidR="00F53DBF">
        <w:t xml:space="preserve"> the workload of the Bureau by simplifying regulatory aspects of the conversion procedure</w:t>
      </w:r>
      <w:r w:rsidR="002A7C0C">
        <w:t xml:space="preserve"> in Appendix </w:t>
      </w:r>
      <w:r w:rsidR="002A7C0C" w:rsidRPr="002A7C0C">
        <w:rPr>
          <w:b/>
          <w:bCs/>
        </w:rPr>
        <w:t>30B</w:t>
      </w:r>
      <w:r w:rsidR="00F53DBF">
        <w:t>.</w:t>
      </w:r>
    </w:p>
    <w:p w14:paraId="5F2C263E" w14:textId="4E5347BB" w:rsidR="00D82650" w:rsidRPr="003D69E4" w:rsidRDefault="004F5A70" w:rsidP="0051442F">
      <w:pPr>
        <w:tabs>
          <w:tab w:val="clear" w:pos="567"/>
          <w:tab w:val="clear" w:pos="1134"/>
          <w:tab w:val="clear" w:pos="1701"/>
          <w:tab w:val="clear" w:pos="2268"/>
          <w:tab w:val="clear" w:pos="2835"/>
        </w:tabs>
        <w:spacing w:after="120"/>
        <w:jc w:val="both"/>
      </w:pPr>
      <w:r>
        <w:rPr>
          <w:bCs/>
        </w:rPr>
        <w:t>3.3.4</w:t>
      </w:r>
      <w:r>
        <w:rPr>
          <w:bCs/>
        </w:rPr>
        <w:tab/>
      </w:r>
      <w:r w:rsidR="00D82650" w:rsidRPr="004F5A70">
        <w:rPr>
          <w:bCs/>
        </w:rPr>
        <w:t xml:space="preserve">Addition of a new allotment to the plan for a new Member State of the Union </w:t>
      </w:r>
      <w:r w:rsidR="00D82650" w:rsidRPr="007E04E8">
        <w:t xml:space="preserve">in accordance with the procedure of Article </w:t>
      </w:r>
      <w:r w:rsidR="00D82650" w:rsidRPr="004F5A70">
        <w:rPr>
          <w:bCs/>
        </w:rPr>
        <w:t>7</w:t>
      </w:r>
      <w:r w:rsidR="00D82650" w:rsidRPr="007E04E8">
        <w:t xml:space="preserve"> of Appendix </w:t>
      </w:r>
      <w:r w:rsidR="00D82650" w:rsidRPr="00F14BC7">
        <w:rPr>
          <w:b/>
        </w:rPr>
        <w:t>30B</w:t>
      </w:r>
    </w:p>
    <w:p w14:paraId="4C6A0144" w14:textId="2493EBA8" w:rsidR="003D69E4" w:rsidRDefault="003D69E4" w:rsidP="00291761">
      <w:pPr>
        <w:tabs>
          <w:tab w:val="clear" w:pos="567"/>
          <w:tab w:val="clear" w:pos="1134"/>
          <w:tab w:val="clear" w:pos="1701"/>
          <w:tab w:val="clear" w:pos="2268"/>
          <w:tab w:val="clear" w:pos="2835"/>
        </w:tabs>
        <w:spacing w:after="120"/>
        <w:jc w:val="both"/>
        <w:rPr>
          <w:bCs/>
        </w:rPr>
      </w:pPr>
      <w:r>
        <w:t xml:space="preserve">This exemption is also linked </w:t>
      </w:r>
      <w:r w:rsidR="00D10300">
        <w:t xml:space="preserve">to </w:t>
      </w:r>
      <w:r>
        <w:t xml:space="preserve">a </w:t>
      </w:r>
      <w:r w:rsidR="005C0EDF">
        <w:t xml:space="preserve">fundamental right of each Member State </w:t>
      </w:r>
      <w:r w:rsidR="00D10300">
        <w:t xml:space="preserve">arising </w:t>
      </w:r>
      <w:r w:rsidR="005C0EDF">
        <w:t xml:space="preserve">from Article 44 of the </w:t>
      </w:r>
      <w:r w:rsidR="00D10300">
        <w:t xml:space="preserve">ITU </w:t>
      </w:r>
      <w:r w:rsidR="005C0EDF">
        <w:t xml:space="preserve">Constitution. As such, it should </w:t>
      </w:r>
      <w:r w:rsidR="00F53DBF">
        <w:rPr>
          <w:bCs/>
        </w:rPr>
        <w:t xml:space="preserve">remain exempt </w:t>
      </w:r>
      <w:r w:rsidR="00891E23">
        <w:rPr>
          <w:bCs/>
        </w:rPr>
        <w:t xml:space="preserve">from </w:t>
      </w:r>
      <w:r w:rsidR="00F53DBF">
        <w:rPr>
          <w:bCs/>
        </w:rPr>
        <w:t xml:space="preserve">charges. </w:t>
      </w:r>
    </w:p>
    <w:p w14:paraId="3271A3DE" w14:textId="15796F52" w:rsidR="004F5A70" w:rsidRPr="00CE1AE8" w:rsidRDefault="00DD5A26" w:rsidP="00B57D26">
      <w:pPr>
        <w:tabs>
          <w:tab w:val="clear" w:pos="567"/>
          <w:tab w:val="clear" w:pos="1134"/>
          <w:tab w:val="clear" w:pos="1701"/>
          <w:tab w:val="clear" w:pos="2268"/>
          <w:tab w:val="clear" w:pos="2835"/>
        </w:tabs>
        <w:spacing w:before="360" w:after="120"/>
        <w:jc w:val="both"/>
        <w:rPr>
          <w:b/>
          <w:bCs/>
        </w:rPr>
      </w:pPr>
      <w:r>
        <w:rPr>
          <w:b/>
          <w:bCs/>
        </w:rPr>
        <w:t>4</w:t>
      </w:r>
      <w:r w:rsidR="004F5A70" w:rsidRPr="00CE1AE8">
        <w:rPr>
          <w:b/>
          <w:bCs/>
        </w:rPr>
        <w:t>.</w:t>
      </w:r>
      <w:r w:rsidR="004F5A70" w:rsidRPr="00CE1AE8">
        <w:rPr>
          <w:b/>
          <w:bCs/>
        </w:rPr>
        <w:tab/>
        <w:t>Financial value of the fees contained in Annex to Decision 482</w:t>
      </w:r>
    </w:p>
    <w:p w14:paraId="27CB7528" w14:textId="7CB3309F" w:rsidR="009B51A4" w:rsidRDefault="004F5A70" w:rsidP="004F5A70">
      <w:pPr>
        <w:tabs>
          <w:tab w:val="clear" w:pos="567"/>
          <w:tab w:val="clear" w:pos="1134"/>
          <w:tab w:val="clear" w:pos="1701"/>
          <w:tab w:val="clear" w:pos="2268"/>
          <w:tab w:val="clear" w:pos="2835"/>
        </w:tabs>
        <w:spacing w:after="120"/>
        <w:jc w:val="both"/>
      </w:pPr>
      <w:r>
        <w:t>The fees contained in the Annex to Decision 482</w:t>
      </w:r>
      <w:r w:rsidR="00D10300">
        <w:t xml:space="preserve"> </w:t>
      </w:r>
      <w:r w:rsidR="00D10300" w:rsidRPr="00D10300">
        <w:t>(C01, last amended C20)</w:t>
      </w:r>
      <w:r>
        <w:t xml:space="preserve"> were established by </w:t>
      </w:r>
      <w:r w:rsidR="00D10300">
        <w:t xml:space="preserve">the </w:t>
      </w:r>
      <w:r>
        <w:t>Council in 2005. For filings in categories P4 and P5, the cost</w:t>
      </w:r>
      <w:r w:rsidR="00D10300">
        <w:t>-</w:t>
      </w:r>
      <w:r>
        <w:t xml:space="preserve">recovery fees decreased following the revision of Appendix </w:t>
      </w:r>
      <w:r>
        <w:rPr>
          <w:b/>
          <w:bCs/>
        </w:rPr>
        <w:t>30B</w:t>
      </w:r>
      <w:r>
        <w:t xml:space="preserve"> of the Radio Regulations by WRC-07. All other fees contained in the Annex to Decision 482 have remained unchanged.</w:t>
      </w:r>
    </w:p>
    <w:p w14:paraId="621524E4" w14:textId="58636F5E" w:rsidR="00F4534A" w:rsidRDefault="00DD5A26" w:rsidP="00B57D26">
      <w:pPr>
        <w:tabs>
          <w:tab w:val="clear" w:pos="567"/>
          <w:tab w:val="clear" w:pos="1134"/>
          <w:tab w:val="clear" w:pos="1701"/>
          <w:tab w:val="clear" w:pos="2268"/>
          <w:tab w:val="clear" w:pos="2835"/>
        </w:tabs>
        <w:spacing w:before="360" w:after="120"/>
        <w:jc w:val="both"/>
      </w:pPr>
      <w:r>
        <w:rPr>
          <w:b/>
          <w:bCs/>
        </w:rPr>
        <w:t>5</w:t>
      </w:r>
      <w:r w:rsidR="00F4534A">
        <w:rPr>
          <w:b/>
          <w:bCs/>
        </w:rPr>
        <w:t>.</w:t>
      </w:r>
      <w:r w:rsidR="00F4534A">
        <w:rPr>
          <w:b/>
          <w:bCs/>
        </w:rPr>
        <w:tab/>
        <w:t xml:space="preserve">Regulatory mechanisms currently included in Decision 482 </w:t>
      </w:r>
      <w:r w:rsidR="004F5A70">
        <w:rPr>
          <w:b/>
          <w:bCs/>
        </w:rPr>
        <w:t xml:space="preserve">that </w:t>
      </w:r>
      <w:r w:rsidR="00D85242">
        <w:rPr>
          <w:b/>
          <w:bCs/>
        </w:rPr>
        <w:t xml:space="preserve">have </w:t>
      </w:r>
      <w:r w:rsidR="00F4534A">
        <w:rPr>
          <w:b/>
          <w:bCs/>
        </w:rPr>
        <w:t>substantially changed since 2005</w:t>
      </w:r>
    </w:p>
    <w:p w14:paraId="61FA5DC3" w14:textId="21C239CC" w:rsidR="00F4534A" w:rsidRDefault="00DD5A26" w:rsidP="00291761">
      <w:pPr>
        <w:tabs>
          <w:tab w:val="clear" w:pos="567"/>
          <w:tab w:val="clear" w:pos="1134"/>
          <w:tab w:val="clear" w:pos="1701"/>
          <w:tab w:val="clear" w:pos="2268"/>
          <w:tab w:val="clear" w:pos="2835"/>
        </w:tabs>
        <w:spacing w:after="120"/>
        <w:jc w:val="both"/>
      </w:pPr>
      <w:r>
        <w:t>5</w:t>
      </w:r>
      <w:r w:rsidR="00F4534A">
        <w:t>.1</w:t>
      </w:r>
      <w:r w:rsidR="00F4534A">
        <w:tab/>
      </w:r>
      <w:r w:rsidR="00A46287">
        <w:t xml:space="preserve">Processing </w:t>
      </w:r>
      <w:r w:rsidR="00A46287" w:rsidRPr="009D740E">
        <w:rPr>
          <w:u w:val="single"/>
        </w:rPr>
        <w:t>resubmissions of notifications</w:t>
      </w:r>
      <w:r w:rsidR="00A46287">
        <w:t xml:space="preserve"> is included in the cost of notification </w:t>
      </w:r>
      <w:r w:rsidR="00A46287" w:rsidRPr="00B57D26">
        <w:rPr>
          <w:spacing w:val="-2"/>
        </w:rPr>
        <w:t>categories N1 to N3, as indicated by the Note for these categories in the Annex to Decision</w:t>
      </w:r>
      <w:r w:rsidR="00B57D26" w:rsidRPr="00B57D26">
        <w:rPr>
          <w:spacing w:val="-2"/>
        </w:rPr>
        <w:t> </w:t>
      </w:r>
      <w:r w:rsidR="00A46287" w:rsidRPr="00B57D26">
        <w:rPr>
          <w:spacing w:val="-2"/>
        </w:rPr>
        <w:t>482</w:t>
      </w:r>
      <w:r w:rsidR="00D10300">
        <w:rPr>
          <w:spacing w:val="-2"/>
        </w:rPr>
        <w:t xml:space="preserve"> </w:t>
      </w:r>
      <w:r w:rsidR="00D10300" w:rsidRPr="00D10300">
        <w:rPr>
          <w:spacing w:val="-2"/>
        </w:rPr>
        <w:t>(C01, last amended C20)</w:t>
      </w:r>
      <w:r w:rsidR="00A46287" w:rsidRPr="00B57D26">
        <w:rPr>
          <w:spacing w:val="-2"/>
        </w:rPr>
        <w:t>.</w:t>
      </w:r>
      <w:r w:rsidR="00A46287">
        <w:t xml:space="preserve"> However</w:t>
      </w:r>
      <w:r w:rsidR="00D10300">
        <w:t>,</w:t>
      </w:r>
      <w:r w:rsidR="00A46287">
        <w:t xml:space="preserve"> current resubmissions generally requir</w:t>
      </w:r>
      <w:r w:rsidR="00D10300">
        <w:t>e</w:t>
      </w:r>
      <w:r w:rsidR="00A46287">
        <w:t xml:space="preserve"> more work than </w:t>
      </w:r>
      <w:r w:rsidR="00D10300">
        <w:t xml:space="preserve">was </w:t>
      </w:r>
      <w:r w:rsidR="00A46287">
        <w:t>initially foreseen in 2005 because of the additional information contained in these resu</w:t>
      </w:r>
      <w:r w:rsidR="003030A5">
        <w:t>b</w:t>
      </w:r>
      <w:r w:rsidR="00A46287">
        <w:t>missions, render</w:t>
      </w:r>
      <w:r w:rsidR="00D10300">
        <w:t>ing</w:t>
      </w:r>
      <w:r w:rsidR="00A46287">
        <w:t xml:space="preserve"> new examinations necessary. </w:t>
      </w:r>
      <w:r w:rsidR="00D10300">
        <w:t>S</w:t>
      </w:r>
      <w:r w:rsidR="00A46287">
        <w:t>ome submissions</w:t>
      </w:r>
      <w:r w:rsidR="00D10300">
        <w:t>, though,</w:t>
      </w:r>
      <w:r w:rsidR="00A46287">
        <w:t xml:space="preserve"> in response to the formulation of findings by the Radiocommunication Bureau</w:t>
      </w:r>
      <w:r w:rsidR="00D10300">
        <w:t>,</w:t>
      </w:r>
      <w:r w:rsidR="00A46287">
        <w:t xml:space="preserve"> </w:t>
      </w:r>
      <w:r w:rsidR="00D10300">
        <w:t xml:space="preserve">such as </w:t>
      </w:r>
      <w:r w:rsidR="00A46287">
        <w:t>request</w:t>
      </w:r>
      <w:r w:rsidR="00D10300">
        <w:t>s for</w:t>
      </w:r>
      <w:r w:rsidR="00A46287">
        <w:t xml:space="preserve"> </w:t>
      </w:r>
      <w:r w:rsidR="00D10300">
        <w:t xml:space="preserve">the </w:t>
      </w:r>
      <w:r w:rsidR="00A46287">
        <w:t>recording</w:t>
      </w:r>
      <w:r w:rsidR="00D10300">
        <w:t xml:space="preserve"> of an assignment</w:t>
      </w:r>
      <w:r w:rsidR="00A46287">
        <w:t xml:space="preserve"> for information </w:t>
      </w:r>
      <w:r w:rsidR="00D10300">
        <w:t xml:space="preserve">purposes </w:t>
      </w:r>
      <w:r w:rsidR="00A46287">
        <w:t xml:space="preserve">under No. </w:t>
      </w:r>
      <w:r w:rsidR="00A46287" w:rsidRPr="00F14BC7">
        <w:rPr>
          <w:b/>
          <w:bCs/>
        </w:rPr>
        <w:t>8.4</w:t>
      </w:r>
      <w:r w:rsidR="00A46287">
        <w:t xml:space="preserve"> of the Radio Regulations</w:t>
      </w:r>
      <w:r w:rsidR="00D10300">
        <w:t>,</w:t>
      </w:r>
      <w:r w:rsidR="00A46287">
        <w:t xml:space="preserve"> do not require substantial processing and could be exempted </w:t>
      </w:r>
      <w:r w:rsidR="00891E23">
        <w:t xml:space="preserve">from </w:t>
      </w:r>
      <w:r w:rsidR="00A46287">
        <w:t xml:space="preserve">fees. The cost recovery of resubmissions would therefore benefit from a more in-depth study </w:t>
      </w:r>
      <w:proofErr w:type="gramStart"/>
      <w:r w:rsidR="00E17D31">
        <w:t>in order to</w:t>
      </w:r>
      <w:proofErr w:type="gramEnd"/>
      <w:r w:rsidR="00E17D31">
        <w:t xml:space="preserve"> align actual costs with those recovered.</w:t>
      </w:r>
    </w:p>
    <w:p w14:paraId="0B5B2317" w14:textId="5DD253FE" w:rsidR="00E17D31" w:rsidRPr="00F4534A" w:rsidRDefault="00DD5A26" w:rsidP="00291761">
      <w:pPr>
        <w:tabs>
          <w:tab w:val="clear" w:pos="567"/>
          <w:tab w:val="clear" w:pos="1134"/>
          <w:tab w:val="clear" w:pos="1701"/>
          <w:tab w:val="clear" w:pos="2268"/>
          <w:tab w:val="clear" w:pos="2835"/>
        </w:tabs>
        <w:spacing w:after="120"/>
        <w:jc w:val="both"/>
      </w:pPr>
      <w:r>
        <w:t>5</w:t>
      </w:r>
      <w:r w:rsidR="00E17D31">
        <w:t>.2</w:t>
      </w:r>
      <w:r w:rsidR="00E17D31">
        <w:tab/>
        <w:t>Fees for n</w:t>
      </w:r>
      <w:r w:rsidR="00E17D31" w:rsidRPr="00E17D31">
        <w:t xml:space="preserve">otification also include </w:t>
      </w:r>
      <w:r w:rsidR="00D10300">
        <w:t>“</w:t>
      </w:r>
      <w:r w:rsidR="00E17D31" w:rsidRPr="00E17D31">
        <w:t xml:space="preserve">the </w:t>
      </w:r>
      <w:r w:rsidR="00E17D31" w:rsidRPr="009D740E">
        <w:rPr>
          <w:u w:val="single"/>
        </w:rPr>
        <w:t>application of Resolutions 4 and 49, Nos. 11.32A (see footnote a), 11.41, 11.47, 11.49, Subsection IID of Article 9, Sections 1 and 2 of Article 13, Article 14</w:t>
      </w:r>
      <w:r w:rsidR="00E17D31">
        <w:t xml:space="preserve">”. Consequently, the application of these procedures </w:t>
      </w:r>
      <w:r w:rsidR="006A14CB">
        <w:t xml:space="preserve">is </w:t>
      </w:r>
      <w:r w:rsidR="00E17D31" w:rsidRPr="00E17D31">
        <w:t>not charged</w:t>
      </w:r>
      <w:r w:rsidR="00D10300" w:rsidRPr="00D10300">
        <w:t xml:space="preserve"> </w:t>
      </w:r>
      <w:r w:rsidR="00D10300" w:rsidRPr="00E17D31">
        <w:t>separately</w:t>
      </w:r>
      <w:r w:rsidR="00E17D31" w:rsidRPr="00E17D31">
        <w:t>.</w:t>
      </w:r>
      <w:r w:rsidR="00E17D31">
        <w:t xml:space="preserve"> Since 2005, WRCs have significantly increased the number of provisions associated with the maintenance of recorded assignments in the </w:t>
      </w:r>
      <w:r w:rsidR="00D10300">
        <w:t>Master International Frequency Register</w:t>
      </w:r>
      <w:r w:rsidR="00E17D31">
        <w:t xml:space="preserve">. While their application could continue to be charged together with the notification, a review of the costs of these additional provisions should be conducted. </w:t>
      </w:r>
    </w:p>
    <w:p w14:paraId="60A92C0C" w14:textId="49774604" w:rsidR="00E17D31" w:rsidRDefault="00DD5A26" w:rsidP="00B57D26">
      <w:pPr>
        <w:tabs>
          <w:tab w:val="clear" w:pos="567"/>
          <w:tab w:val="clear" w:pos="1134"/>
          <w:tab w:val="clear" w:pos="1701"/>
          <w:tab w:val="clear" w:pos="2268"/>
          <w:tab w:val="clear" w:pos="2835"/>
        </w:tabs>
        <w:spacing w:before="360" w:after="120"/>
        <w:jc w:val="both"/>
        <w:rPr>
          <w:b/>
          <w:bCs/>
        </w:rPr>
      </w:pPr>
      <w:r>
        <w:rPr>
          <w:b/>
          <w:bCs/>
        </w:rPr>
        <w:lastRenderedPageBreak/>
        <w:t>6</w:t>
      </w:r>
      <w:r w:rsidR="00E17D31" w:rsidRPr="00E17D31">
        <w:rPr>
          <w:b/>
          <w:bCs/>
        </w:rPr>
        <w:t>.</w:t>
      </w:r>
      <w:r w:rsidR="00E17D31" w:rsidRPr="00E17D31">
        <w:rPr>
          <w:b/>
          <w:bCs/>
        </w:rPr>
        <w:tab/>
        <w:t>Fee categories to be reviewed</w:t>
      </w:r>
    </w:p>
    <w:p w14:paraId="718A7415" w14:textId="6CA50E46" w:rsidR="009D740E" w:rsidRDefault="00DD5A26" w:rsidP="009D740E">
      <w:pPr>
        <w:tabs>
          <w:tab w:val="clear" w:pos="567"/>
          <w:tab w:val="clear" w:pos="1134"/>
          <w:tab w:val="clear" w:pos="1701"/>
          <w:tab w:val="clear" w:pos="2268"/>
          <w:tab w:val="clear" w:pos="2835"/>
        </w:tabs>
        <w:spacing w:after="120"/>
        <w:jc w:val="both"/>
      </w:pPr>
      <w:r>
        <w:t>6</w:t>
      </w:r>
      <w:r w:rsidR="009D740E">
        <w:t>.1</w:t>
      </w:r>
      <w:r w:rsidR="009D740E">
        <w:tab/>
      </w:r>
      <w:r w:rsidR="006D6D44">
        <w:t xml:space="preserve">The technological advances introduced </w:t>
      </w:r>
      <w:r w:rsidR="00D10300">
        <w:t>in recent</w:t>
      </w:r>
      <w:r w:rsidR="006D6D44">
        <w:t xml:space="preserve"> years, especially in the manufacturing and operati</w:t>
      </w:r>
      <w:r w:rsidR="00D10300">
        <w:t>on of</w:t>
      </w:r>
      <w:r w:rsidR="006D6D44">
        <w:t xml:space="preserve"> </w:t>
      </w:r>
      <w:r w:rsidR="003F462A">
        <w:t>non-GSO</w:t>
      </w:r>
      <w:r w:rsidR="006D6D44">
        <w:t xml:space="preserve"> constellations, have rendered </w:t>
      </w:r>
      <w:r w:rsidR="003F462A">
        <w:t>non-GSO</w:t>
      </w:r>
      <w:r w:rsidR="006D6D44">
        <w:t xml:space="preserve"> system filings more complex</w:t>
      </w:r>
      <w:r w:rsidR="00432C20">
        <w:t xml:space="preserve"> in terms of orbital configurations, associated </w:t>
      </w:r>
      <w:proofErr w:type="gramStart"/>
      <w:r w:rsidR="00432C20">
        <w:t>beams</w:t>
      </w:r>
      <w:proofErr w:type="gramEnd"/>
      <w:r w:rsidR="00432C20">
        <w:t xml:space="preserve"> and carriers</w:t>
      </w:r>
      <w:r w:rsidR="006D6D44">
        <w:t xml:space="preserve">. Their processing, both in terms of completeness and </w:t>
      </w:r>
      <w:r w:rsidR="0051442F">
        <w:t>accuracy o</w:t>
      </w:r>
      <w:r w:rsidR="006D6D44">
        <w:t>f regulatory and technical examination</w:t>
      </w:r>
      <w:r w:rsidR="00432C20">
        <w:t>s</w:t>
      </w:r>
      <w:r w:rsidR="006D6D44">
        <w:t xml:space="preserve">, has </w:t>
      </w:r>
      <w:r w:rsidR="00432C20">
        <w:t xml:space="preserve">consequently </w:t>
      </w:r>
      <w:r w:rsidR="006D6D44">
        <w:t xml:space="preserve">become </w:t>
      </w:r>
      <w:r w:rsidR="00432C20">
        <w:t xml:space="preserve">more </w:t>
      </w:r>
      <w:r w:rsidR="00D10300">
        <w:t>resource intensive</w:t>
      </w:r>
      <w:r w:rsidR="00432C20">
        <w:t xml:space="preserve">. </w:t>
      </w:r>
      <w:r w:rsidR="00891E23">
        <w:t xml:space="preserve">When </w:t>
      </w:r>
      <w:r w:rsidR="00432C20">
        <w:t>the Council started to address this issue</w:t>
      </w:r>
      <w:r w:rsidR="00D10300">
        <w:t xml:space="preserve"> at its 2019 session</w:t>
      </w:r>
      <w:r w:rsidR="00432C20">
        <w:t xml:space="preserve">, </w:t>
      </w:r>
      <w:r w:rsidR="00D972DE">
        <w:t xml:space="preserve">it decided on a ceiling </w:t>
      </w:r>
      <w:r w:rsidR="00891E23">
        <w:t xml:space="preserve">of </w:t>
      </w:r>
      <w:r w:rsidR="00D972DE">
        <w:t xml:space="preserve">75 000 units. Since </w:t>
      </w:r>
      <w:r w:rsidR="00D10300">
        <w:t>1 July </w:t>
      </w:r>
      <w:r w:rsidR="00D972DE">
        <w:t xml:space="preserve">2019, the Radiocommunication </w:t>
      </w:r>
      <w:r w:rsidR="00D10300">
        <w:t xml:space="preserve">Bureau </w:t>
      </w:r>
      <w:r w:rsidR="00D972DE">
        <w:t>has</w:t>
      </w:r>
      <w:r w:rsidR="00D10300">
        <w:t>,</w:t>
      </w:r>
      <w:r w:rsidR="00D972DE">
        <w:t xml:space="preserve"> however</w:t>
      </w:r>
      <w:r w:rsidR="00D10300">
        <w:t>,</w:t>
      </w:r>
      <w:r w:rsidR="00D972DE">
        <w:t xml:space="preserve"> received five </w:t>
      </w:r>
      <w:r w:rsidR="00D85242">
        <w:t>non-</w:t>
      </w:r>
      <w:r w:rsidR="006A14CB">
        <w:t xml:space="preserve">GSO </w:t>
      </w:r>
      <w:r w:rsidR="00D972DE">
        <w:t xml:space="preserve">filings having more than </w:t>
      </w:r>
      <w:r w:rsidR="00D10300">
        <w:t>75 </w:t>
      </w:r>
      <w:r w:rsidR="00D972DE">
        <w:t>000 units. Moreover</w:t>
      </w:r>
      <w:r w:rsidR="00891E23">
        <w:t>,</w:t>
      </w:r>
      <w:r w:rsidR="00D972DE">
        <w:t xml:space="preserve"> the formula to compute units for non-</w:t>
      </w:r>
      <w:r w:rsidR="006A14CB">
        <w:t xml:space="preserve">GSO </w:t>
      </w:r>
      <w:r w:rsidR="00D972DE">
        <w:t xml:space="preserve">systems does not </w:t>
      </w:r>
      <w:proofErr w:type="gramStart"/>
      <w:r w:rsidR="00D972DE">
        <w:t>take into account</w:t>
      </w:r>
      <w:proofErr w:type="gramEnd"/>
      <w:r w:rsidR="00D972DE">
        <w:t xml:space="preserve"> the number of different orbital altitudes</w:t>
      </w:r>
      <w:r w:rsidR="001069E0" w:rsidRPr="001069E0">
        <w:t>, number of satellites, number of earth stations,</w:t>
      </w:r>
      <w:r w:rsidR="00D10300">
        <w:t xml:space="preserve"> or </w:t>
      </w:r>
      <w:r w:rsidR="00D972DE">
        <w:t>other characteri</w:t>
      </w:r>
      <w:r>
        <w:t>s</w:t>
      </w:r>
      <w:r w:rsidR="00D972DE">
        <w:t xml:space="preserve">tics affecting examination workload. These aspects should therefore be further studied. </w:t>
      </w:r>
    </w:p>
    <w:p w14:paraId="34C48C10" w14:textId="3DE85198" w:rsidR="006D6D44" w:rsidRDefault="00DD5A26" w:rsidP="00C16C9D">
      <w:pPr>
        <w:tabs>
          <w:tab w:val="clear" w:pos="567"/>
          <w:tab w:val="clear" w:pos="1134"/>
          <w:tab w:val="clear" w:pos="1701"/>
          <w:tab w:val="clear" w:pos="2268"/>
          <w:tab w:val="clear" w:pos="2835"/>
        </w:tabs>
        <w:snapToGrid w:val="0"/>
        <w:spacing w:after="120"/>
        <w:jc w:val="both"/>
      </w:pPr>
      <w:r>
        <w:t>6</w:t>
      </w:r>
      <w:r w:rsidR="006D6D44">
        <w:t>.2</w:t>
      </w:r>
      <w:r w:rsidR="006D6D44">
        <w:tab/>
        <w:t xml:space="preserve">Filings </w:t>
      </w:r>
      <w:r w:rsidR="00D10300">
        <w:t xml:space="preserve">for </w:t>
      </w:r>
      <w:r w:rsidR="006D6D44">
        <w:t xml:space="preserve">satellite systems not subject to coordination have also </w:t>
      </w:r>
      <w:r w:rsidR="00D10300">
        <w:t xml:space="preserve">evolved </w:t>
      </w:r>
      <w:r w:rsidR="006D6D44">
        <w:t xml:space="preserve">considerably since </w:t>
      </w:r>
      <w:r w:rsidR="00D972DE">
        <w:t>2005, whe</w:t>
      </w:r>
      <w:r w:rsidR="00D10300">
        <w:t>n</w:t>
      </w:r>
      <w:r w:rsidR="00D972DE">
        <w:t xml:space="preserve"> only a few, well-prepared filings containing a small number of frequency assignments were submitted every year</w:t>
      </w:r>
      <w:r w:rsidR="00C16C9D">
        <w:t xml:space="preserve">. </w:t>
      </w:r>
      <w:r w:rsidR="003F462A">
        <w:t>Non-GSO</w:t>
      </w:r>
      <w:r w:rsidR="00505AE8">
        <w:t xml:space="preserve"> filings not subject to coordination have not only grown in number but </w:t>
      </w:r>
      <w:r w:rsidR="00D10300">
        <w:t xml:space="preserve">now </w:t>
      </w:r>
      <w:r w:rsidR="00505AE8">
        <w:t>may contain a large set of frequency assignments covering almost all possible frequency bands allocated to space services. Moreover</w:t>
      </w:r>
      <w:r w:rsidR="00891E23">
        <w:t>,</w:t>
      </w:r>
      <w:r w:rsidR="00505AE8">
        <w:t xml:space="preserve"> the quality of the filings received is lower than</w:t>
      </w:r>
      <w:r w:rsidR="00D10300">
        <w:t xml:space="preserve"> before,</w:t>
      </w:r>
      <w:r w:rsidR="00505AE8">
        <w:t xml:space="preserve"> when they were mainly prepared by </w:t>
      </w:r>
      <w:r w:rsidR="008F55B9">
        <w:t>experienced satellite operators</w:t>
      </w:r>
      <w:r w:rsidR="00505AE8">
        <w:t>. For these cases, studies should be conducted to consider the introduction of units in categories A1 and N4, with a different fee being charged depending on the number of units.</w:t>
      </w:r>
    </w:p>
    <w:p w14:paraId="4B6FB25E" w14:textId="6C5D0E16" w:rsidR="00432C20" w:rsidRDefault="00DD5A26" w:rsidP="009D740E">
      <w:pPr>
        <w:tabs>
          <w:tab w:val="clear" w:pos="567"/>
          <w:tab w:val="clear" w:pos="1134"/>
          <w:tab w:val="clear" w:pos="1701"/>
          <w:tab w:val="clear" w:pos="2268"/>
          <w:tab w:val="clear" w:pos="2835"/>
        </w:tabs>
        <w:spacing w:after="120"/>
        <w:jc w:val="both"/>
      </w:pPr>
      <w:r>
        <w:t>6</w:t>
      </w:r>
      <w:r w:rsidR="00432C20">
        <w:t>.3</w:t>
      </w:r>
      <w:r w:rsidR="00432C20">
        <w:tab/>
      </w:r>
      <w:proofErr w:type="gramStart"/>
      <w:r w:rsidR="003F462A">
        <w:t>Non-GSO</w:t>
      </w:r>
      <w:proofErr w:type="gramEnd"/>
      <w:r w:rsidR="00505AE8">
        <w:t xml:space="preserve"> systems subject to </w:t>
      </w:r>
      <w:proofErr w:type="spellStart"/>
      <w:r w:rsidR="00432C20">
        <w:t>epfd</w:t>
      </w:r>
      <w:proofErr w:type="spellEnd"/>
      <w:r w:rsidR="00505AE8">
        <w:t xml:space="preserve"> limits continue to require significant additional resources </w:t>
      </w:r>
      <w:r w:rsidR="00D10300">
        <w:t xml:space="preserve">not </w:t>
      </w:r>
      <w:r w:rsidR="006A14CB">
        <w:t xml:space="preserve">only </w:t>
      </w:r>
      <w:r w:rsidR="00505AE8">
        <w:t xml:space="preserve">to compute </w:t>
      </w:r>
      <w:proofErr w:type="spellStart"/>
      <w:r w:rsidR="00505AE8">
        <w:t>epfd</w:t>
      </w:r>
      <w:proofErr w:type="spellEnd"/>
      <w:r w:rsidR="00505AE8">
        <w:t xml:space="preserve"> curves but also to prepare data and analyse results. </w:t>
      </w:r>
      <w:r w:rsidR="003038B3">
        <w:rPr>
          <w:lang w:val="en-US"/>
        </w:rPr>
        <w:t xml:space="preserve">Furthermore, the increasing number and complexity of </w:t>
      </w:r>
      <w:r w:rsidR="003F462A">
        <w:rPr>
          <w:lang w:val="en-US"/>
        </w:rPr>
        <w:t>non-GSO</w:t>
      </w:r>
      <w:r w:rsidR="003038B3">
        <w:rPr>
          <w:lang w:val="en-US"/>
        </w:rPr>
        <w:t xml:space="preserve"> systems subject to </w:t>
      </w:r>
      <w:proofErr w:type="spellStart"/>
      <w:r w:rsidR="003038B3">
        <w:rPr>
          <w:lang w:val="en-US"/>
        </w:rPr>
        <w:t>epfd</w:t>
      </w:r>
      <w:proofErr w:type="spellEnd"/>
      <w:r w:rsidR="003038B3">
        <w:rPr>
          <w:lang w:val="en-US"/>
        </w:rPr>
        <w:t xml:space="preserve"> limits result in the need for almost continuous updating </w:t>
      </w:r>
      <w:r w:rsidR="00D10300">
        <w:rPr>
          <w:lang w:val="en-US"/>
        </w:rPr>
        <w:t xml:space="preserve">of </w:t>
      </w:r>
      <w:r w:rsidR="003038B3">
        <w:rPr>
          <w:lang w:val="en-US"/>
        </w:rPr>
        <w:t xml:space="preserve">the ITU-R </w:t>
      </w:r>
      <w:proofErr w:type="spellStart"/>
      <w:r w:rsidR="003038B3">
        <w:rPr>
          <w:lang w:val="en-US"/>
        </w:rPr>
        <w:t>epfd</w:t>
      </w:r>
      <w:proofErr w:type="spellEnd"/>
      <w:r w:rsidR="003038B3">
        <w:rPr>
          <w:lang w:val="en-US"/>
        </w:rPr>
        <w:t xml:space="preserve"> validation methodology contained in Recommendation ITU-R S.1503, which entails changes in processing and examination. </w:t>
      </w:r>
      <w:r w:rsidR="003038B3">
        <w:t>All these aspects require the development and frequent updat</w:t>
      </w:r>
      <w:r w:rsidR="00891E23">
        <w:t>ing</w:t>
      </w:r>
      <w:r w:rsidR="003038B3">
        <w:t xml:space="preserve"> of specific software. </w:t>
      </w:r>
      <w:r w:rsidR="00D10300">
        <w:t>Consequently</w:t>
      </w:r>
      <w:r w:rsidR="00505AE8">
        <w:t xml:space="preserve">, the </w:t>
      </w:r>
      <w:r w:rsidR="00D10300">
        <w:t xml:space="preserve">possible </w:t>
      </w:r>
      <w:r w:rsidR="00505AE8">
        <w:t>introduc</w:t>
      </w:r>
      <w:r w:rsidR="00D10300">
        <w:t xml:space="preserve">tion of </w:t>
      </w:r>
      <w:r w:rsidR="00505AE8">
        <w:t xml:space="preserve">a special additional fee for recovering the costs of </w:t>
      </w:r>
      <w:proofErr w:type="spellStart"/>
      <w:r w:rsidR="00505AE8">
        <w:t>epfd</w:t>
      </w:r>
      <w:proofErr w:type="spellEnd"/>
      <w:r w:rsidR="00505AE8">
        <w:t xml:space="preserve"> examination of coordination requests and notifications should be studied. </w:t>
      </w:r>
    </w:p>
    <w:p w14:paraId="201B405B" w14:textId="0AE3C0BD" w:rsidR="00432C20" w:rsidRDefault="00DD5A26" w:rsidP="00DC3614">
      <w:pPr>
        <w:tabs>
          <w:tab w:val="clear" w:pos="567"/>
          <w:tab w:val="clear" w:pos="1134"/>
          <w:tab w:val="clear" w:pos="1701"/>
          <w:tab w:val="clear" w:pos="2268"/>
          <w:tab w:val="clear" w:pos="2835"/>
        </w:tabs>
        <w:spacing w:after="120"/>
        <w:jc w:val="both"/>
        <w:rPr>
          <w:lang w:val="en-US"/>
        </w:rPr>
      </w:pPr>
      <w:r>
        <w:t>6</w:t>
      </w:r>
      <w:r w:rsidR="00432C20">
        <w:t>.</w:t>
      </w:r>
      <w:r w:rsidR="00D972DE">
        <w:t>4</w:t>
      </w:r>
      <w:r w:rsidR="00432C20">
        <w:tab/>
      </w:r>
      <w:r w:rsidR="00DC3614">
        <w:t xml:space="preserve">Since 2005, WRCs have also introduced </w:t>
      </w:r>
      <w:proofErr w:type="gramStart"/>
      <w:r w:rsidR="00DC3614">
        <w:t>a number of</w:t>
      </w:r>
      <w:proofErr w:type="gramEnd"/>
      <w:r w:rsidR="00DC3614">
        <w:t xml:space="preserve"> modifications to the Space </w:t>
      </w:r>
      <w:r w:rsidR="00432C20">
        <w:t>Plans</w:t>
      </w:r>
      <w:r w:rsidR="00DC3614">
        <w:t xml:space="preserve"> (for example, </w:t>
      </w:r>
      <w:r w:rsidR="00891E23">
        <w:t xml:space="preserve">the </w:t>
      </w:r>
      <w:r w:rsidR="00DC3614">
        <w:t xml:space="preserve">possibility of a </w:t>
      </w:r>
      <w:r w:rsidR="00432C20">
        <w:rPr>
          <w:lang w:val="en-US"/>
        </w:rPr>
        <w:t>second examination for processing of Part B submissions</w:t>
      </w:r>
      <w:r w:rsidR="00DC3614">
        <w:rPr>
          <w:lang w:val="en-US"/>
        </w:rPr>
        <w:t xml:space="preserve"> or additional activities related to the maintenance of the planned frequency assignments, in a manner similar to </w:t>
      </w:r>
      <w:r w:rsidR="00D10300">
        <w:rPr>
          <w:lang w:val="en-US"/>
        </w:rPr>
        <w:t>that</w:t>
      </w:r>
      <w:r w:rsidR="00DC3614">
        <w:rPr>
          <w:lang w:val="en-US"/>
        </w:rPr>
        <w:t xml:space="preserve"> described in section 6.2</w:t>
      </w:r>
      <w:r w:rsidR="00432C20">
        <w:rPr>
          <w:lang w:val="en-US"/>
        </w:rPr>
        <w:t>)</w:t>
      </w:r>
      <w:r w:rsidR="00DC3614">
        <w:rPr>
          <w:lang w:val="en-US"/>
        </w:rPr>
        <w:t xml:space="preserve">. The consequences of these modifications on the schedule of fees should also be studied. </w:t>
      </w:r>
    </w:p>
    <w:p w14:paraId="5EED6CEB" w14:textId="5ADDE4FC" w:rsidR="00DD5A26" w:rsidRDefault="00DD5A26" w:rsidP="00B57D26">
      <w:pPr>
        <w:tabs>
          <w:tab w:val="clear" w:pos="567"/>
          <w:tab w:val="clear" w:pos="1134"/>
          <w:tab w:val="clear" w:pos="1701"/>
          <w:tab w:val="clear" w:pos="2268"/>
          <w:tab w:val="clear" w:pos="2835"/>
        </w:tabs>
        <w:spacing w:before="360" w:after="120"/>
        <w:jc w:val="both"/>
      </w:pPr>
      <w:r>
        <w:rPr>
          <w:b/>
          <w:bCs/>
        </w:rPr>
        <w:t>7</w:t>
      </w:r>
      <w:r w:rsidRPr="003A4EEC">
        <w:rPr>
          <w:b/>
          <w:bCs/>
        </w:rPr>
        <w:t>.</w:t>
      </w:r>
      <w:r w:rsidRPr="003A4EEC">
        <w:rPr>
          <w:b/>
          <w:bCs/>
        </w:rPr>
        <w:tab/>
        <w:t>What works well in Council Decision 482 and should not be changed</w:t>
      </w:r>
    </w:p>
    <w:p w14:paraId="5578632A" w14:textId="0DFD6C60" w:rsidR="00DD5A26" w:rsidRDefault="00DD5A26" w:rsidP="00DD5A26">
      <w:pPr>
        <w:tabs>
          <w:tab w:val="clear" w:pos="567"/>
          <w:tab w:val="clear" w:pos="1134"/>
          <w:tab w:val="clear" w:pos="1701"/>
          <w:tab w:val="clear" w:pos="2268"/>
          <w:tab w:val="clear" w:pos="2835"/>
        </w:tabs>
        <w:spacing w:after="120"/>
        <w:jc w:val="both"/>
      </w:pPr>
      <w:r>
        <w:t>7.1</w:t>
      </w:r>
      <w:r>
        <w:tab/>
        <w:t>The overall framework set by Decision 482</w:t>
      </w:r>
      <w:r w:rsidR="00D10300">
        <w:t xml:space="preserve"> </w:t>
      </w:r>
      <w:r w:rsidR="00D10300" w:rsidRPr="00D10300">
        <w:t>(C01, last amended C20)</w:t>
      </w:r>
      <w:r>
        <w:t xml:space="preserve"> </w:t>
      </w:r>
      <w:r w:rsidR="00D10300">
        <w:t>and</w:t>
      </w:r>
      <w:r>
        <w:t xml:space="preserve"> the </w:t>
      </w:r>
      <w:r>
        <w:rPr>
          <w:rFonts w:eastAsiaTheme="minorEastAsia"/>
          <w:lang w:eastAsia="zh-CN"/>
        </w:rPr>
        <w:t>s</w:t>
      </w:r>
      <w:r w:rsidRPr="007E04E8">
        <w:rPr>
          <w:rFonts w:eastAsiaTheme="minorEastAsia"/>
          <w:lang w:eastAsia="zh-CN"/>
        </w:rPr>
        <w:t xml:space="preserve">chedule of processing charges </w:t>
      </w:r>
      <w:r>
        <w:rPr>
          <w:rFonts w:eastAsiaTheme="minorEastAsia"/>
          <w:lang w:eastAsia="zh-CN"/>
        </w:rPr>
        <w:t xml:space="preserve">are </w:t>
      </w:r>
      <w:r>
        <w:t>well understood by notifying administrations and satellite operators because the fee categories follow the type</w:t>
      </w:r>
      <w:r w:rsidR="00D10300">
        <w:t>s</w:t>
      </w:r>
      <w:r>
        <w:t xml:space="preserve"> of submission defined in the Radio Regulations.</w:t>
      </w:r>
    </w:p>
    <w:p w14:paraId="06811C66" w14:textId="24EBF5B6" w:rsidR="00DD5A26" w:rsidRDefault="00DD5A26" w:rsidP="00DD5A26">
      <w:pPr>
        <w:tabs>
          <w:tab w:val="clear" w:pos="567"/>
          <w:tab w:val="clear" w:pos="1134"/>
          <w:tab w:val="clear" w:pos="1701"/>
          <w:tab w:val="clear" w:pos="2268"/>
          <w:tab w:val="clear" w:pos="2835"/>
        </w:tabs>
        <w:spacing w:after="120"/>
        <w:jc w:val="both"/>
      </w:pPr>
      <w:r>
        <w:t>7.2</w:t>
      </w:r>
      <w:r>
        <w:tab/>
        <w:t xml:space="preserve">Since 2005, fees are entirely predictable at the time of submission because they are calculated </w:t>
      </w:r>
      <w:r w:rsidRPr="00F14BC7">
        <w:rPr>
          <w:i/>
          <w:iCs/>
        </w:rPr>
        <w:t>a priori</w:t>
      </w:r>
      <w:r>
        <w:t xml:space="preserve"> according to the Annex to Decision 482.</w:t>
      </w:r>
    </w:p>
    <w:p w14:paraId="222B3C3D" w14:textId="47AAD989" w:rsidR="00DD5A26" w:rsidRDefault="00DD5A26" w:rsidP="00DD5A26">
      <w:pPr>
        <w:tabs>
          <w:tab w:val="clear" w:pos="567"/>
          <w:tab w:val="clear" w:pos="1134"/>
          <w:tab w:val="clear" w:pos="1701"/>
          <w:tab w:val="clear" w:pos="2268"/>
          <w:tab w:val="clear" w:pos="2835"/>
        </w:tabs>
        <w:spacing w:after="120"/>
        <w:jc w:val="both"/>
      </w:pPr>
      <w:r>
        <w:t>7.3</w:t>
      </w:r>
      <w:r>
        <w:tab/>
        <w:t xml:space="preserve">These two </w:t>
      </w:r>
      <w:r w:rsidR="00D10300">
        <w:t xml:space="preserve">factors </w:t>
      </w:r>
      <w:r>
        <w:t xml:space="preserve">have </w:t>
      </w:r>
      <w:r w:rsidR="00D10300">
        <w:t xml:space="preserve">contributed </w:t>
      </w:r>
      <w:r>
        <w:t xml:space="preserve">to an invoice payment rate </w:t>
      </w:r>
      <w:r w:rsidR="007F40CA">
        <w:t>with</w:t>
      </w:r>
      <w:r>
        <w:t xml:space="preserve">in </w:t>
      </w:r>
      <w:r w:rsidR="00D10300">
        <w:t xml:space="preserve">six </w:t>
      </w:r>
      <w:r>
        <w:t xml:space="preserve">months </w:t>
      </w:r>
      <w:r w:rsidR="00D10300">
        <w:t xml:space="preserve">of </w:t>
      </w:r>
      <w:r>
        <w:t>greater than 99.5</w:t>
      </w:r>
      <w:r w:rsidR="00D10300">
        <w:t> per cent,</w:t>
      </w:r>
      <w:r>
        <w:t xml:space="preserve"> with an even better overall invoice payment rate within the </w:t>
      </w:r>
      <w:proofErr w:type="gramStart"/>
      <w:r>
        <w:t>time</w:t>
      </w:r>
      <w:r w:rsidR="00D10300">
        <w:t>-frame</w:t>
      </w:r>
      <w:proofErr w:type="gramEnd"/>
      <w:r w:rsidR="00D10300">
        <w:t xml:space="preserve"> permitted </w:t>
      </w:r>
      <w:r>
        <w:t>by the Rules of Procedure.</w:t>
      </w:r>
    </w:p>
    <w:p w14:paraId="6FB2B910" w14:textId="37910107" w:rsidR="00DD5A26" w:rsidRDefault="00DD5A26" w:rsidP="00DD5A26">
      <w:pPr>
        <w:tabs>
          <w:tab w:val="clear" w:pos="567"/>
          <w:tab w:val="clear" w:pos="1134"/>
          <w:tab w:val="clear" w:pos="1701"/>
          <w:tab w:val="clear" w:pos="2268"/>
          <w:tab w:val="clear" w:pos="2835"/>
        </w:tabs>
        <w:spacing w:after="120"/>
        <w:jc w:val="both"/>
      </w:pPr>
      <w:r>
        <w:lastRenderedPageBreak/>
        <w:t>7.4</w:t>
      </w:r>
      <w:r>
        <w:tab/>
        <w:t xml:space="preserve">While these features do not lead to </w:t>
      </w:r>
      <w:r w:rsidR="005E08EB">
        <w:t xml:space="preserve">an entirely accurate </w:t>
      </w:r>
      <w:r>
        <w:t>and complete cost recovery, they remain fundamental to a functional process and should therefore not be changed.</w:t>
      </w:r>
    </w:p>
    <w:p w14:paraId="32878248" w14:textId="621D0871" w:rsidR="00DD5A26" w:rsidRPr="0051442F" w:rsidRDefault="00DD5A26" w:rsidP="00B57D26">
      <w:pPr>
        <w:tabs>
          <w:tab w:val="clear" w:pos="567"/>
          <w:tab w:val="clear" w:pos="1134"/>
          <w:tab w:val="clear" w:pos="1701"/>
          <w:tab w:val="clear" w:pos="2268"/>
          <w:tab w:val="clear" w:pos="2835"/>
        </w:tabs>
        <w:spacing w:before="360" w:after="120"/>
        <w:jc w:val="both"/>
      </w:pPr>
      <w:r w:rsidRPr="0051442F">
        <w:rPr>
          <w:b/>
          <w:bCs/>
        </w:rPr>
        <w:t>8.</w:t>
      </w:r>
      <w:r w:rsidRPr="0051442F">
        <w:tab/>
      </w:r>
      <w:r w:rsidRPr="0051442F">
        <w:rPr>
          <w:b/>
          <w:bCs/>
        </w:rPr>
        <w:t>Assistance and capacity-building activities related to satellite network filings</w:t>
      </w:r>
    </w:p>
    <w:p w14:paraId="254720AF" w14:textId="3528DF05" w:rsidR="00B57D26" w:rsidRDefault="0051442F" w:rsidP="00B57D26">
      <w:pPr>
        <w:tabs>
          <w:tab w:val="clear" w:pos="567"/>
          <w:tab w:val="clear" w:pos="1134"/>
          <w:tab w:val="clear" w:pos="1701"/>
          <w:tab w:val="clear" w:pos="2268"/>
          <w:tab w:val="clear" w:pos="2835"/>
        </w:tabs>
        <w:overflowPunct/>
        <w:autoSpaceDE/>
        <w:autoSpaceDN/>
        <w:adjustRightInd/>
        <w:spacing w:before="360"/>
        <w:textAlignment w:val="auto"/>
      </w:pPr>
      <w:r>
        <w:t>8.1</w:t>
      </w:r>
      <w:r>
        <w:tab/>
      </w:r>
      <w:r w:rsidR="00DD5A26">
        <w:t xml:space="preserve">Assistance provided by the </w:t>
      </w:r>
      <w:r w:rsidR="00D10300">
        <w:t xml:space="preserve">Radiocommunication </w:t>
      </w:r>
      <w:r w:rsidR="00DD5A26">
        <w:t xml:space="preserve">Bureau to the ITU membership in </w:t>
      </w:r>
      <w:r w:rsidR="00D10300">
        <w:t xml:space="preserve">the </w:t>
      </w:r>
      <w:r w:rsidR="00DD5A26">
        <w:t xml:space="preserve">preparation of filings or capacity-building activities to disseminate information on regulatory procedures and </w:t>
      </w:r>
      <w:r w:rsidR="00D10300">
        <w:t xml:space="preserve">Bureau </w:t>
      </w:r>
      <w:r w:rsidR="00DD5A26">
        <w:t>space databases and software are currently</w:t>
      </w:r>
      <w:r w:rsidR="008B2066">
        <w:t>,</w:t>
      </w:r>
      <w:r w:rsidR="00DD5A26">
        <w:t xml:space="preserve"> and should </w:t>
      </w:r>
      <w:r w:rsidR="00D10300">
        <w:t>remain</w:t>
      </w:r>
      <w:r w:rsidR="00DD5A26">
        <w:t xml:space="preserve">, not subject to specific fees when requested or pursued. </w:t>
      </w:r>
      <w:r w:rsidR="008B2066">
        <w:t xml:space="preserve">However, a Council </w:t>
      </w:r>
      <w:r w:rsidR="00D10300">
        <w:t>e</w:t>
      </w:r>
      <w:r w:rsidR="008B2066">
        <w:t xml:space="preserve">xpert </w:t>
      </w:r>
      <w:r w:rsidR="00D10300">
        <w:t>g</w:t>
      </w:r>
      <w:r w:rsidR="008B2066">
        <w:t xml:space="preserve">roup could study whether satellite network filing </w:t>
      </w:r>
      <w:r w:rsidR="008B2066" w:rsidRPr="008B2066">
        <w:t xml:space="preserve">fees </w:t>
      </w:r>
      <w:r w:rsidR="008B2066">
        <w:t xml:space="preserve">could </w:t>
      </w:r>
      <w:r w:rsidR="00D571E1" w:rsidRPr="00D571E1">
        <w:t xml:space="preserve">also be used to offset </w:t>
      </w:r>
      <w:r w:rsidR="008B2066" w:rsidRPr="008B2066">
        <w:t xml:space="preserve">ITU’s costs in helping all countries, especially developing ones, to make use of satellites in promoting universal connectivity and sustainable digital transformation, including the development of digital or software tools </w:t>
      </w:r>
      <w:r w:rsidR="00D10300">
        <w:t>for that purpose</w:t>
      </w:r>
      <w:r w:rsidR="008B2066" w:rsidRPr="008B2066">
        <w:t>.</w:t>
      </w:r>
    </w:p>
    <w:p w14:paraId="3591B173" w14:textId="4EEFB1FB" w:rsidR="00CB7728" w:rsidRDefault="001069E0" w:rsidP="00B57D26">
      <w:pPr>
        <w:tabs>
          <w:tab w:val="clear" w:pos="567"/>
          <w:tab w:val="clear" w:pos="1134"/>
          <w:tab w:val="clear" w:pos="1701"/>
          <w:tab w:val="clear" w:pos="2268"/>
          <w:tab w:val="clear" w:pos="2835"/>
        </w:tabs>
        <w:overflowPunct/>
        <w:autoSpaceDE/>
        <w:autoSpaceDN/>
        <w:adjustRightInd/>
        <w:spacing w:before="360"/>
        <w:textAlignment w:val="auto"/>
        <w:rPr>
          <w:b/>
          <w:bCs/>
        </w:rPr>
      </w:pPr>
      <w:r>
        <w:rPr>
          <w:b/>
          <w:bCs/>
        </w:rPr>
        <w:t>9</w:t>
      </w:r>
      <w:r w:rsidR="00CB7728">
        <w:rPr>
          <w:b/>
          <w:bCs/>
        </w:rPr>
        <w:t>.</w:t>
      </w:r>
      <w:r w:rsidR="00DC3614">
        <w:rPr>
          <w:b/>
          <w:bCs/>
        </w:rPr>
        <w:tab/>
      </w:r>
      <w:r w:rsidR="002F5E2F">
        <w:rPr>
          <w:b/>
          <w:bCs/>
        </w:rPr>
        <w:t>Lack of dedicated resources for B</w:t>
      </w:r>
      <w:r w:rsidR="00D10300">
        <w:rPr>
          <w:b/>
          <w:bCs/>
        </w:rPr>
        <w:t>ureau</w:t>
      </w:r>
      <w:r w:rsidR="002F5E2F">
        <w:rPr>
          <w:b/>
          <w:bCs/>
        </w:rPr>
        <w:t xml:space="preserve"> software modernization</w:t>
      </w:r>
    </w:p>
    <w:p w14:paraId="1B101D66" w14:textId="4F108427" w:rsidR="00CB7728" w:rsidRDefault="0051442F" w:rsidP="00CB7728">
      <w:pPr>
        <w:tabs>
          <w:tab w:val="clear" w:pos="567"/>
          <w:tab w:val="clear" w:pos="1134"/>
          <w:tab w:val="clear" w:pos="1701"/>
          <w:tab w:val="clear" w:pos="2268"/>
          <w:tab w:val="clear" w:pos="2835"/>
        </w:tabs>
        <w:spacing w:after="120"/>
        <w:jc w:val="both"/>
      </w:pPr>
      <w:r>
        <w:t>9.1</w:t>
      </w:r>
      <w:r>
        <w:tab/>
      </w:r>
      <w:r w:rsidR="00DC3614">
        <w:t xml:space="preserve">The 2023 session of RAG concluded that </w:t>
      </w:r>
      <w:r w:rsidR="00DC3614" w:rsidRPr="00DC3614">
        <w:t xml:space="preserve">the </w:t>
      </w:r>
      <w:r w:rsidR="00D10300" w:rsidRPr="00D10300">
        <w:t xml:space="preserve">Radiocommunication Bureau </w:t>
      </w:r>
      <w:r w:rsidR="00DC3614" w:rsidRPr="00DC3614">
        <w:t>lack</w:t>
      </w:r>
      <w:r w:rsidR="00D10300">
        <w:t>ed</w:t>
      </w:r>
      <w:r w:rsidR="00DC3614" w:rsidRPr="00DC3614">
        <w:t xml:space="preserve"> sufficient dedicated resources needed to continually update and modernize</w:t>
      </w:r>
      <w:r w:rsidR="00D10300">
        <w:t xml:space="preserve"> the</w:t>
      </w:r>
      <w:r w:rsidR="00DC3614" w:rsidRPr="00DC3614">
        <w:t xml:space="preserve"> B</w:t>
      </w:r>
      <w:r w:rsidR="00D10300">
        <w:t>ureau</w:t>
      </w:r>
      <w:r w:rsidR="00DC3614" w:rsidRPr="00DC3614">
        <w:t xml:space="preserve"> software applications used for satellite and terrestrial filings. </w:t>
      </w:r>
      <w:r w:rsidR="00DC3614">
        <w:t xml:space="preserve">Modernized software would also directly benefit </w:t>
      </w:r>
      <w:r w:rsidR="00D10300">
        <w:t>a</w:t>
      </w:r>
      <w:r w:rsidR="00DC3614">
        <w:t xml:space="preserve">dministrations since </w:t>
      </w:r>
      <w:r w:rsidR="009A694E">
        <w:t>it is</w:t>
      </w:r>
      <w:r w:rsidR="00DC3614">
        <w:t xml:space="preserve"> provided free of charge to all ITU members.</w:t>
      </w:r>
      <w:r>
        <w:t xml:space="preserve"> </w:t>
      </w:r>
      <w:r w:rsidR="00D10300">
        <w:t xml:space="preserve">A </w:t>
      </w:r>
      <w:r w:rsidR="00A67025">
        <w:t xml:space="preserve">Council </w:t>
      </w:r>
      <w:r w:rsidR="00D10300">
        <w:t>e</w:t>
      </w:r>
      <w:r w:rsidR="00A67025">
        <w:t xml:space="preserve">xpert </w:t>
      </w:r>
      <w:r w:rsidR="00D10300">
        <w:t>g</w:t>
      </w:r>
      <w:r w:rsidR="00A67025">
        <w:t xml:space="preserve">roup could also be tasked </w:t>
      </w:r>
      <w:r w:rsidR="00D10300">
        <w:t xml:space="preserve">with </w:t>
      </w:r>
      <w:r w:rsidR="00A67025">
        <w:t>study</w:t>
      </w:r>
      <w:r w:rsidR="00D10300">
        <w:t>ing</w:t>
      </w:r>
      <w:r w:rsidR="00A67025">
        <w:t xml:space="preserve"> possible mechanisms to </w:t>
      </w:r>
      <w:r w:rsidR="002342AB">
        <w:t>address this lack of resources</w:t>
      </w:r>
      <w:r w:rsidR="00A67025">
        <w:t>.</w:t>
      </w:r>
    </w:p>
    <w:p w14:paraId="3F263C72" w14:textId="00075D44" w:rsidR="00C45DAC" w:rsidRPr="00E17D31" w:rsidRDefault="00C45DAC">
      <w:pPr>
        <w:tabs>
          <w:tab w:val="clear" w:pos="567"/>
          <w:tab w:val="clear" w:pos="1134"/>
          <w:tab w:val="clear" w:pos="1701"/>
          <w:tab w:val="clear" w:pos="2268"/>
          <w:tab w:val="clear" w:pos="2835"/>
        </w:tabs>
        <w:overflowPunct/>
        <w:autoSpaceDE/>
        <w:autoSpaceDN/>
        <w:adjustRightInd/>
        <w:spacing w:before="0"/>
        <w:textAlignment w:val="auto"/>
        <w:rPr>
          <w:b/>
          <w:bCs/>
        </w:rPr>
      </w:pPr>
      <w:r w:rsidRPr="00E17D31">
        <w:rPr>
          <w:b/>
          <w:bCs/>
        </w:rPr>
        <w:br w:type="page"/>
      </w:r>
    </w:p>
    <w:p w14:paraId="23E8D01B" w14:textId="531926A9" w:rsidR="00C45DAC" w:rsidRDefault="00C45DAC" w:rsidP="00C45DAC">
      <w:pPr>
        <w:pStyle w:val="AnnexNo"/>
      </w:pPr>
      <w:bookmarkStart w:id="9" w:name="Annex2"/>
      <w:r>
        <w:lastRenderedPageBreak/>
        <w:t xml:space="preserve">Annex </w:t>
      </w:r>
      <w:r w:rsidR="003577C3">
        <w:t>2</w:t>
      </w:r>
      <w:bookmarkEnd w:id="9"/>
    </w:p>
    <w:p w14:paraId="450433A5" w14:textId="1B94640D" w:rsidR="00C45DAC" w:rsidRPr="00C45DAC" w:rsidRDefault="00C45DAC" w:rsidP="00C45DAC">
      <w:pPr>
        <w:pStyle w:val="Annextitle"/>
      </w:pPr>
      <w:r>
        <w:t xml:space="preserve">Draft </w:t>
      </w:r>
      <w:r w:rsidR="00D10300">
        <w:t>t</w:t>
      </w:r>
      <w:r>
        <w:t xml:space="preserve">erms of reference for a Council </w:t>
      </w:r>
      <w:r w:rsidR="005046D3">
        <w:t>e</w:t>
      </w:r>
      <w:r>
        <w:t xml:space="preserve">xpert </w:t>
      </w:r>
      <w:r w:rsidR="005046D3">
        <w:t>g</w:t>
      </w:r>
      <w:r>
        <w:t>roup on Decision 482</w:t>
      </w:r>
    </w:p>
    <w:p w14:paraId="438786F1" w14:textId="3023471B" w:rsidR="00CB7728" w:rsidRDefault="00CB7728" w:rsidP="00B57D26">
      <w:pPr>
        <w:pStyle w:val="Normalaftertitle"/>
      </w:pPr>
      <w:r>
        <w:t>The terms of reference of the Council Expert Group on Decision 482 are</w:t>
      </w:r>
      <w:r w:rsidR="00D10300">
        <w:t xml:space="preserve"> as follows</w:t>
      </w:r>
      <w:r>
        <w:t>:</w:t>
      </w:r>
    </w:p>
    <w:p w14:paraId="4150A970" w14:textId="6BC3CDCC" w:rsidR="00CB7728" w:rsidRDefault="00CB7728" w:rsidP="00CB7728">
      <w:r>
        <w:t>1.</w:t>
      </w:r>
      <w:r>
        <w:tab/>
      </w:r>
      <w:r w:rsidR="00D10300">
        <w:t>The Council Expert Group on Decision 482 shall r</w:t>
      </w:r>
      <w:r>
        <w:t xml:space="preserve">eview </w:t>
      </w:r>
      <w:r w:rsidR="00D972DE">
        <w:t xml:space="preserve">the various issues listed in Annex 1 to </w:t>
      </w:r>
      <w:r>
        <w:t>Document C</w:t>
      </w:r>
      <w:r w:rsidR="00D972DE">
        <w:t>23</w:t>
      </w:r>
      <w:r>
        <w:t>/</w:t>
      </w:r>
      <w:r w:rsidR="00D85242">
        <w:t>19</w:t>
      </w:r>
      <w:r w:rsidR="00D10300">
        <w:t>,</w:t>
      </w:r>
      <w:r w:rsidR="00D85242">
        <w:t xml:space="preserve"> </w:t>
      </w:r>
      <w:proofErr w:type="gramStart"/>
      <w:r>
        <w:t>taking into account</w:t>
      </w:r>
      <w:proofErr w:type="gramEnd"/>
      <w:r>
        <w:t xml:space="preserve"> contributions submitted to its meetings. </w:t>
      </w:r>
    </w:p>
    <w:p w14:paraId="4E80F804" w14:textId="7F02D424" w:rsidR="00CB7728" w:rsidRDefault="00CB7728" w:rsidP="00CB7728">
      <w:r>
        <w:t>2.</w:t>
      </w:r>
      <w:r>
        <w:tab/>
      </w:r>
      <w:r w:rsidR="00D10300">
        <w:t xml:space="preserve">It shall </w:t>
      </w:r>
      <w:r>
        <w:t xml:space="preserve">prepare a report containing recommendations </w:t>
      </w:r>
      <w:r w:rsidR="00D10300">
        <w:t xml:space="preserve">for </w:t>
      </w:r>
      <w:r>
        <w:t>the possible revision of Decision 482 for submission to the 20</w:t>
      </w:r>
      <w:r w:rsidR="00D972DE">
        <w:t xml:space="preserve">24 session of </w:t>
      </w:r>
      <w:r w:rsidR="00D10300">
        <w:t xml:space="preserve">the </w:t>
      </w:r>
      <w:r>
        <w:t>ITU Council for action.</w:t>
      </w:r>
    </w:p>
    <w:p w14:paraId="517B8180" w14:textId="0E4185B8" w:rsidR="00CB7728" w:rsidRDefault="00121770" w:rsidP="00D10300">
      <w:r>
        <w:t>3</w:t>
      </w:r>
      <w:r w:rsidR="00CB7728">
        <w:t>.</w:t>
      </w:r>
      <w:r w:rsidR="00CB7728">
        <w:tab/>
      </w:r>
      <w:r w:rsidR="00D10300">
        <w:t>It</w:t>
      </w:r>
      <w:r w:rsidR="00CB7728">
        <w:t xml:space="preserve"> </w:t>
      </w:r>
      <w:r w:rsidR="00D10300">
        <w:t xml:space="preserve">shall be </w:t>
      </w:r>
      <w:r w:rsidR="00CB7728">
        <w:t>open to all</w:t>
      </w:r>
      <w:r w:rsidR="00D10300">
        <w:t xml:space="preserve"> ITU</w:t>
      </w:r>
      <w:r w:rsidR="00CB7728">
        <w:t xml:space="preserve"> Member States and Sector Members and work in the English language.</w:t>
      </w:r>
      <w:r w:rsidR="00D10300">
        <w:t xml:space="preserve"> It</w:t>
      </w:r>
      <w:r w:rsidR="00CB7728">
        <w:t xml:space="preserve"> should hold physical meetings in conjunction with those of ITU-R Working Party 4A or Council </w:t>
      </w:r>
      <w:r w:rsidR="00D10300">
        <w:t>w</w:t>
      </w:r>
      <w:r w:rsidR="00CB7728">
        <w:t xml:space="preserve">orking </w:t>
      </w:r>
      <w:r w:rsidR="00D10300">
        <w:t>g</w:t>
      </w:r>
      <w:r w:rsidR="00CB7728">
        <w:t xml:space="preserve">roups, when possible. </w:t>
      </w:r>
    </w:p>
    <w:p w14:paraId="16566EB5" w14:textId="626FB97B" w:rsidR="00A514A4" w:rsidRPr="0090147A" w:rsidRDefault="00CA241C" w:rsidP="00B57D26">
      <w:pPr>
        <w:spacing w:before="840"/>
        <w:jc w:val="center"/>
        <w:rPr>
          <w:lang w:val="es-ES"/>
        </w:rPr>
      </w:pPr>
      <w:r w:rsidRPr="008D77AF">
        <w:rPr>
          <w:rFonts w:cstheme="minorHAnsi"/>
        </w:rPr>
        <w:t>_______________</w:t>
      </w:r>
    </w:p>
    <w:sectPr w:rsidR="00A514A4" w:rsidRPr="0090147A" w:rsidSect="00AD3606">
      <w:headerReference w:type="even" r:id="rId14"/>
      <w:headerReference w:type="default" r:id="rId15"/>
      <w:footerReference w:type="even" r:id="rId1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B4B7A" w14:textId="77777777" w:rsidR="00490CE6" w:rsidRDefault="00490CE6">
      <w:r>
        <w:separator/>
      </w:r>
    </w:p>
  </w:endnote>
  <w:endnote w:type="continuationSeparator" w:id="0">
    <w:p w14:paraId="2C6A04E6" w14:textId="77777777" w:rsidR="00490CE6" w:rsidRDefault="0049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2FA0" w14:textId="77777777" w:rsidR="00F14BC7" w:rsidRDefault="00F14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47C97528" w:rsidR="00EE49E8" w:rsidRDefault="00EE49E8" w:rsidP="00EE49E8">
          <w:pPr>
            <w:pStyle w:val="Header"/>
            <w:jc w:val="left"/>
            <w:rPr>
              <w:noProof/>
            </w:rPr>
          </w:pPr>
          <w:r>
            <w:rPr>
              <w:noProof/>
            </w:rPr>
            <w:t xml:space="preserve">DPS </w:t>
          </w:r>
          <w:r w:rsidR="00F14BC7">
            <w:rPr>
              <w:noProof/>
            </w:rPr>
            <w:t>520504</w:t>
          </w:r>
        </w:p>
      </w:tc>
      <w:tc>
        <w:tcPr>
          <w:tcW w:w="8261" w:type="dxa"/>
        </w:tcPr>
        <w:p w14:paraId="35709C74" w14:textId="417E4B28"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22</w:t>
          </w:r>
          <w:r w:rsidRPr="00623AE3">
            <w:rPr>
              <w:bCs/>
            </w:rPr>
            <w:t>/</w:t>
          </w:r>
          <w:r w:rsidR="00F14BC7">
            <w:rPr>
              <w:bCs/>
            </w:rPr>
            <w:t>19</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843B1B"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6D5E52D7"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22</w:t>
          </w:r>
          <w:r w:rsidRPr="00623AE3">
            <w:rPr>
              <w:bCs/>
            </w:rPr>
            <w:t>/</w:t>
          </w:r>
          <w:r w:rsidR="00F14BC7">
            <w:rPr>
              <w:bCs/>
            </w:rPr>
            <w:t>19</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BCA26" w14:textId="77777777" w:rsidR="00490CE6" w:rsidRDefault="00490CE6">
      <w:r>
        <w:t>____________________</w:t>
      </w:r>
    </w:p>
  </w:footnote>
  <w:footnote w:type="continuationSeparator" w:id="0">
    <w:p w14:paraId="66411C06" w14:textId="77777777" w:rsidR="00490CE6" w:rsidRDefault="00490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674D" w14:textId="77777777" w:rsidR="00F14BC7" w:rsidRDefault="00F14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2A71" w14:textId="77777777" w:rsidR="00F14BC7" w:rsidRDefault="00F14B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B24B7C"/>
    <w:multiLevelType w:val="multilevel"/>
    <w:tmpl w:val="222EB954"/>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A7087"/>
    <w:multiLevelType w:val="hybridMultilevel"/>
    <w:tmpl w:val="92E85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A53E6"/>
    <w:multiLevelType w:val="hybridMultilevel"/>
    <w:tmpl w:val="E840632C"/>
    <w:lvl w:ilvl="0" w:tplc="E62A70B2">
      <w:start w:val="5"/>
      <w:numFmt w:val="bullet"/>
      <w:lvlText w:val="-"/>
      <w:lvlJc w:val="left"/>
      <w:pPr>
        <w:ind w:left="1800" w:hanging="360"/>
      </w:pPr>
      <w:rPr>
        <w:rFonts w:ascii="Calibri" w:eastAsiaTheme="minorEastAsia"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8E15519"/>
    <w:multiLevelType w:val="hybridMultilevel"/>
    <w:tmpl w:val="6BE84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856615"/>
    <w:multiLevelType w:val="hybridMultilevel"/>
    <w:tmpl w:val="E940C1DE"/>
    <w:lvl w:ilvl="0" w:tplc="6BC008B2">
      <w:start w:val="8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C400509"/>
    <w:multiLevelType w:val="multilevel"/>
    <w:tmpl w:val="BCBE7EA4"/>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2AE4A10"/>
    <w:multiLevelType w:val="multilevel"/>
    <w:tmpl w:val="2C869082"/>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A0F53B0"/>
    <w:multiLevelType w:val="multilevel"/>
    <w:tmpl w:val="9EF006EA"/>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74816267">
    <w:abstractNumId w:val="0"/>
  </w:num>
  <w:num w:numId="2" w16cid:durableId="2029747985">
    <w:abstractNumId w:val="2"/>
  </w:num>
  <w:num w:numId="3" w16cid:durableId="872814652">
    <w:abstractNumId w:val="1"/>
  </w:num>
  <w:num w:numId="4" w16cid:durableId="531042279">
    <w:abstractNumId w:val="7"/>
  </w:num>
  <w:num w:numId="5" w16cid:durableId="1749885352">
    <w:abstractNumId w:val="6"/>
  </w:num>
  <w:num w:numId="6" w16cid:durableId="2070616934">
    <w:abstractNumId w:val="4"/>
  </w:num>
  <w:num w:numId="7" w16cid:durableId="1198355172">
    <w:abstractNumId w:val="3"/>
  </w:num>
  <w:num w:numId="8" w16cid:durableId="1746756641">
    <w:abstractNumId w:val="8"/>
  </w:num>
  <w:num w:numId="9" w16cid:durableId="1458840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NTQxMLE0NjUzMTJR0lEKTi0uzszPAykwqQUA6GUhzSwAAAA="/>
  </w:docVars>
  <w:rsids>
    <w:rsidRoot w:val="00A54171"/>
    <w:rsid w:val="00005F37"/>
    <w:rsid w:val="00010AC5"/>
    <w:rsid w:val="000210D4"/>
    <w:rsid w:val="00063016"/>
    <w:rsid w:val="00064421"/>
    <w:rsid w:val="00066795"/>
    <w:rsid w:val="00076AF6"/>
    <w:rsid w:val="00085CF2"/>
    <w:rsid w:val="000B1705"/>
    <w:rsid w:val="000C4229"/>
    <w:rsid w:val="000D0AE2"/>
    <w:rsid w:val="000D75B2"/>
    <w:rsid w:val="001069E0"/>
    <w:rsid w:val="001121F5"/>
    <w:rsid w:val="00121770"/>
    <w:rsid w:val="00131F85"/>
    <w:rsid w:val="001400DC"/>
    <w:rsid w:val="00140CE1"/>
    <w:rsid w:val="0017539C"/>
    <w:rsid w:val="00175AC2"/>
    <w:rsid w:val="0017609F"/>
    <w:rsid w:val="00182B4D"/>
    <w:rsid w:val="00185937"/>
    <w:rsid w:val="001A0268"/>
    <w:rsid w:val="001A7D1D"/>
    <w:rsid w:val="001B51DD"/>
    <w:rsid w:val="001C628E"/>
    <w:rsid w:val="001E0F7B"/>
    <w:rsid w:val="001E2452"/>
    <w:rsid w:val="002119FD"/>
    <w:rsid w:val="00211DE7"/>
    <w:rsid w:val="002130E0"/>
    <w:rsid w:val="00214EA3"/>
    <w:rsid w:val="00215F82"/>
    <w:rsid w:val="00221A06"/>
    <w:rsid w:val="002342AB"/>
    <w:rsid w:val="00244C9B"/>
    <w:rsid w:val="00264425"/>
    <w:rsid w:val="00265875"/>
    <w:rsid w:val="0027303B"/>
    <w:rsid w:val="0028109B"/>
    <w:rsid w:val="00291761"/>
    <w:rsid w:val="002A2188"/>
    <w:rsid w:val="002A7C0C"/>
    <w:rsid w:val="002B1F58"/>
    <w:rsid w:val="002B3880"/>
    <w:rsid w:val="002C1C7A"/>
    <w:rsid w:val="002C54E2"/>
    <w:rsid w:val="002D3DFE"/>
    <w:rsid w:val="002F278E"/>
    <w:rsid w:val="002F5E2F"/>
    <w:rsid w:val="00300BEA"/>
    <w:rsid w:val="0030160F"/>
    <w:rsid w:val="003030A5"/>
    <w:rsid w:val="003038B3"/>
    <w:rsid w:val="00320223"/>
    <w:rsid w:val="00322D0D"/>
    <w:rsid w:val="003245CF"/>
    <w:rsid w:val="003577C3"/>
    <w:rsid w:val="00361465"/>
    <w:rsid w:val="003720C0"/>
    <w:rsid w:val="003877F5"/>
    <w:rsid w:val="003942D4"/>
    <w:rsid w:val="003958A8"/>
    <w:rsid w:val="003A2773"/>
    <w:rsid w:val="003A4EEC"/>
    <w:rsid w:val="003C092D"/>
    <w:rsid w:val="003C2533"/>
    <w:rsid w:val="003D5A7F"/>
    <w:rsid w:val="003D69E4"/>
    <w:rsid w:val="003F462A"/>
    <w:rsid w:val="004017A6"/>
    <w:rsid w:val="0040435A"/>
    <w:rsid w:val="00416A24"/>
    <w:rsid w:val="00431D9E"/>
    <w:rsid w:val="00432C20"/>
    <w:rsid w:val="00433CE8"/>
    <w:rsid w:val="00434A5C"/>
    <w:rsid w:val="00441997"/>
    <w:rsid w:val="004463CF"/>
    <w:rsid w:val="004544D9"/>
    <w:rsid w:val="00457549"/>
    <w:rsid w:val="00462F8F"/>
    <w:rsid w:val="00472BAD"/>
    <w:rsid w:val="00484009"/>
    <w:rsid w:val="00490CE6"/>
    <w:rsid w:val="00490E72"/>
    <w:rsid w:val="00491157"/>
    <w:rsid w:val="004921C8"/>
    <w:rsid w:val="00495B0B"/>
    <w:rsid w:val="004A1B8B"/>
    <w:rsid w:val="004B33DE"/>
    <w:rsid w:val="004D1851"/>
    <w:rsid w:val="004D599D"/>
    <w:rsid w:val="004E2EA5"/>
    <w:rsid w:val="004E3AEB"/>
    <w:rsid w:val="004F5A70"/>
    <w:rsid w:val="004F7C7D"/>
    <w:rsid w:val="0050223C"/>
    <w:rsid w:val="005046D3"/>
    <w:rsid w:val="00505AE8"/>
    <w:rsid w:val="0050636F"/>
    <w:rsid w:val="0051442F"/>
    <w:rsid w:val="005205F2"/>
    <w:rsid w:val="005243FF"/>
    <w:rsid w:val="00564FBC"/>
    <w:rsid w:val="005667CC"/>
    <w:rsid w:val="0057374A"/>
    <w:rsid w:val="005800BC"/>
    <w:rsid w:val="00582442"/>
    <w:rsid w:val="005956EF"/>
    <w:rsid w:val="005C0EDF"/>
    <w:rsid w:val="005D4C63"/>
    <w:rsid w:val="005E080B"/>
    <w:rsid w:val="005E08EB"/>
    <w:rsid w:val="005F0C8A"/>
    <w:rsid w:val="005F3269"/>
    <w:rsid w:val="00623AE3"/>
    <w:rsid w:val="0062437C"/>
    <w:rsid w:val="00642FF1"/>
    <w:rsid w:val="0064737F"/>
    <w:rsid w:val="006535F1"/>
    <w:rsid w:val="0065557D"/>
    <w:rsid w:val="00660D50"/>
    <w:rsid w:val="00662984"/>
    <w:rsid w:val="006647FD"/>
    <w:rsid w:val="006702CA"/>
    <w:rsid w:val="006716BB"/>
    <w:rsid w:val="00683E67"/>
    <w:rsid w:val="006A14CB"/>
    <w:rsid w:val="006A16CB"/>
    <w:rsid w:val="006B1859"/>
    <w:rsid w:val="006B6680"/>
    <w:rsid w:val="006B6DCC"/>
    <w:rsid w:val="006C0C3B"/>
    <w:rsid w:val="006C33FB"/>
    <w:rsid w:val="006C6A0B"/>
    <w:rsid w:val="006D6D44"/>
    <w:rsid w:val="00702823"/>
    <w:rsid w:val="00702DEF"/>
    <w:rsid w:val="00706861"/>
    <w:rsid w:val="007349FD"/>
    <w:rsid w:val="0075051B"/>
    <w:rsid w:val="00793188"/>
    <w:rsid w:val="00794D34"/>
    <w:rsid w:val="007D7463"/>
    <w:rsid w:val="007E519D"/>
    <w:rsid w:val="007E7ED1"/>
    <w:rsid w:val="007F1D9C"/>
    <w:rsid w:val="007F40CA"/>
    <w:rsid w:val="00807ED6"/>
    <w:rsid w:val="00813E5E"/>
    <w:rsid w:val="00815A41"/>
    <w:rsid w:val="00825475"/>
    <w:rsid w:val="0083581B"/>
    <w:rsid w:val="008373D6"/>
    <w:rsid w:val="00843B1B"/>
    <w:rsid w:val="00863874"/>
    <w:rsid w:val="00864AFF"/>
    <w:rsid w:val="00865925"/>
    <w:rsid w:val="00891E23"/>
    <w:rsid w:val="008A3967"/>
    <w:rsid w:val="008B2066"/>
    <w:rsid w:val="008B4A6A"/>
    <w:rsid w:val="008C2822"/>
    <w:rsid w:val="008C7E27"/>
    <w:rsid w:val="008D14AA"/>
    <w:rsid w:val="008F27A6"/>
    <w:rsid w:val="008F55B9"/>
    <w:rsid w:val="008F7448"/>
    <w:rsid w:val="0090147A"/>
    <w:rsid w:val="00911412"/>
    <w:rsid w:val="00915210"/>
    <w:rsid w:val="009173EF"/>
    <w:rsid w:val="009320E4"/>
    <w:rsid w:val="00932906"/>
    <w:rsid w:val="00932E30"/>
    <w:rsid w:val="00961B0B"/>
    <w:rsid w:val="00973088"/>
    <w:rsid w:val="009A5A21"/>
    <w:rsid w:val="009A694E"/>
    <w:rsid w:val="009B38C3"/>
    <w:rsid w:val="009B51A4"/>
    <w:rsid w:val="009D1B2F"/>
    <w:rsid w:val="009D740E"/>
    <w:rsid w:val="009E17BD"/>
    <w:rsid w:val="009E485A"/>
    <w:rsid w:val="00A04CEC"/>
    <w:rsid w:val="00A14545"/>
    <w:rsid w:val="00A27F92"/>
    <w:rsid w:val="00A32257"/>
    <w:rsid w:val="00A36D20"/>
    <w:rsid w:val="00A46287"/>
    <w:rsid w:val="00A514A4"/>
    <w:rsid w:val="00A54171"/>
    <w:rsid w:val="00A55622"/>
    <w:rsid w:val="00A67025"/>
    <w:rsid w:val="00A67351"/>
    <w:rsid w:val="00A83502"/>
    <w:rsid w:val="00AD15B3"/>
    <w:rsid w:val="00AD3606"/>
    <w:rsid w:val="00AD4A3D"/>
    <w:rsid w:val="00AD7214"/>
    <w:rsid w:val="00AE130A"/>
    <w:rsid w:val="00AE575F"/>
    <w:rsid w:val="00AF5321"/>
    <w:rsid w:val="00AF6E49"/>
    <w:rsid w:val="00B04A67"/>
    <w:rsid w:val="00B0583C"/>
    <w:rsid w:val="00B40A81"/>
    <w:rsid w:val="00B44910"/>
    <w:rsid w:val="00B574C6"/>
    <w:rsid w:val="00B57D26"/>
    <w:rsid w:val="00B61C86"/>
    <w:rsid w:val="00B72267"/>
    <w:rsid w:val="00B76EB6"/>
    <w:rsid w:val="00B7737B"/>
    <w:rsid w:val="00B824C8"/>
    <w:rsid w:val="00B84B9D"/>
    <w:rsid w:val="00B976FE"/>
    <w:rsid w:val="00BB06DE"/>
    <w:rsid w:val="00BC251A"/>
    <w:rsid w:val="00BD032B"/>
    <w:rsid w:val="00BE2640"/>
    <w:rsid w:val="00C01189"/>
    <w:rsid w:val="00C13D2F"/>
    <w:rsid w:val="00C150FC"/>
    <w:rsid w:val="00C16C9D"/>
    <w:rsid w:val="00C30BC1"/>
    <w:rsid w:val="00C34F7E"/>
    <w:rsid w:val="00C374DE"/>
    <w:rsid w:val="00C45DAC"/>
    <w:rsid w:val="00C47AD4"/>
    <w:rsid w:val="00C52D81"/>
    <w:rsid w:val="00C55198"/>
    <w:rsid w:val="00C65ABC"/>
    <w:rsid w:val="00C74AF3"/>
    <w:rsid w:val="00CA241C"/>
    <w:rsid w:val="00CA6393"/>
    <w:rsid w:val="00CB18FF"/>
    <w:rsid w:val="00CB7728"/>
    <w:rsid w:val="00CD0C08"/>
    <w:rsid w:val="00CE03FB"/>
    <w:rsid w:val="00CE1AE8"/>
    <w:rsid w:val="00CE433C"/>
    <w:rsid w:val="00CF0161"/>
    <w:rsid w:val="00CF33F3"/>
    <w:rsid w:val="00D06183"/>
    <w:rsid w:val="00D10300"/>
    <w:rsid w:val="00D14825"/>
    <w:rsid w:val="00D15CF0"/>
    <w:rsid w:val="00D22C42"/>
    <w:rsid w:val="00D571E1"/>
    <w:rsid w:val="00D65041"/>
    <w:rsid w:val="00D82650"/>
    <w:rsid w:val="00D8286A"/>
    <w:rsid w:val="00D85242"/>
    <w:rsid w:val="00D972DE"/>
    <w:rsid w:val="00DB1936"/>
    <w:rsid w:val="00DB384B"/>
    <w:rsid w:val="00DC3614"/>
    <w:rsid w:val="00DD5A26"/>
    <w:rsid w:val="00DF0189"/>
    <w:rsid w:val="00E06FD5"/>
    <w:rsid w:val="00E10E80"/>
    <w:rsid w:val="00E124F0"/>
    <w:rsid w:val="00E17D31"/>
    <w:rsid w:val="00E60F04"/>
    <w:rsid w:val="00E65B24"/>
    <w:rsid w:val="00E84A56"/>
    <w:rsid w:val="00E854E4"/>
    <w:rsid w:val="00E86DBF"/>
    <w:rsid w:val="00EA0ED8"/>
    <w:rsid w:val="00EB0D6F"/>
    <w:rsid w:val="00EB2232"/>
    <w:rsid w:val="00EC5337"/>
    <w:rsid w:val="00ED4BBA"/>
    <w:rsid w:val="00EE49E8"/>
    <w:rsid w:val="00EF19AF"/>
    <w:rsid w:val="00F14BC7"/>
    <w:rsid w:val="00F16BAB"/>
    <w:rsid w:val="00F2150A"/>
    <w:rsid w:val="00F231D8"/>
    <w:rsid w:val="00F37354"/>
    <w:rsid w:val="00F44C00"/>
    <w:rsid w:val="00F4534A"/>
    <w:rsid w:val="00F46C5F"/>
    <w:rsid w:val="00F53DBF"/>
    <w:rsid w:val="00F569F7"/>
    <w:rsid w:val="00F632C0"/>
    <w:rsid w:val="00F94A63"/>
    <w:rsid w:val="00F9516F"/>
    <w:rsid w:val="00FA1C28"/>
    <w:rsid w:val="00FA7334"/>
    <w:rsid w:val="00FB1279"/>
    <w:rsid w:val="00FB5830"/>
    <w:rsid w:val="00FB6B76"/>
    <w:rsid w:val="00FB7596"/>
    <w:rsid w:val="00FE4077"/>
    <w:rsid w:val="00FE77D2"/>
    <w:rsid w:val="00FF6843"/>
    <w:rsid w:val="00FF69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91E23"/>
    <w:pPr>
      <w:framePr w:hSpace="180" w:wrap="around" w:vAnchor="page" w:hAnchor="page" w:x="1821" w:y="2317"/>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Revision">
    <w:name w:val="Revision"/>
    <w:hidden/>
    <w:uiPriority w:val="99"/>
    <w:semiHidden/>
    <w:rsid w:val="009A5A21"/>
    <w:rPr>
      <w:rFonts w:ascii="Calibri" w:hAnsi="Calibri"/>
      <w:sz w:val="24"/>
      <w:lang w:val="en-GB" w:eastAsia="en-US"/>
    </w:rPr>
  </w:style>
  <w:style w:type="paragraph" w:styleId="ListParagraph">
    <w:name w:val="List Paragraph"/>
    <w:basedOn w:val="Normal"/>
    <w:uiPriority w:val="34"/>
    <w:qFormat/>
    <w:rsid w:val="003A4EEC"/>
    <w:pPr>
      <w:ind w:left="720"/>
      <w:contextualSpacing/>
    </w:pPr>
  </w:style>
  <w:style w:type="character" w:styleId="UnresolvedMention">
    <w:name w:val="Unresolved Mention"/>
    <w:basedOn w:val="DefaultParagraphFont"/>
    <w:uiPriority w:val="99"/>
    <w:semiHidden/>
    <w:unhideWhenUsed/>
    <w:rsid w:val="00291761"/>
    <w:rPr>
      <w:color w:val="605E5C"/>
      <w:shd w:val="clear" w:color="auto" w:fill="E1DFDD"/>
    </w:rPr>
  </w:style>
  <w:style w:type="character" w:styleId="CommentReference">
    <w:name w:val="annotation reference"/>
    <w:basedOn w:val="DefaultParagraphFont"/>
    <w:semiHidden/>
    <w:unhideWhenUsed/>
    <w:rsid w:val="00EA0ED8"/>
    <w:rPr>
      <w:sz w:val="16"/>
      <w:szCs w:val="16"/>
    </w:rPr>
  </w:style>
  <w:style w:type="paragraph" w:styleId="CommentText">
    <w:name w:val="annotation text"/>
    <w:basedOn w:val="Normal"/>
    <w:link w:val="CommentTextChar"/>
    <w:unhideWhenUsed/>
    <w:rsid w:val="00EA0ED8"/>
    <w:rPr>
      <w:sz w:val="20"/>
    </w:rPr>
  </w:style>
  <w:style w:type="character" w:customStyle="1" w:styleId="CommentTextChar">
    <w:name w:val="Comment Text Char"/>
    <w:basedOn w:val="DefaultParagraphFont"/>
    <w:link w:val="CommentText"/>
    <w:rsid w:val="00EA0ED8"/>
    <w:rPr>
      <w:rFonts w:ascii="Calibri" w:hAnsi="Calibri"/>
      <w:lang w:val="en-GB" w:eastAsia="en-US"/>
    </w:rPr>
  </w:style>
  <w:style w:type="paragraph" w:styleId="CommentSubject">
    <w:name w:val="annotation subject"/>
    <w:basedOn w:val="CommentText"/>
    <w:next w:val="CommentText"/>
    <w:link w:val="CommentSubjectChar"/>
    <w:semiHidden/>
    <w:unhideWhenUsed/>
    <w:rsid w:val="00EA0ED8"/>
    <w:rPr>
      <w:b/>
      <w:bCs/>
    </w:rPr>
  </w:style>
  <w:style w:type="character" w:customStyle="1" w:styleId="CommentSubjectChar">
    <w:name w:val="Comment Subject Char"/>
    <w:basedOn w:val="CommentTextChar"/>
    <w:link w:val="CommentSubject"/>
    <w:semiHidden/>
    <w:rsid w:val="00EA0ED8"/>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2961">
      <w:bodyDiv w:val="1"/>
      <w:marLeft w:val="0"/>
      <w:marRight w:val="0"/>
      <w:marTop w:val="0"/>
      <w:marBottom w:val="0"/>
      <w:divBdr>
        <w:top w:val="none" w:sz="0" w:space="0" w:color="auto"/>
        <w:left w:val="none" w:sz="0" w:space="0" w:color="auto"/>
        <w:bottom w:val="none" w:sz="0" w:space="0" w:color="auto"/>
        <w:right w:val="none" w:sz="0" w:space="0" w:color="auto"/>
      </w:divBdr>
    </w:div>
    <w:div w:id="1006253324">
      <w:bodyDiv w:val="1"/>
      <w:marLeft w:val="0"/>
      <w:marRight w:val="0"/>
      <w:marTop w:val="0"/>
      <w:marBottom w:val="0"/>
      <w:divBdr>
        <w:top w:val="none" w:sz="0" w:space="0" w:color="auto"/>
        <w:left w:val="none" w:sz="0" w:space="0" w:color="auto"/>
        <w:bottom w:val="none" w:sz="0" w:space="0" w:color="auto"/>
        <w:right w:val="none" w:sz="0" w:space="0" w:color="auto"/>
      </w:divBdr>
    </w:div>
    <w:div w:id="1077745764">
      <w:bodyDiv w:val="1"/>
      <w:marLeft w:val="0"/>
      <w:marRight w:val="0"/>
      <w:marTop w:val="0"/>
      <w:marBottom w:val="0"/>
      <w:divBdr>
        <w:top w:val="none" w:sz="0" w:space="0" w:color="auto"/>
        <w:left w:val="none" w:sz="0" w:space="0" w:color="auto"/>
        <w:bottom w:val="none" w:sz="0" w:space="0" w:color="auto"/>
        <w:right w:val="none" w:sz="0" w:space="0" w:color="auto"/>
      </w:divBdr>
    </w:div>
    <w:div w:id="1320378121">
      <w:bodyDiv w:val="1"/>
      <w:marLeft w:val="0"/>
      <w:marRight w:val="0"/>
      <w:marTop w:val="0"/>
      <w:marBottom w:val="0"/>
      <w:divBdr>
        <w:top w:val="none" w:sz="0" w:space="0" w:color="auto"/>
        <w:left w:val="none" w:sz="0" w:space="0" w:color="auto"/>
        <w:bottom w:val="none" w:sz="0" w:space="0" w:color="auto"/>
        <w:right w:val="none" w:sz="0" w:space="0" w:color="auto"/>
      </w:divBdr>
    </w:div>
    <w:div w:id="189951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91-E.pdf" TargetMode="External"/><Relationship Id="rId13" Type="http://schemas.openxmlformats.org/officeDocument/2006/relationships/hyperlink" Target="https://www.itu.int/md/S20-DM-CIR-01011/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05-CL-C-0029/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16/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S22-CL-C-0016/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S20-CL-C-0070/en"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3172</Words>
  <Characters>17700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Study on the appropriateness of Council Decision 482 to recover costs associated with the processing of satellite network filings</vt:lpstr>
    </vt:vector>
  </TitlesOfParts>
  <Manager>General Secretariat - Pool</Manager>
  <Company>International Telecommunication Union (ITU)</Company>
  <LinksUpToDate>false</LinksUpToDate>
  <CharactersWithSpaces>20831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the appropriateness of Council Decision 482 to recover costs associated with the processing of satellite network filings</dc:title>
  <dc:subject>Council 2023</dc:subject>
  <dc:creator/>
  <cp:keywords>C2023, C23, Council-23</cp:keywords>
  <dc:description/>
  <cp:lastModifiedBy>Brouard, Ricarda</cp:lastModifiedBy>
  <cp:revision>5</cp:revision>
  <cp:lastPrinted>2000-07-18T13:30:00Z</cp:lastPrinted>
  <dcterms:created xsi:type="dcterms:W3CDTF">2023-05-15T10:06:00Z</dcterms:created>
  <dcterms:modified xsi:type="dcterms:W3CDTF">2023-05-16T14:11:00Z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