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502A7B49" w14:textId="77777777" w:rsidTr="00C538FC">
        <w:trPr>
          <w:cantSplit/>
          <w:trHeight w:val="23"/>
        </w:trPr>
        <w:tc>
          <w:tcPr>
            <w:tcW w:w="3969" w:type="dxa"/>
            <w:vMerge w:val="restart"/>
            <w:tcMar>
              <w:left w:w="0" w:type="dxa"/>
            </w:tcMar>
          </w:tcPr>
          <w:p w14:paraId="173B08A5" w14:textId="06335BEB" w:rsidR="00FE57F6" w:rsidRPr="00E85629" w:rsidRDefault="00BC1B79" w:rsidP="00C538FC">
            <w:pPr>
              <w:tabs>
                <w:tab w:val="left" w:pos="851"/>
              </w:tabs>
              <w:spacing w:before="0" w:line="240" w:lineRule="atLeast"/>
              <w:rPr>
                <w:b/>
              </w:rPr>
            </w:pPr>
            <w:bookmarkStart w:id="0" w:name="_Hlk133421839"/>
            <w:r w:rsidRPr="00BC1B79">
              <w:rPr>
                <w:b/>
              </w:rPr>
              <w:t>Punto del orden del día: PL 3</w:t>
            </w:r>
          </w:p>
        </w:tc>
        <w:tc>
          <w:tcPr>
            <w:tcW w:w="5245" w:type="dxa"/>
          </w:tcPr>
          <w:p w14:paraId="4EC75591" w14:textId="699D46F1"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C23/</w:t>
            </w:r>
            <w:r w:rsidR="00BC1B79">
              <w:rPr>
                <w:b/>
              </w:rPr>
              <w:t>24</w:t>
            </w:r>
            <w:r>
              <w:rPr>
                <w:b/>
              </w:rPr>
              <w:t>-</w:t>
            </w:r>
            <w:r w:rsidR="00F24B71">
              <w:rPr>
                <w:b/>
              </w:rPr>
              <w:t>S</w:t>
            </w:r>
          </w:p>
        </w:tc>
      </w:tr>
      <w:tr w:rsidR="00FE57F6" w:rsidRPr="00813E5E" w14:paraId="1C90C6CB" w14:textId="77777777" w:rsidTr="00C538FC">
        <w:trPr>
          <w:cantSplit/>
        </w:trPr>
        <w:tc>
          <w:tcPr>
            <w:tcW w:w="3969" w:type="dxa"/>
            <w:vMerge/>
          </w:tcPr>
          <w:p w14:paraId="08C870AC" w14:textId="77777777" w:rsidR="00FE57F6" w:rsidRPr="00813E5E" w:rsidRDefault="00FE57F6" w:rsidP="00C538FC">
            <w:pPr>
              <w:tabs>
                <w:tab w:val="left" w:pos="851"/>
              </w:tabs>
              <w:spacing w:line="240" w:lineRule="atLeast"/>
              <w:rPr>
                <w:b/>
              </w:rPr>
            </w:pPr>
          </w:p>
        </w:tc>
        <w:tc>
          <w:tcPr>
            <w:tcW w:w="5245" w:type="dxa"/>
          </w:tcPr>
          <w:p w14:paraId="0C971F19" w14:textId="472BBBFC" w:rsidR="00FE57F6" w:rsidRPr="00E85629" w:rsidRDefault="00BC1B79" w:rsidP="00C538FC">
            <w:pPr>
              <w:tabs>
                <w:tab w:val="left" w:pos="851"/>
              </w:tabs>
              <w:spacing w:before="0"/>
              <w:jc w:val="right"/>
              <w:rPr>
                <w:b/>
              </w:rPr>
            </w:pPr>
            <w:r w:rsidRPr="00BC1B79">
              <w:rPr>
                <w:b/>
              </w:rPr>
              <w:t>1</w:t>
            </w:r>
            <w:r w:rsidR="00B807A2">
              <w:rPr>
                <w:b/>
              </w:rPr>
              <w:t>6</w:t>
            </w:r>
            <w:r w:rsidRPr="00BC1B79">
              <w:rPr>
                <w:b/>
              </w:rPr>
              <w:t xml:space="preserve"> de mayo de 2023</w:t>
            </w:r>
          </w:p>
        </w:tc>
      </w:tr>
      <w:tr w:rsidR="00FE57F6" w:rsidRPr="00F24B71" w14:paraId="42458E1B" w14:textId="77777777" w:rsidTr="00C538FC">
        <w:trPr>
          <w:cantSplit/>
          <w:trHeight w:val="23"/>
        </w:trPr>
        <w:tc>
          <w:tcPr>
            <w:tcW w:w="3969" w:type="dxa"/>
            <w:vMerge/>
          </w:tcPr>
          <w:p w14:paraId="792722DF" w14:textId="77777777" w:rsidR="00FE57F6" w:rsidRPr="00813E5E" w:rsidRDefault="00FE57F6" w:rsidP="00C538FC">
            <w:pPr>
              <w:tabs>
                <w:tab w:val="left" w:pos="851"/>
              </w:tabs>
              <w:spacing w:line="240" w:lineRule="atLeast"/>
              <w:rPr>
                <w:b/>
              </w:rPr>
            </w:pPr>
          </w:p>
        </w:tc>
        <w:tc>
          <w:tcPr>
            <w:tcW w:w="5245" w:type="dxa"/>
          </w:tcPr>
          <w:p w14:paraId="6D71D000" w14:textId="77777777" w:rsidR="00FE57F6" w:rsidRPr="00F24B71" w:rsidRDefault="00F24B71" w:rsidP="00C538FC">
            <w:pPr>
              <w:tabs>
                <w:tab w:val="left" w:pos="851"/>
              </w:tabs>
              <w:spacing w:before="0" w:line="240" w:lineRule="atLeast"/>
              <w:jc w:val="right"/>
              <w:rPr>
                <w:b/>
                <w:bCs/>
              </w:rPr>
            </w:pPr>
            <w:proofErr w:type="gramStart"/>
            <w:r w:rsidRPr="00F24B71">
              <w:rPr>
                <w:rFonts w:cstheme="minorHAnsi"/>
                <w:b/>
                <w:bCs/>
                <w:lang w:val="fr-CH"/>
              </w:rPr>
              <w:t>Original:</w:t>
            </w:r>
            <w:proofErr w:type="gramEnd"/>
            <w:r w:rsidRPr="00F24B71">
              <w:rPr>
                <w:rFonts w:cstheme="minorHAnsi"/>
                <w:b/>
                <w:bCs/>
                <w:lang w:val="fr-CH"/>
              </w:rPr>
              <w:t xml:space="preserve"> </w:t>
            </w:r>
            <w:proofErr w:type="spellStart"/>
            <w:r w:rsidRPr="00F24B71">
              <w:rPr>
                <w:rFonts w:cstheme="minorHAnsi"/>
                <w:b/>
                <w:bCs/>
                <w:lang w:val="fr-CH"/>
              </w:rPr>
              <w:t>inglés</w:t>
            </w:r>
            <w:proofErr w:type="spellEnd"/>
          </w:p>
        </w:tc>
      </w:tr>
      <w:tr w:rsidR="00FE57F6" w:rsidRPr="00813E5E" w14:paraId="56FB50D4" w14:textId="77777777" w:rsidTr="00C538FC">
        <w:trPr>
          <w:cantSplit/>
          <w:trHeight w:val="23"/>
        </w:trPr>
        <w:tc>
          <w:tcPr>
            <w:tcW w:w="3969" w:type="dxa"/>
          </w:tcPr>
          <w:p w14:paraId="01697043" w14:textId="77777777" w:rsidR="00FE57F6" w:rsidRPr="00813E5E" w:rsidRDefault="00FE57F6" w:rsidP="00C538FC">
            <w:pPr>
              <w:tabs>
                <w:tab w:val="left" w:pos="851"/>
              </w:tabs>
              <w:spacing w:line="240" w:lineRule="atLeast"/>
              <w:rPr>
                <w:b/>
              </w:rPr>
            </w:pPr>
          </w:p>
        </w:tc>
        <w:tc>
          <w:tcPr>
            <w:tcW w:w="5245" w:type="dxa"/>
          </w:tcPr>
          <w:p w14:paraId="450474A2" w14:textId="77777777" w:rsidR="00FE57F6" w:rsidRDefault="00FE57F6" w:rsidP="00C538FC">
            <w:pPr>
              <w:tabs>
                <w:tab w:val="left" w:pos="851"/>
              </w:tabs>
              <w:spacing w:before="0" w:line="240" w:lineRule="atLeast"/>
              <w:jc w:val="right"/>
              <w:rPr>
                <w:b/>
              </w:rPr>
            </w:pPr>
          </w:p>
        </w:tc>
      </w:tr>
      <w:tr w:rsidR="00FE57F6" w:rsidRPr="00FE57F6" w14:paraId="2229F759" w14:textId="77777777" w:rsidTr="00C538FC">
        <w:trPr>
          <w:cantSplit/>
        </w:trPr>
        <w:tc>
          <w:tcPr>
            <w:tcW w:w="9214" w:type="dxa"/>
            <w:gridSpan w:val="2"/>
            <w:tcMar>
              <w:left w:w="0" w:type="dxa"/>
            </w:tcMar>
          </w:tcPr>
          <w:p w14:paraId="0258C27D" w14:textId="130F8617" w:rsidR="00FE57F6" w:rsidRPr="00BC1B79" w:rsidRDefault="00BC1B79" w:rsidP="00932F22">
            <w:pPr>
              <w:pStyle w:val="Source"/>
              <w:spacing w:before="600"/>
              <w:jc w:val="left"/>
              <w:rPr>
                <w:sz w:val="34"/>
                <w:szCs w:val="34"/>
                <w:lang w:val="es-ES"/>
              </w:rPr>
            </w:pPr>
            <w:r w:rsidRPr="00BC1B79">
              <w:rPr>
                <w:rFonts w:cstheme="minorHAnsi"/>
                <w:sz w:val="34"/>
                <w:szCs w:val="34"/>
              </w:rPr>
              <w:t xml:space="preserve">Informe de la </w:t>
            </w:r>
            <w:proofErr w:type="gramStart"/>
            <w:r w:rsidRPr="00BC1B79">
              <w:rPr>
                <w:rFonts w:cstheme="minorHAnsi"/>
                <w:sz w:val="34"/>
                <w:szCs w:val="34"/>
              </w:rPr>
              <w:t>Secretaria General</w:t>
            </w:r>
            <w:proofErr w:type="gramEnd"/>
          </w:p>
        </w:tc>
      </w:tr>
      <w:tr w:rsidR="00FE57F6" w:rsidRPr="00813E5E" w14:paraId="6D1EEA01" w14:textId="77777777" w:rsidTr="00C538FC">
        <w:trPr>
          <w:cantSplit/>
        </w:trPr>
        <w:tc>
          <w:tcPr>
            <w:tcW w:w="9214" w:type="dxa"/>
            <w:gridSpan w:val="2"/>
            <w:tcMar>
              <w:left w:w="0" w:type="dxa"/>
            </w:tcMar>
          </w:tcPr>
          <w:p w14:paraId="3F02E52E" w14:textId="6F0ED243" w:rsidR="00FE57F6" w:rsidRPr="00932F22" w:rsidRDefault="00BC1B79" w:rsidP="00932F22">
            <w:pPr>
              <w:pStyle w:val="Subtitle"/>
              <w:framePr w:hSpace="0" w:wrap="auto" w:hAnchor="text" w:xAlign="left" w:yAlign="inline"/>
              <w:rPr>
                <w:lang w:val="es-ES"/>
              </w:rPr>
            </w:pPr>
            <w:bookmarkStart w:id="1" w:name="_Hlk136003715"/>
            <w:r w:rsidRPr="00932F22">
              <w:rPr>
                <w:lang w:val="es-ES"/>
              </w:rPr>
              <w:t>LUGAR Y FECHAS DE CELEBRACIÓN PRECISOS DE LA ASAMBLEA MUNDIAL DE NORMALIZACIÓN DE LAS TELECOMUNICACIONES DE 2024 Y ÚLTIMAS NOVEDADES SOBRE LOS PREPARATIVOS</w:t>
            </w:r>
            <w:bookmarkEnd w:id="1"/>
          </w:p>
        </w:tc>
      </w:tr>
      <w:tr w:rsidR="00FE57F6" w:rsidRPr="00813E5E" w14:paraId="1DDF721A" w14:textId="77777777" w:rsidTr="00C538FC">
        <w:trPr>
          <w:cantSplit/>
        </w:trPr>
        <w:tc>
          <w:tcPr>
            <w:tcW w:w="9214" w:type="dxa"/>
            <w:gridSpan w:val="2"/>
            <w:tcBorders>
              <w:top w:val="single" w:sz="4" w:space="0" w:color="auto"/>
              <w:bottom w:val="single" w:sz="4" w:space="0" w:color="auto"/>
            </w:tcBorders>
            <w:tcMar>
              <w:left w:w="0" w:type="dxa"/>
            </w:tcMar>
          </w:tcPr>
          <w:p w14:paraId="56040F77" w14:textId="18DCA02E" w:rsidR="00FE57F6" w:rsidRPr="00F24B71" w:rsidRDefault="00F24B71" w:rsidP="00C538FC">
            <w:pPr>
              <w:spacing w:before="160"/>
              <w:rPr>
                <w:b/>
                <w:bCs/>
                <w:sz w:val="26"/>
                <w:szCs w:val="26"/>
                <w:lang w:val="es-ES"/>
              </w:rPr>
            </w:pPr>
            <w:r w:rsidRPr="00F24B71">
              <w:rPr>
                <w:b/>
                <w:bCs/>
                <w:sz w:val="26"/>
                <w:szCs w:val="26"/>
                <w:lang w:val="es-ES"/>
              </w:rPr>
              <w:t>Objetivo</w:t>
            </w:r>
          </w:p>
          <w:p w14:paraId="46D9C5CB" w14:textId="77777777" w:rsidR="00BC1B79" w:rsidRPr="00BC1B79" w:rsidRDefault="00BC1B79" w:rsidP="00BC1B79">
            <w:pPr>
              <w:rPr>
                <w:lang w:val="es-ES"/>
              </w:rPr>
            </w:pPr>
            <w:r w:rsidRPr="00BC1B79">
              <w:rPr>
                <w:lang w:val="es-ES"/>
              </w:rPr>
              <w:t>La Resolución 77 (Rev. Bucarest, 2022) de la Conferencia de Plenipotenciarios resuelve que la Asamblea Mundial de Normalización de las Telecomunicaciones (AMNT) se celebrará el último trimestre de 2024 en India.</w:t>
            </w:r>
          </w:p>
          <w:p w14:paraId="2B85C774" w14:textId="7B794675" w:rsidR="00BC1B79" w:rsidRPr="00BC1B79" w:rsidRDefault="00BC1B79" w:rsidP="00BC1B79">
            <w:pPr>
              <w:rPr>
                <w:lang w:val="es-ES"/>
              </w:rPr>
            </w:pPr>
            <w:r w:rsidRPr="00BC1B79">
              <w:rPr>
                <w:lang w:val="es-ES"/>
              </w:rPr>
              <w:t xml:space="preserve">En respuesta a la invitación recibida del Gobierno de India para celebrar la AMNT-24 en el International </w:t>
            </w:r>
            <w:proofErr w:type="spellStart"/>
            <w:r w:rsidRPr="00BC1B79">
              <w:rPr>
                <w:lang w:val="es-ES"/>
              </w:rPr>
              <w:t>Exhibition</w:t>
            </w:r>
            <w:proofErr w:type="spellEnd"/>
            <w:r w:rsidRPr="00BC1B79">
              <w:rPr>
                <w:lang w:val="es-ES"/>
              </w:rPr>
              <w:t xml:space="preserve"> cum </w:t>
            </w:r>
            <w:proofErr w:type="spellStart"/>
            <w:r w:rsidRPr="00BC1B79">
              <w:rPr>
                <w:lang w:val="es-ES"/>
              </w:rPr>
              <w:t>Convention</w:t>
            </w:r>
            <w:proofErr w:type="spellEnd"/>
            <w:r w:rsidRPr="00BC1B79">
              <w:rPr>
                <w:lang w:val="es-ES"/>
              </w:rPr>
              <w:t xml:space="preserve"> Centre, </w:t>
            </w:r>
            <w:proofErr w:type="spellStart"/>
            <w:r w:rsidRPr="00BC1B79">
              <w:rPr>
                <w:lang w:val="es-ES"/>
              </w:rPr>
              <w:t>Pragati</w:t>
            </w:r>
            <w:proofErr w:type="spellEnd"/>
            <w:r w:rsidRPr="00BC1B79">
              <w:rPr>
                <w:lang w:val="es-ES"/>
              </w:rPr>
              <w:t xml:space="preserve"> </w:t>
            </w:r>
            <w:proofErr w:type="spellStart"/>
            <w:r w:rsidRPr="00BC1B79">
              <w:rPr>
                <w:lang w:val="es-ES"/>
              </w:rPr>
              <w:t>Maidan</w:t>
            </w:r>
            <w:proofErr w:type="spellEnd"/>
            <w:r w:rsidRPr="00BC1B79">
              <w:rPr>
                <w:lang w:val="es-ES"/>
              </w:rPr>
              <w:t xml:space="preserve">, Nueva Delhi </w:t>
            </w:r>
            <w:r w:rsidR="00932F22">
              <w:rPr>
                <w:lang w:val="es-ES"/>
              </w:rPr>
              <w:t>(</w:t>
            </w:r>
            <w:r w:rsidRPr="00BC1B79">
              <w:rPr>
                <w:lang w:val="es-ES"/>
              </w:rPr>
              <w:t>India</w:t>
            </w:r>
            <w:r w:rsidR="00932F22">
              <w:rPr>
                <w:lang w:val="es-ES"/>
              </w:rPr>
              <w:t>)</w:t>
            </w:r>
            <w:r w:rsidRPr="00BC1B79">
              <w:rPr>
                <w:lang w:val="es-ES"/>
              </w:rPr>
              <w:t>, del 15 al 24 de octubre de 2024, el Consejo de la UIT, en virtud del número 42 del Convenio de la</w:t>
            </w:r>
            <w:r w:rsidR="00932F22">
              <w:rPr>
                <w:lang w:val="es-ES"/>
              </w:rPr>
              <w:t> </w:t>
            </w:r>
            <w:r w:rsidRPr="00BC1B79">
              <w:rPr>
                <w:lang w:val="es-ES"/>
              </w:rPr>
              <w:t>UIT, deberá determinar el lugar y las fechas de celebración precisos de la AMNT-24 con la concurrencia de la mayoría de los Estados Miembros.</w:t>
            </w:r>
          </w:p>
          <w:p w14:paraId="74D21FAB" w14:textId="4641644A" w:rsidR="00FE57F6" w:rsidRPr="00F24B71" w:rsidRDefault="00BC1B79" w:rsidP="00BC1B79">
            <w:pPr>
              <w:rPr>
                <w:lang w:val="es-ES"/>
              </w:rPr>
            </w:pPr>
            <w:r w:rsidRPr="00BC1B79">
              <w:rPr>
                <w:lang w:val="es-ES"/>
              </w:rPr>
              <w:t>En este documento se da cuenta además de la situación en que se encuentran los preparativos para la AMNT-24 y el Simposio Mundial de Normalización de 2024 (SMN-24).</w:t>
            </w:r>
          </w:p>
          <w:p w14:paraId="3C15E25A" w14:textId="480EA9F4" w:rsidR="00FE57F6" w:rsidRPr="00F24B71" w:rsidRDefault="00BC1B79" w:rsidP="00C538FC">
            <w:pPr>
              <w:spacing w:before="160"/>
              <w:rPr>
                <w:b/>
                <w:bCs/>
                <w:sz w:val="26"/>
                <w:szCs w:val="26"/>
                <w:lang w:val="es-ES"/>
              </w:rPr>
            </w:pPr>
            <w:r w:rsidRPr="00BC1B79">
              <w:rPr>
                <w:b/>
                <w:bCs/>
                <w:sz w:val="26"/>
                <w:szCs w:val="26"/>
                <w:lang w:val="es-ES"/>
              </w:rPr>
              <w:t xml:space="preserve">Acción solicitada </w:t>
            </w:r>
            <w:r w:rsidR="00631028">
              <w:rPr>
                <w:b/>
                <w:bCs/>
                <w:sz w:val="26"/>
                <w:szCs w:val="26"/>
                <w:lang w:val="es-ES"/>
              </w:rPr>
              <w:t>a</w:t>
            </w:r>
            <w:r w:rsidRPr="00BC1B79">
              <w:rPr>
                <w:b/>
                <w:bCs/>
                <w:sz w:val="26"/>
                <w:szCs w:val="26"/>
                <w:lang w:val="es-ES"/>
              </w:rPr>
              <w:t>l Consejo</w:t>
            </w:r>
          </w:p>
          <w:p w14:paraId="2E995AA8" w14:textId="76CB7E64" w:rsidR="00FE57F6" w:rsidRPr="00F24B71" w:rsidRDefault="00BC1B79" w:rsidP="00932F22">
            <w:pPr>
              <w:rPr>
                <w:lang w:val="es-ES"/>
              </w:rPr>
            </w:pPr>
            <w:r w:rsidRPr="00932F22">
              <w:rPr>
                <w:lang w:val="es-ES"/>
              </w:rPr>
              <w:t xml:space="preserve">Se invita al Consejo a </w:t>
            </w:r>
            <w:r w:rsidRPr="00932F22">
              <w:rPr>
                <w:b/>
                <w:bCs/>
                <w:lang w:val="es-ES"/>
              </w:rPr>
              <w:t>tomar nota</w:t>
            </w:r>
            <w:r w:rsidRPr="00932F22">
              <w:rPr>
                <w:lang w:val="es-ES"/>
              </w:rPr>
              <w:t xml:space="preserve"> del Informe sobre los preparativos de la AMNT</w:t>
            </w:r>
            <w:r w:rsidRPr="00BC1B79">
              <w:rPr>
                <w:lang w:val="es-ES"/>
              </w:rPr>
              <w:t xml:space="preserve">-24 y a </w:t>
            </w:r>
            <w:r w:rsidRPr="00932F22">
              <w:rPr>
                <w:b/>
                <w:bCs/>
                <w:lang w:val="es-ES"/>
              </w:rPr>
              <w:t>acordar</w:t>
            </w:r>
            <w:r w:rsidRPr="00BC1B79">
              <w:rPr>
                <w:lang w:val="es-ES"/>
              </w:rPr>
              <w:t xml:space="preserve"> el lugar y las fechas de celebración precisos de la AMNT-24 </w:t>
            </w:r>
            <w:r w:rsidRPr="00932F22">
              <w:rPr>
                <w:b/>
                <w:bCs/>
                <w:lang w:val="es-ES"/>
              </w:rPr>
              <w:t>adoptando</w:t>
            </w:r>
            <w:r w:rsidRPr="00932F22">
              <w:rPr>
                <w:lang w:val="es-ES"/>
              </w:rPr>
              <w:t xml:space="preserve"> el proyecto de Acuerdo que se reproduce en el Anexo 2 al presente documento</w:t>
            </w:r>
            <w:r w:rsidRPr="00BC1B79">
              <w:rPr>
                <w:lang w:val="es-ES"/>
              </w:rPr>
              <w:t>.</w:t>
            </w:r>
          </w:p>
          <w:p w14:paraId="4C37AF34" w14:textId="0C7626A8" w:rsidR="00FE57F6" w:rsidRPr="00F24B71" w:rsidRDefault="00231248" w:rsidP="00C538FC">
            <w:pPr>
              <w:spacing w:before="160"/>
              <w:rPr>
                <w:b/>
                <w:bCs/>
                <w:sz w:val="26"/>
                <w:szCs w:val="26"/>
                <w:lang w:val="es-ES"/>
              </w:rPr>
            </w:pPr>
            <w:r w:rsidRPr="00F24B71">
              <w:rPr>
                <w:b/>
                <w:bCs/>
                <w:sz w:val="26"/>
                <w:szCs w:val="26"/>
                <w:lang w:val="es-ES"/>
              </w:rPr>
              <w:t>Vínculos pertinentes con el Plan Estratégico</w:t>
            </w:r>
          </w:p>
          <w:p w14:paraId="0F49455F" w14:textId="0C66C2AD" w:rsidR="00FE57F6" w:rsidRPr="00F24B71" w:rsidRDefault="00BC1B79" w:rsidP="00C538FC">
            <w:pPr>
              <w:rPr>
                <w:lang w:val="es-ES"/>
              </w:rPr>
            </w:pPr>
            <w:r w:rsidRPr="00BC1B79">
              <w:rPr>
                <w:lang w:val="es-ES"/>
              </w:rPr>
              <w:t>Plataforma de convocación.</w:t>
            </w:r>
          </w:p>
          <w:p w14:paraId="08F6FB12" w14:textId="58531AB4" w:rsidR="00FE57F6" w:rsidRDefault="00231248" w:rsidP="00C538FC">
            <w:pPr>
              <w:spacing w:before="160"/>
              <w:rPr>
                <w:b/>
                <w:bCs/>
                <w:sz w:val="26"/>
                <w:szCs w:val="26"/>
              </w:rPr>
            </w:pPr>
            <w:r w:rsidRPr="00F24B71">
              <w:rPr>
                <w:b/>
                <w:bCs/>
                <w:sz w:val="26"/>
                <w:szCs w:val="26"/>
              </w:rPr>
              <w:t>Repercusiones financieras</w:t>
            </w:r>
          </w:p>
          <w:p w14:paraId="701E8B32" w14:textId="7690E026" w:rsidR="00BC1B79" w:rsidRDefault="00BC1B79" w:rsidP="00BC1B79">
            <w:r w:rsidRPr="00631028">
              <w:rPr>
                <w:lang w:val="es-ES"/>
              </w:rPr>
              <w:t>639 000 CHF</w:t>
            </w:r>
          </w:p>
          <w:p w14:paraId="060AA5CD" w14:textId="77777777" w:rsidR="00FE57F6" w:rsidRPr="00932F22" w:rsidRDefault="00FE57F6" w:rsidP="00932F22">
            <w:pPr>
              <w:spacing w:before="0"/>
              <w:rPr>
                <w:lang w:val="es-ES"/>
              </w:rPr>
            </w:pPr>
            <w:r w:rsidRPr="00932F22">
              <w:rPr>
                <w:lang w:val="es-ES"/>
              </w:rPr>
              <w:t>__________________</w:t>
            </w:r>
          </w:p>
          <w:p w14:paraId="61876F27" w14:textId="29B9A792" w:rsidR="00FE57F6" w:rsidRDefault="00F24B71" w:rsidP="001A6792">
            <w:pPr>
              <w:keepNext/>
              <w:keepLines/>
              <w:spacing w:before="160"/>
              <w:rPr>
                <w:b/>
                <w:bCs/>
                <w:sz w:val="26"/>
                <w:szCs w:val="26"/>
              </w:rPr>
            </w:pPr>
            <w:r w:rsidRPr="00F24B71">
              <w:rPr>
                <w:b/>
                <w:bCs/>
                <w:sz w:val="26"/>
                <w:szCs w:val="26"/>
              </w:rPr>
              <w:t>Referencia</w:t>
            </w:r>
            <w:r w:rsidR="00BC1B79">
              <w:rPr>
                <w:b/>
                <w:bCs/>
                <w:sz w:val="26"/>
                <w:szCs w:val="26"/>
              </w:rPr>
              <w:t>s</w:t>
            </w:r>
          </w:p>
          <w:p w14:paraId="23C02886" w14:textId="639FC311" w:rsidR="00FE57F6" w:rsidRDefault="00B807A2" w:rsidP="00932F22">
            <w:pPr>
              <w:keepNext/>
              <w:keepLines/>
              <w:spacing w:after="120"/>
            </w:pPr>
            <w:hyperlink r:id="rId8" w:history="1">
              <w:r w:rsidR="00BC1B79" w:rsidRPr="00932F22">
                <w:rPr>
                  <w:rStyle w:val="Hyperlink"/>
                  <w:i/>
                  <w:iCs/>
                  <w:lang w:val="es-ES"/>
                </w:rPr>
                <w:t>Número 114 de la Constitución</w:t>
              </w:r>
            </w:hyperlink>
            <w:r w:rsidR="00BC1B79" w:rsidRPr="00BC1B79">
              <w:rPr>
                <w:i/>
                <w:iCs/>
                <w:lang w:val="es-ES"/>
              </w:rPr>
              <w:t xml:space="preserve">, </w:t>
            </w:r>
            <w:hyperlink r:id="rId9" w:history="1">
              <w:r w:rsidR="00BC1B79" w:rsidRPr="00932F22">
                <w:rPr>
                  <w:rStyle w:val="Hyperlink"/>
                  <w:i/>
                  <w:iCs/>
                  <w:lang w:val="es-ES"/>
                </w:rPr>
                <w:t>números 23, 24 y 42 del Convenio</w:t>
              </w:r>
            </w:hyperlink>
            <w:r w:rsidR="00BC1B79" w:rsidRPr="00BC1B79">
              <w:rPr>
                <w:i/>
                <w:iCs/>
                <w:lang w:val="es-ES"/>
              </w:rPr>
              <w:t xml:space="preserve">, </w:t>
            </w:r>
            <w:hyperlink r:id="rId10" w:history="1">
              <w:r w:rsidR="00BC1B79" w:rsidRPr="00932F22">
                <w:rPr>
                  <w:rStyle w:val="Hyperlink"/>
                  <w:i/>
                  <w:iCs/>
                  <w:lang w:val="es-ES"/>
                </w:rPr>
                <w:t>Capítulo I del Reglamento General de las conferencias, asambleas y reuniones de la Unión</w:t>
              </w:r>
            </w:hyperlink>
            <w:r w:rsidR="00BC1B79" w:rsidRPr="00BC1B79">
              <w:rPr>
                <w:i/>
                <w:iCs/>
                <w:lang w:val="es-ES"/>
              </w:rPr>
              <w:t xml:space="preserve">, </w:t>
            </w:r>
            <w:hyperlink r:id="rId11" w:history="1">
              <w:r w:rsidR="00BC1B79" w:rsidRPr="00932F22">
                <w:rPr>
                  <w:rStyle w:val="Hyperlink"/>
                  <w:i/>
                  <w:iCs/>
                  <w:lang w:val="es-ES"/>
                </w:rPr>
                <w:t>Resolución 77 (Rev. Bucarest, 2022)</w:t>
              </w:r>
            </w:hyperlink>
            <w:r w:rsidR="00BC1B79" w:rsidRPr="00BC1B79">
              <w:rPr>
                <w:i/>
                <w:iCs/>
                <w:lang w:val="es-ES"/>
              </w:rPr>
              <w:t xml:space="preserve"> y </w:t>
            </w:r>
            <w:hyperlink r:id="rId12" w:history="1">
              <w:r w:rsidR="00BC1B79" w:rsidRPr="00BC1B79">
                <w:rPr>
                  <w:rStyle w:val="Hyperlink"/>
                  <w:i/>
                  <w:iCs/>
                  <w:lang w:val="es-ES"/>
                </w:rPr>
                <w:t>Resolución 111 (Rev. Busán, 2014)</w:t>
              </w:r>
            </w:hyperlink>
            <w:r w:rsidR="00BC1B79" w:rsidRPr="00BC1B79">
              <w:rPr>
                <w:i/>
                <w:iCs/>
                <w:lang w:val="es-ES"/>
              </w:rPr>
              <w:t xml:space="preserve"> de la Conferencia de Plenipotenciarios, </w:t>
            </w:r>
            <w:hyperlink r:id="rId13" w:history="1">
              <w:r w:rsidR="00BC1B79" w:rsidRPr="00BC1B79">
                <w:rPr>
                  <w:rStyle w:val="Hyperlink"/>
                  <w:i/>
                  <w:iCs/>
                  <w:lang w:val="es-ES"/>
                </w:rPr>
                <w:t>https://www.itu.int/wtsa/2024/</w:t>
              </w:r>
            </w:hyperlink>
          </w:p>
        </w:tc>
      </w:tr>
    </w:tbl>
    <w:bookmarkEnd w:id="0"/>
    <w:p w14:paraId="2D68E240" w14:textId="03E5826A" w:rsidR="00BC1B79" w:rsidRPr="00BC1B79" w:rsidRDefault="00F31B71" w:rsidP="00F31B71">
      <w:pPr>
        <w:pStyle w:val="Heading1"/>
        <w:rPr>
          <w:lang w:val="es-ES"/>
        </w:rPr>
      </w:pPr>
      <w:r>
        <w:rPr>
          <w:lang w:val="es-ES"/>
        </w:rPr>
        <w:lastRenderedPageBreak/>
        <w:t>1</w:t>
      </w:r>
      <w:r>
        <w:rPr>
          <w:lang w:val="es-ES"/>
        </w:rPr>
        <w:tab/>
      </w:r>
      <w:proofErr w:type="gramStart"/>
      <w:r w:rsidR="00BC1B79" w:rsidRPr="00BC1B79">
        <w:rPr>
          <w:lang w:val="es-ES"/>
        </w:rPr>
        <w:t>Lugar</w:t>
      </w:r>
      <w:proofErr w:type="gramEnd"/>
      <w:r w:rsidR="00BC1B79" w:rsidRPr="00BC1B79">
        <w:rPr>
          <w:lang w:val="es-ES"/>
        </w:rPr>
        <w:t xml:space="preserve"> y fechas de celebración</w:t>
      </w:r>
    </w:p>
    <w:p w14:paraId="2BBC88FE" w14:textId="77777777" w:rsidR="00BC1B79" w:rsidRPr="00BC1B79" w:rsidRDefault="00BC1B79" w:rsidP="00BC1B79">
      <w:pPr>
        <w:rPr>
          <w:lang w:val="es-ES"/>
        </w:rPr>
      </w:pPr>
      <w:r w:rsidRPr="00BC1B79">
        <w:rPr>
          <w:lang w:val="es-ES"/>
        </w:rPr>
        <w:t>1.1</w:t>
      </w:r>
      <w:r w:rsidRPr="00BC1B79">
        <w:rPr>
          <w:lang w:val="es-ES"/>
        </w:rPr>
        <w:tab/>
        <w:t>En el número 114 de la Constitución de la UIT se estipula que las Asambleas Mundiales de Normalización de las Telecomunicaciones (AMNT) se celebrarán cada cuatro años, y en los números 23 y 24 del Convenio de la UIT se estipula que normalmente se convocará una AMNT en el intervalo entre dos Conferencias de Plenipotenciarios.</w:t>
      </w:r>
    </w:p>
    <w:p w14:paraId="7AE046A5" w14:textId="77777777" w:rsidR="00BC1B79" w:rsidRPr="00BC1B79" w:rsidRDefault="00BC1B79" w:rsidP="00BC1B79">
      <w:pPr>
        <w:rPr>
          <w:lang w:val="es-ES"/>
        </w:rPr>
      </w:pPr>
      <w:r w:rsidRPr="00BC1B79">
        <w:rPr>
          <w:lang w:val="es-ES"/>
        </w:rPr>
        <w:t>1.2</w:t>
      </w:r>
      <w:r w:rsidRPr="00BC1B79">
        <w:rPr>
          <w:lang w:val="es-ES"/>
        </w:rPr>
        <w:tab/>
        <w:t>En la Resolución 77 (Rev. Bucarest, 2022) de la Conferencia de Plenipotenciarios se resuelve que la AMNT se celebre durante el último trimestre de 2024 en India.</w:t>
      </w:r>
    </w:p>
    <w:p w14:paraId="090327FF" w14:textId="77777777" w:rsidR="00BC1B79" w:rsidRPr="00BC1B79" w:rsidRDefault="00BC1B79" w:rsidP="00BC1B79">
      <w:pPr>
        <w:rPr>
          <w:lang w:val="es-ES"/>
        </w:rPr>
      </w:pPr>
      <w:r w:rsidRPr="00BC1B79">
        <w:rPr>
          <w:lang w:val="es-ES"/>
        </w:rPr>
        <w:t>1.3</w:t>
      </w:r>
      <w:r w:rsidRPr="00BC1B79">
        <w:rPr>
          <w:lang w:val="es-ES"/>
        </w:rPr>
        <w:tab/>
        <w:t xml:space="preserve">En la Resolución 111 (Rev. </w:t>
      </w:r>
      <w:proofErr w:type="spellStart"/>
      <w:r w:rsidRPr="00BC1B79">
        <w:rPr>
          <w:lang w:val="es-ES"/>
        </w:rPr>
        <w:t>Busán</w:t>
      </w:r>
      <w:proofErr w:type="spellEnd"/>
      <w:r w:rsidRPr="00BC1B79">
        <w:rPr>
          <w:lang w:val="es-ES"/>
        </w:rPr>
        <w:t>, 2014) de la Conferencia de Plenipotenciarios se resuelve que la Unión y sus Estados Miembros hagan todo lo posible, con los medios disponibles, por evitar que el periodo planificado de conferencias o asambleas de la UIT coincida con un periodo considerado como religioso importante para un Estado Miembro.</w:t>
      </w:r>
    </w:p>
    <w:p w14:paraId="59222572" w14:textId="77777777" w:rsidR="00BC1B79" w:rsidRPr="00BC1B79" w:rsidRDefault="00BC1B79" w:rsidP="00BC1B79">
      <w:pPr>
        <w:rPr>
          <w:lang w:val="es-ES"/>
        </w:rPr>
      </w:pPr>
      <w:bookmarkStart w:id="2" w:name="OLE_LINK6"/>
      <w:bookmarkStart w:id="3" w:name="OLE_LINK5"/>
      <w:r w:rsidRPr="00BC1B79">
        <w:rPr>
          <w:lang w:val="es-ES"/>
        </w:rPr>
        <w:t>1.4</w:t>
      </w:r>
      <w:r w:rsidRPr="00BC1B79">
        <w:rPr>
          <w:lang w:val="es-ES"/>
        </w:rPr>
        <w:tab/>
        <w:t>en el número 42 del Convenio y el Capítulo I del Reglamento General de las conferencias, asambleas y reuniones de la Unión se exige que, en ausencia de una decisión de la Conferencia de Plenipotenciarios en ese sentido, sea el Consejo de la UIT el que, con la aprobación de la mayoría de los Estados Miembros, determine las fechas exactas y el lugar en que se celebrará una AMNT.</w:t>
      </w:r>
    </w:p>
    <w:p w14:paraId="0E036F04" w14:textId="6EF1974A" w:rsidR="00BC1B79" w:rsidRPr="00BC1B79" w:rsidRDefault="00BC1B79" w:rsidP="00BC1B79">
      <w:pPr>
        <w:rPr>
          <w:lang w:val="es-ES"/>
        </w:rPr>
      </w:pPr>
      <w:r w:rsidRPr="00BC1B79">
        <w:rPr>
          <w:lang w:val="es-ES"/>
        </w:rPr>
        <w:t>1.5</w:t>
      </w:r>
      <w:r w:rsidRPr="00BC1B79">
        <w:rPr>
          <w:lang w:val="es-ES"/>
        </w:rPr>
        <w:tab/>
        <w:t xml:space="preserve">La </w:t>
      </w:r>
      <w:proofErr w:type="gramStart"/>
      <w:r w:rsidRPr="00BC1B79">
        <w:rPr>
          <w:lang w:val="es-ES"/>
        </w:rPr>
        <w:t>Secretaria General</w:t>
      </w:r>
      <w:proofErr w:type="gramEnd"/>
      <w:r w:rsidRPr="00BC1B79">
        <w:rPr>
          <w:lang w:val="es-ES"/>
        </w:rPr>
        <w:t xml:space="preserve"> de la UIT ha recibido del Gobierno de India una invitación para acoger la AMNT-24 en India, proponiendo para ello el periodo comprendido entre el 15 y el 24 de octubre de 2024 en el International </w:t>
      </w:r>
      <w:proofErr w:type="spellStart"/>
      <w:r w:rsidRPr="00BC1B79">
        <w:rPr>
          <w:lang w:val="es-ES"/>
        </w:rPr>
        <w:t>Exhibition</w:t>
      </w:r>
      <w:proofErr w:type="spellEnd"/>
      <w:r w:rsidRPr="00BC1B79">
        <w:rPr>
          <w:lang w:val="es-ES"/>
        </w:rPr>
        <w:t xml:space="preserve"> cum </w:t>
      </w:r>
      <w:proofErr w:type="spellStart"/>
      <w:r w:rsidRPr="00BC1B79">
        <w:rPr>
          <w:lang w:val="es-ES"/>
        </w:rPr>
        <w:t>Convention</w:t>
      </w:r>
      <w:proofErr w:type="spellEnd"/>
      <w:r w:rsidRPr="00BC1B79">
        <w:rPr>
          <w:lang w:val="es-ES"/>
        </w:rPr>
        <w:t xml:space="preserve"> Centre, </w:t>
      </w:r>
      <w:proofErr w:type="spellStart"/>
      <w:r w:rsidRPr="00BC1B79">
        <w:rPr>
          <w:lang w:val="es-ES"/>
        </w:rPr>
        <w:t>Pragati</w:t>
      </w:r>
      <w:proofErr w:type="spellEnd"/>
      <w:r w:rsidRPr="00BC1B79">
        <w:rPr>
          <w:lang w:val="es-ES"/>
        </w:rPr>
        <w:t xml:space="preserve"> </w:t>
      </w:r>
      <w:proofErr w:type="spellStart"/>
      <w:r w:rsidRPr="00BC1B79">
        <w:rPr>
          <w:lang w:val="es-ES"/>
        </w:rPr>
        <w:t>Maidan</w:t>
      </w:r>
      <w:proofErr w:type="spellEnd"/>
      <w:r w:rsidRPr="00BC1B79">
        <w:rPr>
          <w:lang w:val="es-ES"/>
        </w:rPr>
        <w:t xml:space="preserve">, Nueva Delhi </w:t>
      </w:r>
      <w:r w:rsidR="00500E4C">
        <w:rPr>
          <w:lang w:val="es-ES"/>
        </w:rPr>
        <w:t>(</w:t>
      </w:r>
      <w:r w:rsidRPr="00BC1B79">
        <w:rPr>
          <w:lang w:val="es-ES"/>
        </w:rPr>
        <w:t>India</w:t>
      </w:r>
      <w:r w:rsidR="00500E4C">
        <w:rPr>
          <w:lang w:val="es-ES"/>
        </w:rPr>
        <w:t>)</w:t>
      </w:r>
      <w:r w:rsidRPr="00BC1B79">
        <w:rPr>
          <w:lang w:val="es-ES"/>
        </w:rPr>
        <w:t xml:space="preserve"> (véase el </w:t>
      </w:r>
      <w:hyperlink w:anchor="Annex1" w:history="1">
        <w:r w:rsidRPr="00BC1B79">
          <w:rPr>
            <w:rStyle w:val="Hyperlink"/>
            <w:b/>
            <w:bCs/>
            <w:lang w:val="es-ES"/>
          </w:rPr>
          <w:t>Anexo 1</w:t>
        </w:r>
      </w:hyperlink>
      <w:r w:rsidRPr="00BC1B79">
        <w:rPr>
          <w:lang w:val="es-ES"/>
        </w:rPr>
        <w:t>).</w:t>
      </w:r>
      <w:bookmarkEnd w:id="2"/>
      <w:bookmarkEnd w:id="3"/>
    </w:p>
    <w:p w14:paraId="34C6B5CF" w14:textId="0ED4A06F" w:rsidR="00BC1B79" w:rsidRPr="00BC1B79" w:rsidRDefault="00BC1B79" w:rsidP="00BC1B79">
      <w:pPr>
        <w:rPr>
          <w:lang w:val="es-ES"/>
        </w:rPr>
      </w:pPr>
      <w:r w:rsidRPr="00BC1B79">
        <w:rPr>
          <w:lang w:val="es-ES"/>
        </w:rPr>
        <w:t>1.6</w:t>
      </w:r>
      <w:r w:rsidRPr="00BC1B79">
        <w:rPr>
          <w:lang w:val="es-ES"/>
        </w:rPr>
        <w:tab/>
        <w:t>La TSB, en coordinación con el Departamento de Conferencias y Publicaciones de la</w:t>
      </w:r>
      <w:r w:rsidR="00500E4C">
        <w:rPr>
          <w:lang w:val="es-ES"/>
        </w:rPr>
        <w:t> </w:t>
      </w:r>
      <w:r w:rsidRPr="00BC1B79">
        <w:rPr>
          <w:lang w:val="es-ES"/>
        </w:rPr>
        <w:t xml:space="preserve">UIT, prevé hacer una visita al International </w:t>
      </w:r>
      <w:proofErr w:type="spellStart"/>
      <w:r w:rsidRPr="00BC1B79">
        <w:rPr>
          <w:lang w:val="es-ES"/>
        </w:rPr>
        <w:t>Exhibition</w:t>
      </w:r>
      <w:proofErr w:type="spellEnd"/>
      <w:r w:rsidRPr="00BC1B79">
        <w:rPr>
          <w:lang w:val="es-ES"/>
        </w:rPr>
        <w:t xml:space="preserve"> cum </w:t>
      </w:r>
      <w:proofErr w:type="spellStart"/>
      <w:r w:rsidRPr="00BC1B79">
        <w:rPr>
          <w:lang w:val="es-ES"/>
        </w:rPr>
        <w:t>Convention</w:t>
      </w:r>
      <w:proofErr w:type="spellEnd"/>
      <w:r w:rsidRPr="00BC1B79">
        <w:rPr>
          <w:lang w:val="es-ES"/>
        </w:rPr>
        <w:t xml:space="preserve"> Centre, Nueva Delhi </w:t>
      </w:r>
      <w:r w:rsidR="00500E4C">
        <w:rPr>
          <w:lang w:val="es-ES"/>
        </w:rPr>
        <w:t>(</w:t>
      </w:r>
      <w:r w:rsidRPr="00BC1B79">
        <w:rPr>
          <w:lang w:val="es-ES"/>
        </w:rPr>
        <w:t>India</w:t>
      </w:r>
      <w:r w:rsidR="00500E4C">
        <w:rPr>
          <w:lang w:val="es-ES"/>
        </w:rPr>
        <w:t>)</w:t>
      </w:r>
      <w:r w:rsidRPr="00BC1B79">
        <w:rPr>
          <w:lang w:val="es-ES"/>
        </w:rPr>
        <w:t>, a fin de avanzar la planificación logística de la Asamblea.</w:t>
      </w:r>
    </w:p>
    <w:p w14:paraId="4639995F" w14:textId="77777777" w:rsidR="00BC1B79" w:rsidRPr="00BC1B79" w:rsidRDefault="00BC1B79" w:rsidP="00BC1B79">
      <w:pPr>
        <w:rPr>
          <w:lang w:val="es-ES"/>
        </w:rPr>
      </w:pPr>
      <w:r w:rsidRPr="00BC1B79">
        <w:rPr>
          <w:lang w:val="es-ES"/>
        </w:rPr>
        <w:t>1.7</w:t>
      </w:r>
      <w:r w:rsidRPr="00BC1B79">
        <w:rPr>
          <w:lang w:val="es-ES"/>
        </w:rPr>
        <w:tab/>
        <w:t>Se prevé que el Simposio Mundial de Normalización de 2024 (SMN-24) se celebre en el mismo lugar el 14 de octubre de 2024, la víspera del inicio de la AMNT-24.</w:t>
      </w:r>
    </w:p>
    <w:p w14:paraId="2ABD9CD1" w14:textId="058891F6" w:rsidR="00BC1B79" w:rsidRPr="00BC1B79" w:rsidRDefault="00BC1B79" w:rsidP="00F31B71">
      <w:pPr>
        <w:pStyle w:val="Heading1"/>
        <w:rPr>
          <w:lang w:val="es-ES"/>
        </w:rPr>
      </w:pPr>
      <w:r w:rsidRPr="00BC1B79">
        <w:rPr>
          <w:lang w:val="es-ES"/>
        </w:rPr>
        <w:t>2</w:t>
      </w:r>
      <w:r w:rsidRPr="00BC1B79">
        <w:rPr>
          <w:lang w:val="es-ES"/>
        </w:rPr>
        <w:tab/>
      </w:r>
      <w:proofErr w:type="gramStart"/>
      <w:r w:rsidRPr="00BC1B79">
        <w:rPr>
          <w:lang w:val="es-ES"/>
        </w:rPr>
        <w:t>Reuniones</w:t>
      </w:r>
      <w:proofErr w:type="gramEnd"/>
      <w:r w:rsidRPr="00BC1B79">
        <w:rPr>
          <w:lang w:val="es-ES"/>
        </w:rPr>
        <w:t xml:space="preserve"> Preparatorias Regionales para la AMNT-24</w:t>
      </w:r>
    </w:p>
    <w:p w14:paraId="4735C675" w14:textId="77777777" w:rsidR="00BC1B79" w:rsidRPr="00BC1B79" w:rsidRDefault="00BC1B79" w:rsidP="00BC1B79">
      <w:pPr>
        <w:rPr>
          <w:lang w:val="es-ES"/>
        </w:rPr>
      </w:pPr>
      <w:r w:rsidRPr="00BC1B79">
        <w:rPr>
          <w:lang w:val="es-ES"/>
        </w:rPr>
        <w:t>2.1</w:t>
      </w:r>
      <w:r w:rsidRPr="00BC1B79">
        <w:rPr>
          <w:lang w:val="es-ES"/>
        </w:rPr>
        <w:tab/>
        <w:t xml:space="preserve">Las organizaciones regionales de telecomunicaciones están organizando, en coordinación con la TSB, las Reuniones Preparatorias Regionales. En este </w:t>
      </w:r>
      <w:hyperlink r:id="rId14" w:history="1">
        <w:r w:rsidRPr="00BC1B79">
          <w:rPr>
            <w:rStyle w:val="Hyperlink"/>
            <w:lang w:val="es-ES"/>
          </w:rPr>
          <w:t>sitio web</w:t>
        </w:r>
      </w:hyperlink>
      <w:r w:rsidRPr="00BC1B79">
        <w:rPr>
          <w:lang w:val="es-ES"/>
        </w:rPr>
        <w:t xml:space="preserve"> puede encontrarse un calendario actualizado de las Reuniones Preparatorias Regionales programadas.</w:t>
      </w:r>
    </w:p>
    <w:p w14:paraId="750B49BF" w14:textId="77777777" w:rsidR="00BC1B79" w:rsidRPr="00BC1B79" w:rsidRDefault="00BC1B79" w:rsidP="00BC1B79">
      <w:pPr>
        <w:rPr>
          <w:lang w:val="es-ES"/>
        </w:rPr>
      </w:pPr>
      <w:r w:rsidRPr="00BC1B79">
        <w:rPr>
          <w:lang w:val="es-ES"/>
        </w:rPr>
        <w:t>2.2</w:t>
      </w:r>
      <w:r w:rsidRPr="00BC1B79">
        <w:rPr>
          <w:lang w:val="es-ES"/>
        </w:rPr>
        <w:tab/>
        <w:t>Se prevé celebrar dos reuniones de coordinación interregional antes de las dos últimas reuniones del Grupo Asesor de Normalización de las Telecomunicaciones (GANT) de 2024, cuyas fechas están por determinar, para facilitar el debate entre las regiones.</w:t>
      </w:r>
    </w:p>
    <w:p w14:paraId="4D191D05" w14:textId="77777777" w:rsidR="00BC1B79" w:rsidRPr="00BC1B79" w:rsidRDefault="00BC1B79" w:rsidP="00BC1B79">
      <w:pPr>
        <w:rPr>
          <w:lang w:val="es-ES"/>
        </w:rPr>
      </w:pPr>
      <w:r w:rsidRPr="00BC1B79">
        <w:rPr>
          <w:lang w:val="es-ES"/>
        </w:rPr>
        <w:t>2.3</w:t>
      </w:r>
      <w:r w:rsidRPr="00BC1B79">
        <w:rPr>
          <w:lang w:val="es-ES"/>
        </w:rPr>
        <w:tab/>
        <w:t xml:space="preserve">La información sobre la coordinación interregional podrá consultarse en el </w:t>
      </w:r>
      <w:hyperlink r:id="rId15" w:history="1">
        <w:r w:rsidRPr="00BC1B79">
          <w:rPr>
            <w:rStyle w:val="Hyperlink"/>
            <w:lang w:val="es-ES"/>
          </w:rPr>
          <w:t>sitio web de la AMNT-24</w:t>
        </w:r>
      </w:hyperlink>
      <w:r w:rsidRPr="00BC1B79">
        <w:rPr>
          <w:lang w:val="es-ES"/>
        </w:rPr>
        <w:t>.</w:t>
      </w:r>
    </w:p>
    <w:p w14:paraId="577B33BD" w14:textId="7FC653FA" w:rsidR="00BC1B79" w:rsidRPr="00BC1B79" w:rsidRDefault="00BC1B79" w:rsidP="00F31B71">
      <w:pPr>
        <w:pStyle w:val="Heading1"/>
        <w:rPr>
          <w:lang w:val="es-ES"/>
        </w:rPr>
      </w:pPr>
      <w:r w:rsidRPr="00BC1B79">
        <w:rPr>
          <w:lang w:val="es-ES"/>
        </w:rPr>
        <w:lastRenderedPageBreak/>
        <w:t>3</w:t>
      </w:r>
      <w:r w:rsidRPr="00BC1B79">
        <w:rPr>
          <w:lang w:val="es-ES"/>
        </w:rPr>
        <w:tab/>
      </w:r>
      <w:proofErr w:type="gramStart"/>
      <w:r w:rsidRPr="00BC1B79">
        <w:rPr>
          <w:lang w:val="es-ES"/>
        </w:rPr>
        <w:t>Preparativos</w:t>
      </w:r>
      <w:proofErr w:type="gramEnd"/>
      <w:r w:rsidRPr="00BC1B79">
        <w:rPr>
          <w:lang w:val="es-ES"/>
        </w:rPr>
        <w:t xml:space="preserve"> del GANT y las Comisiones de Estudio del UIT-T para la</w:t>
      </w:r>
      <w:r w:rsidR="00500E4C">
        <w:rPr>
          <w:lang w:val="es-ES"/>
        </w:rPr>
        <w:t> </w:t>
      </w:r>
      <w:r w:rsidRPr="00BC1B79">
        <w:rPr>
          <w:lang w:val="es-ES"/>
        </w:rPr>
        <w:t>AMNT</w:t>
      </w:r>
    </w:p>
    <w:p w14:paraId="2C7CBB38" w14:textId="6793CACD" w:rsidR="00BC1B79" w:rsidRPr="00BC1B79" w:rsidRDefault="00BC1B79" w:rsidP="00500E4C">
      <w:pPr>
        <w:keepNext/>
        <w:keepLines/>
        <w:rPr>
          <w:lang w:val="es-ES"/>
        </w:rPr>
      </w:pPr>
      <w:r w:rsidRPr="00BC1B79">
        <w:rPr>
          <w:lang w:val="es-ES"/>
        </w:rPr>
        <w:t>3.1</w:t>
      </w:r>
      <w:r w:rsidRPr="00BC1B79">
        <w:rPr>
          <w:b/>
          <w:bCs/>
          <w:lang w:val="es-ES"/>
        </w:rPr>
        <w:tab/>
      </w:r>
      <w:r w:rsidRPr="00BC1B79">
        <w:rPr>
          <w:lang w:val="es-ES"/>
        </w:rPr>
        <w:t xml:space="preserve">Todas las </w:t>
      </w:r>
      <w:hyperlink r:id="rId16" w:history="1">
        <w:r w:rsidRPr="00BC1B79">
          <w:rPr>
            <w:rStyle w:val="Hyperlink"/>
            <w:lang w:val="es-ES"/>
          </w:rPr>
          <w:t>Comisiones de Estudio del UIT-T</w:t>
        </w:r>
      </w:hyperlink>
      <w:r w:rsidRPr="00BC1B79">
        <w:rPr>
          <w:lang w:val="es-ES"/>
        </w:rPr>
        <w:t xml:space="preserve"> han iniciado los preparativos para la</w:t>
      </w:r>
      <w:r w:rsidR="00F31B71">
        <w:rPr>
          <w:lang w:val="es-ES"/>
        </w:rPr>
        <w:t> </w:t>
      </w:r>
      <w:r w:rsidRPr="00BC1B79">
        <w:rPr>
          <w:lang w:val="es-ES"/>
        </w:rPr>
        <w:t>AMNT</w:t>
      </w:r>
      <w:r w:rsidR="00F31B71">
        <w:rPr>
          <w:lang w:val="es-ES"/>
        </w:rPr>
        <w:noBreakHyphen/>
      </w:r>
      <w:r w:rsidRPr="00BC1B79">
        <w:rPr>
          <w:lang w:val="es-ES"/>
        </w:rPr>
        <w:t>24.</w:t>
      </w:r>
    </w:p>
    <w:p w14:paraId="482719DA" w14:textId="1C2274EB" w:rsidR="00BC1B79" w:rsidRPr="00BC1B79" w:rsidRDefault="00BC1B79" w:rsidP="00BC1B79">
      <w:pPr>
        <w:rPr>
          <w:lang w:val="es-ES"/>
        </w:rPr>
      </w:pPr>
      <w:r w:rsidRPr="00BC1B79">
        <w:rPr>
          <w:lang w:val="es-ES"/>
        </w:rPr>
        <w:t>3.2</w:t>
      </w:r>
      <w:r w:rsidRPr="00BC1B79">
        <w:rPr>
          <w:lang w:val="es-ES"/>
        </w:rPr>
        <w:tab/>
        <w:t>El GANT ha creado y puesto en marcha dos Grupos de Relator específicamente encargados de los preparativos para la AMNT-24: el Grupo de Relator sobre el programa de trabajo del UIT-</w:t>
      </w:r>
      <w:r w:rsidR="00500E4C">
        <w:rPr>
          <w:lang w:val="es-ES"/>
        </w:rPr>
        <w:t>T</w:t>
      </w:r>
      <w:r w:rsidRPr="00BC1B79">
        <w:rPr>
          <w:lang w:val="es-ES"/>
        </w:rPr>
        <w:t xml:space="preserve"> y la reestructuración de las Comisiones de Estudio (GR-PTR) y el Grupo de Relator sobre los preparativos y el examen de las Resoluciones de la AMNT (GR-AMNT).</w:t>
      </w:r>
    </w:p>
    <w:p w14:paraId="1F17971D" w14:textId="77777777" w:rsidR="00BC1B79" w:rsidRPr="00BC1B79" w:rsidRDefault="00BC1B79" w:rsidP="00BC1B79">
      <w:pPr>
        <w:rPr>
          <w:lang w:val="es-ES"/>
        </w:rPr>
      </w:pPr>
      <w:r w:rsidRPr="00BC1B79">
        <w:rPr>
          <w:lang w:val="es-ES"/>
        </w:rPr>
        <w:t>3.3</w:t>
      </w:r>
      <w:r w:rsidRPr="00BC1B79">
        <w:rPr>
          <w:lang w:val="es-ES"/>
        </w:rPr>
        <w:tab/>
        <w:t xml:space="preserve">El GANT tiene previsto celebrar dos reuniones más y una serie de </w:t>
      </w:r>
      <w:hyperlink r:id="rId17" w:history="1">
        <w:r w:rsidRPr="00BC1B79">
          <w:rPr>
            <w:rStyle w:val="Hyperlink"/>
            <w:lang w:val="es-ES"/>
          </w:rPr>
          <w:t>reuniones de los Grupos de Relator</w:t>
        </w:r>
      </w:hyperlink>
      <w:r w:rsidRPr="00BC1B79">
        <w:rPr>
          <w:lang w:val="es-ES"/>
        </w:rPr>
        <w:t xml:space="preserve"> para adelantar los preparativos para la AMNT-24.</w:t>
      </w:r>
    </w:p>
    <w:p w14:paraId="670D01FC" w14:textId="5800F158" w:rsidR="00BC1B79" w:rsidRPr="00BC1B79" w:rsidRDefault="00BC1B79" w:rsidP="00F31B71">
      <w:pPr>
        <w:pStyle w:val="Heading1"/>
        <w:rPr>
          <w:lang w:val="es-ES"/>
        </w:rPr>
      </w:pPr>
      <w:r w:rsidRPr="00BC1B79">
        <w:rPr>
          <w:lang w:val="es-ES"/>
        </w:rPr>
        <w:t>4</w:t>
      </w:r>
      <w:r w:rsidRPr="00BC1B79">
        <w:rPr>
          <w:lang w:val="es-ES"/>
        </w:rPr>
        <w:tab/>
      </w:r>
      <w:proofErr w:type="gramStart"/>
      <w:r w:rsidRPr="00BC1B79">
        <w:rPr>
          <w:lang w:val="es-ES"/>
        </w:rPr>
        <w:t>Plazo</w:t>
      </w:r>
      <w:proofErr w:type="gramEnd"/>
      <w:r w:rsidRPr="00BC1B79">
        <w:rPr>
          <w:lang w:val="es-ES"/>
        </w:rPr>
        <w:t xml:space="preserve"> límite para la presentación de propuestas a la AMNT-24</w:t>
      </w:r>
    </w:p>
    <w:p w14:paraId="79120134" w14:textId="11784639" w:rsidR="00BC1B79" w:rsidRPr="00BC1B79" w:rsidRDefault="00BC1B79" w:rsidP="00BC1B79">
      <w:pPr>
        <w:rPr>
          <w:lang w:val="es-ES"/>
        </w:rPr>
      </w:pPr>
      <w:bookmarkStart w:id="4" w:name="_Hlk52456721"/>
      <w:r w:rsidRPr="00BC1B79">
        <w:rPr>
          <w:lang w:val="es-ES"/>
        </w:rPr>
        <w:t>4.1</w:t>
      </w:r>
      <w:r w:rsidRPr="00BC1B79">
        <w:rPr>
          <w:lang w:val="es-ES"/>
        </w:rPr>
        <w:tab/>
        <w:t>Se invita a las delegaciones a presentar sus contribuciones a la AMNT-24 antes del lunes 16 de septiembre, es decir, cuatro semanas antes del inicio de la AMNT-24, habida cuenta de que, de conformidad con la Resolución 165 (Rev. Dubái, 2018) de la Conferencia de Plenipotenciarios, el plazo fijo máximo para presentar contribuciones expirará 21 días naturales antes del inicio de la AMNT-24, es decir, el lunes 23 de septiembre de 2024 a las 23.59 horas, hora de Ginebra.</w:t>
      </w:r>
      <w:r w:rsidR="00F31B71">
        <w:rPr>
          <w:rStyle w:val="FootnoteReference"/>
          <w:lang w:val="es-ES"/>
        </w:rPr>
        <w:footnoteReference w:id="1"/>
      </w:r>
      <w:r w:rsidRPr="00BC1B79">
        <w:rPr>
          <w:rStyle w:val="FootnoteReference"/>
          <w:lang w:val="es-ES"/>
        </w:rPr>
        <w:t>,</w:t>
      </w:r>
      <w:r w:rsidR="00F31B71">
        <w:rPr>
          <w:rStyle w:val="FootnoteReference"/>
          <w:lang w:val="es-ES"/>
        </w:rPr>
        <w:t xml:space="preserve"> </w:t>
      </w:r>
      <w:r w:rsidR="00F31B71">
        <w:rPr>
          <w:rStyle w:val="FootnoteReference"/>
          <w:lang w:val="es-ES"/>
        </w:rPr>
        <w:footnoteReference w:id="2"/>
      </w:r>
    </w:p>
    <w:bookmarkEnd w:id="4"/>
    <w:p w14:paraId="42C50DDE" w14:textId="11A9549C" w:rsidR="00BC1B79" w:rsidRPr="00BC1B79" w:rsidRDefault="00BC1B79" w:rsidP="00F31B71">
      <w:pPr>
        <w:pStyle w:val="Heading1"/>
        <w:rPr>
          <w:lang w:val="es-ES"/>
        </w:rPr>
      </w:pPr>
      <w:r w:rsidRPr="00BC1B79">
        <w:rPr>
          <w:lang w:val="es-ES"/>
        </w:rPr>
        <w:lastRenderedPageBreak/>
        <w:t>5</w:t>
      </w:r>
      <w:r w:rsidRPr="00BC1B79">
        <w:rPr>
          <w:lang w:val="es-ES"/>
        </w:rPr>
        <w:tab/>
      </w:r>
      <w:proofErr w:type="gramStart"/>
      <w:r w:rsidRPr="00BC1B79">
        <w:rPr>
          <w:lang w:val="es-ES"/>
        </w:rPr>
        <w:t>Becas</w:t>
      </w:r>
      <w:proofErr w:type="gramEnd"/>
    </w:p>
    <w:p w14:paraId="1CB1DFBB" w14:textId="52524268" w:rsidR="00BC1B79" w:rsidRPr="00BC1B79" w:rsidRDefault="00BC1B79" w:rsidP="00500E4C">
      <w:pPr>
        <w:keepNext/>
        <w:keepLines/>
        <w:rPr>
          <w:lang w:val="es-ES"/>
        </w:rPr>
      </w:pPr>
      <w:r w:rsidRPr="00BC1B79">
        <w:rPr>
          <w:lang w:val="es-ES"/>
        </w:rPr>
        <w:t>5.1</w:t>
      </w:r>
      <w:r w:rsidRPr="00BC1B79">
        <w:rPr>
          <w:lang w:val="es-ES"/>
        </w:rPr>
        <w:tab/>
        <w:t>Se concederán becas para la AMNT a los Estados Miembros que cumplan las condiciones para ello, en función de la financiación disponible para facilitar la participación de los países en desarrollo.</w:t>
      </w:r>
      <w:r w:rsidR="00F31B71">
        <w:rPr>
          <w:rStyle w:val="FootnoteReference"/>
          <w:lang w:val="es-ES"/>
        </w:rPr>
        <w:footnoteReference w:id="3"/>
      </w:r>
      <w:r w:rsidRPr="00BC1B79">
        <w:rPr>
          <w:lang w:val="es-ES"/>
        </w:rPr>
        <w:t xml:space="preserve"> Las administraciones de los Estados Miembros de la UIT concernidos deberán autorizar las solicitudes de becas correspondientes.</w:t>
      </w:r>
    </w:p>
    <w:p w14:paraId="6EE0D9DB" w14:textId="1A0689E6" w:rsidR="00BC1B79" w:rsidRPr="00BC1B79" w:rsidRDefault="00BC1B79" w:rsidP="00F31B71">
      <w:pPr>
        <w:pStyle w:val="Heading1"/>
        <w:rPr>
          <w:lang w:val="es-ES"/>
        </w:rPr>
      </w:pPr>
      <w:r w:rsidRPr="00BC1B79">
        <w:rPr>
          <w:lang w:val="es-ES"/>
        </w:rPr>
        <w:t>6</w:t>
      </w:r>
      <w:r w:rsidRPr="00BC1B79">
        <w:rPr>
          <w:lang w:val="es-ES"/>
        </w:rPr>
        <w:tab/>
      </w:r>
      <w:proofErr w:type="gramStart"/>
      <w:r w:rsidRPr="00BC1B79">
        <w:rPr>
          <w:lang w:val="es-ES"/>
        </w:rPr>
        <w:t>Sitio</w:t>
      </w:r>
      <w:proofErr w:type="gramEnd"/>
      <w:r w:rsidRPr="00BC1B79">
        <w:rPr>
          <w:lang w:val="es-ES"/>
        </w:rPr>
        <w:t xml:space="preserve"> web de la AMNT</w:t>
      </w:r>
    </w:p>
    <w:p w14:paraId="431286FE" w14:textId="77777777" w:rsidR="00BC1B79" w:rsidRPr="00BC1B79" w:rsidRDefault="00BC1B79" w:rsidP="00BC1B79">
      <w:pPr>
        <w:rPr>
          <w:lang w:val="es-ES"/>
        </w:rPr>
      </w:pPr>
      <w:r w:rsidRPr="00BC1B79">
        <w:rPr>
          <w:lang w:val="es-ES"/>
        </w:rPr>
        <w:t>6.1</w:t>
      </w:r>
      <w:r w:rsidRPr="00BC1B79">
        <w:rPr>
          <w:lang w:val="es-ES"/>
        </w:rPr>
        <w:tab/>
        <w:t xml:space="preserve">En el sitio web de la AMNT-24, </w:t>
      </w:r>
      <w:hyperlink r:id="rId18" w:history="1">
        <w:r w:rsidRPr="00BC1B79">
          <w:rPr>
            <w:rStyle w:val="Hyperlink"/>
            <w:lang w:val="es-ES"/>
          </w:rPr>
          <w:t>https://www.itu.int/wtsa/2024/</w:t>
        </w:r>
      </w:hyperlink>
      <w:r w:rsidRPr="00BC1B79">
        <w:rPr>
          <w:u w:val="single"/>
          <w:lang w:val="es-ES"/>
        </w:rPr>
        <w:t>,</w:t>
      </w:r>
      <w:r w:rsidRPr="00BC1B79">
        <w:rPr>
          <w:lang w:val="es-ES"/>
        </w:rPr>
        <w:t xml:space="preserve"> se recogerá toda la información anterior.</w:t>
      </w:r>
    </w:p>
    <w:p w14:paraId="38D18F6C" w14:textId="0DC8AB30" w:rsidR="00BC1B79" w:rsidRPr="00BC1B79" w:rsidRDefault="00BC1B79" w:rsidP="00F31B71">
      <w:pPr>
        <w:pStyle w:val="Heading1"/>
        <w:rPr>
          <w:lang w:val="es-ES"/>
        </w:rPr>
      </w:pPr>
      <w:r w:rsidRPr="00BC1B79">
        <w:rPr>
          <w:lang w:val="es-ES"/>
        </w:rPr>
        <w:t>7</w:t>
      </w:r>
      <w:r w:rsidRPr="00BC1B79">
        <w:rPr>
          <w:lang w:val="es-ES"/>
        </w:rPr>
        <w:tab/>
      </w:r>
      <w:proofErr w:type="gramStart"/>
      <w:r w:rsidRPr="00BC1B79">
        <w:rPr>
          <w:lang w:val="es-ES"/>
        </w:rPr>
        <w:t>Propuesta</w:t>
      </w:r>
      <w:proofErr w:type="gramEnd"/>
    </w:p>
    <w:p w14:paraId="5A77F135" w14:textId="4FF64ECC" w:rsidR="00BC1B79" w:rsidRPr="00BC1B79" w:rsidRDefault="00BC1B79" w:rsidP="00BC1B79">
      <w:pPr>
        <w:rPr>
          <w:lang w:val="es-ES"/>
        </w:rPr>
      </w:pPr>
      <w:r w:rsidRPr="00BC1B79">
        <w:rPr>
          <w:lang w:val="es-ES"/>
        </w:rPr>
        <w:t>7.1</w:t>
      </w:r>
      <w:r w:rsidRPr="00BC1B79">
        <w:rPr>
          <w:lang w:val="es-ES"/>
        </w:rPr>
        <w:tab/>
        <w:t xml:space="preserve">Se invita al Consejo a considerar la invitación del Gobierno de India para celebrar la AMNT-24 del 15 al 24 de octubre de 2024 en el International </w:t>
      </w:r>
      <w:proofErr w:type="spellStart"/>
      <w:r w:rsidRPr="00BC1B79">
        <w:rPr>
          <w:lang w:val="es-ES"/>
        </w:rPr>
        <w:t>Exhibition</w:t>
      </w:r>
      <w:proofErr w:type="spellEnd"/>
      <w:r w:rsidRPr="00BC1B79">
        <w:rPr>
          <w:lang w:val="es-ES"/>
        </w:rPr>
        <w:t xml:space="preserve"> cum </w:t>
      </w:r>
      <w:proofErr w:type="spellStart"/>
      <w:r w:rsidRPr="00BC1B79">
        <w:rPr>
          <w:lang w:val="es-ES"/>
        </w:rPr>
        <w:t>Convention</w:t>
      </w:r>
      <w:proofErr w:type="spellEnd"/>
      <w:r w:rsidRPr="00BC1B79">
        <w:rPr>
          <w:lang w:val="es-ES"/>
        </w:rPr>
        <w:t xml:space="preserve"> Centre, </w:t>
      </w:r>
      <w:proofErr w:type="spellStart"/>
      <w:r w:rsidRPr="00BC1B79">
        <w:rPr>
          <w:lang w:val="es-ES"/>
        </w:rPr>
        <w:t>Pragati</w:t>
      </w:r>
      <w:proofErr w:type="spellEnd"/>
      <w:r w:rsidRPr="00BC1B79">
        <w:rPr>
          <w:lang w:val="es-ES"/>
        </w:rPr>
        <w:t xml:space="preserve"> </w:t>
      </w:r>
      <w:proofErr w:type="spellStart"/>
      <w:r w:rsidRPr="00BC1B79">
        <w:rPr>
          <w:lang w:val="es-ES"/>
        </w:rPr>
        <w:t>Maidan</w:t>
      </w:r>
      <w:proofErr w:type="spellEnd"/>
      <w:r w:rsidRPr="00BC1B79">
        <w:rPr>
          <w:lang w:val="es-ES"/>
        </w:rPr>
        <w:t xml:space="preserve">, Nueva Delhi </w:t>
      </w:r>
      <w:r w:rsidR="00500E4C">
        <w:rPr>
          <w:lang w:val="es-ES"/>
        </w:rPr>
        <w:t>(</w:t>
      </w:r>
      <w:r w:rsidRPr="00BC1B79">
        <w:rPr>
          <w:lang w:val="es-ES"/>
        </w:rPr>
        <w:t>India</w:t>
      </w:r>
      <w:r w:rsidR="00500E4C">
        <w:rPr>
          <w:lang w:val="es-ES"/>
        </w:rPr>
        <w:t>)</w:t>
      </w:r>
      <w:r w:rsidRPr="00BC1B79">
        <w:rPr>
          <w:lang w:val="es-ES"/>
        </w:rPr>
        <w:t xml:space="preserve">, y a acordar el lugar y fechas de celebración precisos de la AMNT-24 adoptando el proyecto de Acuerdo reproducido en el </w:t>
      </w:r>
      <w:hyperlink w:anchor="Annex2" w:history="1">
        <w:r w:rsidRPr="00BC1B79">
          <w:rPr>
            <w:rStyle w:val="Hyperlink"/>
            <w:b/>
            <w:bCs/>
            <w:lang w:val="es-ES"/>
          </w:rPr>
          <w:t>Anexo 2</w:t>
        </w:r>
      </w:hyperlink>
      <w:r w:rsidRPr="00BC1B79">
        <w:rPr>
          <w:lang w:val="es-ES"/>
        </w:rPr>
        <w:t>.</w:t>
      </w:r>
    </w:p>
    <w:p w14:paraId="466D6954" w14:textId="77777777" w:rsidR="00BC1B79" w:rsidRPr="00BC1B79" w:rsidRDefault="00BC1B79" w:rsidP="00BC1B79">
      <w:pPr>
        <w:rPr>
          <w:lang w:val="es-ES"/>
        </w:rPr>
      </w:pPr>
      <w:r w:rsidRPr="00BC1B79">
        <w:rPr>
          <w:lang w:val="es-ES"/>
        </w:rPr>
        <w:t xml:space="preserve">Una vez el Consejo haya tomado una decisión al respecto, la </w:t>
      </w:r>
      <w:proofErr w:type="gramStart"/>
      <w:r w:rsidRPr="00BC1B79">
        <w:rPr>
          <w:lang w:val="es-ES"/>
        </w:rPr>
        <w:t>Secretaria General</w:t>
      </w:r>
      <w:proofErr w:type="gramEnd"/>
      <w:r w:rsidRPr="00BC1B79">
        <w:rPr>
          <w:lang w:val="es-ES"/>
        </w:rPr>
        <w:t xml:space="preserve"> celebrará consultas con todos los Estados Miembros sobre el lugar y las fechas de celebración precisos de la AMNT-24.</w:t>
      </w:r>
    </w:p>
    <w:p w14:paraId="6E6E84A5" w14:textId="77777777" w:rsidR="00BC1B79" w:rsidRPr="00BC1B79" w:rsidRDefault="00BC1B79" w:rsidP="00BC1B79">
      <w:pPr>
        <w:rPr>
          <w:lang w:val="es-ES"/>
        </w:rPr>
      </w:pPr>
      <w:r w:rsidRPr="00BC1B79">
        <w:rPr>
          <w:lang w:val="es-ES"/>
        </w:rPr>
        <w:br w:type="page"/>
      </w:r>
    </w:p>
    <w:p w14:paraId="078214FD" w14:textId="77777777" w:rsidR="00F31B71" w:rsidRPr="00927588" w:rsidRDefault="00F31B71" w:rsidP="00F31B71">
      <w:pPr>
        <w:pStyle w:val="AnnexNo"/>
      </w:pPr>
      <w:bookmarkStart w:id="5" w:name="Annex1"/>
      <w:bookmarkEnd w:id="5"/>
      <w:r w:rsidRPr="00927588">
        <w:lastRenderedPageBreak/>
        <w:t>ANEX</w:t>
      </w:r>
      <w:r>
        <w:t>O</w:t>
      </w:r>
      <w:r w:rsidRPr="00927588">
        <w:t xml:space="preserve"> 1</w:t>
      </w:r>
    </w:p>
    <w:p w14:paraId="246BE2E3" w14:textId="77777777" w:rsidR="00F31B71" w:rsidRPr="009E717B" w:rsidRDefault="00F31B71" w:rsidP="00F31B71">
      <w:pPr>
        <w:pStyle w:val="Annextitle"/>
        <w:rPr>
          <w:lang w:val="es-ES"/>
        </w:rPr>
      </w:pPr>
      <w:r w:rsidRPr="009E717B">
        <w:rPr>
          <w:lang w:val="es-ES"/>
        </w:rPr>
        <w:t xml:space="preserve">Invitación del Gobierno de India para celebrar la Asamblea Mundial </w:t>
      </w:r>
      <w:r>
        <w:rPr>
          <w:lang w:val="es-ES"/>
        </w:rPr>
        <w:br/>
      </w:r>
      <w:r w:rsidRPr="009E717B">
        <w:rPr>
          <w:lang w:val="es-ES"/>
        </w:rPr>
        <w:t>de Normalización de las Telecomunicaciones de</w:t>
      </w:r>
      <w:r>
        <w:rPr>
          <w:lang w:val="es-ES"/>
        </w:rPr>
        <w:t xml:space="preserve"> 2024</w:t>
      </w:r>
    </w:p>
    <w:p w14:paraId="557AC2C7" w14:textId="77777777" w:rsidR="00BC1B79" w:rsidRPr="00BC1B79" w:rsidRDefault="00BC1B79" w:rsidP="00BC1B79">
      <w:pPr>
        <w:rPr>
          <w:lang w:val="en-GB"/>
        </w:rPr>
      </w:pPr>
      <w:r w:rsidRPr="00BC1B79">
        <w:rPr>
          <w:noProof/>
          <w:lang w:val="en-GB"/>
        </w:rPr>
        <w:drawing>
          <wp:inline distT="0" distB="0" distL="0" distR="0" wp14:anchorId="06778AFB" wp14:editId="331B7B81">
            <wp:extent cx="5661660" cy="1447403"/>
            <wp:effectExtent l="0" t="0" r="0" b="635"/>
            <wp:docPr id="2" name="Picture 2" descr="A picture containing tex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design&#10;&#10;Description automatically generated"/>
                    <pic:cNvPicPr/>
                  </pic:nvPicPr>
                  <pic:blipFill>
                    <a:blip r:embed="rId19"/>
                    <a:stretch>
                      <a:fillRect/>
                    </a:stretch>
                  </pic:blipFill>
                  <pic:spPr>
                    <a:xfrm>
                      <a:off x="0" y="0"/>
                      <a:ext cx="5677786" cy="1451526"/>
                    </a:xfrm>
                    <a:prstGeom prst="rect">
                      <a:avLst/>
                    </a:prstGeom>
                  </pic:spPr>
                </pic:pic>
              </a:graphicData>
            </a:graphic>
          </wp:inline>
        </w:drawing>
      </w:r>
    </w:p>
    <w:p w14:paraId="4FBEA998" w14:textId="0D4EB9E4" w:rsidR="00BC1B79" w:rsidRPr="00BC1B79" w:rsidRDefault="00BC1B79" w:rsidP="00F31B71">
      <w:pPr>
        <w:jc w:val="right"/>
        <w:rPr>
          <w:lang w:val="es-ES"/>
        </w:rPr>
      </w:pPr>
      <w:r w:rsidRPr="00BC1B79">
        <w:rPr>
          <w:lang w:val="es-ES"/>
        </w:rPr>
        <w:t xml:space="preserve">D.O. </w:t>
      </w:r>
      <w:proofErr w:type="spellStart"/>
      <w:r w:rsidRPr="00BC1B79">
        <w:rPr>
          <w:lang w:val="es-ES"/>
        </w:rPr>
        <w:t>N</w:t>
      </w:r>
      <w:r w:rsidR="00F31B71">
        <w:rPr>
          <w:lang w:val="es-ES"/>
        </w:rPr>
        <w:t>º</w:t>
      </w:r>
      <w:proofErr w:type="spellEnd"/>
      <w:r w:rsidRPr="00BC1B79">
        <w:rPr>
          <w:lang w:val="es-ES"/>
        </w:rPr>
        <w:t xml:space="preserve"> 16-5/2022-IR</w:t>
      </w:r>
      <w:r w:rsidR="00F31B71">
        <w:rPr>
          <w:lang w:val="es-ES"/>
        </w:rPr>
        <w:br/>
      </w:r>
      <w:r w:rsidRPr="00BC1B79">
        <w:rPr>
          <w:lang w:val="es-ES"/>
        </w:rPr>
        <w:t>Fecha: 31 de marzo de 2023</w:t>
      </w:r>
    </w:p>
    <w:p w14:paraId="607D1651" w14:textId="77777777" w:rsidR="00BC1B79" w:rsidRPr="00BC1B79" w:rsidRDefault="00BC1B79" w:rsidP="00F31B71">
      <w:pPr>
        <w:pStyle w:val="Normalaftertitle"/>
        <w:rPr>
          <w:lang w:val="es-ES"/>
        </w:rPr>
      </w:pPr>
      <w:r w:rsidRPr="00BC1B79">
        <w:rPr>
          <w:lang w:val="es-ES"/>
        </w:rPr>
        <w:t>Excelencia:</w:t>
      </w:r>
    </w:p>
    <w:p w14:paraId="39CE030F" w14:textId="2935F75D" w:rsidR="00BC1B79" w:rsidRPr="00BC1B79" w:rsidRDefault="00BC1B79" w:rsidP="00BC1B79">
      <w:pPr>
        <w:rPr>
          <w:lang w:val="es-ES"/>
        </w:rPr>
      </w:pPr>
      <w:r w:rsidRPr="00BC1B79">
        <w:rPr>
          <w:lang w:val="es-ES"/>
        </w:rPr>
        <w:t>Saludos del Departamento de Telecomunicaciones, Ministerio de Comunicaciones, Gobierno de India.</w:t>
      </w:r>
    </w:p>
    <w:p w14:paraId="2F5823ED" w14:textId="2B363696" w:rsidR="00BC1B79" w:rsidRPr="00BC1B79" w:rsidRDefault="00BC1B79" w:rsidP="00BC1B79">
      <w:pPr>
        <w:rPr>
          <w:lang w:val="es-ES"/>
        </w:rPr>
      </w:pPr>
      <w:r w:rsidRPr="00BC1B79">
        <w:rPr>
          <w:lang w:val="es-ES"/>
        </w:rPr>
        <w:t>2</w:t>
      </w:r>
      <w:r w:rsidRPr="00BC1B79">
        <w:rPr>
          <w:lang w:val="es-ES"/>
        </w:rPr>
        <w:tab/>
      </w:r>
      <w:proofErr w:type="gramStart"/>
      <w:r w:rsidRPr="00BC1B79">
        <w:rPr>
          <w:lang w:val="es-ES"/>
        </w:rPr>
        <w:t>En</w:t>
      </w:r>
      <w:proofErr w:type="gramEnd"/>
      <w:r w:rsidRPr="00BC1B79">
        <w:rPr>
          <w:lang w:val="es-ES"/>
        </w:rPr>
        <w:t xml:space="preserve"> un primer momento, permítame aprovechar esta oportunidad para agradecerle que haya aceptado la invitación del Gobierno de India para participar en la inauguración de la Oficina Zonal y Centro de Innovación de la UIT el 22 de marzo de 2023 por el Excmo. Sr.</w:t>
      </w:r>
      <w:r w:rsidR="000E2560">
        <w:rPr>
          <w:lang w:val="es-ES"/>
        </w:rPr>
        <w:t> </w:t>
      </w:r>
      <w:r w:rsidRPr="00BC1B79">
        <w:rPr>
          <w:lang w:val="es-ES"/>
        </w:rPr>
        <w:t>Primer Ministro de India. Es un gran gesto en pro del fortalecimiento de la presencia de las actividades de la UIT en el sudeste asiático, en particular las actividades de innovación para el mundo entero.</w:t>
      </w:r>
    </w:p>
    <w:p w14:paraId="63670DE4" w14:textId="3662CB4E" w:rsidR="00BC1B79" w:rsidRPr="00BC1B79" w:rsidRDefault="00BC1B79" w:rsidP="00BC1B79">
      <w:pPr>
        <w:rPr>
          <w:lang w:val="es-ES"/>
        </w:rPr>
      </w:pPr>
      <w:r w:rsidRPr="00BC1B79">
        <w:rPr>
          <w:lang w:val="es-ES"/>
        </w:rPr>
        <w:t>3</w:t>
      </w:r>
      <w:r w:rsidRPr="00BC1B79">
        <w:rPr>
          <w:lang w:val="es-ES"/>
        </w:rPr>
        <w:tab/>
      </w:r>
      <w:proofErr w:type="gramStart"/>
      <w:r w:rsidRPr="00BC1B79">
        <w:rPr>
          <w:lang w:val="es-ES"/>
        </w:rPr>
        <w:t>Como</w:t>
      </w:r>
      <w:proofErr w:type="gramEnd"/>
      <w:r w:rsidRPr="00BC1B79">
        <w:rPr>
          <w:lang w:val="es-ES"/>
        </w:rPr>
        <w:t xml:space="preserve"> recordará, el Excmo. Sr. Primer Ministro anunció en esa ocasión la celebración de la Asamblea Mundial de Normalización de las Telecomunicaciones (AMNT) de 2014 en India. El evento se celebrará en el International </w:t>
      </w:r>
      <w:proofErr w:type="spellStart"/>
      <w:r w:rsidRPr="00BC1B79">
        <w:rPr>
          <w:lang w:val="es-ES"/>
        </w:rPr>
        <w:t>Exhibition</w:t>
      </w:r>
      <w:proofErr w:type="spellEnd"/>
      <w:r w:rsidRPr="00BC1B79">
        <w:rPr>
          <w:lang w:val="es-ES"/>
        </w:rPr>
        <w:t xml:space="preserve"> cum </w:t>
      </w:r>
      <w:proofErr w:type="spellStart"/>
      <w:r w:rsidRPr="00BC1B79">
        <w:rPr>
          <w:lang w:val="es-ES"/>
        </w:rPr>
        <w:t>Convention</w:t>
      </w:r>
      <w:proofErr w:type="spellEnd"/>
      <w:r w:rsidRPr="00BC1B79">
        <w:rPr>
          <w:lang w:val="es-ES"/>
        </w:rPr>
        <w:t xml:space="preserve"> Centre, </w:t>
      </w:r>
      <w:proofErr w:type="spellStart"/>
      <w:r w:rsidRPr="00BC1B79">
        <w:rPr>
          <w:lang w:val="es-ES"/>
        </w:rPr>
        <w:t>Pragati</w:t>
      </w:r>
      <w:proofErr w:type="spellEnd"/>
      <w:r w:rsidRPr="00BC1B79">
        <w:rPr>
          <w:lang w:val="es-ES"/>
        </w:rPr>
        <w:t xml:space="preserve"> </w:t>
      </w:r>
      <w:proofErr w:type="spellStart"/>
      <w:r w:rsidRPr="00BC1B79">
        <w:rPr>
          <w:lang w:val="es-ES"/>
        </w:rPr>
        <w:t>Maidan</w:t>
      </w:r>
      <w:proofErr w:type="spellEnd"/>
      <w:r w:rsidRPr="00BC1B79">
        <w:rPr>
          <w:lang w:val="es-ES"/>
        </w:rPr>
        <w:t xml:space="preserve">, Nueva Delhi, del 15 al 24 de octubre de 2024, precedido por el Simposio Mundial de Normalización (SMN) el 14 de octubre de 2024, de conformidad con la Resolución 77 de la Conferencia de Plenipotenciarios de 2022, celebrada en Bucarest </w:t>
      </w:r>
      <w:r w:rsidR="000E2560">
        <w:rPr>
          <w:lang w:val="es-ES"/>
        </w:rPr>
        <w:t>(</w:t>
      </w:r>
      <w:r w:rsidRPr="00BC1B79">
        <w:rPr>
          <w:lang w:val="es-ES"/>
        </w:rPr>
        <w:t>Rumania</w:t>
      </w:r>
      <w:r w:rsidR="000E2560">
        <w:rPr>
          <w:lang w:val="es-ES"/>
        </w:rPr>
        <w:t>)</w:t>
      </w:r>
      <w:r w:rsidRPr="00BC1B79">
        <w:rPr>
          <w:lang w:val="es-ES"/>
        </w:rPr>
        <w:t>. El mencionado Centro está equipado con instalaciones de primera clase para celebrar plenarias con más de 4 000 participantes y múltiples reuniones simultáneas, y cuenta con salas de reunión, salas de juntas, espacios de oficina, zona de exposiciones, zona de restauración, etc.</w:t>
      </w:r>
    </w:p>
    <w:p w14:paraId="038CD905" w14:textId="592C9715" w:rsidR="00BC1B79" w:rsidRPr="00BC1B79" w:rsidRDefault="00BC1B79" w:rsidP="00BC1B79">
      <w:pPr>
        <w:rPr>
          <w:lang w:val="es-ES"/>
        </w:rPr>
      </w:pPr>
      <w:r w:rsidRPr="00BC1B79">
        <w:rPr>
          <w:lang w:val="es-ES"/>
        </w:rPr>
        <w:t>4</w:t>
      </w:r>
      <w:r w:rsidRPr="00BC1B79">
        <w:rPr>
          <w:lang w:val="es-ES"/>
        </w:rPr>
        <w:tab/>
      </w:r>
      <w:proofErr w:type="gramStart"/>
      <w:r w:rsidRPr="00BC1B79">
        <w:rPr>
          <w:lang w:val="es-ES"/>
        </w:rPr>
        <w:t>Cabe</w:t>
      </w:r>
      <w:proofErr w:type="gramEnd"/>
      <w:r w:rsidRPr="00BC1B79">
        <w:rPr>
          <w:lang w:val="es-ES"/>
        </w:rPr>
        <w:t xml:space="preserve"> señalar que India ya ha presentado a la Secretaría del Consejo de la UIT una contribución solicitando su aprobación para la celebración de la AMNT en el lugar y fechas indicados durante su reunión de julio de 2023. Dicho acuerdo es necesario para establecer el futuro plan de acción, conocer los requisitos de la UIT, detalla</w:t>
      </w:r>
      <w:r w:rsidR="000E2560">
        <w:rPr>
          <w:lang w:val="es-ES"/>
        </w:rPr>
        <w:t>r</w:t>
      </w:r>
      <w:r w:rsidRPr="00BC1B79">
        <w:rPr>
          <w:lang w:val="es-ES"/>
        </w:rPr>
        <w:t xml:space="preserve"> las actividades por hacer, preparar el acuerdo de país anfitrión (HCA), organizar las visitas </w:t>
      </w:r>
      <w:r w:rsidRPr="00BC1B79">
        <w:rPr>
          <w:i/>
          <w:iCs/>
          <w:lang w:val="es-ES"/>
        </w:rPr>
        <w:t xml:space="preserve">in situ </w:t>
      </w:r>
      <w:r w:rsidRPr="00BC1B79">
        <w:rPr>
          <w:lang w:val="es-ES"/>
        </w:rPr>
        <w:t>de los funcionarios de la UIT y llevar a cabo todas las demás actividades necesarias para la celebración de la AMNT</w:t>
      </w:r>
      <w:r w:rsidR="00F31B71">
        <w:rPr>
          <w:lang w:val="es-ES"/>
        </w:rPr>
        <w:noBreakHyphen/>
      </w:r>
      <w:r w:rsidRPr="00BC1B79">
        <w:rPr>
          <w:lang w:val="es-ES"/>
        </w:rPr>
        <w:t>24, a fin de poder iniciar los preparativos para la AMNT-24 sin demora.</w:t>
      </w:r>
    </w:p>
    <w:p w14:paraId="4D6E4B97" w14:textId="74561767" w:rsidR="00BC1B79" w:rsidRPr="00BC1B79" w:rsidRDefault="00BC1B79" w:rsidP="00574B04">
      <w:pPr>
        <w:keepNext/>
        <w:keepLines/>
        <w:rPr>
          <w:lang w:val="es-ES"/>
        </w:rPr>
      </w:pPr>
      <w:r w:rsidRPr="00BC1B79">
        <w:rPr>
          <w:lang w:val="es-ES"/>
        </w:rPr>
        <w:lastRenderedPageBreak/>
        <w:t>5</w:t>
      </w:r>
      <w:r w:rsidRPr="00BC1B79">
        <w:rPr>
          <w:lang w:val="es-ES"/>
        </w:rPr>
        <w:tab/>
      </w:r>
      <w:proofErr w:type="gramStart"/>
      <w:r w:rsidRPr="00BC1B79">
        <w:rPr>
          <w:lang w:val="es-ES"/>
        </w:rPr>
        <w:t>La</w:t>
      </w:r>
      <w:proofErr w:type="gramEnd"/>
      <w:r w:rsidRPr="00BC1B79">
        <w:rPr>
          <w:lang w:val="es-ES"/>
        </w:rPr>
        <w:t xml:space="preserve"> Administración de India agradecerá que se considere positivamente la oferta del Gobierno de India para celebrar la AMNT-24. Aprovecho, además, esta oportunidad para invitar a toda la comunidad de la UIT, Estados Miembros e interesados, a participar en la AMNT 2024 en Nueva Delhi.</w:t>
      </w:r>
    </w:p>
    <w:p w14:paraId="1B56B13B" w14:textId="25CCADC6" w:rsidR="00BC1B79" w:rsidRPr="00BC1B79" w:rsidRDefault="00BC1B79" w:rsidP="00BC1B79">
      <w:pPr>
        <w:rPr>
          <w:lang w:val="es-ES"/>
        </w:rPr>
      </w:pPr>
      <w:r w:rsidRPr="00BC1B79">
        <w:rPr>
          <w:lang w:val="es-ES"/>
        </w:rPr>
        <w:t>6</w:t>
      </w:r>
      <w:r w:rsidRPr="00BC1B79">
        <w:rPr>
          <w:lang w:val="es-ES"/>
        </w:rPr>
        <w:tab/>
      </w:r>
      <w:proofErr w:type="gramStart"/>
      <w:r w:rsidRPr="00BC1B79">
        <w:rPr>
          <w:lang w:val="es-ES"/>
        </w:rPr>
        <w:t>Esperando</w:t>
      </w:r>
      <w:proofErr w:type="gramEnd"/>
      <w:r w:rsidRPr="00BC1B79">
        <w:rPr>
          <w:lang w:val="es-ES"/>
        </w:rPr>
        <w:t xml:space="preserve"> su apoyo para la AMNT 2024, le ruego quede segura de mi más alta consideración.</w:t>
      </w:r>
    </w:p>
    <w:p w14:paraId="67D9E1F3" w14:textId="165F756B" w:rsidR="00BC1B79" w:rsidRPr="00BC1B79" w:rsidRDefault="00BC1B79" w:rsidP="00BC1B79">
      <w:pPr>
        <w:rPr>
          <w:lang w:val="es-ES"/>
        </w:rPr>
      </w:pPr>
      <w:r w:rsidRPr="00BC1B79">
        <w:rPr>
          <w:lang w:val="es-ES"/>
        </w:rPr>
        <w:t>Un cordial saludo,</w:t>
      </w:r>
    </w:p>
    <w:p w14:paraId="2CBE05FD" w14:textId="7C78D231" w:rsidR="00BC1B79" w:rsidRDefault="000E2560" w:rsidP="000E2560">
      <w:pPr>
        <w:tabs>
          <w:tab w:val="clear" w:pos="567"/>
          <w:tab w:val="clear" w:pos="1134"/>
          <w:tab w:val="clear" w:pos="1701"/>
          <w:tab w:val="clear" w:pos="2268"/>
          <w:tab w:val="clear" w:pos="2835"/>
          <w:tab w:val="left" w:pos="7371"/>
        </w:tabs>
        <w:rPr>
          <w:lang w:val="es-ES"/>
        </w:rPr>
      </w:pPr>
      <w:r>
        <w:rPr>
          <w:lang w:val="es-ES"/>
        </w:rPr>
        <w:tab/>
      </w:r>
      <w:r w:rsidR="00BC1B79" w:rsidRPr="00BC1B79">
        <w:rPr>
          <w:lang w:val="es-ES"/>
        </w:rPr>
        <w:t>Atentamente,</w:t>
      </w:r>
    </w:p>
    <w:p w14:paraId="408A225F" w14:textId="22D2D8B7" w:rsidR="000E2560" w:rsidRPr="000E2560" w:rsidRDefault="000E2560" w:rsidP="000E2560">
      <w:pPr>
        <w:tabs>
          <w:tab w:val="clear" w:pos="567"/>
          <w:tab w:val="clear" w:pos="1134"/>
          <w:tab w:val="clear" w:pos="1701"/>
          <w:tab w:val="clear" w:pos="2268"/>
          <w:tab w:val="clear" w:pos="2835"/>
          <w:tab w:val="center" w:pos="7938"/>
        </w:tabs>
        <w:rPr>
          <w:i/>
          <w:iCs/>
          <w:lang w:val="es-ES"/>
        </w:rPr>
      </w:pPr>
      <w:r w:rsidRPr="000E2560">
        <w:rPr>
          <w:i/>
          <w:iCs/>
          <w:lang w:val="es-ES"/>
        </w:rPr>
        <w:tab/>
        <w:t>(firmado)</w:t>
      </w:r>
    </w:p>
    <w:p w14:paraId="29197653" w14:textId="49FC6BCE" w:rsidR="00BC1B79" w:rsidRPr="00BC1B79" w:rsidRDefault="000E2560" w:rsidP="000E2560">
      <w:pPr>
        <w:tabs>
          <w:tab w:val="clear" w:pos="567"/>
          <w:tab w:val="clear" w:pos="1134"/>
          <w:tab w:val="clear" w:pos="1701"/>
          <w:tab w:val="clear" w:pos="2268"/>
          <w:tab w:val="clear" w:pos="2835"/>
          <w:tab w:val="left" w:pos="7371"/>
        </w:tabs>
        <w:spacing w:before="240"/>
        <w:rPr>
          <w:b/>
          <w:bCs/>
          <w:lang w:val="es-ES"/>
        </w:rPr>
      </w:pPr>
      <w:r>
        <w:rPr>
          <w:b/>
          <w:bCs/>
          <w:lang w:val="es-ES"/>
        </w:rPr>
        <w:tab/>
      </w:r>
      <w:r w:rsidR="00BC1B79" w:rsidRPr="00BC1B79">
        <w:rPr>
          <w:b/>
          <w:bCs/>
          <w:lang w:val="es-ES"/>
        </w:rPr>
        <w:t>(</w:t>
      </w:r>
      <w:proofErr w:type="spellStart"/>
      <w:proofErr w:type="gramStart"/>
      <w:r w:rsidR="00BC1B79" w:rsidRPr="00BC1B79">
        <w:rPr>
          <w:b/>
          <w:bCs/>
          <w:lang w:val="es-ES"/>
        </w:rPr>
        <w:t>K.Rajaraman</w:t>
      </w:r>
      <w:proofErr w:type="spellEnd"/>
      <w:proofErr w:type="gramEnd"/>
      <w:r w:rsidR="00BC1B79" w:rsidRPr="00BC1B79">
        <w:rPr>
          <w:b/>
          <w:bCs/>
          <w:lang w:val="es-ES"/>
        </w:rPr>
        <w:t>)</w:t>
      </w:r>
    </w:p>
    <w:p w14:paraId="147002B3" w14:textId="78B4416E" w:rsidR="00BC1B79" w:rsidRPr="00BC1B79" w:rsidRDefault="00BC1B79" w:rsidP="001A6792">
      <w:pPr>
        <w:spacing w:before="600"/>
        <w:rPr>
          <w:b/>
          <w:bCs/>
          <w:lang w:val="es-ES"/>
        </w:rPr>
      </w:pPr>
      <w:r w:rsidRPr="00BC1B79">
        <w:rPr>
          <w:b/>
          <w:bCs/>
          <w:lang w:val="es-ES"/>
        </w:rPr>
        <w:t>Excma. Sra. Doreen Bogdan-Martin</w:t>
      </w:r>
      <w:r w:rsidR="00F31B71">
        <w:rPr>
          <w:b/>
          <w:bCs/>
          <w:lang w:val="es-ES"/>
        </w:rPr>
        <w:br/>
      </w:r>
      <w:proofErr w:type="gramStart"/>
      <w:r w:rsidRPr="00BC1B79">
        <w:rPr>
          <w:b/>
          <w:bCs/>
          <w:lang w:val="es-ES"/>
        </w:rPr>
        <w:t>Secretaria General</w:t>
      </w:r>
      <w:proofErr w:type="gramEnd"/>
      <w:r w:rsidR="00F31B71">
        <w:rPr>
          <w:b/>
          <w:bCs/>
          <w:lang w:val="es-ES"/>
        </w:rPr>
        <w:br/>
      </w:r>
      <w:r w:rsidR="000E2560" w:rsidRPr="000E2560">
        <w:rPr>
          <w:b/>
          <w:bCs/>
          <w:lang w:val="es-ES"/>
        </w:rPr>
        <w:t>Unión Internacional de Telecomunicaciones</w:t>
      </w:r>
      <w:r w:rsidRPr="00BC1B79">
        <w:rPr>
          <w:b/>
          <w:bCs/>
          <w:lang w:val="es-ES"/>
        </w:rPr>
        <w:t>, G</w:t>
      </w:r>
      <w:r w:rsidR="000E2560">
        <w:rPr>
          <w:b/>
          <w:bCs/>
          <w:lang w:val="es-ES"/>
        </w:rPr>
        <w:t>inebra</w:t>
      </w:r>
    </w:p>
    <w:p w14:paraId="28244E37" w14:textId="77777777" w:rsidR="00BC1B79" w:rsidRPr="00BC1B79" w:rsidRDefault="00BC1B79" w:rsidP="00BC1B79">
      <w:pPr>
        <w:rPr>
          <w:lang w:val="es-ES"/>
        </w:rPr>
      </w:pPr>
      <w:r w:rsidRPr="00BC1B79">
        <w:rPr>
          <w:lang w:val="es-ES"/>
        </w:rPr>
        <w:br w:type="page"/>
      </w:r>
    </w:p>
    <w:p w14:paraId="13D96EDF" w14:textId="77777777" w:rsidR="00BC1B79" w:rsidRPr="00BC1B79" w:rsidRDefault="00BC1B79" w:rsidP="00F31B71">
      <w:pPr>
        <w:pStyle w:val="AnnexNo"/>
        <w:rPr>
          <w:b/>
          <w:bCs/>
          <w:lang w:val="es-ES"/>
        </w:rPr>
      </w:pPr>
      <w:bookmarkStart w:id="6" w:name="Annex2"/>
      <w:bookmarkEnd w:id="6"/>
      <w:r w:rsidRPr="00BC1B79">
        <w:rPr>
          <w:lang w:val="es-ES"/>
        </w:rPr>
        <w:lastRenderedPageBreak/>
        <w:t>ANEXO 2</w:t>
      </w:r>
    </w:p>
    <w:p w14:paraId="177F2127" w14:textId="77777777" w:rsidR="00BC1B79" w:rsidRPr="00BC1B79" w:rsidRDefault="00BC1B79" w:rsidP="00F31B71">
      <w:pPr>
        <w:pStyle w:val="Annextitle"/>
        <w:rPr>
          <w:lang w:val="es-ES"/>
        </w:rPr>
      </w:pPr>
      <w:r w:rsidRPr="00BC1B79">
        <w:rPr>
          <w:lang w:val="es-ES"/>
        </w:rPr>
        <w:t>PROYECTO DE ACUERDO [...]</w:t>
      </w:r>
    </w:p>
    <w:p w14:paraId="03279B3B" w14:textId="363F05D6" w:rsidR="00BC1B79" w:rsidRPr="00BC1B79" w:rsidRDefault="00BC1B79" w:rsidP="00F31B71">
      <w:pPr>
        <w:pStyle w:val="Annextitle"/>
        <w:rPr>
          <w:lang w:val="es-ES"/>
        </w:rPr>
      </w:pPr>
      <w:r w:rsidRPr="00BC1B79">
        <w:rPr>
          <w:lang w:val="es-ES"/>
        </w:rPr>
        <w:t xml:space="preserve">Convocación de la Asamblea Mundial de Normalización </w:t>
      </w:r>
      <w:r w:rsidR="000E2560">
        <w:rPr>
          <w:lang w:val="es-ES"/>
        </w:rPr>
        <w:br/>
      </w:r>
      <w:r w:rsidRPr="00BC1B79">
        <w:rPr>
          <w:lang w:val="es-ES"/>
        </w:rPr>
        <w:t>de las Telecomunicaciones de 2024</w:t>
      </w:r>
    </w:p>
    <w:p w14:paraId="217AD38B" w14:textId="77777777" w:rsidR="00BC1B79" w:rsidRPr="00BC1B79" w:rsidRDefault="00BC1B79" w:rsidP="00F31B71">
      <w:pPr>
        <w:pStyle w:val="Normalaftertitle"/>
        <w:rPr>
          <w:lang w:val="es-ES"/>
        </w:rPr>
      </w:pPr>
      <w:r w:rsidRPr="00BC1B79">
        <w:rPr>
          <w:lang w:val="es-ES"/>
        </w:rPr>
        <w:t>El Consejo de la UIT,</w:t>
      </w:r>
    </w:p>
    <w:p w14:paraId="00123C51" w14:textId="77777777" w:rsidR="00BC1B79" w:rsidRPr="00BC1B79" w:rsidRDefault="00BC1B79" w:rsidP="00F31B71">
      <w:pPr>
        <w:pStyle w:val="Call"/>
        <w:rPr>
          <w:lang w:val="es-ES"/>
        </w:rPr>
      </w:pPr>
      <w:r w:rsidRPr="00BC1B79">
        <w:rPr>
          <w:lang w:val="es-ES"/>
        </w:rPr>
        <w:t>observando</w:t>
      </w:r>
    </w:p>
    <w:p w14:paraId="56A0981C" w14:textId="77777777" w:rsidR="00BC1B79" w:rsidRPr="00BC1B79" w:rsidRDefault="00BC1B79" w:rsidP="00BC1B79">
      <w:pPr>
        <w:rPr>
          <w:lang w:val="es-ES"/>
        </w:rPr>
      </w:pPr>
      <w:r w:rsidRPr="00BC1B79">
        <w:rPr>
          <w:lang w:val="es-ES"/>
        </w:rPr>
        <w:t>de que estaba previsto celebrar la Asamblea Mundial de Normalización de las Telecomunicaciones de 2024 (AMNT-24) en India durante el último trimestre de 2024 conforme a lo dispuesto en la Resolución 77 (Rev. Bucarest, 2022) de la Conferencia de Plenipotenciarios, Planificación y duración de las conferencias, foros, asambleas y reuniones del Consejo de la Unión (2023-2027),</w:t>
      </w:r>
    </w:p>
    <w:p w14:paraId="69F85C36" w14:textId="77777777" w:rsidR="00BC1B79" w:rsidRPr="00BC1B79" w:rsidRDefault="00BC1B79" w:rsidP="00F31B71">
      <w:pPr>
        <w:pStyle w:val="Call"/>
        <w:rPr>
          <w:lang w:val="es-ES"/>
        </w:rPr>
      </w:pPr>
      <w:r w:rsidRPr="00BC1B79">
        <w:rPr>
          <w:lang w:val="es-ES"/>
        </w:rPr>
        <w:t>acuerda</w:t>
      </w:r>
    </w:p>
    <w:p w14:paraId="77F67CA0" w14:textId="5237B18A" w:rsidR="00BC1B79" w:rsidRPr="00BC1B79" w:rsidRDefault="00BC1B79" w:rsidP="00BC1B79">
      <w:pPr>
        <w:rPr>
          <w:lang w:val="es-ES"/>
        </w:rPr>
      </w:pPr>
      <w:r w:rsidRPr="00BC1B79">
        <w:rPr>
          <w:lang w:val="es-ES"/>
        </w:rPr>
        <w:t>que, a reserva de lo que acuerde la mayoría de los Estados Miembros de la Unión, la AMNT</w:t>
      </w:r>
      <w:r w:rsidR="00F31B71">
        <w:rPr>
          <w:lang w:val="es-ES"/>
        </w:rPr>
        <w:noBreakHyphen/>
      </w:r>
      <w:r w:rsidRPr="00BC1B79">
        <w:rPr>
          <w:lang w:val="es-ES"/>
        </w:rPr>
        <w:t xml:space="preserve">24 se celebre en el International </w:t>
      </w:r>
      <w:proofErr w:type="spellStart"/>
      <w:r w:rsidRPr="00BC1B79">
        <w:rPr>
          <w:lang w:val="es-ES"/>
        </w:rPr>
        <w:t>Exhibition</w:t>
      </w:r>
      <w:proofErr w:type="spellEnd"/>
      <w:r w:rsidRPr="00BC1B79">
        <w:rPr>
          <w:lang w:val="es-ES"/>
        </w:rPr>
        <w:t xml:space="preserve"> cum </w:t>
      </w:r>
      <w:proofErr w:type="spellStart"/>
      <w:r w:rsidRPr="00BC1B79">
        <w:rPr>
          <w:lang w:val="es-ES"/>
        </w:rPr>
        <w:t>Convention</w:t>
      </w:r>
      <w:proofErr w:type="spellEnd"/>
      <w:r w:rsidRPr="00BC1B79">
        <w:rPr>
          <w:lang w:val="es-ES"/>
        </w:rPr>
        <w:t xml:space="preserve"> Centre, </w:t>
      </w:r>
      <w:proofErr w:type="spellStart"/>
      <w:r w:rsidRPr="00BC1B79">
        <w:rPr>
          <w:lang w:val="es-ES"/>
        </w:rPr>
        <w:t>Pragati</w:t>
      </w:r>
      <w:proofErr w:type="spellEnd"/>
      <w:r w:rsidRPr="00BC1B79">
        <w:rPr>
          <w:lang w:val="es-ES"/>
        </w:rPr>
        <w:t xml:space="preserve"> </w:t>
      </w:r>
      <w:proofErr w:type="spellStart"/>
      <w:r w:rsidRPr="00BC1B79">
        <w:rPr>
          <w:lang w:val="es-ES"/>
        </w:rPr>
        <w:t>Maidan</w:t>
      </w:r>
      <w:proofErr w:type="spellEnd"/>
      <w:r w:rsidRPr="00BC1B79">
        <w:rPr>
          <w:lang w:val="es-ES"/>
        </w:rPr>
        <w:t xml:space="preserve">, Nueva Delhi </w:t>
      </w:r>
      <w:r w:rsidR="000E2560">
        <w:rPr>
          <w:lang w:val="es-ES"/>
        </w:rPr>
        <w:t>(</w:t>
      </w:r>
      <w:r w:rsidRPr="00BC1B79">
        <w:rPr>
          <w:lang w:val="es-ES"/>
        </w:rPr>
        <w:t>India</w:t>
      </w:r>
      <w:r w:rsidR="000E2560">
        <w:rPr>
          <w:lang w:val="es-ES"/>
        </w:rPr>
        <w:t>)</w:t>
      </w:r>
      <w:r w:rsidRPr="00BC1B79">
        <w:rPr>
          <w:lang w:val="es-ES"/>
        </w:rPr>
        <w:t>, del 15 al 24 de octubre de 2024,</w:t>
      </w:r>
    </w:p>
    <w:p w14:paraId="4617ED60" w14:textId="77777777" w:rsidR="00BC1B79" w:rsidRPr="00BC1B79" w:rsidRDefault="00BC1B79" w:rsidP="00F31B71">
      <w:pPr>
        <w:pStyle w:val="Call"/>
        <w:rPr>
          <w:lang w:val="es-ES"/>
        </w:rPr>
      </w:pPr>
      <w:r w:rsidRPr="00BC1B79">
        <w:rPr>
          <w:lang w:val="es-ES"/>
        </w:rPr>
        <w:t xml:space="preserve">encarga al </w:t>
      </w:r>
      <w:proofErr w:type="gramStart"/>
      <w:r w:rsidRPr="00BC1B79">
        <w:rPr>
          <w:lang w:val="es-ES"/>
        </w:rPr>
        <w:t>Secretario General</w:t>
      </w:r>
      <w:proofErr w:type="gramEnd"/>
    </w:p>
    <w:p w14:paraId="1EFA6168" w14:textId="77777777" w:rsidR="00BC1B79" w:rsidRPr="00BC1B79" w:rsidRDefault="00BC1B79" w:rsidP="00BC1B79">
      <w:pPr>
        <w:rPr>
          <w:lang w:val="es-ES"/>
        </w:rPr>
      </w:pPr>
      <w:r w:rsidRPr="00BC1B79">
        <w:rPr>
          <w:lang w:val="es-ES"/>
        </w:rPr>
        <w:t>que celebre consultas con todos los Estados Miembros en relación con el lugar y las fechas exactos de la AMNT-24.</w:t>
      </w:r>
    </w:p>
    <w:p w14:paraId="78222B3D" w14:textId="77777777" w:rsidR="00F31B71" w:rsidRDefault="00F31B71" w:rsidP="00411C49">
      <w:pPr>
        <w:pStyle w:val="Reasons"/>
      </w:pPr>
    </w:p>
    <w:p w14:paraId="51E1BBA5" w14:textId="77777777" w:rsidR="00F31B71" w:rsidRDefault="00F31B71">
      <w:pPr>
        <w:jc w:val="center"/>
      </w:pPr>
      <w:r>
        <w:t>______________</w:t>
      </w:r>
    </w:p>
    <w:sectPr w:rsidR="00F31B71" w:rsidSect="00C538FC">
      <w:headerReference w:type="even" r:id="rId20"/>
      <w:headerReference w:type="default" r:id="rId21"/>
      <w:footerReference w:type="even" r:id="rId22"/>
      <w:footerReference w:type="default" r:id="rId23"/>
      <w:headerReference w:type="first" r:id="rId24"/>
      <w:footerReference w:type="first" r:id="rId2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EF9E3" w14:textId="77777777" w:rsidR="00BC1B79" w:rsidRDefault="00BC1B79">
      <w:r>
        <w:separator/>
      </w:r>
    </w:p>
  </w:endnote>
  <w:endnote w:type="continuationSeparator" w:id="0">
    <w:p w14:paraId="2A8E7A65" w14:textId="77777777" w:rsidR="00BC1B79" w:rsidRDefault="00BC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54BA" w14:textId="77777777" w:rsidR="00B807A2" w:rsidRDefault="00B80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128EE4A5" w14:textId="77777777" w:rsidTr="00E31DCE">
      <w:trPr>
        <w:jc w:val="center"/>
      </w:trPr>
      <w:tc>
        <w:tcPr>
          <w:tcW w:w="1803" w:type="dxa"/>
          <w:vAlign w:val="center"/>
        </w:tcPr>
        <w:p w14:paraId="3AC63309" w14:textId="7A8745F2" w:rsidR="003273A4" w:rsidRDefault="003273A4" w:rsidP="003273A4">
          <w:pPr>
            <w:pStyle w:val="Header"/>
            <w:jc w:val="left"/>
            <w:rPr>
              <w:noProof/>
            </w:rPr>
          </w:pPr>
          <w:r>
            <w:rPr>
              <w:noProof/>
            </w:rPr>
            <w:t xml:space="preserve">DPS </w:t>
          </w:r>
          <w:r w:rsidR="00F31B71">
            <w:rPr>
              <w:noProof/>
            </w:rPr>
            <w:t>520577</w:t>
          </w:r>
        </w:p>
      </w:tc>
      <w:tc>
        <w:tcPr>
          <w:tcW w:w="8261" w:type="dxa"/>
        </w:tcPr>
        <w:p w14:paraId="60A0C413" w14:textId="0BF3594F"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F31B71">
            <w:rPr>
              <w:bCs/>
            </w:rPr>
            <w:t>24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0EE65C52" w14:textId="0CB30FD8" w:rsidR="00760F1C" w:rsidRPr="00F31B71" w:rsidRDefault="00F31B71" w:rsidP="00F31B71">
    <w:pPr>
      <w:pStyle w:val="Footer"/>
      <w:spacing w:before="120"/>
      <w:rPr>
        <w:lang w:val="fr-FR"/>
      </w:rPr>
    </w:pPr>
    <w:r w:rsidRPr="00B807A2">
      <w:rPr>
        <w:color w:val="F2F2F2" w:themeColor="background1" w:themeShade="F2"/>
      </w:rPr>
      <w:fldChar w:fldCharType="begin"/>
    </w:r>
    <w:r w:rsidRPr="00B807A2">
      <w:rPr>
        <w:color w:val="F2F2F2" w:themeColor="background1" w:themeShade="F2"/>
        <w:lang w:val="fr-FR"/>
      </w:rPr>
      <w:instrText xml:space="preserve"> FILENAME \p  \* MERGEFORMAT </w:instrText>
    </w:r>
    <w:r w:rsidRPr="00B807A2">
      <w:rPr>
        <w:color w:val="F2F2F2" w:themeColor="background1" w:themeShade="F2"/>
      </w:rPr>
      <w:fldChar w:fldCharType="separate"/>
    </w:r>
    <w:r w:rsidRPr="00B807A2">
      <w:rPr>
        <w:color w:val="F2F2F2" w:themeColor="background1" w:themeShade="F2"/>
        <w:lang w:val="fr-FR"/>
      </w:rPr>
      <w:t>P:\ESP\SG\CONSEIL\C23\000\024S.docx</w:t>
    </w:r>
    <w:r w:rsidRPr="00B807A2">
      <w:rPr>
        <w:color w:val="F2F2F2" w:themeColor="background1" w:themeShade="F2"/>
      </w:rPr>
      <w:fldChar w:fldCharType="end"/>
    </w:r>
    <w:r w:rsidRPr="00B807A2">
      <w:rPr>
        <w:color w:val="F2F2F2" w:themeColor="background1" w:themeShade="F2"/>
        <w:lang w:val="fr-FR"/>
      </w:rPr>
      <w:t xml:space="preserve"> (520577)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32A63196" w14:textId="77777777" w:rsidTr="00E31DCE">
      <w:trPr>
        <w:jc w:val="center"/>
      </w:trPr>
      <w:tc>
        <w:tcPr>
          <w:tcW w:w="1803" w:type="dxa"/>
          <w:vAlign w:val="center"/>
        </w:tcPr>
        <w:p w14:paraId="27788C99" w14:textId="77777777" w:rsidR="00F24B71" w:rsidRDefault="00B807A2" w:rsidP="00F24B71">
          <w:pPr>
            <w:pStyle w:val="Header"/>
            <w:jc w:val="left"/>
            <w:rPr>
              <w:noProof/>
            </w:rPr>
          </w:pPr>
          <w:hyperlink r:id="rId1" w:history="1">
            <w:r w:rsidR="00F24B71" w:rsidRPr="00A514A4">
              <w:rPr>
                <w:rStyle w:val="Hyperlink"/>
                <w:szCs w:val="14"/>
              </w:rPr>
              <w:t>www.itu.int/council</w:t>
            </w:r>
          </w:hyperlink>
        </w:p>
      </w:tc>
      <w:tc>
        <w:tcPr>
          <w:tcW w:w="8261" w:type="dxa"/>
        </w:tcPr>
        <w:p w14:paraId="56B68201" w14:textId="625A5737"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Pr="00623AE3">
            <w:rPr>
              <w:bCs/>
            </w:rPr>
            <w:t>/</w:t>
          </w:r>
          <w:r w:rsidR="00560AFA">
            <w:rPr>
              <w:bCs/>
            </w:rPr>
            <w:t>24</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2CC91D70" w14:textId="5447F201" w:rsidR="00760F1C" w:rsidRPr="00560AFA" w:rsidRDefault="00560AFA" w:rsidP="00560AFA">
    <w:pPr>
      <w:pStyle w:val="Footer"/>
      <w:spacing w:before="120"/>
      <w:rPr>
        <w:lang w:val="fr-FR"/>
      </w:rPr>
    </w:pPr>
    <w:r w:rsidRPr="00F31B71">
      <w:fldChar w:fldCharType="begin"/>
    </w:r>
    <w:r w:rsidRPr="00F31B71">
      <w:rPr>
        <w:lang w:val="fr-FR"/>
      </w:rPr>
      <w:instrText xml:space="preserve"> FILENAME \p  \* MERGEFORMAT </w:instrText>
    </w:r>
    <w:r w:rsidRPr="00F31B71">
      <w:fldChar w:fldCharType="separate"/>
    </w:r>
    <w:r w:rsidRPr="00F31B71">
      <w:rPr>
        <w:lang w:val="fr-FR"/>
      </w:rPr>
      <w:t>P:\ESP\SG\CONSEIL\C23\000\024S.docx</w:t>
    </w:r>
    <w:r w:rsidRPr="00F31B71">
      <w:fldChar w:fldCharType="end"/>
    </w:r>
    <w:r w:rsidRPr="00F31B71">
      <w:rPr>
        <w:lang w:val="fr-FR"/>
      </w:rPr>
      <w:t xml:space="preserve"> (</w:t>
    </w:r>
    <w:r>
      <w:rPr>
        <w:lang w:val="fr-FR"/>
      </w:rPr>
      <w:t>520577</w:t>
    </w:r>
    <w:r w:rsidRPr="00F31B71">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F182" w14:textId="77777777" w:rsidR="00BC1B79" w:rsidRDefault="00BC1B79">
      <w:r>
        <w:t>____________________</w:t>
      </w:r>
    </w:p>
  </w:footnote>
  <w:footnote w:type="continuationSeparator" w:id="0">
    <w:p w14:paraId="58426232" w14:textId="77777777" w:rsidR="00BC1B79" w:rsidRDefault="00BC1B79">
      <w:r>
        <w:continuationSeparator/>
      </w:r>
    </w:p>
  </w:footnote>
  <w:footnote w:id="1">
    <w:p w14:paraId="753F8075" w14:textId="3A287129" w:rsidR="00F31B71" w:rsidRPr="00F31B71" w:rsidRDefault="00F31B71" w:rsidP="00F31B71">
      <w:pPr>
        <w:pStyle w:val="FootnoteText"/>
      </w:pPr>
      <w:r>
        <w:rPr>
          <w:rStyle w:val="FootnoteReference"/>
        </w:rPr>
        <w:footnoteRef/>
      </w:r>
      <w:r>
        <w:tab/>
      </w:r>
      <w:r w:rsidRPr="00F31B71">
        <w:rPr>
          <w:lang w:val="es-ES"/>
        </w:rPr>
        <w:t xml:space="preserve">La Resolución 165 (Rev. Dubái, 2018) de la Conferencia de Plenipotenciarios, "Plazos de presentación de propuestas y procedimientos para la inscripción de participantes en las conferencias y asambleas de la Unión", resuelve, </w:t>
      </w:r>
      <w:r w:rsidRPr="00F31B71">
        <w:rPr>
          <w:u w:val="single"/>
          <w:lang w:val="es-ES"/>
        </w:rPr>
        <w:t xml:space="preserve">con excepción de los plazos mencionados en los </w:t>
      </w:r>
      <w:r w:rsidRPr="00F31B71">
        <w:rPr>
          <w:i/>
          <w:iCs/>
          <w:u w:val="single"/>
          <w:lang w:val="es-ES"/>
        </w:rPr>
        <w:t>reconociendo</w:t>
      </w:r>
      <w:r w:rsidRPr="00F31B71">
        <w:rPr>
          <w:u w:val="single"/>
          <w:lang w:val="es-ES"/>
        </w:rPr>
        <w:t xml:space="preserve"> </w:t>
      </w:r>
      <w:r w:rsidRPr="00500E4C">
        <w:rPr>
          <w:i/>
          <w:iCs/>
          <w:u w:val="single"/>
          <w:lang w:val="es-ES"/>
        </w:rPr>
        <w:t>a)</w:t>
      </w:r>
      <w:r w:rsidRPr="00F31B71">
        <w:rPr>
          <w:u w:val="single"/>
          <w:lang w:val="es-ES"/>
        </w:rPr>
        <w:t xml:space="preserve"> y </w:t>
      </w:r>
      <w:r w:rsidRPr="00500E4C">
        <w:rPr>
          <w:i/>
          <w:iCs/>
          <w:u w:val="single"/>
          <w:lang w:val="es-ES"/>
        </w:rPr>
        <w:t>b)</w:t>
      </w:r>
      <w:r w:rsidRPr="00F31B71">
        <w:rPr>
          <w:u w:val="single"/>
          <w:lang w:val="es-ES"/>
        </w:rPr>
        <w:t xml:space="preserve"> anterior, establecer para la presentación de todas las contribuciones un plazo fijo máximo de 21 días naturales antes de la apertura de las conferencias y asambleas</w:t>
      </w:r>
      <w:r w:rsidRPr="00F31B71">
        <w:rPr>
          <w:lang w:val="es-ES"/>
        </w:rPr>
        <w:t xml:space="preserve"> de la Unión, con inclusión de las conferencias de plenipotenciarios, a fin de garantizar la traducción a tiempo y el examen detallado de las mismas por las delegaciones" (subrayado añadido).</w:t>
      </w:r>
    </w:p>
  </w:footnote>
  <w:footnote w:id="2">
    <w:p w14:paraId="2B3F8147" w14:textId="397EB746" w:rsidR="00F31B71" w:rsidRPr="00F31B71" w:rsidRDefault="00F31B71" w:rsidP="00F31B71">
      <w:pPr>
        <w:pStyle w:val="FootnoteText"/>
      </w:pPr>
      <w:r>
        <w:rPr>
          <w:rStyle w:val="FootnoteReference"/>
        </w:rPr>
        <w:footnoteRef/>
      </w:r>
      <w:r>
        <w:tab/>
      </w:r>
      <w:r w:rsidRPr="00F31B71">
        <w:rPr>
          <w:lang w:val="es-ES"/>
        </w:rPr>
        <w:t xml:space="preserve">De conformidad con la Resolución 1 (Rev. Ginebra, 2022) de la AMNT-20: </w:t>
      </w:r>
      <w:r w:rsidRPr="00F31B71">
        <w:rPr>
          <w:b/>
          <w:bCs/>
          <w:lang w:val="es-ES"/>
        </w:rPr>
        <w:t>6.1</w:t>
      </w:r>
      <w:r w:rsidRPr="00F31B71">
        <w:rPr>
          <w:lang w:val="es-ES"/>
        </w:rPr>
        <w:t xml:space="preserve"> las contribuciones </w:t>
      </w:r>
      <w:r w:rsidRPr="00F31B71">
        <w:rPr>
          <w:u w:val="single"/>
          <w:lang w:val="es-ES"/>
        </w:rPr>
        <w:t>deberían presentarse a más tardar un mes antes de la apertura de la AMNT</w:t>
      </w:r>
      <w:r w:rsidRPr="00F31B71">
        <w:rPr>
          <w:lang w:val="es-ES"/>
        </w:rPr>
        <w:t xml:space="preserve"> y, en cualquier caso, de conformidad con la Resolución 165 (Rev. Dubái, 2018) de la Conferencia de Plenipotenciarios, el</w:t>
      </w:r>
      <w:r>
        <w:rPr>
          <w:lang w:val="es-ES"/>
        </w:rPr>
        <w:t xml:space="preserve"> </w:t>
      </w:r>
      <w:r w:rsidRPr="00F31B71">
        <w:rPr>
          <w:lang w:val="es-ES"/>
        </w:rPr>
        <w:t xml:space="preserve">plazo de presentación de todas las contribuciones </w:t>
      </w:r>
      <w:r w:rsidRPr="00F31B71">
        <w:rPr>
          <w:u w:val="single"/>
          <w:lang w:val="es-ES"/>
        </w:rPr>
        <w:t>no será inferior a 21 días naturales antes de la apertura de la AMNT</w:t>
      </w:r>
      <w:r w:rsidRPr="00500E4C">
        <w:rPr>
          <w:lang w:val="es-ES"/>
        </w:rPr>
        <w:t xml:space="preserve"> </w:t>
      </w:r>
      <w:r w:rsidRPr="00F31B71">
        <w:rPr>
          <w:lang w:val="es-ES"/>
        </w:rPr>
        <w:t>para que se puedan traducir a tiempo y los delegados puedan examinarlas con detenimiento. La TSB publicará inmediatamente todas las contribuciones a la AMNT en su idioma o idiomas originales en el sitio web de la AMNT, incluso antes de que se hayan traducido a los demás idiomas oficiales de la Unión (subrayado añadido).</w:t>
      </w:r>
    </w:p>
  </w:footnote>
  <w:footnote w:id="3">
    <w:p w14:paraId="55B1FD88" w14:textId="20127F77" w:rsidR="00F31B71" w:rsidRPr="00F31B71" w:rsidRDefault="00F31B71" w:rsidP="00F31B71">
      <w:pPr>
        <w:pStyle w:val="FootnoteText"/>
      </w:pPr>
      <w:r>
        <w:rPr>
          <w:rStyle w:val="FootnoteReference"/>
        </w:rPr>
        <w:footnoteRef/>
      </w:r>
      <w:r>
        <w:tab/>
      </w:r>
      <w:r w:rsidRPr="00F31B71">
        <w:rPr>
          <w:lang w:val="es-ES"/>
        </w:rPr>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E60D" w14:textId="77777777" w:rsidR="00B807A2" w:rsidRDefault="00B807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B69E" w14:textId="77777777" w:rsidR="00B807A2" w:rsidRDefault="00B807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1026D326" w14:textId="77777777" w:rsidTr="00E31DCE">
      <w:trPr>
        <w:trHeight w:val="1104"/>
        <w:jc w:val="center"/>
      </w:trPr>
      <w:tc>
        <w:tcPr>
          <w:tcW w:w="4390" w:type="dxa"/>
          <w:vAlign w:val="center"/>
        </w:tcPr>
        <w:p w14:paraId="117D67A3" w14:textId="77777777" w:rsidR="001559F5" w:rsidRPr="009621F8" w:rsidRDefault="001559F5" w:rsidP="001559F5">
          <w:pPr>
            <w:pStyle w:val="Header"/>
            <w:jc w:val="left"/>
            <w:rPr>
              <w:rFonts w:ascii="Arial" w:hAnsi="Arial" w:cs="Arial"/>
              <w:b/>
              <w:bCs/>
              <w:color w:val="009CD6"/>
              <w:sz w:val="36"/>
              <w:szCs w:val="36"/>
            </w:rPr>
          </w:pPr>
          <w:bookmarkStart w:id="7" w:name="_Hlk133422111"/>
          <w:r>
            <w:rPr>
              <w:noProof/>
            </w:rPr>
            <w:drawing>
              <wp:inline distT="0" distB="0" distL="0" distR="0" wp14:anchorId="21B3FFB8" wp14:editId="1165F8E8">
                <wp:extent cx="1887322" cy="5303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136" cy="548581"/>
                        </a:xfrm>
                        <a:prstGeom prst="rect">
                          <a:avLst/>
                        </a:prstGeom>
                        <a:noFill/>
                        <a:ln>
                          <a:noFill/>
                        </a:ln>
                      </pic:spPr>
                    </pic:pic>
                  </a:graphicData>
                </a:graphic>
              </wp:inline>
            </w:drawing>
          </w:r>
        </w:p>
      </w:tc>
      <w:tc>
        <w:tcPr>
          <w:tcW w:w="5630" w:type="dxa"/>
        </w:tcPr>
        <w:p w14:paraId="12FD937C" w14:textId="77777777" w:rsidR="001559F5" w:rsidRDefault="001559F5" w:rsidP="001559F5">
          <w:pPr>
            <w:pStyle w:val="Header"/>
            <w:jc w:val="right"/>
            <w:rPr>
              <w:rFonts w:ascii="Arial" w:hAnsi="Arial" w:cs="Arial"/>
              <w:b/>
              <w:bCs/>
              <w:color w:val="009CD6"/>
              <w:szCs w:val="18"/>
            </w:rPr>
          </w:pPr>
        </w:p>
        <w:p w14:paraId="250FC986" w14:textId="77777777" w:rsidR="001559F5" w:rsidRDefault="001559F5" w:rsidP="001559F5">
          <w:pPr>
            <w:pStyle w:val="Header"/>
            <w:jc w:val="right"/>
            <w:rPr>
              <w:rFonts w:ascii="Arial" w:hAnsi="Arial" w:cs="Arial"/>
              <w:b/>
              <w:bCs/>
              <w:color w:val="009CD6"/>
              <w:szCs w:val="18"/>
            </w:rPr>
          </w:pPr>
        </w:p>
        <w:p w14:paraId="69B2EC79"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3C7F0F94"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00AA590" wp14:editId="037E5185">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68B37"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562C1"/>
    <w:multiLevelType w:val="hybridMultilevel"/>
    <w:tmpl w:val="E652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9507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B79"/>
    <w:rsid w:val="000007D1"/>
    <w:rsid w:val="00093EEB"/>
    <w:rsid w:val="000B0D00"/>
    <w:rsid w:val="000B7C15"/>
    <w:rsid w:val="000D1D0F"/>
    <w:rsid w:val="000E2560"/>
    <w:rsid w:val="000F5290"/>
    <w:rsid w:val="0010165C"/>
    <w:rsid w:val="00146BFB"/>
    <w:rsid w:val="001559F5"/>
    <w:rsid w:val="001A6792"/>
    <w:rsid w:val="001F14A2"/>
    <w:rsid w:val="00231248"/>
    <w:rsid w:val="002801AA"/>
    <w:rsid w:val="002C4676"/>
    <w:rsid w:val="002C70B0"/>
    <w:rsid w:val="002F3CC4"/>
    <w:rsid w:val="003273A4"/>
    <w:rsid w:val="00500E4C"/>
    <w:rsid w:val="00513630"/>
    <w:rsid w:val="00560125"/>
    <w:rsid w:val="00560AFA"/>
    <w:rsid w:val="00574B04"/>
    <w:rsid w:val="00585553"/>
    <w:rsid w:val="005B34D9"/>
    <w:rsid w:val="005D0CCF"/>
    <w:rsid w:val="005F3BCB"/>
    <w:rsid w:val="005F410F"/>
    <w:rsid w:val="0060149A"/>
    <w:rsid w:val="00601924"/>
    <w:rsid w:val="00631028"/>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8E1DD6"/>
    <w:rsid w:val="00913B9C"/>
    <w:rsid w:val="00927F93"/>
    <w:rsid w:val="00932F22"/>
    <w:rsid w:val="00956E77"/>
    <w:rsid w:val="009F4811"/>
    <w:rsid w:val="00AA390C"/>
    <w:rsid w:val="00B0200A"/>
    <w:rsid w:val="00B574DB"/>
    <w:rsid w:val="00B807A2"/>
    <w:rsid w:val="00B826C2"/>
    <w:rsid w:val="00B8298E"/>
    <w:rsid w:val="00BC1B79"/>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6947"/>
    <w:rsid w:val="00E34072"/>
    <w:rsid w:val="00E3592D"/>
    <w:rsid w:val="00E92DE8"/>
    <w:rsid w:val="00EB1212"/>
    <w:rsid w:val="00ED65AB"/>
    <w:rsid w:val="00F12850"/>
    <w:rsid w:val="00F24B71"/>
    <w:rsid w:val="00F31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6C565"/>
  <w15:docId w15:val="{DA3F99A4-D7FB-44E4-9F4A-F8F6E5B4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1B79"/>
    <w:rPr>
      <w:color w:val="605E5C"/>
      <w:shd w:val="clear" w:color="auto" w:fill="E1DFDD"/>
    </w:rPr>
  </w:style>
  <w:style w:type="paragraph" w:styleId="ListParagraph">
    <w:name w:val="List Paragraph"/>
    <w:basedOn w:val="Normal"/>
    <w:uiPriority w:val="34"/>
    <w:qFormat/>
    <w:rsid w:val="00BC1B79"/>
    <w:pPr>
      <w:ind w:left="720"/>
      <w:contextualSpacing/>
    </w:pPr>
    <w:rPr>
      <w:rFonts w:eastAsia="SimSun"/>
      <w:lang w:val="en-GB"/>
    </w:rPr>
  </w:style>
  <w:style w:type="paragraph" w:styleId="Revision">
    <w:name w:val="Revision"/>
    <w:hidden/>
    <w:uiPriority w:val="99"/>
    <w:semiHidden/>
    <w:rsid w:val="008E1DD6"/>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Constitution-S.pdf" TargetMode="External"/><Relationship Id="rId13" Type="http://schemas.openxmlformats.org/officeDocument/2006/relationships/hyperlink" Target="https://www.itu.int/wtsa/2024/" TargetMode="External"/><Relationship Id="rId18" Type="http://schemas.openxmlformats.org/officeDocument/2006/relationships/hyperlink" Target="https://www.itu.int/wtsa/202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en/council/Documents/basic-texts-2023/RES-111-S.pdf" TargetMode="External"/><Relationship Id="rId17" Type="http://schemas.openxmlformats.org/officeDocument/2006/relationships/hyperlink" Target="https://www.itu.int/net/ITU-T/lists/rgm.aspx?Group=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es/ITU-T/studygroups/2022-2024/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077-S.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wtsa/2024/prepmeet/" TargetMode="External"/><Relationship Id="rId23" Type="http://schemas.openxmlformats.org/officeDocument/2006/relationships/footer" Target="footer2.xml"/><Relationship Id="rId10" Type="http://schemas.openxmlformats.org/officeDocument/2006/relationships/hyperlink" Target="https://www.itu.int/en/council/Documents/basic-texts-2023/General-Rules-S.pdf"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itu.int/en/council/Documents/basic-texts-2023/Convention-S.pdf" TargetMode="External"/><Relationship Id="rId14" Type="http://schemas.openxmlformats.org/officeDocument/2006/relationships/hyperlink" Target="https://www.itu.int/wtsa/2024/prepmeet/"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33A23-3256-4089-A2D5-203EA609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PS_Council23.dotx</Template>
  <TotalTime>1</TotalTime>
  <Pages>7</Pages>
  <Words>1663</Words>
  <Characters>9518</Characters>
  <Application>Microsoft Office Word</Application>
  <DocSecurity>4</DocSecurity>
  <Lines>79</Lines>
  <Paragraphs>22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11159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Lugar y fechas de celebración precisos de la Asamblea Mundial de Normalización de las Telecomunicaciones de 2024 y últimas novedades sobre los preparativos</dc:title>
  <dc:subject>Consejo 2023</dc:subject>
  <dc:creator>Spanish83</dc:creator>
  <cp:keywords>C2023, C23, Council-23</cp:keywords>
  <dc:description/>
  <cp:lastModifiedBy>Xue, Kun</cp:lastModifiedBy>
  <cp:revision>2</cp:revision>
  <cp:lastPrinted>2006-03-24T09:51:00Z</cp:lastPrinted>
  <dcterms:created xsi:type="dcterms:W3CDTF">2023-05-26T12:31:00Z</dcterms:created>
  <dcterms:modified xsi:type="dcterms:W3CDTF">2023-05-26T12:31:00Z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