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C3342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4A8B368" w:rsidR="00AD3606" w:rsidRPr="007C3342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2707636"/>
            <w:r w:rsidRPr="007C3342">
              <w:rPr>
                <w:b/>
              </w:rPr>
              <w:t xml:space="preserve">Agenda item: </w:t>
            </w:r>
            <w:r w:rsidR="00FE5F64" w:rsidRPr="007C3342">
              <w:rPr>
                <w:rFonts w:eastAsia="Times New Roman"/>
                <w:b/>
              </w:rPr>
              <w:t>ADM 1</w:t>
            </w:r>
          </w:p>
        </w:tc>
        <w:tc>
          <w:tcPr>
            <w:tcW w:w="5245" w:type="dxa"/>
          </w:tcPr>
          <w:p w14:paraId="2F0CB53A" w14:textId="0AEC32DA" w:rsidR="00AD3606" w:rsidRPr="007C3342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C3342">
              <w:rPr>
                <w:b/>
              </w:rPr>
              <w:t>Document C23/</w:t>
            </w:r>
            <w:r w:rsidR="00252ACA" w:rsidRPr="007C3342">
              <w:rPr>
                <w:b/>
              </w:rPr>
              <w:t>26</w:t>
            </w:r>
            <w:r w:rsidRPr="007C3342">
              <w:rPr>
                <w:b/>
              </w:rPr>
              <w:t>-E</w:t>
            </w:r>
          </w:p>
        </w:tc>
      </w:tr>
      <w:tr w:rsidR="00AD3606" w:rsidRPr="007C3342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7C33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936DC8A" w:rsidR="00AD3606" w:rsidRPr="007C3342" w:rsidRDefault="005B287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C3342">
              <w:rPr>
                <w:b/>
              </w:rPr>
              <w:t>16</w:t>
            </w:r>
            <w:r w:rsidR="00252ACA" w:rsidRPr="007C3342">
              <w:rPr>
                <w:b/>
              </w:rPr>
              <w:t xml:space="preserve"> May</w:t>
            </w:r>
            <w:r w:rsidR="00AD3606" w:rsidRPr="007C3342">
              <w:rPr>
                <w:b/>
              </w:rPr>
              <w:t xml:space="preserve"> 2023</w:t>
            </w:r>
          </w:p>
        </w:tc>
      </w:tr>
      <w:tr w:rsidR="00AD3606" w:rsidRPr="007C3342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7C33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3AC685B" w14:textId="77777777" w:rsidR="00AD3606" w:rsidRPr="007C3342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C3342">
              <w:rPr>
                <w:b/>
              </w:rPr>
              <w:t>Original: English</w:t>
            </w:r>
          </w:p>
        </w:tc>
      </w:tr>
      <w:tr w:rsidR="00472BAD" w:rsidRPr="007C3342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7C3342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7C3342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C3342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7C3342" w:rsidRDefault="00AD3606" w:rsidP="0038589D">
            <w:pPr>
              <w:pStyle w:val="Source"/>
              <w:framePr w:hSpace="0" w:wrap="auto" w:vAnchor="margin" w:hAnchor="text" w:xAlign="left" w:yAlign="inline"/>
            </w:pPr>
            <w:bookmarkStart w:id="5" w:name="dsource" w:colFirst="0" w:colLast="0"/>
            <w:bookmarkEnd w:id="4"/>
            <w:r w:rsidRPr="007C3342">
              <w:t>Report by the Secretary-General</w:t>
            </w:r>
          </w:p>
        </w:tc>
      </w:tr>
      <w:tr w:rsidR="00AD3606" w:rsidRPr="007C3342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3FCBCEA7" w:rsidR="00AD3606" w:rsidRPr="007C3342" w:rsidRDefault="00252ACA" w:rsidP="0038589D">
            <w:pPr>
              <w:pStyle w:val="Subtitle"/>
              <w:framePr w:hSpace="0" w:wrap="auto" w:xAlign="left" w:yAlign="inline"/>
            </w:pPr>
            <w:bookmarkStart w:id="6" w:name="dtitle1" w:colFirst="0" w:colLast="0"/>
            <w:bookmarkEnd w:id="5"/>
            <w:r w:rsidRPr="007C3342">
              <w:t>FINANCIAL IMPLICATIONS OF THE REGIONAL INITIATIVES APPROVED BY WTDC-22</w:t>
            </w:r>
          </w:p>
        </w:tc>
      </w:tr>
      <w:tr w:rsidR="00AD3606" w:rsidRPr="007C3342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07DED857" w:rsidR="00AD3606" w:rsidRPr="007C3342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3342">
              <w:rPr>
                <w:b/>
                <w:bCs/>
                <w:sz w:val="26"/>
                <w:szCs w:val="26"/>
              </w:rPr>
              <w:t>Purpose</w:t>
            </w:r>
          </w:p>
          <w:p w14:paraId="707BBC08" w14:textId="2470AAC9" w:rsidR="007E05EB" w:rsidRPr="007C3342" w:rsidRDefault="007E05EB" w:rsidP="007E05EB">
            <w:pPr>
              <w:spacing w:before="60"/>
              <w:jc w:val="both"/>
              <w:rPr>
                <w:szCs w:val="24"/>
              </w:rPr>
            </w:pPr>
            <w:r w:rsidRPr="007C3342">
              <w:rPr>
                <w:szCs w:val="24"/>
              </w:rPr>
              <w:t>The World Telecommunication Development Conference (</w:t>
            </w:r>
            <w:r w:rsidR="00670316" w:rsidRPr="007C3342">
              <w:rPr>
                <w:szCs w:val="24"/>
              </w:rPr>
              <w:t>Kigali, 2022</w:t>
            </w:r>
            <w:r w:rsidRPr="007C3342">
              <w:rPr>
                <w:szCs w:val="24"/>
              </w:rPr>
              <w:t>), held in Kigali, Rwanda from 6 to 16 June 2022, adopted the Kigali Declaration and the Kigali Action Plan, including 28</w:t>
            </w:r>
            <w:r w:rsidR="00670316" w:rsidRPr="007C3342">
              <w:rPr>
                <w:szCs w:val="24"/>
              </w:rPr>
              <w:t> </w:t>
            </w:r>
            <w:r w:rsidRPr="007C3342">
              <w:rPr>
                <w:szCs w:val="24"/>
              </w:rPr>
              <w:t xml:space="preserve">regional initiatives (RIs) </w:t>
            </w:r>
            <w:r w:rsidR="009C138F" w:rsidRPr="007C3342">
              <w:rPr>
                <w:szCs w:val="24"/>
              </w:rPr>
              <w:t xml:space="preserve">distributed among </w:t>
            </w:r>
            <w:r w:rsidRPr="007C3342">
              <w:rPr>
                <w:szCs w:val="24"/>
              </w:rPr>
              <w:t>the six regions of ITU-D.</w:t>
            </w:r>
          </w:p>
          <w:p w14:paraId="1DD83EC1" w14:textId="78FE374B" w:rsidR="00DA6AC7" w:rsidRPr="007C3342" w:rsidRDefault="002B0EBB" w:rsidP="007E05EB">
            <w:pPr>
              <w:spacing w:before="60"/>
              <w:jc w:val="both"/>
            </w:pPr>
            <w:r w:rsidRPr="007C3342">
              <w:t xml:space="preserve">In the assessment of BDT, </w:t>
            </w:r>
            <w:r w:rsidR="007E05EB" w:rsidRPr="007C3342">
              <w:t>full implementation of these regional initiatives w</w:t>
            </w:r>
            <w:r w:rsidRPr="007C3342">
              <w:t>ould</w:t>
            </w:r>
            <w:r w:rsidR="007E05EB" w:rsidRPr="007C3342">
              <w:t xml:space="preserve"> require significant financing</w:t>
            </w:r>
            <w:r w:rsidR="00B2663F" w:rsidRPr="007C3342">
              <w:t>,</w:t>
            </w:r>
            <w:r w:rsidR="007E05EB" w:rsidRPr="007C3342">
              <w:t xml:space="preserve"> which </w:t>
            </w:r>
            <w:r w:rsidR="00B2663F" w:rsidRPr="007C3342">
              <w:t xml:space="preserve">in turn </w:t>
            </w:r>
            <w:r w:rsidR="007E05EB" w:rsidRPr="007C3342">
              <w:t xml:space="preserve">would need to be generated by ITU through resource mobilization and other efforts. </w:t>
            </w:r>
          </w:p>
          <w:p w14:paraId="52A6417F" w14:textId="5E83E90A" w:rsidR="0024770D" w:rsidRPr="007C3342" w:rsidRDefault="00DA6AC7" w:rsidP="007E05EB">
            <w:pPr>
              <w:spacing w:before="60"/>
              <w:jc w:val="both"/>
            </w:pPr>
            <w:r w:rsidRPr="007C3342">
              <w:t xml:space="preserve">At the start of </w:t>
            </w:r>
            <w:r w:rsidR="007E05EB" w:rsidRPr="007C3342">
              <w:t xml:space="preserve">the previous cycle, </w:t>
            </w:r>
            <w:r w:rsidR="007D2678" w:rsidRPr="007C3342">
              <w:t xml:space="preserve">the World Telecommunication Development Conference (Buenos Aires, 2017) </w:t>
            </w:r>
            <w:r w:rsidR="007E05EB" w:rsidRPr="007C3342">
              <w:t xml:space="preserve">suggested an allocation of 1 million </w:t>
            </w:r>
            <w:r w:rsidR="00066DDF" w:rsidRPr="007C3342">
              <w:t xml:space="preserve">Swiss francs </w:t>
            </w:r>
            <w:r w:rsidR="007E05EB" w:rsidRPr="007C3342">
              <w:t xml:space="preserve">per RI, to ensure ITU had adequate funding to engage in partnerships and other collaborative efforts that would ensure the effective and full implementation of these RIs. </w:t>
            </w:r>
            <w:r w:rsidR="00066DDF" w:rsidRPr="007C3342">
              <w:t xml:space="preserve">In the event, </w:t>
            </w:r>
            <w:r w:rsidR="00B55D5A" w:rsidRPr="007C3342">
              <w:t xml:space="preserve">no </w:t>
            </w:r>
            <w:r w:rsidR="007E05EB" w:rsidRPr="007C3342">
              <w:t xml:space="preserve">financial resources were allocated for this purpose. </w:t>
            </w:r>
            <w:r w:rsidRPr="007C3342">
              <w:t>Instead, f</w:t>
            </w:r>
            <w:r w:rsidR="007E05EB" w:rsidRPr="007C3342">
              <w:t xml:space="preserve">ollowing the adoption of </w:t>
            </w:r>
            <w:r w:rsidR="00B55D5A" w:rsidRPr="007C3342">
              <w:t>r</w:t>
            </w:r>
            <w:r w:rsidR="007E05EB" w:rsidRPr="007C3342">
              <w:t xml:space="preserve">egional </w:t>
            </w:r>
            <w:r w:rsidR="00B55D5A" w:rsidRPr="007C3342">
              <w:t>i</w:t>
            </w:r>
            <w:r w:rsidR="007E05EB" w:rsidRPr="007C3342">
              <w:t xml:space="preserve">nitiatives by WTDC-17, </w:t>
            </w:r>
            <w:r w:rsidR="005B4EC8" w:rsidRPr="007C3342">
              <w:t xml:space="preserve">the </w:t>
            </w:r>
            <w:r w:rsidR="00522C73">
              <w:t xml:space="preserve">ITU </w:t>
            </w:r>
            <w:r w:rsidR="007E05EB" w:rsidRPr="007C3342">
              <w:t xml:space="preserve">Council </w:t>
            </w:r>
            <w:r w:rsidR="00B55D5A" w:rsidRPr="007C3342">
              <w:t xml:space="preserve">at </w:t>
            </w:r>
            <w:r w:rsidR="007E05EB" w:rsidRPr="007C3342">
              <w:t xml:space="preserve">its 2018 session </w:t>
            </w:r>
            <w:r w:rsidR="00B55D5A" w:rsidRPr="007C3342">
              <w:t xml:space="preserve">allocated </w:t>
            </w:r>
            <w:r w:rsidR="007E05EB" w:rsidRPr="007C3342">
              <w:t xml:space="preserve">a total of </w:t>
            </w:r>
            <w:r w:rsidR="00C37314">
              <w:t>5</w:t>
            </w:r>
            <w:r w:rsidR="00B01879" w:rsidRPr="007C3342">
              <w:t xml:space="preserve"> million Swiss francs </w:t>
            </w:r>
            <w:r w:rsidR="007E05EB" w:rsidRPr="007C3342">
              <w:t>as seed funding for the period from 2018-2021.</w:t>
            </w:r>
            <w:r w:rsidR="00B01879" w:rsidRPr="007C3342">
              <w:t xml:space="preserve"> </w:t>
            </w:r>
          </w:p>
          <w:p w14:paraId="65A3D015" w14:textId="24B22FF0" w:rsidR="007E05EB" w:rsidRPr="007C3342" w:rsidRDefault="0024770D" w:rsidP="007E05EB">
            <w:pPr>
              <w:spacing w:before="60"/>
              <w:jc w:val="both"/>
            </w:pPr>
            <w:r w:rsidRPr="007C3342">
              <w:t xml:space="preserve">This </w:t>
            </w:r>
            <w:r w:rsidR="007E05EB" w:rsidRPr="007C3342">
              <w:t xml:space="preserve">document provides </w:t>
            </w:r>
            <w:r w:rsidR="00D45DFD" w:rsidRPr="007C3342">
              <w:t xml:space="preserve">an </w:t>
            </w:r>
            <w:r w:rsidR="007E05EB" w:rsidRPr="007C3342">
              <w:t xml:space="preserve">overview of the </w:t>
            </w:r>
            <w:r w:rsidRPr="007C3342">
              <w:t xml:space="preserve">RIs </w:t>
            </w:r>
            <w:r w:rsidR="007E05EB" w:rsidRPr="007C3342">
              <w:t xml:space="preserve">adopted </w:t>
            </w:r>
            <w:r w:rsidRPr="007C3342">
              <w:t xml:space="preserve">by WTDC-22 </w:t>
            </w:r>
            <w:r w:rsidR="007E05EB" w:rsidRPr="007C3342">
              <w:t xml:space="preserve">and </w:t>
            </w:r>
            <w:r w:rsidR="00E067CF" w:rsidRPr="007C3342">
              <w:t xml:space="preserve">BDT’s </w:t>
            </w:r>
            <w:r w:rsidR="002B0EBB" w:rsidRPr="007C3342">
              <w:t xml:space="preserve">assessment of the </w:t>
            </w:r>
            <w:r w:rsidR="007E05EB" w:rsidRPr="007C3342">
              <w:t xml:space="preserve">financial resources </w:t>
            </w:r>
            <w:r w:rsidR="00E067CF" w:rsidRPr="007C3342">
              <w:t xml:space="preserve">that will be </w:t>
            </w:r>
            <w:r w:rsidR="002B0EBB" w:rsidRPr="007C3342">
              <w:t>need</w:t>
            </w:r>
            <w:r w:rsidR="00335B6E" w:rsidRPr="007C3342">
              <w:t>ed</w:t>
            </w:r>
            <w:r w:rsidR="002B0EBB" w:rsidRPr="007C3342">
              <w:t xml:space="preserve"> </w:t>
            </w:r>
            <w:r w:rsidR="00EF122D" w:rsidRPr="007C3342">
              <w:t xml:space="preserve">to </w:t>
            </w:r>
            <w:r w:rsidR="00D24344">
              <w:t xml:space="preserve">make </w:t>
            </w:r>
            <w:r w:rsidR="00787EC3" w:rsidRPr="007C3342">
              <w:t xml:space="preserve">full </w:t>
            </w:r>
            <w:r w:rsidR="007E05EB" w:rsidRPr="007C3342">
              <w:t>implement</w:t>
            </w:r>
            <w:r w:rsidR="00787EC3" w:rsidRPr="007C3342">
              <w:t>ation</w:t>
            </w:r>
            <w:r w:rsidR="00D24344">
              <w:t xml:space="preserve"> possible</w:t>
            </w:r>
            <w:r w:rsidR="007E05EB" w:rsidRPr="007C3342">
              <w:t xml:space="preserve">. </w:t>
            </w:r>
          </w:p>
          <w:p w14:paraId="45B1495A" w14:textId="77777777" w:rsidR="00AD3606" w:rsidRPr="007C3342" w:rsidRDefault="00AD3606" w:rsidP="0038589D">
            <w:pPr>
              <w:rPr>
                <w:b/>
                <w:bCs/>
                <w:sz w:val="26"/>
                <w:szCs w:val="26"/>
              </w:rPr>
            </w:pPr>
            <w:r w:rsidRPr="007C3342">
              <w:rPr>
                <w:b/>
                <w:bCs/>
                <w:sz w:val="26"/>
                <w:szCs w:val="26"/>
              </w:rPr>
              <w:t>Action required</w:t>
            </w:r>
            <w:r w:rsidR="00F16BAB" w:rsidRPr="007C3342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74554375" w:rsidR="00AD3606" w:rsidRPr="007C3342" w:rsidRDefault="00272499" w:rsidP="00AD3606">
            <w:r w:rsidRPr="007C3342">
              <w:t xml:space="preserve">The </w:t>
            </w:r>
            <w:r w:rsidR="007E05EB" w:rsidRPr="007C3342">
              <w:t xml:space="preserve">Council is requested to </w:t>
            </w:r>
            <w:r w:rsidR="007E05EB" w:rsidRPr="007C3342">
              <w:rPr>
                <w:b/>
                <w:bCs/>
              </w:rPr>
              <w:t xml:space="preserve">consider </w:t>
            </w:r>
            <w:r w:rsidR="007E05EB" w:rsidRPr="007C3342">
              <w:t>this document.</w:t>
            </w:r>
          </w:p>
          <w:p w14:paraId="4F74F7E6" w14:textId="5DA0C55B" w:rsidR="00252ACA" w:rsidRPr="007C3342" w:rsidRDefault="00F16BAB" w:rsidP="0038589D">
            <w:pPr>
              <w:rPr>
                <w:b/>
                <w:bCs/>
                <w:sz w:val="26"/>
                <w:szCs w:val="26"/>
              </w:rPr>
            </w:pPr>
            <w:r w:rsidRPr="007C3342">
              <w:rPr>
                <w:b/>
                <w:bCs/>
                <w:sz w:val="26"/>
                <w:szCs w:val="26"/>
              </w:rPr>
              <w:t>Relevant link</w:t>
            </w:r>
            <w:r w:rsidR="00A54171" w:rsidRPr="007C3342">
              <w:rPr>
                <w:b/>
                <w:bCs/>
                <w:sz w:val="26"/>
                <w:szCs w:val="26"/>
              </w:rPr>
              <w:t>(s)</w:t>
            </w:r>
            <w:r w:rsidRPr="007C3342">
              <w:rPr>
                <w:b/>
                <w:bCs/>
                <w:sz w:val="26"/>
                <w:szCs w:val="26"/>
              </w:rPr>
              <w:t xml:space="preserve"> with the Strategic Plan</w:t>
            </w:r>
            <w:r w:rsidR="00EF6C29" w:rsidRPr="007C3342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503749D7" w14:textId="3B2A9EEE" w:rsidR="00F16BAB" w:rsidRPr="007C3342" w:rsidRDefault="005A51DC" w:rsidP="00EF6C2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3342">
              <w:t xml:space="preserve">All </w:t>
            </w:r>
            <w:r w:rsidR="00EF122D" w:rsidRPr="007C3342">
              <w:t>t</w:t>
            </w:r>
            <w:r w:rsidRPr="007C3342">
              <w:t xml:space="preserve">hematic </w:t>
            </w:r>
            <w:r w:rsidR="00EF122D" w:rsidRPr="007C3342">
              <w:t>p</w:t>
            </w:r>
            <w:r w:rsidRPr="007C3342">
              <w:t>riorities</w:t>
            </w:r>
            <w:r w:rsidR="004B168F" w:rsidRPr="007C3342">
              <w:t>;</w:t>
            </w:r>
            <w:r w:rsidRPr="007C3342">
              <w:t xml:space="preserve"> </w:t>
            </w:r>
            <w:r w:rsidR="00EF122D" w:rsidRPr="007C3342">
              <w:t>r</w:t>
            </w:r>
            <w:r w:rsidRPr="007C3342">
              <w:t xml:space="preserve">egional </w:t>
            </w:r>
            <w:r w:rsidR="00EF122D" w:rsidRPr="007C3342">
              <w:t>p</w:t>
            </w:r>
            <w:r w:rsidRPr="007C3342">
              <w:t>resence</w:t>
            </w:r>
          </w:p>
          <w:p w14:paraId="672CC2FD" w14:textId="53BB74C8" w:rsidR="003B6827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3342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218BA8EE" w:rsidR="00F16BAB" w:rsidRPr="0038589D" w:rsidRDefault="00FF7ABC" w:rsidP="00F16BAB">
            <w:pPr>
              <w:spacing w:before="160"/>
              <w:rPr>
                <w:szCs w:val="24"/>
              </w:rPr>
            </w:pPr>
            <w:r w:rsidRPr="0038589D">
              <w:rPr>
                <w:szCs w:val="24"/>
              </w:rPr>
              <w:t>CHF</w:t>
            </w:r>
            <w:r w:rsidR="00F82B85" w:rsidRPr="0038589D">
              <w:rPr>
                <w:szCs w:val="24"/>
              </w:rPr>
              <w:t> </w:t>
            </w:r>
            <w:r w:rsidRPr="0038589D">
              <w:rPr>
                <w:szCs w:val="24"/>
              </w:rPr>
              <w:t>5.6</w:t>
            </w:r>
            <w:r w:rsidR="001B24B8" w:rsidRPr="0038589D">
              <w:rPr>
                <w:szCs w:val="24"/>
              </w:rPr>
              <w:t> million to</w:t>
            </w:r>
            <w:r w:rsidR="00F16BAB" w:rsidRPr="0038589D">
              <w:rPr>
                <w:szCs w:val="24"/>
              </w:rPr>
              <w:t xml:space="preserve"> CHF</w:t>
            </w:r>
            <w:r w:rsidR="001B24B8" w:rsidRPr="0038589D">
              <w:rPr>
                <w:szCs w:val="24"/>
              </w:rPr>
              <w:t> </w:t>
            </w:r>
            <w:r w:rsidRPr="0038589D">
              <w:rPr>
                <w:szCs w:val="24"/>
              </w:rPr>
              <w:t>8.4</w:t>
            </w:r>
            <w:r w:rsidR="00F82B85" w:rsidRPr="0038589D">
              <w:rPr>
                <w:szCs w:val="24"/>
              </w:rPr>
              <w:t> </w:t>
            </w:r>
            <w:r w:rsidR="001B24B8" w:rsidRPr="0038589D">
              <w:rPr>
                <w:szCs w:val="24"/>
              </w:rPr>
              <w:t>million</w:t>
            </w:r>
            <w:r w:rsidR="002805AE" w:rsidRPr="0038589D">
              <w:rPr>
                <w:szCs w:val="24"/>
              </w:rPr>
              <w:t xml:space="preserve"> (BDT</w:t>
            </w:r>
            <w:r w:rsidR="001B24B8" w:rsidRPr="0038589D">
              <w:rPr>
                <w:szCs w:val="24"/>
              </w:rPr>
              <w:t>’s</w:t>
            </w:r>
            <w:r w:rsidR="002805AE" w:rsidRPr="0038589D">
              <w:rPr>
                <w:szCs w:val="24"/>
              </w:rPr>
              <w:t xml:space="preserve"> assessment </w:t>
            </w:r>
            <w:r w:rsidR="001B24B8" w:rsidRPr="0038589D">
              <w:rPr>
                <w:szCs w:val="24"/>
              </w:rPr>
              <w:t xml:space="preserve">of </w:t>
            </w:r>
            <w:r w:rsidR="002805AE" w:rsidRPr="0038589D">
              <w:rPr>
                <w:szCs w:val="24"/>
              </w:rPr>
              <w:t xml:space="preserve">the resources needed to </w:t>
            </w:r>
            <w:r w:rsidR="00D24344" w:rsidRPr="0038589D">
              <w:rPr>
                <w:szCs w:val="24"/>
              </w:rPr>
              <w:t xml:space="preserve">make </w:t>
            </w:r>
            <w:r w:rsidR="002805AE" w:rsidRPr="0038589D">
              <w:rPr>
                <w:szCs w:val="24"/>
              </w:rPr>
              <w:t>full</w:t>
            </w:r>
            <w:r w:rsidR="00100261" w:rsidRPr="0038589D">
              <w:rPr>
                <w:szCs w:val="24"/>
              </w:rPr>
              <w:t xml:space="preserve"> implementation of regional initiatives</w:t>
            </w:r>
            <w:r w:rsidR="00D24344" w:rsidRPr="0038589D">
              <w:rPr>
                <w:szCs w:val="24"/>
              </w:rPr>
              <w:t xml:space="preserve"> possible</w:t>
            </w:r>
            <w:r w:rsidR="00100261" w:rsidRPr="0038589D">
              <w:rPr>
                <w:szCs w:val="24"/>
              </w:rPr>
              <w:t>)</w:t>
            </w:r>
          </w:p>
          <w:p w14:paraId="6F1B8B4E" w14:textId="77777777" w:rsidR="00AD3606" w:rsidRPr="007C3342" w:rsidRDefault="00AD3606" w:rsidP="0038589D">
            <w:pPr>
              <w:rPr>
                <w:caps/>
                <w:sz w:val="22"/>
              </w:rPr>
            </w:pPr>
            <w:r w:rsidRPr="007C3342">
              <w:rPr>
                <w:sz w:val="22"/>
              </w:rPr>
              <w:t>__________________</w:t>
            </w:r>
          </w:p>
          <w:p w14:paraId="0EBC340A" w14:textId="636DF330" w:rsidR="00AD3606" w:rsidRPr="007C3342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7C3342">
              <w:rPr>
                <w:b/>
                <w:bCs/>
                <w:sz w:val="26"/>
                <w:szCs w:val="26"/>
              </w:rPr>
              <w:t>Referen</w:t>
            </w:r>
            <w:r w:rsidR="005A51DC" w:rsidRPr="007C3342">
              <w:rPr>
                <w:b/>
                <w:bCs/>
                <w:sz w:val="26"/>
                <w:szCs w:val="26"/>
              </w:rPr>
              <w:t>ces</w:t>
            </w:r>
          </w:p>
          <w:p w14:paraId="65250B1E" w14:textId="243C4592" w:rsidR="00087549" w:rsidRPr="0038589D" w:rsidRDefault="002C2C6F" w:rsidP="0038589D">
            <w:pPr>
              <w:spacing w:after="120"/>
              <w:rPr>
                <w:i/>
                <w:iCs/>
                <w:sz w:val="22"/>
                <w:szCs w:val="22"/>
              </w:rPr>
            </w:pPr>
            <w:hyperlink r:id="rId11" w:history="1">
              <w:r w:rsidR="00EF6C29" w:rsidRPr="0038589D">
                <w:rPr>
                  <w:rStyle w:val="Hyperlink"/>
                  <w:i/>
                  <w:iCs/>
                  <w:sz w:val="22"/>
                  <w:szCs w:val="22"/>
                </w:rPr>
                <w:t>Final Report</w:t>
              </w:r>
              <w:r w:rsidR="00A3606E" w:rsidRPr="0038589D">
                <w:rPr>
                  <w:rStyle w:val="Hyperlink"/>
                  <w:i/>
                  <w:iCs/>
                  <w:sz w:val="22"/>
                  <w:szCs w:val="22"/>
                </w:rPr>
                <w:t xml:space="preserve"> of the</w:t>
              </w:r>
              <w:r w:rsidR="003B1B0B" w:rsidRPr="0038589D">
                <w:rPr>
                  <w:i/>
                  <w:iCs/>
                  <w:sz w:val="22"/>
                  <w:szCs w:val="22"/>
                </w:rPr>
                <w:t xml:space="preserve"> </w:t>
              </w:r>
              <w:r w:rsidR="00A3606E" w:rsidRPr="0038589D">
                <w:rPr>
                  <w:rStyle w:val="Hyperlink"/>
                  <w:i/>
                  <w:iCs/>
                  <w:sz w:val="22"/>
                  <w:szCs w:val="22"/>
                </w:rPr>
                <w:t>World Telecommunication Development Conference</w:t>
              </w:r>
              <w:r w:rsidR="003B1B0B" w:rsidRPr="0038589D">
                <w:rPr>
                  <w:rStyle w:val="Hyperlink"/>
                  <w:i/>
                  <w:iCs/>
                  <w:sz w:val="22"/>
                  <w:szCs w:val="22"/>
                </w:rPr>
                <w:t xml:space="preserve"> (Kigali</w:t>
              </w:r>
              <w:r w:rsidR="00A73192" w:rsidRPr="0038589D">
                <w:rPr>
                  <w:rStyle w:val="Hyperlink"/>
                  <w:i/>
                  <w:iCs/>
                  <w:sz w:val="22"/>
                  <w:szCs w:val="22"/>
                </w:rPr>
                <w:t>, 2022)</w:t>
              </w:r>
              <w:r w:rsidR="0039390D" w:rsidRPr="0038589D">
                <w:rPr>
                  <w:rStyle w:val="Hyperlink"/>
                  <w:i/>
                  <w:iCs/>
                  <w:sz w:val="22"/>
                  <w:szCs w:val="22"/>
                </w:rPr>
                <w:t>, Part</w:t>
              </w:r>
              <w:r w:rsidR="007A4F40" w:rsidRPr="0038589D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="0039390D" w:rsidRPr="0038589D">
                <w:rPr>
                  <w:rStyle w:val="Hyperlink"/>
                  <w:i/>
                  <w:iCs/>
                  <w:sz w:val="22"/>
                  <w:szCs w:val="22"/>
                </w:rPr>
                <w:t>III</w:t>
              </w:r>
              <w:r w:rsidR="007A4F40" w:rsidRPr="0038589D">
                <w:rPr>
                  <w:rStyle w:val="Hyperlink"/>
                  <w:i/>
                  <w:iCs/>
                  <w:sz w:val="22"/>
                  <w:szCs w:val="22"/>
                </w:rPr>
                <w:t> </w:t>
              </w:r>
              <w:r w:rsidR="00087549" w:rsidRPr="0038589D">
                <w:rPr>
                  <w:rStyle w:val="Hyperlink"/>
                  <w:i/>
                  <w:iCs/>
                  <w:sz w:val="22"/>
                  <w:szCs w:val="22"/>
                </w:rPr>
                <w:t>– Regional Initiatives</w:t>
              </w:r>
            </w:hyperlink>
            <w:r w:rsidR="00252ACA" w:rsidRPr="0038589D">
              <w:rPr>
                <w:rStyle w:val="Hyperlink"/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r w:rsidR="001F6164" w:rsidRPr="0038589D">
                <w:rPr>
                  <w:rStyle w:val="Hyperlink"/>
                  <w:i/>
                  <w:iCs/>
                  <w:sz w:val="22"/>
                  <w:szCs w:val="22"/>
                </w:rPr>
                <w:t>Resolution 25</w:t>
              </w:r>
              <w:r w:rsidR="00E4260D" w:rsidRPr="0038589D">
                <w:rPr>
                  <w:rStyle w:val="Hyperlink"/>
                  <w:i/>
                  <w:iCs/>
                  <w:sz w:val="22"/>
                  <w:szCs w:val="22"/>
                </w:rPr>
                <w:t xml:space="preserve"> (Rev. Bucharest 2022)</w:t>
              </w:r>
            </w:hyperlink>
            <w:r w:rsidR="00A73192" w:rsidRPr="0038589D">
              <w:rPr>
                <w:rStyle w:val="Hyperlink"/>
                <w:i/>
                <w:iCs/>
                <w:sz w:val="22"/>
                <w:szCs w:val="22"/>
              </w:rPr>
              <w:t xml:space="preserve"> of the Plenipotentiary Conference</w:t>
            </w:r>
            <w:r w:rsidR="00087549" w:rsidRPr="0038589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bookmarkEnd w:id="2"/>
    <w:bookmarkEnd w:id="6"/>
    <w:p w14:paraId="6E5FE15C" w14:textId="77777777" w:rsidR="00B74CC0" w:rsidRPr="007C3342" w:rsidRDefault="00B74CC0" w:rsidP="00B74CC0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jc w:val="both"/>
        <w:textAlignment w:val="auto"/>
        <w:rPr>
          <w:b/>
          <w:bCs/>
          <w:szCs w:val="24"/>
        </w:rPr>
      </w:pPr>
      <w:r w:rsidRPr="007C3342">
        <w:rPr>
          <w:b/>
          <w:bCs/>
          <w:szCs w:val="24"/>
        </w:rPr>
        <w:lastRenderedPageBreak/>
        <w:t>Introduction</w:t>
      </w:r>
    </w:p>
    <w:p w14:paraId="6F556607" w14:textId="7E616FFF" w:rsidR="00B74CC0" w:rsidRPr="007C3342" w:rsidRDefault="00B74CC0" w:rsidP="00DC7ECF">
      <w:pPr>
        <w:jc w:val="both"/>
        <w:rPr>
          <w:szCs w:val="24"/>
        </w:rPr>
      </w:pPr>
      <w:r w:rsidRPr="007C3342">
        <w:rPr>
          <w:szCs w:val="24"/>
        </w:rPr>
        <w:t>The World Telecommunication Development Conference</w:t>
      </w:r>
      <w:r w:rsidR="007A4F40" w:rsidRPr="007C3342">
        <w:rPr>
          <w:szCs w:val="24"/>
        </w:rPr>
        <w:t xml:space="preserve"> (Kigali, 2022)</w:t>
      </w:r>
      <w:r w:rsidRPr="007C3342">
        <w:rPr>
          <w:szCs w:val="24"/>
        </w:rPr>
        <w:t>, held in Kigali, Rwanda 6 to 16 June 2022</w:t>
      </w:r>
      <w:r w:rsidR="00782824" w:rsidRPr="007C3342">
        <w:rPr>
          <w:szCs w:val="24"/>
        </w:rPr>
        <w:t xml:space="preserve"> (WTDC-22)</w:t>
      </w:r>
      <w:r w:rsidRPr="007C3342">
        <w:rPr>
          <w:szCs w:val="24"/>
        </w:rPr>
        <w:t xml:space="preserve">, adopted the Kigali Action Plan, </w:t>
      </w:r>
      <w:r w:rsidR="00782824" w:rsidRPr="007C3342">
        <w:rPr>
          <w:szCs w:val="24"/>
        </w:rPr>
        <w:t xml:space="preserve">which </w:t>
      </w:r>
      <w:r w:rsidRPr="007C3342">
        <w:rPr>
          <w:szCs w:val="24"/>
        </w:rPr>
        <w:t>includ</w:t>
      </w:r>
      <w:r w:rsidR="00782824" w:rsidRPr="007C3342">
        <w:rPr>
          <w:szCs w:val="24"/>
        </w:rPr>
        <w:t>es</w:t>
      </w:r>
      <w:r w:rsidRPr="007C3342">
        <w:rPr>
          <w:szCs w:val="24"/>
        </w:rPr>
        <w:t xml:space="preserve"> 28 </w:t>
      </w:r>
      <w:r w:rsidR="00782824" w:rsidRPr="007C3342">
        <w:rPr>
          <w:szCs w:val="24"/>
        </w:rPr>
        <w:t>regional initiatives (</w:t>
      </w:r>
      <w:r w:rsidRPr="007C3342">
        <w:rPr>
          <w:szCs w:val="24"/>
        </w:rPr>
        <w:t>RIs</w:t>
      </w:r>
      <w:r w:rsidR="00782824" w:rsidRPr="007C3342">
        <w:rPr>
          <w:szCs w:val="24"/>
        </w:rPr>
        <w:t>)</w:t>
      </w:r>
      <w:r w:rsidRPr="007C3342">
        <w:rPr>
          <w:szCs w:val="24"/>
        </w:rPr>
        <w:t xml:space="preserve"> distributed </w:t>
      </w:r>
      <w:r w:rsidR="00F62409" w:rsidRPr="007C3342">
        <w:rPr>
          <w:szCs w:val="24"/>
        </w:rPr>
        <w:t xml:space="preserve">among </w:t>
      </w:r>
      <w:r w:rsidR="003D0953" w:rsidRPr="007C3342">
        <w:rPr>
          <w:szCs w:val="24"/>
        </w:rPr>
        <w:t xml:space="preserve">the </w:t>
      </w:r>
      <w:r w:rsidRPr="007C3342">
        <w:rPr>
          <w:szCs w:val="24"/>
        </w:rPr>
        <w:t>six regions</w:t>
      </w:r>
      <w:r w:rsidR="003D0953" w:rsidRPr="007C3342">
        <w:rPr>
          <w:szCs w:val="24"/>
        </w:rPr>
        <w:t xml:space="preserve"> of ITU-D</w:t>
      </w:r>
      <w:r w:rsidRPr="007C3342">
        <w:rPr>
          <w:szCs w:val="24"/>
        </w:rPr>
        <w:t xml:space="preserve">. </w:t>
      </w:r>
    </w:p>
    <w:p w14:paraId="2A5B7858" w14:textId="5DA9E23C" w:rsidR="001A6087" w:rsidRPr="007C3342" w:rsidRDefault="00B74CC0" w:rsidP="00DC7ECF">
      <w:pPr>
        <w:jc w:val="both"/>
      </w:pPr>
      <w:r w:rsidRPr="007C3342">
        <w:t xml:space="preserve">During the period 2014-2018, ITU signed 87 projects with a </w:t>
      </w:r>
      <w:r w:rsidR="00B42793" w:rsidRPr="007C3342">
        <w:t xml:space="preserve">total </w:t>
      </w:r>
      <w:r w:rsidRPr="007C3342">
        <w:t>value of CHF</w:t>
      </w:r>
      <w:r w:rsidR="00F82B85" w:rsidRPr="007C3342">
        <w:t> </w:t>
      </w:r>
      <w:r w:rsidRPr="007C3342">
        <w:t>25.7 million and allocated CHF</w:t>
      </w:r>
      <w:r w:rsidR="00F82B85" w:rsidRPr="007C3342">
        <w:t> </w:t>
      </w:r>
      <w:r w:rsidRPr="007C3342">
        <w:t>3.4 million in cash contribution</w:t>
      </w:r>
      <w:r w:rsidR="00B42793" w:rsidRPr="007C3342">
        <w:t>s</w:t>
      </w:r>
      <w:r w:rsidRPr="007C3342">
        <w:t xml:space="preserve"> to these projects (including </w:t>
      </w:r>
      <w:r w:rsidR="00B42793" w:rsidRPr="007C3342">
        <w:t xml:space="preserve">CHF 1.2 million </w:t>
      </w:r>
      <w:r w:rsidR="00164ED6" w:rsidRPr="007C3342">
        <w:t xml:space="preserve">in </w:t>
      </w:r>
      <w:r w:rsidRPr="007C3342">
        <w:t>contributions from the ICT Development Fund</w:t>
      </w:r>
      <w:r w:rsidR="00B42793" w:rsidRPr="007C3342">
        <w:t>,</w:t>
      </w:r>
      <w:r w:rsidRPr="007C3342">
        <w:t xml:space="preserve"> ICT</w:t>
      </w:r>
      <w:r w:rsidR="00B42793" w:rsidRPr="007C3342">
        <w:t>-</w:t>
      </w:r>
      <w:r w:rsidRPr="007C3342">
        <w:t xml:space="preserve">DF). </w:t>
      </w:r>
    </w:p>
    <w:p w14:paraId="14197223" w14:textId="028FE353" w:rsidR="00B74CC0" w:rsidRPr="007C3342" w:rsidRDefault="001A6087" w:rsidP="001A6087">
      <w:pPr>
        <w:jc w:val="both"/>
      </w:pPr>
      <w:r w:rsidRPr="007C3342">
        <w:t>T</w:t>
      </w:r>
      <w:r w:rsidR="00B74CC0" w:rsidRPr="007C3342">
        <w:t xml:space="preserve">he majority of the projects </w:t>
      </w:r>
      <w:r w:rsidR="00164ED6" w:rsidRPr="007C3342">
        <w:t xml:space="preserve">were </w:t>
      </w:r>
      <w:r w:rsidR="00B74CC0" w:rsidRPr="007C3342">
        <w:t xml:space="preserve">small </w:t>
      </w:r>
      <w:r w:rsidRPr="007C3342">
        <w:t xml:space="preserve">or </w:t>
      </w:r>
      <w:r w:rsidR="00B74CC0" w:rsidRPr="007C3342">
        <w:t xml:space="preserve">medium-sized. </w:t>
      </w:r>
      <w:r w:rsidRPr="007C3342">
        <w:t xml:space="preserve">Recognizing this as an </w:t>
      </w:r>
      <w:r w:rsidR="00B74CC0" w:rsidRPr="007C3342">
        <w:t xml:space="preserve">issue, the Council </w:t>
      </w:r>
      <w:r w:rsidR="001A4852" w:rsidRPr="007C3342">
        <w:t xml:space="preserve">at its 2018 session </w:t>
      </w:r>
      <w:r w:rsidR="00B74CC0" w:rsidRPr="007C3342">
        <w:t>approved a total allocation of CHF</w:t>
      </w:r>
      <w:r w:rsidR="00F82B85" w:rsidRPr="007C3342">
        <w:t> </w:t>
      </w:r>
      <w:r w:rsidR="00B74CC0" w:rsidRPr="007C3342">
        <w:t>5 million to be used as seed funding for</w:t>
      </w:r>
      <w:r w:rsidR="00AA0D38">
        <w:t xml:space="preserve"> </w:t>
      </w:r>
      <w:r w:rsidR="00B74CC0" w:rsidRPr="007C3342">
        <w:t>ITU projects</w:t>
      </w:r>
      <w:r w:rsidR="005A015E" w:rsidRPr="007C3342">
        <w:t xml:space="preserve">. The intention was that </w:t>
      </w:r>
      <w:r w:rsidR="00190C83" w:rsidRPr="007C3342">
        <w:t>this allocation would</w:t>
      </w:r>
      <w:r w:rsidR="00B74CC0" w:rsidRPr="007C3342">
        <w:t xml:space="preserve"> attract </w:t>
      </w:r>
      <w:r w:rsidR="00B956B5" w:rsidRPr="007C3342">
        <w:t xml:space="preserve">larger contributions </w:t>
      </w:r>
      <w:r w:rsidR="00B74CC0" w:rsidRPr="007C3342">
        <w:t xml:space="preserve">from donors and partners, </w:t>
      </w:r>
      <w:r w:rsidR="00306A4C" w:rsidRPr="007C3342">
        <w:t xml:space="preserve">magnifying the size </w:t>
      </w:r>
      <w:r w:rsidR="00B74CC0" w:rsidRPr="007C3342">
        <w:t>and impact of those projects.</w:t>
      </w:r>
    </w:p>
    <w:p w14:paraId="2F3C7465" w14:textId="253865A2" w:rsidR="00B74CC0" w:rsidRPr="007C3342" w:rsidRDefault="00B74CC0" w:rsidP="00DC7ECF">
      <w:pPr>
        <w:jc w:val="both"/>
      </w:pPr>
      <w:r w:rsidRPr="007C3342">
        <w:t xml:space="preserve">During the period </w:t>
      </w:r>
      <w:r w:rsidRPr="007C3342">
        <w:t xml:space="preserve">2019 to 2022, ITU signed 97 projects with a </w:t>
      </w:r>
      <w:r w:rsidR="00306A4C" w:rsidRPr="007C3342">
        <w:t xml:space="preserve">total </w:t>
      </w:r>
      <w:r w:rsidRPr="007C3342">
        <w:t>value of CHF</w:t>
      </w:r>
      <w:r w:rsidR="00F82B85" w:rsidRPr="007C3342">
        <w:t> </w:t>
      </w:r>
      <w:r w:rsidRPr="007C3342">
        <w:t xml:space="preserve">58.9 million and allocated </w:t>
      </w:r>
      <w:r w:rsidR="00750272">
        <w:t xml:space="preserve">to them </w:t>
      </w:r>
      <w:r w:rsidRPr="007C3342">
        <w:t>CHF</w:t>
      </w:r>
      <w:r w:rsidR="00F82B85" w:rsidRPr="007C3342">
        <w:t> </w:t>
      </w:r>
      <w:r w:rsidRPr="007C3342">
        <w:t>9.4 million in cash contribution</w:t>
      </w:r>
      <w:r w:rsidR="00750272">
        <w:t>s</w:t>
      </w:r>
      <w:r w:rsidRPr="007C3342">
        <w:t xml:space="preserve"> (including </w:t>
      </w:r>
      <w:r w:rsidR="002B7C7D" w:rsidRPr="007C3342">
        <w:t xml:space="preserve">CHF 3.3 million in </w:t>
      </w:r>
      <w:r w:rsidRPr="007C3342">
        <w:t xml:space="preserve">contributions from the ICT-DF). This represented a significant increase in the funding mobilized by BDT </w:t>
      </w:r>
      <w:r w:rsidR="0051463B" w:rsidRPr="002C2C6F">
        <w:t xml:space="preserve">for </w:t>
      </w:r>
      <w:r w:rsidRPr="002C2C6F">
        <w:t xml:space="preserve">projects. It should be noted that 60 </w:t>
      </w:r>
      <w:r w:rsidR="004C6A3D" w:rsidRPr="002C2C6F">
        <w:t xml:space="preserve">out </w:t>
      </w:r>
      <w:r w:rsidRPr="002C2C6F">
        <w:t xml:space="preserve">of these </w:t>
      </w:r>
      <w:r w:rsidR="004C6A3D" w:rsidRPr="002C2C6F">
        <w:t xml:space="preserve">97 </w:t>
      </w:r>
      <w:r w:rsidRPr="002C2C6F">
        <w:t xml:space="preserve">projects (61 % of total projects) </w:t>
      </w:r>
      <w:r w:rsidRPr="002C2C6F">
        <w:t>benefitted</w:t>
      </w:r>
      <w:r w:rsidRPr="007C3342">
        <w:t xml:space="preserve"> from the Council</w:t>
      </w:r>
      <w:r w:rsidR="00FB7CF0" w:rsidRPr="007C3342">
        <w:t>-</w:t>
      </w:r>
      <w:r w:rsidRPr="007C3342">
        <w:t>allocated RI funding.</w:t>
      </w:r>
    </w:p>
    <w:p w14:paraId="3D4A0BB3" w14:textId="77777777" w:rsidR="00B74CC0" w:rsidRPr="007C3342" w:rsidRDefault="00B74CC0" w:rsidP="00B74CC0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jc w:val="both"/>
        <w:textAlignment w:val="auto"/>
        <w:rPr>
          <w:b/>
          <w:bCs/>
          <w:szCs w:val="24"/>
        </w:rPr>
      </w:pPr>
      <w:r w:rsidRPr="007C3342">
        <w:rPr>
          <w:b/>
          <w:bCs/>
          <w:szCs w:val="24"/>
        </w:rPr>
        <w:t>Overview of the regional initiatives</w:t>
      </w:r>
    </w:p>
    <w:p w14:paraId="5CAFB707" w14:textId="6006AEDB" w:rsidR="00B74CC0" w:rsidRPr="007C3342" w:rsidRDefault="00B74CC0" w:rsidP="00B74CC0">
      <w:pPr>
        <w:jc w:val="both"/>
        <w:rPr>
          <w:szCs w:val="24"/>
        </w:rPr>
      </w:pPr>
      <w:r w:rsidRPr="002C2C6F">
        <w:rPr>
          <w:szCs w:val="24"/>
        </w:rPr>
        <w:t xml:space="preserve">WTDC-22 approved </w:t>
      </w:r>
      <w:r w:rsidR="005B4EC8" w:rsidRPr="002C2C6F">
        <w:rPr>
          <w:szCs w:val="24"/>
        </w:rPr>
        <w:t>RIs</w:t>
      </w:r>
      <w:r w:rsidRPr="002C2C6F">
        <w:rPr>
          <w:szCs w:val="24"/>
        </w:rPr>
        <w:t xml:space="preserve"> across ITU’s strategic objectives, creating synergies across regions </w:t>
      </w:r>
      <w:r w:rsidR="003A5570" w:rsidRPr="002C2C6F">
        <w:rPr>
          <w:szCs w:val="24"/>
        </w:rPr>
        <w:t xml:space="preserve">that can be </w:t>
      </w:r>
      <w:r w:rsidRPr="002C2C6F">
        <w:rPr>
          <w:szCs w:val="24"/>
        </w:rPr>
        <w:t>leveraged in implementing the R</w:t>
      </w:r>
      <w:r w:rsidR="001A4852" w:rsidRPr="002C2C6F">
        <w:rPr>
          <w:szCs w:val="24"/>
        </w:rPr>
        <w:t>i</w:t>
      </w:r>
      <w:r w:rsidRPr="002C2C6F">
        <w:rPr>
          <w:szCs w:val="24"/>
        </w:rPr>
        <w:t xml:space="preserve">s. The </w:t>
      </w:r>
      <w:r w:rsidR="005B4EC8" w:rsidRPr="002C2C6F">
        <w:rPr>
          <w:szCs w:val="24"/>
        </w:rPr>
        <w:t>RIs</w:t>
      </w:r>
      <w:r w:rsidRPr="002C2C6F">
        <w:rPr>
          <w:szCs w:val="24"/>
        </w:rPr>
        <w:t xml:space="preserve"> are listed in </w:t>
      </w:r>
      <w:r w:rsidR="002C2C6F">
        <w:rPr>
          <w:szCs w:val="24"/>
        </w:rPr>
        <w:t xml:space="preserve">the </w:t>
      </w:r>
      <w:hyperlink w:anchor="Annex" w:history="1">
        <w:r w:rsidRPr="002C2C6F">
          <w:rPr>
            <w:rStyle w:val="Hyperlink"/>
            <w:szCs w:val="24"/>
          </w:rPr>
          <w:t>Annex</w:t>
        </w:r>
      </w:hyperlink>
      <w:r w:rsidRPr="002C2C6F">
        <w:rPr>
          <w:szCs w:val="24"/>
        </w:rPr>
        <w:t>.</w:t>
      </w:r>
    </w:p>
    <w:p w14:paraId="5C0D820D" w14:textId="190B5A40" w:rsidR="00B74CC0" w:rsidRPr="007C3342" w:rsidRDefault="003705BD" w:rsidP="00B74CC0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ind w:left="567" w:hanging="567"/>
        <w:contextualSpacing w:val="0"/>
        <w:jc w:val="both"/>
        <w:textAlignment w:val="auto"/>
        <w:rPr>
          <w:b/>
          <w:bCs/>
          <w:szCs w:val="24"/>
        </w:rPr>
      </w:pPr>
      <w:r w:rsidRPr="007C3342">
        <w:rPr>
          <w:b/>
          <w:bCs/>
          <w:szCs w:val="24"/>
        </w:rPr>
        <w:t xml:space="preserve">Implementation </w:t>
      </w:r>
      <w:r w:rsidR="003A5570" w:rsidRPr="007C3342">
        <w:rPr>
          <w:b/>
          <w:bCs/>
          <w:szCs w:val="24"/>
        </w:rPr>
        <w:t>o</w:t>
      </w:r>
      <w:r w:rsidRPr="007C3342">
        <w:rPr>
          <w:b/>
          <w:bCs/>
          <w:szCs w:val="24"/>
        </w:rPr>
        <w:t>ptions</w:t>
      </w:r>
    </w:p>
    <w:p w14:paraId="0D4305E4" w14:textId="7BAEC1ED" w:rsidR="00B74CC0" w:rsidRPr="007C3342" w:rsidRDefault="00B74CC0" w:rsidP="00B0114B">
      <w:pPr>
        <w:jc w:val="both"/>
        <w:rPr>
          <w:szCs w:val="24"/>
        </w:rPr>
      </w:pPr>
      <w:r w:rsidRPr="007C3342">
        <w:rPr>
          <w:szCs w:val="24"/>
        </w:rPr>
        <w:t xml:space="preserve">The implementation of these </w:t>
      </w:r>
      <w:r w:rsidR="005B4EC8" w:rsidRPr="007C3342">
        <w:rPr>
          <w:szCs w:val="24"/>
        </w:rPr>
        <w:t>RIs</w:t>
      </w:r>
      <w:r w:rsidRPr="007C3342">
        <w:rPr>
          <w:szCs w:val="24"/>
        </w:rPr>
        <w:t xml:space="preserve"> has already commenced in 2023</w:t>
      </w:r>
      <w:r w:rsidR="00B215A4" w:rsidRPr="007C3342">
        <w:rPr>
          <w:szCs w:val="24"/>
        </w:rPr>
        <w:t>,</w:t>
      </w:r>
      <w:r w:rsidRPr="007C3342">
        <w:rPr>
          <w:szCs w:val="24"/>
        </w:rPr>
        <w:t xml:space="preserve"> as coherence was established </w:t>
      </w:r>
      <w:r w:rsidR="00B215A4" w:rsidRPr="007C3342">
        <w:rPr>
          <w:szCs w:val="24"/>
        </w:rPr>
        <w:t xml:space="preserve">across </w:t>
      </w:r>
      <w:r w:rsidRPr="007C3342">
        <w:rPr>
          <w:szCs w:val="24"/>
        </w:rPr>
        <w:t xml:space="preserve">the </w:t>
      </w:r>
      <w:r w:rsidR="003A5570" w:rsidRPr="007C3342">
        <w:rPr>
          <w:szCs w:val="24"/>
        </w:rPr>
        <w:t>o</w:t>
      </w:r>
      <w:r w:rsidRPr="007C3342">
        <w:rPr>
          <w:szCs w:val="24"/>
        </w:rPr>
        <w:t xml:space="preserve">perational </w:t>
      </w:r>
      <w:r w:rsidR="003A5570" w:rsidRPr="007C3342">
        <w:rPr>
          <w:szCs w:val="24"/>
        </w:rPr>
        <w:t>p</w:t>
      </w:r>
      <w:r w:rsidRPr="007C3342">
        <w:rPr>
          <w:szCs w:val="24"/>
        </w:rPr>
        <w:t xml:space="preserve">lanning process, project planning, and </w:t>
      </w:r>
      <w:r w:rsidR="003A5570" w:rsidRPr="007C3342">
        <w:rPr>
          <w:szCs w:val="24"/>
        </w:rPr>
        <w:t>r</w:t>
      </w:r>
      <w:r w:rsidRPr="007C3342">
        <w:rPr>
          <w:szCs w:val="24"/>
        </w:rPr>
        <w:t xml:space="preserve">egional </w:t>
      </w:r>
      <w:r w:rsidR="003A5570" w:rsidRPr="007C3342">
        <w:rPr>
          <w:szCs w:val="24"/>
        </w:rPr>
        <w:t>i</w:t>
      </w:r>
      <w:r w:rsidRPr="007C3342">
        <w:rPr>
          <w:szCs w:val="24"/>
        </w:rPr>
        <w:t xml:space="preserve">nitiative implementation </w:t>
      </w:r>
      <w:r w:rsidR="00B215A4" w:rsidRPr="007C3342">
        <w:rPr>
          <w:szCs w:val="24"/>
        </w:rPr>
        <w:t xml:space="preserve">with </w:t>
      </w:r>
      <w:r w:rsidR="003A5570" w:rsidRPr="007C3342">
        <w:rPr>
          <w:szCs w:val="24"/>
        </w:rPr>
        <w:t>r</w:t>
      </w:r>
      <w:r w:rsidRPr="007C3342">
        <w:rPr>
          <w:szCs w:val="24"/>
        </w:rPr>
        <w:t>esults</w:t>
      </w:r>
      <w:r w:rsidR="003A5570" w:rsidRPr="007C3342">
        <w:rPr>
          <w:szCs w:val="24"/>
        </w:rPr>
        <w:t>-b</w:t>
      </w:r>
      <w:r w:rsidRPr="007C3342">
        <w:rPr>
          <w:szCs w:val="24"/>
        </w:rPr>
        <w:t xml:space="preserve">ased </w:t>
      </w:r>
      <w:r w:rsidR="003A5570" w:rsidRPr="007C3342">
        <w:rPr>
          <w:szCs w:val="24"/>
        </w:rPr>
        <w:t>m</w:t>
      </w:r>
      <w:r w:rsidRPr="007C3342">
        <w:rPr>
          <w:szCs w:val="24"/>
        </w:rPr>
        <w:t>anagement focuse</w:t>
      </w:r>
      <w:r w:rsidR="00784A36">
        <w:rPr>
          <w:szCs w:val="24"/>
        </w:rPr>
        <w:t>d</w:t>
      </w:r>
      <w:r w:rsidRPr="007C3342">
        <w:rPr>
          <w:szCs w:val="24"/>
        </w:rPr>
        <w:t xml:space="preserve"> on </w:t>
      </w:r>
      <w:r w:rsidR="003A5570" w:rsidRPr="007C3342">
        <w:rPr>
          <w:szCs w:val="24"/>
        </w:rPr>
        <w:t>o</w:t>
      </w:r>
      <w:r w:rsidRPr="007C3342">
        <w:rPr>
          <w:szCs w:val="24"/>
        </w:rPr>
        <w:t xml:space="preserve">utcomes rather than fragmented actions. However, effective implementation of the </w:t>
      </w:r>
      <w:r w:rsidR="005B4EC8" w:rsidRPr="007C3342">
        <w:rPr>
          <w:szCs w:val="24"/>
        </w:rPr>
        <w:t>RIs</w:t>
      </w:r>
      <w:r w:rsidRPr="007C3342">
        <w:rPr>
          <w:szCs w:val="24"/>
        </w:rPr>
        <w:t xml:space="preserve"> will be limited if </w:t>
      </w:r>
      <w:r w:rsidR="00100261" w:rsidRPr="007C3342">
        <w:rPr>
          <w:szCs w:val="24"/>
        </w:rPr>
        <w:t xml:space="preserve">sufficient </w:t>
      </w:r>
      <w:r w:rsidRPr="007C3342">
        <w:rPr>
          <w:szCs w:val="24"/>
        </w:rPr>
        <w:t>fund</w:t>
      </w:r>
      <w:r w:rsidR="00100261" w:rsidRPr="007C3342">
        <w:rPr>
          <w:szCs w:val="24"/>
        </w:rPr>
        <w:t>ing</w:t>
      </w:r>
      <w:r w:rsidRPr="007C3342">
        <w:rPr>
          <w:szCs w:val="24"/>
        </w:rPr>
        <w:t xml:space="preserve"> </w:t>
      </w:r>
      <w:r w:rsidR="00100261" w:rsidRPr="007C3342">
        <w:rPr>
          <w:szCs w:val="24"/>
        </w:rPr>
        <w:t xml:space="preserve">is </w:t>
      </w:r>
      <w:r w:rsidRPr="007C3342">
        <w:rPr>
          <w:szCs w:val="24"/>
        </w:rPr>
        <w:t xml:space="preserve">not </w:t>
      </w:r>
      <w:r w:rsidR="00100261" w:rsidRPr="007C3342">
        <w:rPr>
          <w:szCs w:val="24"/>
        </w:rPr>
        <w:t>available</w:t>
      </w:r>
      <w:r w:rsidRPr="007C3342">
        <w:rPr>
          <w:szCs w:val="24"/>
        </w:rPr>
        <w:t>.</w:t>
      </w:r>
    </w:p>
    <w:p w14:paraId="5F45B526" w14:textId="4B046FCE" w:rsidR="00B74CC0" w:rsidRPr="007C3342" w:rsidRDefault="009E3169" w:rsidP="00B0114B">
      <w:pPr>
        <w:keepNext/>
        <w:spacing w:after="120"/>
        <w:jc w:val="both"/>
      </w:pPr>
      <w:r>
        <w:t xml:space="preserve">The </w:t>
      </w:r>
      <w:r w:rsidR="00B74CC0" w:rsidRPr="007C3342">
        <w:t xml:space="preserve">experience </w:t>
      </w:r>
      <w:r>
        <w:t xml:space="preserve">of BDT </w:t>
      </w:r>
      <w:r w:rsidR="00B74CC0" w:rsidRPr="007C3342">
        <w:t>during the 2018</w:t>
      </w:r>
      <w:r w:rsidR="009518C3" w:rsidRPr="007C3342">
        <w:t>-</w:t>
      </w:r>
      <w:r w:rsidR="00B74CC0" w:rsidRPr="007C3342">
        <w:t>2022</w:t>
      </w:r>
      <w:r w:rsidR="009518C3" w:rsidRPr="007C3342">
        <w:t xml:space="preserve"> cycle suggests that</w:t>
      </w:r>
      <w:r w:rsidR="00B74CC0" w:rsidRPr="007C3342">
        <w:t xml:space="preserve"> external partners tend to commit an average of 50</w:t>
      </w:r>
      <w:r w:rsidR="00386224" w:rsidRPr="007C3342">
        <w:t xml:space="preserve"> per cent</w:t>
      </w:r>
      <w:r w:rsidR="00B74CC0" w:rsidRPr="007C3342">
        <w:t xml:space="preserve"> of the ITU contribution </w:t>
      </w:r>
      <w:r w:rsidR="00386224" w:rsidRPr="007C3342">
        <w:t xml:space="preserve">to a </w:t>
      </w:r>
      <w:r w:rsidR="00B74CC0" w:rsidRPr="007C3342">
        <w:t>project. This effectively means</w:t>
      </w:r>
      <w:r w:rsidR="00721B02" w:rsidRPr="007C3342">
        <w:t xml:space="preserve"> that</w:t>
      </w:r>
      <w:r w:rsidR="00B74CC0" w:rsidRPr="007C3342">
        <w:t xml:space="preserve"> the </w:t>
      </w:r>
      <w:r w:rsidR="00ED4B47" w:rsidRPr="007C3342">
        <w:t xml:space="preserve">more ITU allocates </w:t>
      </w:r>
      <w:r w:rsidR="00B74CC0" w:rsidRPr="007C3342">
        <w:t xml:space="preserve">to </w:t>
      </w:r>
      <w:r w:rsidR="009654D2" w:rsidRPr="007C3342">
        <w:t xml:space="preserve">an </w:t>
      </w:r>
      <w:r w:rsidR="00B74CC0" w:rsidRPr="007C3342">
        <w:t xml:space="preserve">RI, the more </w:t>
      </w:r>
      <w:r w:rsidR="00B10651" w:rsidRPr="007C3342">
        <w:t xml:space="preserve">likely it will be that </w:t>
      </w:r>
      <w:r w:rsidR="00B74CC0" w:rsidRPr="007C3342">
        <w:t xml:space="preserve">external partners commit </w:t>
      </w:r>
      <w:r w:rsidR="00B10651" w:rsidRPr="007C3342">
        <w:t xml:space="preserve">their own </w:t>
      </w:r>
      <w:r w:rsidR="00B74CC0" w:rsidRPr="007C3342">
        <w:t xml:space="preserve">funds towards </w:t>
      </w:r>
      <w:r w:rsidR="00B10651" w:rsidRPr="007C3342">
        <w:t xml:space="preserve">the related </w:t>
      </w:r>
      <w:r w:rsidR="00B74CC0" w:rsidRPr="007C3342">
        <w:t xml:space="preserve">projects. 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B74CC0" w:rsidRPr="007C3342" w14:paraId="55A0DF1F" w14:textId="77777777" w:rsidTr="003705BD">
        <w:trPr>
          <w:tblHeader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AEC" w14:textId="77777777" w:rsidR="00B74CC0" w:rsidRPr="007C3342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0A98" w14:textId="2B052A4B" w:rsidR="00B74CC0" w:rsidRPr="007C3342" w:rsidRDefault="00B74CC0" w:rsidP="00E80E99">
            <w:pPr>
              <w:keepNext/>
              <w:spacing w:after="120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Options for partial implementation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07F0" w14:textId="6D311B1E" w:rsidR="00B74CC0" w:rsidRPr="007C3342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E29" w14:textId="3E7FABFD" w:rsidR="00B74CC0" w:rsidRPr="007C3342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2026-2027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C8F662" w14:textId="7FE6FB9A" w:rsidR="00B74CC0" w:rsidRPr="007C3342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TOTAL 2024-2027</w:t>
            </w:r>
          </w:p>
        </w:tc>
      </w:tr>
      <w:tr w:rsidR="00B74CC0" w:rsidRPr="007C3342" w14:paraId="1E918B07" w14:textId="77777777" w:rsidTr="00E80E99"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9A15" w14:textId="235C2FDC" w:rsidR="00B74CC0" w:rsidRPr="007C3342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C7BB" w14:textId="20041969" w:rsidR="00B74CC0" w:rsidRPr="007C3342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Allocation of KCHF</w:t>
            </w:r>
            <w:r w:rsidR="00F82B85" w:rsidRPr="007C3342">
              <w:rPr>
                <w:sz w:val="22"/>
                <w:szCs w:val="22"/>
              </w:rPr>
              <w:t> </w:t>
            </w:r>
            <w:r w:rsidRPr="007C3342">
              <w:rPr>
                <w:sz w:val="22"/>
                <w:szCs w:val="22"/>
              </w:rPr>
              <w:t>100 for 2024-2025 and KCHF</w:t>
            </w:r>
            <w:r w:rsidR="00F82B85" w:rsidRPr="007C3342">
              <w:rPr>
                <w:sz w:val="22"/>
                <w:szCs w:val="22"/>
              </w:rPr>
              <w:t> </w:t>
            </w:r>
            <w:r w:rsidRPr="007C3342">
              <w:rPr>
                <w:sz w:val="22"/>
                <w:szCs w:val="22"/>
              </w:rPr>
              <w:t>200 for 2026-2027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424D" w14:textId="7F4F30CC" w:rsidR="00B74CC0" w:rsidRPr="007C3342" w:rsidRDefault="00B10651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m</w:t>
            </w:r>
            <w:r w:rsidR="00B74CC0" w:rsidRPr="007C3342">
              <w:rPr>
                <w:sz w:val="22"/>
                <w:szCs w:val="22"/>
              </w:rPr>
              <w:t>ax</w:t>
            </w:r>
            <w:r w:rsidRPr="007C3342">
              <w:rPr>
                <w:sz w:val="22"/>
                <w:szCs w:val="22"/>
              </w:rPr>
              <w:t>.</w:t>
            </w:r>
            <w:r w:rsidR="00B74CC0" w:rsidRPr="007C3342">
              <w:rPr>
                <w:sz w:val="22"/>
                <w:szCs w:val="22"/>
              </w:rPr>
              <w:t xml:space="preserve"> CHF</w:t>
            </w:r>
            <w:r w:rsidR="00F82B85" w:rsidRPr="007C3342">
              <w:rPr>
                <w:sz w:val="22"/>
                <w:szCs w:val="22"/>
              </w:rPr>
              <w:t> </w:t>
            </w:r>
            <w:r w:rsidR="00B74CC0" w:rsidRPr="007C3342">
              <w:rPr>
                <w:sz w:val="22"/>
                <w:szCs w:val="22"/>
              </w:rPr>
              <w:t>2.8</w:t>
            </w:r>
            <w:r w:rsidRPr="007C3342">
              <w:rPr>
                <w:sz w:val="22"/>
                <w:szCs w:val="22"/>
              </w:rPr>
              <w:t> </w:t>
            </w:r>
            <w:r w:rsidR="00B74CC0" w:rsidRPr="007C3342">
              <w:rPr>
                <w:sz w:val="22"/>
                <w:szCs w:val="22"/>
              </w:rPr>
              <w:t>million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5712" w14:textId="1C10011E" w:rsidR="00B74CC0" w:rsidRPr="007C3342" w:rsidRDefault="00B74CC0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CHF</w:t>
            </w:r>
            <w:r w:rsidR="00F82B85" w:rsidRPr="007C3342">
              <w:rPr>
                <w:sz w:val="22"/>
                <w:szCs w:val="22"/>
              </w:rPr>
              <w:t> </w:t>
            </w:r>
            <w:r w:rsidRPr="007C3342">
              <w:rPr>
                <w:sz w:val="22"/>
                <w:szCs w:val="22"/>
              </w:rPr>
              <w:t>5.6 million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311DF" w14:textId="2D078AE1" w:rsidR="00B74CC0" w:rsidRPr="007C3342" w:rsidRDefault="00B74CC0" w:rsidP="00E80E9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CHF</w:t>
            </w:r>
            <w:r w:rsidR="00F82B85" w:rsidRPr="007C3342">
              <w:rPr>
                <w:b/>
                <w:bCs/>
                <w:sz w:val="22"/>
                <w:szCs w:val="22"/>
              </w:rPr>
              <w:t> </w:t>
            </w:r>
            <w:r w:rsidRPr="007C3342">
              <w:rPr>
                <w:b/>
                <w:bCs/>
                <w:sz w:val="22"/>
                <w:szCs w:val="22"/>
              </w:rPr>
              <w:t>8.4 million</w:t>
            </w:r>
          </w:p>
        </w:tc>
      </w:tr>
      <w:tr w:rsidR="00B74CC0" w:rsidRPr="007C3342" w14:paraId="3E095A4E" w14:textId="77777777" w:rsidTr="00E80E99">
        <w:trPr>
          <w:trHeight w:val="969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5E6A" w14:textId="51D9B263" w:rsidR="00B74CC0" w:rsidRPr="007C3342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DE4D" w14:textId="5A10CEC8" w:rsidR="00B74CC0" w:rsidRPr="007C3342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Allocation of KCHF 100 to each RI for 2024-2025 and KCHF 100 for 2026-2027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08FC" w14:textId="7C7D81EE" w:rsidR="00B74CC0" w:rsidRPr="007C3342" w:rsidRDefault="00B10651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m</w:t>
            </w:r>
            <w:r w:rsidR="00B74CC0" w:rsidRPr="007C3342">
              <w:rPr>
                <w:sz w:val="22"/>
                <w:szCs w:val="22"/>
              </w:rPr>
              <w:t>ax</w:t>
            </w:r>
            <w:r w:rsidRPr="007C3342">
              <w:rPr>
                <w:sz w:val="22"/>
                <w:szCs w:val="22"/>
              </w:rPr>
              <w:t>.</w:t>
            </w:r>
            <w:r w:rsidR="00B74CC0" w:rsidRPr="007C3342">
              <w:rPr>
                <w:sz w:val="22"/>
                <w:szCs w:val="22"/>
              </w:rPr>
              <w:t xml:space="preserve"> CHF</w:t>
            </w:r>
            <w:r w:rsidR="00F82B85" w:rsidRPr="007C3342">
              <w:rPr>
                <w:sz w:val="22"/>
                <w:szCs w:val="22"/>
              </w:rPr>
              <w:t> </w:t>
            </w:r>
            <w:r w:rsidR="00B74CC0" w:rsidRPr="007C3342">
              <w:rPr>
                <w:sz w:val="22"/>
                <w:szCs w:val="22"/>
              </w:rPr>
              <w:t>2.8</w:t>
            </w:r>
            <w:r w:rsidRPr="007C3342">
              <w:rPr>
                <w:sz w:val="22"/>
                <w:szCs w:val="22"/>
              </w:rPr>
              <w:t> </w:t>
            </w:r>
            <w:r w:rsidR="00B74CC0" w:rsidRPr="007C3342">
              <w:rPr>
                <w:sz w:val="22"/>
                <w:szCs w:val="22"/>
              </w:rPr>
              <w:t>million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A3A8" w14:textId="75EE827E" w:rsidR="00B74CC0" w:rsidRPr="007C3342" w:rsidRDefault="00B74CC0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C3342">
              <w:rPr>
                <w:sz w:val="22"/>
                <w:szCs w:val="22"/>
              </w:rPr>
              <w:t>CHF</w:t>
            </w:r>
            <w:r w:rsidR="00F82B85" w:rsidRPr="007C3342">
              <w:rPr>
                <w:sz w:val="22"/>
                <w:szCs w:val="22"/>
              </w:rPr>
              <w:t> </w:t>
            </w:r>
            <w:r w:rsidRPr="007C3342">
              <w:rPr>
                <w:sz w:val="22"/>
                <w:szCs w:val="22"/>
              </w:rPr>
              <w:t>2.8 million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24477" w14:textId="5A10FF80" w:rsidR="00B74CC0" w:rsidRPr="007C3342" w:rsidRDefault="00B74CC0" w:rsidP="00E80E9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7C3342">
              <w:rPr>
                <w:b/>
                <w:bCs/>
                <w:sz w:val="22"/>
                <w:szCs w:val="22"/>
              </w:rPr>
              <w:t>CHF</w:t>
            </w:r>
            <w:r w:rsidR="00F82B85" w:rsidRPr="007C3342">
              <w:rPr>
                <w:b/>
                <w:bCs/>
                <w:sz w:val="22"/>
                <w:szCs w:val="22"/>
              </w:rPr>
              <w:t> </w:t>
            </w:r>
            <w:r w:rsidRPr="007C3342">
              <w:rPr>
                <w:b/>
                <w:bCs/>
                <w:sz w:val="22"/>
                <w:szCs w:val="22"/>
              </w:rPr>
              <w:t>5.6 million</w:t>
            </w:r>
          </w:p>
        </w:tc>
      </w:tr>
    </w:tbl>
    <w:p w14:paraId="07DA2A59" w14:textId="4B01F905" w:rsidR="00B74CC0" w:rsidRPr="007C3342" w:rsidRDefault="00B74CC0" w:rsidP="00B74CC0">
      <w:pPr>
        <w:keepNext/>
        <w:tabs>
          <w:tab w:val="clear" w:pos="1134"/>
          <w:tab w:val="clear" w:pos="2268"/>
        </w:tabs>
        <w:overflowPunct/>
        <w:autoSpaceDE/>
        <w:autoSpaceDN/>
        <w:adjustRightInd/>
        <w:spacing w:before="240"/>
        <w:ind w:left="567" w:hanging="567"/>
        <w:jc w:val="both"/>
        <w:textAlignment w:val="auto"/>
        <w:rPr>
          <w:rFonts w:cstheme="minorHAnsi"/>
          <w:b/>
          <w:bCs/>
          <w:szCs w:val="24"/>
        </w:rPr>
      </w:pPr>
      <w:r w:rsidRPr="007C3342">
        <w:rPr>
          <w:rFonts w:cstheme="minorHAnsi"/>
          <w:b/>
          <w:bCs/>
          <w:szCs w:val="24"/>
        </w:rPr>
        <w:t>Explanatory note on the options for partial implementation</w:t>
      </w:r>
    </w:p>
    <w:p w14:paraId="57973ACC" w14:textId="7863ABCD" w:rsidR="00B74CC0" w:rsidRPr="007C3342" w:rsidRDefault="00B74CC0" w:rsidP="00B74CC0">
      <w:pPr>
        <w:tabs>
          <w:tab w:val="clear" w:pos="1134"/>
          <w:tab w:val="clear" w:pos="2268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</w:rPr>
      </w:pPr>
      <w:r w:rsidRPr="007C3342">
        <w:rPr>
          <w:rFonts w:cstheme="minorHAnsi"/>
          <w:b/>
          <w:szCs w:val="24"/>
        </w:rPr>
        <w:t>Option 1:</w:t>
      </w:r>
      <w:r w:rsidRPr="007C3342">
        <w:rPr>
          <w:rFonts w:cstheme="minorHAnsi"/>
          <w:szCs w:val="24"/>
        </w:rPr>
        <w:t xml:space="preserve"> Allocation of KCHF 100 for each </w:t>
      </w:r>
      <w:r w:rsidR="00F87A75" w:rsidRPr="007C3342">
        <w:rPr>
          <w:rFonts w:cstheme="minorHAnsi"/>
          <w:szCs w:val="24"/>
        </w:rPr>
        <w:t>r</w:t>
      </w:r>
      <w:r w:rsidRPr="007C3342">
        <w:rPr>
          <w:rFonts w:cstheme="minorHAnsi"/>
          <w:szCs w:val="24"/>
        </w:rPr>
        <w:t xml:space="preserve">egional </w:t>
      </w:r>
      <w:r w:rsidR="00F87A75" w:rsidRPr="007C3342">
        <w:rPr>
          <w:rFonts w:cstheme="minorHAnsi"/>
          <w:szCs w:val="24"/>
        </w:rPr>
        <w:t>i</w:t>
      </w:r>
      <w:r w:rsidRPr="007C3342">
        <w:rPr>
          <w:rFonts w:cstheme="minorHAnsi"/>
          <w:szCs w:val="24"/>
        </w:rPr>
        <w:t xml:space="preserve">nitiative </w:t>
      </w:r>
      <w:r w:rsidR="00C97362">
        <w:rPr>
          <w:rFonts w:cstheme="minorHAnsi"/>
          <w:szCs w:val="24"/>
        </w:rPr>
        <w:t xml:space="preserve">for </w:t>
      </w:r>
      <w:r w:rsidRPr="007C3342">
        <w:rPr>
          <w:rFonts w:cstheme="minorHAnsi"/>
          <w:szCs w:val="24"/>
        </w:rPr>
        <w:t>the first two</w:t>
      </w:r>
      <w:r w:rsidR="00C97362">
        <w:rPr>
          <w:rFonts w:cstheme="minorHAnsi"/>
          <w:szCs w:val="24"/>
        </w:rPr>
        <w:t>-</w:t>
      </w:r>
      <w:r w:rsidRPr="007C3342">
        <w:rPr>
          <w:rFonts w:cstheme="minorHAnsi"/>
          <w:szCs w:val="24"/>
        </w:rPr>
        <w:t>year</w:t>
      </w:r>
      <w:r w:rsidR="00C97362">
        <w:rPr>
          <w:rFonts w:cstheme="minorHAnsi"/>
          <w:szCs w:val="24"/>
        </w:rPr>
        <w:t xml:space="preserve"> period</w:t>
      </w:r>
      <w:r w:rsidRPr="007C3342">
        <w:rPr>
          <w:rFonts w:cstheme="minorHAnsi"/>
          <w:szCs w:val="24"/>
        </w:rPr>
        <w:t xml:space="preserve"> and KCHF 200 </w:t>
      </w:r>
      <w:r w:rsidR="00C97362">
        <w:rPr>
          <w:rFonts w:cstheme="minorHAnsi"/>
          <w:szCs w:val="24"/>
        </w:rPr>
        <w:t xml:space="preserve">for </w:t>
      </w:r>
      <w:r w:rsidRPr="007C3342">
        <w:rPr>
          <w:rFonts w:cstheme="minorHAnsi"/>
          <w:szCs w:val="24"/>
        </w:rPr>
        <w:t xml:space="preserve">the next </w:t>
      </w:r>
      <w:r w:rsidR="00967F51">
        <w:rPr>
          <w:rFonts w:cstheme="minorHAnsi"/>
          <w:szCs w:val="24"/>
        </w:rPr>
        <w:t xml:space="preserve">is </w:t>
      </w:r>
      <w:r w:rsidRPr="007C3342">
        <w:rPr>
          <w:rFonts w:cstheme="minorHAnsi"/>
          <w:szCs w:val="24"/>
        </w:rPr>
        <w:t xml:space="preserve">likely </w:t>
      </w:r>
      <w:r w:rsidR="00967F51">
        <w:rPr>
          <w:rFonts w:cstheme="minorHAnsi"/>
          <w:szCs w:val="24"/>
        </w:rPr>
        <w:t xml:space="preserve">to </w:t>
      </w:r>
      <w:r w:rsidRPr="007C3342">
        <w:rPr>
          <w:rFonts w:cstheme="minorHAnsi"/>
          <w:szCs w:val="24"/>
        </w:rPr>
        <w:t>attract funding for medium-sized projects.</w:t>
      </w:r>
    </w:p>
    <w:p w14:paraId="37EEEEBE" w14:textId="22C2C1B9" w:rsidR="00C06C67" w:rsidRPr="007C3342" w:rsidRDefault="00B74CC0" w:rsidP="00B74CC0">
      <w:pPr>
        <w:tabs>
          <w:tab w:val="clear" w:pos="1134"/>
          <w:tab w:val="clear" w:pos="2268"/>
        </w:tabs>
        <w:overflowPunct/>
        <w:autoSpaceDE/>
        <w:autoSpaceDN/>
        <w:adjustRightInd/>
        <w:jc w:val="both"/>
        <w:textAlignment w:val="auto"/>
        <w:rPr>
          <w:rFonts w:cstheme="minorHAnsi"/>
          <w:szCs w:val="24"/>
        </w:rPr>
      </w:pPr>
      <w:r w:rsidRPr="007C3342">
        <w:rPr>
          <w:rFonts w:cstheme="minorHAnsi"/>
          <w:b/>
          <w:szCs w:val="24"/>
        </w:rPr>
        <w:lastRenderedPageBreak/>
        <w:t>Option 2:</w:t>
      </w:r>
      <w:r w:rsidRPr="007C3342">
        <w:rPr>
          <w:rFonts w:cstheme="minorHAnsi"/>
          <w:szCs w:val="24"/>
        </w:rPr>
        <w:t xml:space="preserve"> Allocation of KCHF 100 </w:t>
      </w:r>
      <w:r w:rsidR="00C01C6B">
        <w:rPr>
          <w:rFonts w:cstheme="minorHAnsi"/>
          <w:szCs w:val="24"/>
        </w:rPr>
        <w:t xml:space="preserve">for </w:t>
      </w:r>
      <w:r w:rsidRPr="007C3342">
        <w:rPr>
          <w:rFonts w:cstheme="minorHAnsi"/>
          <w:szCs w:val="24"/>
        </w:rPr>
        <w:t>the first two</w:t>
      </w:r>
      <w:r w:rsidR="00C01C6B">
        <w:rPr>
          <w:rFonts w:cstheme="minorHAnsi"/>
          <w:szCs w:val="24"/>
        </w:rPr>
        <w:t>-</w:t>
      </w:r>
      <w:r w:rsidRPr="007C3342">
        <w:rPr>
          <w:rFonts w:cstheme="minorHAnsi"/>
          <w:szCs w:val="24"/>
        </w:rPr>
        <w:t xml:space="preserve">year </w:t>
      </w:r>
      <w:r w:rsidR="00C01C6B">
        <w:rPr>
          <w:rFonts w:cstheme="minorHAnsi"/>
          <w:szCs w:val="24"/>
        </w:rPr>
        <w:t xml:space="preserve">period </w:t>
      </w:r>
      <w:r w:rsidRPr="007C3342">
        <w:rPr>
          <w:rFonts w:cstheme="minorHAnsi"/>
          <w:szCs w:val="24"/>
        </w:rPr>
        <w:t xml:space="preserve">and the same amount for the next </w:t>
      </w:r>
      <w:r w:rsidR="00C01C6B">
        <w:rPr>
          <w:rFonts w:cstheme="minorHAnsi"/>
          <w:szCs w:val="24"/>
        </w:rPr>
        <w:t xml:space="preserve">such period </w:t>
      </w:r>
      <w:r w:rsidR="00967F51">
        <w:rPr>
          <w:rFonts w:cstheme="minorHAnsi"/>
          <w:szCs w:val="24"/>
        </w:rPr>
        <w:t xml:space="preserve">is </w:t>
      </w:r>
      <w:r w:rsidRPr="007C3342">
        <w:rPr>
          <w:rFonts w:cstheme="minorHAnsi"/>
          <w:szCs w:val="24"/>
        </w:rPr>
        <w:t xml:space="preserve">likely attract </w:t>
      </w:r>
      <w:r w:rsidR="00967F51">
        <w:rPr>
          <w:rFonts w:cstheme="minorHAnsi"/>
          <w:szCs w:val="24"/>
        </w:rPr>
        <w:t xml:space="preserve">to </w:t>
      </w:r>
      <w:r w:rsidR="0042150C" w:rsidRPr="007C3342">
        <w:rPr>
          <w:rFonts w:cstheme="minorHAnsi"/>
          <w:szCs w:val="24"/>
        </w:rPr>
        <w:t xml:space="preserve">funding </w:t>
      </w:r>
      <w:r w:rsidRPr="007C3342">
        <w:rPr>
          <w:rFonts w:cstheme="minorHAnsi"/>
          <w:szCs w:val="24"/>
        </w:rPr>
        <w:t xml:space="preserve">for small and medium-scale projects. </w:t>
      </w:r>
      <w:r w:rsidR="00705646" w:rsidRPr="007C3342">
        <w:rPr>
          <w:rFonts w:cstheme="minorHAnsi"/>
          <w:szCs w:val="24"/>
        </w:rPr>
        <w:t xml:space="preserve">A strong drive by </w:t>
      </w:r>
      <w:r w:rsidRPr="007C3342">
        <w:rPr>
          <w:rFonts w:cstheme="minorHAnsi"/>
          <w:szCs w:val="24"/>
        </w:rPr>
        <w:t xml:space="preserve">ITU </w:t>
      </w:r>
      <w:r w:rsidR="00705646" w:rsidRPr="007C3342">
        <w:rPr>
          <w:rFonts w:cstheme="minorHAnsi"/>
          <w:szCs w:val="24"/>
        </w:rPr>
        <w:t xml:space="preserve">to mobilize </w:t>
      </w:r>
      <w:r w:rsidRPr="007C3342">
        <w:rPr>
          <w:rFonts w:cstheme="minorHAnsi"/>
          <w:szCs w:val="24"/>
        </w:rPr>
        <w:t>other resource</w:t>
      </w:r>
      <w:r w:rsidR="00705646" w:rsidRPr="007C3342">
        <w:rPr>
          <w:rFonts w:cstheme="minorHAnsi"/>
          <w:szCs w:val="24"/>
        </w:rPr>
        <w:t>s</w:t>
      </w:r>
      <w:r w:rsidRPr="007C3342">
        <w:rPr>
          <w:rFonts w:cstheme="minorHAnsi"/>
          <w:szCs w:val="24"/>
        </w:rPr>
        <w:t xml:space="preserve"> and leverag</w:t>
      </w:r>
      <w:r w:rsidR="00CC5D82" w:rsidRPr="007C3342">
        <w:rPr>
          <w:rFonts w:cstheme="minorHAnsi"/>
          <w:szCs w:val="24"/>
        </w:rPr>
        <w:t>e</w:t>
      </w:r>
      <w:r w:rsidRPr="007C3342">
        <w:rPr>
          <w:rFonts w:cstheme="minorHAnsi"/>
          <w:szCs w:val="24"/>
        </w:rPr>
        <w:t xml:space="preserve"> the Partner2Connect Digital Development Coalition </w:t>
      </w:r>
      <w:r w:rsidR="00021AE0">
        <w:rPr>
          <w:rFonts w:cstheme="minorHAnsi"/>
          <w:szCs w:val="24"/>
        </w:rPr>
        <w:t xml:space="preserve">could </w:t>
      </w:r>
      <w:r w:rsidRPr="007C3342">
        <w:rPr>
          <w:rFonts w:cstheme="minorHAnsi"/>
          <w:szCs w:val="24"/>
        </w:rPr>
        <w:t xml:space="preserve">attract </w:t>
      </w:r>
      <w:r w:rsidR="00C7017A" w:rsidRPr="007C3342">
        <w:rPr>
          <w:rFonts w:cstheme="minorHAnsi"/>
          <w:szCs w:val="24"/>
        </w:rPr>
        <w:t xml:space="preserve">other </w:t>
      </w:r>
      <w:r w:rsidRPr="007C3342">
        <w:rPr>
          <w:rFonts w:cstheme="minorHAnsi"/>
          <w:szCs w:val="24"/>
        </w:rPr>
        <w:t>partners, further enhancing the impact of the RI funding.</w:t>
      </w:r>
    </w:p>
    <w:p w14:paraId="024D509F" w14:textId="77777777" w:rsidR="00B74CC0" w:rsidRPr="007C3342" w:rsidRDefault="00B74CC0" w:rsidP="00FE73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b/>
          <w:bCs/>
        </w:rPr>
      </w:pPr>
      <w:r w:rsidRPr="007C3342">
        <w:rPr>
          <w:b/>
          <w:bCs/>
        </w:rPr>
        <w:t>Conclusion</w:t>
      </w:r>
    </w:p>
    <w:p w14:paraId="38B30A19" w14:textId="248E9F90" w:rsidR="002C2C6F" w:rsidRDefault="001A4852" w:rsidP="00B74C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C3342">
        <w:t xml:space="preserve">The </w:t>
      </w:r>
      <w:r w:rsidR="00B74CC0" w:rsidRPr="007C3342">
        <w:t>Council is requested to consider this document.</w:t>
      </w:r>
    </w:p>
    <w:p w14:paraId="0D482DB4" w14:textId="77777777" w:rsidR="002C2C6F" w:rsidRDefault="002C2C6F" w:rsidP="00B74C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731DD3E1" w14:textId="3F68C5F4" w:rsidR="00B74CC0" w:rsidRPr="002C2C6F" w:rsidRDefault="002C2C6F" w:rsidP="002C2C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i/>
          <w:iCs/>
          <w:caps/>
          <w:sz w:val="28"/>
        </w:rPr>
      </w:pPr>
      <w:r w:rsidRPr="002C2C6F">
        <w:rPr>
          <w:i/>
          <w:iCs/>
        </w:rPr>
        <w:t xml:space="preserve">Annex: </w:t>
      </w:r>
      <w:r w:rsidRPr="002C2C6F">
        <w:rPr>
          <w:b/>
          <w:bCs/>
          <w:i/>
          <w:iCs/>
        </w:rPr>
        <w:t>1</w:t>
      </w:r>
      <w:r w:rsidR="00B74CC0" w:rsidRPr="002C2C6F">
        <w:rPr>
          <w:i/>
          <w:iCs/>
        </w:rPr>
        <w:br w:type="page"/>
      </w:r>
    </w:p>
    <w:p w14:paraId="5A565366" w14:textId="6F20B3C0" w:rsidR="00B74CC0" w:rsidRPr="007C3342" w:rsidRDefault="00B74CC0" w:rsidP="00B74CC0">
      <w:pPr>
        <w:pStyle w:val="AnnexNo"/>
      </w:pPr>
      <w:bookmarkStart w:id="7" w:name="Annex"/>
      <w:r w:rsidRPr="007C3342">
        <w:lastRenderedPageBreak/>
        <w:t>Annex</w:t>
      </w:r>
      <w:bookmarkEnd w:id="7"/>
    </w:p>
    <w:p w14:paraId="3CCA6937" w14:textId="3321C2F7" w:rsidR="00B74CC0" w:rsidRPr="007C3342" w:rsidRDefault="00B74CC0" w:rsidP="00B74CC0">
      <w:pPr>
        <w:pStyle w:val="Annextitle"/>
      </w:pPr>
      <w:r w:rsidRPr="007C3342">
        <w:t xml:space="preserve">WTDC-22 Regional </w:t>
      </w:r>
      <w:r w:rsidR="00C7017A" w:rsidRPr="007C3342">
        <w:t>i</w:t>
      </w:r>
      <w:r w:rsidRPr="007C3342">
        <w:t>nitiatives</w:t>
      </w:r>
    </w:p>
    <w:p w14:paraId="3C3331CE" w14:textId="7005F4D4" w:rsidR="00B74CC0" w:rsidRPr="007C3342" w:rsidRDefault="00B74CC0" w:rsidP="00B74CC0">
      <w:pPr>
        <w:ind w:left="426"/>
        <w:jc w:val="both"/>
      </w:pPr>
      <w:r w:rsidRPr="007C3342">
        <w:t xml:space="preserve">During the six regional preparatory meetings </w:t>
      </w:r>
      <w:r w:rsidR="000C48F0" w:rsidRPr="007C3342">
        <w:t xml:space="preserve">held in 2022 </w:t>
      </w:r>
      <w:r w:rsidR="00C7017A" w:rsidRPr="007C3342">
        <w:t xml:space="preserve">for the </w:t>
      </w:r>
      <w:r w:rsidR="00C7017A" w:rsidRPr="007C3342">
        <w:rPr>
          <w:szCs w:val="24"/>
        </w:rPr>
        <w:t>World Telecommunication Development Conference (Kigali, 2022)</w:t>
      </w:r>
      <w:r w:rsidRPr="007C3342">
        <w:t xml:space="preserve">, the regions </w:t>
      </w:r>
      <w:r w:rsidR="004A2B7A" w:rsidRPr="007C3342">
        <w:t xml:space="preserve">brought </w:t>
      </w:r>
      <w:r w:rsidR="008A711E" w:rsidRPr="007C3342">
        <w:t xml:space="preserve">forward </w:t>
      </w:r>
      <w:r w:rsidRPr="007C3342">
        <w:t xml:space="preserve">their specific priorities in a set of regional initiatives, which </w:t>
      </w:r>
      <w:r w:rsidR="008A711E" w:rsidRPr="007C3342">
        <w:t xml:space="preserve">have been enshrined in </w:t>
      </w:r>
      <w:r w:rsidRPr="007C3342">
        <w:t>the Kigali Action Plan. These regional initiatives (</w:t>
      </w:r>
      <w:r w:rsidR="008A711E" w:rsidRPr="007C3342">
        <w:t xml:space="preserve">28 </w:t>
      </w:r>
      <w:r w:rsidRPr="007C3342">
        <w:t>in total) are intended to address specific telecommunication/ICT priority areas through partnerships and resource mobilization to implement projects. Under each regional initiative, projects are developed and implemented to meet the region's needs.</w:t>
      </w:r>
    </w:p>
    <w:p w14:paraId="130A88FA" w14:textId="0A8BF862" w:rsidR="00B74CC0" w:rsidRPr="007C3342" w:rsidRDefault="00B74CC0" w:rsidP="00B74CC0">
      <w:pPr>
        <w:ind w:left="426"/>
        <w:jc w:val="both"/>
      </w:pPr>
      <w:r w:rsidRPr="007C3342">
        <w:rPr>
          <w:b/>
          <w:bCs/>
        </w:rPr>
        <w:t>Africa regional initiatives</w:t>
      </w:r>
      <w:r w:rsidRPr="007C3342">
        <w:br/>
        <w:t>AFR1: Supporting digital transformation to usher in a rapid transition to a digital economy while accelerating innovation in Africa</w:t>
      </w:r>
      <w:r w:rsidRPr="007C3342">
        <w:br/>
        <w:t>AFR2: Implementation and expansion of broadband infrastructures, connectivity and emerging technologies</w:t>
      </w:r>
      <w:r w:rsidRPr="007C3342">
        <w:br/>
        <w:t>AFR3: Building trust, safety and security in the use of telecommunications/information and communication technologies and protection of personal data</w:t>
      </w:r>
      <w:r w:rsidRPr="007C3342">
        <w:br/>
        <w:t>AFR4: Fostering emerging technologies and innovation ecosystems</w:t>
      </w:r>
    </w:p>
    <w:p w14:paraId="163589D5" w14:textId="18CEC7DC" w:rsidR="00B74CC0" w:rsidRPr="007C3342" w:rsidRDefault="00B74CC0" w:rsidP="00B74CC0">
      <w:pPr>
        <w:ind w:left="426"/>
      </w:pPr>
      <w:r w:rsidRPr="007C3342">
        <w:rPr>
          <w:b/>
          <w:bCs/>
        </w:rPr>
        <w:t>Americas regional initiatives</w:t>
      </w:r>
      <w:r w:rsidRPr="007C3342">
        <w:br/>
        <w:t>AMS1: Deployment of modern, resilient, secure and sustainable telecommunication/information and communication technology infrastructure</w:t>
      </w:r>
      <w:r w:rsidRPr="007C3342">
        <w:br/>
        <w:t>AMS2: Enhancement and expansion of digital-literacy, digital-skills and digital-inclusion programmes, especially among vulnerable populations</w:t>
      </w:r>
      <w:r w:rsidRPr="007C3342">
        <w:br/>
        <w:t>AMS3: Effective support for digital transformation and innovation ecosystems through scalable, funded and sustainable connectivity projects</w:t>
      </w:r>
      <w:r w:rsidRPr="007C3342">
        <w:br/>
        <w:t>AMS4: Development of enabling policy and regulatory environments to connect the unconnected through accessible and affordable telecommunications/information and communication technologies that support achievement of the Sustainable Development Goals and progress towards the digital economy</w:t>
      </w:r>
    </w:p>
    <w:p w14:paraId="1EF56DE6" w14:textId="7E9978D9" w:rsidR="00B74CC0" w:rsidRPr="007C3342" w:rsidRDefault="00B74CC0" w:rsidP="00B74CC0">
      <w:pPr>
        <w:ind w:left="426"/>
      </w:pPr>
      <w:r w:rsidRPr="007C3342">
        <w:rPr>
          <w:b/>
          <w:bCs/>
        </w:rPr>
        <w:t>Arab States regional initiatives</w:t>
      </w:r>
      <w:r w:rsidRPr="007C3342">
        <w:br/>
        <w:t>ARB1: Sustainable digital economy through digital transformation</w:t>
      </w:r>
      <w:r w:rsidRPr="007C3342">
        <w:br/>
        <w:t>ARB2: Enhancing confidence, security and privacy in the use of telecommunications/information and communication technologies in the era of new and emerging digital technologies</w:t>
      </w:r>
      <w:r w:rsidRPr="007C3342">
        <w:br/>
        <w:t>ARB3: Developing digital infrastructure for smart sustainable cities and communities Developing digital infrastructure for smart sustainable cities and communities</w:t>
      </w:r>
      <w:r w:rsidRPr="007C3342">
        <w:br/>
        <w:t>ARB4: Building capacities and encouraging digital innovation, entrepreneurship and future foresight</w:t>
      </w:r>
      <w:r w:rsidRPr="007C3342">
        <w:br/>
        <w:t>ARB5: Developing means of digital regulation</w:t>
      </w:r>
    </w:p>
    <w:p w14:paraId="4885C8E7" w14:textId="1E44FA3B" w:rsidR="00B74CC0" w:rsidRPr="007C3342" w:rsidRDefault="00B74CC0" w:rsidP="00B74CC0">
      <w:pPr>
        <w:ind w:left="426"/>
      </w:pPr>
      <w:r w:rsidRPr="007C3342">
        <w:rPr>
          <w:b/>
          <w:bCs/>
        </w:rPr>
        <w:t>Asia-Pacific regional initiatives</w:t>
      </w:r>
      <w:r w:rsidRPr="007C3342">
        <w:br/>
        <w:t>ASP1: Addressing special needs of least developed countries, small island developing states, including Pacific island countries, and landlocked developing countries</w:t>
      </w:r>
      <w:r w:rsidRPr="007C3342">
        <w:br/>
        <w:t>ASP2: Harnessing information and communication technologies to support the digital economy and inclusive digital societies</w:t>
      </w:r>
      <w:r w:rsidRPr="007C3342">
        <w:br/>
        <w:t xml:space="preserve">ASP3: Fostering development of infrastructure to enhance digital connectivity and </w:t>
      </w:r>
      <w:r w:rsidRPr="007C3342">
        <w:lastRenderedPageBreak/>
        <w:t>connecting the unconnected</w:t>
      </w:r>
      <w:r w:rsidRPr="007C3342">
        <w:br/>
        <w:t>ASP4: Enabling policy and regulatory environments to accelerate digital transformation</w:t>
      </w:r>
      <w:r w:rsidRPr="007C3342">
        <w:br/>
        <w:t>ASP5: Contributing to a secure and resilient information and communication technology environment</w:t>
      </w:r>
    </w:p>
    <w:p w14:paraId="4F79102C" w14:textId="190F65CE" w:rsidR="00B74CC0" w:rsidRPr="007C3342" w:rsidRDefault="00B74CC0" w:rsidP="00B74CC0">
      <w:pPr>
        <w:ind w:left="426"/>
      </w:pPr>
      <w:r w:rsidRPr="007C3342">
        <w:rPr>
          <w:b/>
          <w:bCs/>
        </w:rPr>
        <w:t>CIS regional initiative</w:t>
      </w:r>
      <w:r w:rsidRPr="007C3342">
        <w:t>s</w:t>
      </w:r>
      <w:r w:rsidRPr="007C3342">
        <w:br/>
        <w:t>CIS1: Developing infrastructure to promote innovation and partnerships in the introduction of new technologies – the Internet of Things, including the industrial Internet, smart cities and communities, 5G/IMT-2020 and next-generation NET-2030 communication networks, quantum technologies, artificial intelligence, digital health, digital skills and environmental protection</w:t>
      </w:r>
      <w:r w:rsidRPr="007C3342">
        <w:br/>
        <w:t>CIS2: Cybersecurity and personal data protection</w:t>
      </w:r>
      <w:r w:rsidRPr="007C3342">
        <w:br/>
        <w:t>CIS3: Creating an enabling legal and regulatory environment to accelerate digital transformation</w:t>
      </w:r>
      <w:r w:rsidRPr="007C3342">
        <w:br/>
        <w:t>CIS4: Digital skills and information and communication technology accessibility for the public, in particular for persons with disabilities</w:t>
      </w:r>
      <w:r w:rsidRPr="007C3342">
        <w:br/>
        <w:t>CIS5: Development of smart cities and communities</w:t>
      </w:r>
    </w:p>
    <w:p w14:paraId="726E420C" w14:textId="66DBE1E0" w:rsidR="00B74CC0" w:rsidRPr="007C3342" w:rsidRDefault="00B74CC0" w:rsidP="00B74CC0">
      <w:pPr>
        <w:ind w:left="426"/>
      </w:pPr>
      <w:r w:rsidRPr="007C3342">
        <w:rPr>
          <w:b/>
          <w:bCs/>
        </w:rPr>
        <w:t>Europe regional initiatives</w:t>
      </w:r>
      <w:r w:rsidRPr="007C3342">
        <w:br/>
        <w:t>EUR1: Digital infrastructure development</w:t>
      </w:r>
      <w:r w:rsidRPr="007C3342">
        <w:br/>
        <w:t>EUR2: Digital transformation for resilience</w:t>
      </w:r>
      <w:r w:rsidRPr="007C3342">
        <w:br/>
        <w:t>EUR3: Digital inclusion and skills development</w:t>
      </w:r>
      <w:r w:rsidRPr="007C3342">
        <w:br/>
        <w:t>EUR4: Trust and confidence in the use of telecommunications/ information and communication technologies</w:t>
      </w:r>
      <w:r w:rsidRPr="007C3342">
        <w:br/>
        <w:t>EUR5: Digital innovation ecosystems</w:t>
      </w:r>
    </w:p>
    <w:p w14:paraId="56DCE0F5" w14:textId="77777777" w:rsidR="00B74CC0" w:rsidRPr="007C3342" w:rsidRDefault="00B74CC0" w:rsidP="00FE73C6">
      <w:pPr>
        <w:spacing w:before="840"/>
        <w:jc w:val="center"/>
        <w:rPr>
          <w:szCs w:val="24"/>
        </w:rPr>
      </w:pPr>
      <w:r w:rsidRPr="007C3342">
        <w:rPr>
          <w:szCs w:val="24"/>
        </w:rPr>
        <w:t>________________</w:t>
      </w:r>
    </w:p>
    <w:sectPr w:rsidR="00B74CC0" w:rsidRPr="007C3342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E2A9" w14:textId="77777777" w:rsidR="00FB42BA" w:rsidRDefault="00FB42BA">
      <w:r>
        <w:separator/>
      </w:r>
    </w:p>
  </w:endnote>
  <w:endnote w:type="continuationSeparator" w:id="0">
    <w:p w14:paraId="3BEC679B" w14:textId="77777777" w:rsidR="00FB42BA" w:rsidRDefault="00FB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545A007C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23EB">
            <w:rPr>
              <w:noProof/>
            </w:rPr>
            <w:t>520940</w:t>
          </w:r>
        </w:p>
      </w:tc>
      <w:tc>
        <w:tcPr>
          <w:tcW w:w="8261" w:type="dxa"/>
        </w:tcPr>
        <w:p w14:paraId="35709C74" w14:textId="7244BF40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22</w:t>
          </w:r>
          <w:r w:rsidRPr="00623AE3">
            <w:rPr>
              <w:bCs/>
            </w:rPr>
            <w:t>/</w:t>
          </w:r>
          <w:r w:rsidR="00252ACA">
            <w:rPr>
              <w:bCs/>
            </w:rPr>
            <w:t>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6F277D" w14:textId="77777777" w:rsidR="002B623B" w:rsidRDefault="002B623B" w:rsidP="002C2C6F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2C2C6F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56E24F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22</w:t>
          </w:r>
          <w:r w:rsidRPr="00623AE3">
            <w:rPr>
              <w:bCs/>
            </w:rPr>
            <w:t>/</w:t>
          </w:r>
          <w:r w:rsidR="00252ACA">
            <w:rPr>
              <w:bCs/>
            </w:rPr>
            <w:t>26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  <w:p w14:paraId="2CDC61E5" w14:textId="77777777" w:rsidR="002B623B" w:rsidRDefault="002B6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1815" w14:textId="77777777" w:rsidR="00FB42BA" w:rsidRDefault="00FB42BA">
      <w:r>
        <w:t>____________________</w:t>
      </w:r>
    </w:p>
  </w:footnote>
  <w:footnote w:type="continuationSeparator" w:id="0">
    <w:p w14:paraId="598CA467" w14:textId="77777777" w:rsidR="00FB42BA" w:rsidRDefault="00FB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759"/>
    </w:tblGrid>
    <w:tr w:rsidR="00AD3606" w:rsidRPr="00784011" w14:paraId="711CDDAA" w14:textId="77777777" w:rsidTr="00AE42B6">
      <w:trPr>
        <w:trHeight w:val="1104"/>
        <w:jc w:val="center"/>
      </w:trPr>
      <w:tc>
        <w:tcPr>
          <w:tcW w:w="3261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9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89348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4816267">
    <w:abstractNumId w:val="0"/>
  </w:num>
  <w:num w:numId="2" w16cid:durableId="20933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1AE0"/>
    <w:rsid w:val="000523EB"/>
    <w:rsid w:val="00063016"/>
    <w:rsid w:val="00066795"/>
    <w:rsid w:val="00066DDF"/>
    <w:rsid w:val="00076AF6"/>
    <w:rsid w:val="00085CF2"/>
    <w:rsid w:val="00087549"/>
    <w:rsid w:val="000B1705"/>
    <w:rsid w:val="000B704A"/>
    <w:rsid w:val="000C48F0"/>
    <w:rsid w:val="000D75B2"/>
    <w:rsid w:val="00100261"/>
    <w:rsid w:val="001121F5"/>
    <w:rsid w:val="001400DC"/>
    <w:rsid w:val="00140CE1"/>
    <w:rsid w:val="00164ED6"/>
    <w:rsid w:val="0017539C"/>
    <w:rsid w:val="00175AC2"/>
    <w:rsid w:val="0017609F"/>
    <w:rsid w:val="00190C83"/>
    <w:rsid w:val="00191E64"/>
    <w:rsid w:val="001A1166"/>
    <w:rsid w:val="001A4852"/>
    <w:rsid w:val="001A6087"/>
    <w:rsid w:val="001A7D1D"/>
    <w:rsid w:val="001B24B8"/>
    <w:rsid w:val="001B51DD"/>
    <w:rsid w:val="001C628E"/>
    <w:rsid w:val="001E0F7B"/>
    <w:rsid w:val="001F6164"/>
    <w:rsid w:val="002119FD"/>
    <w:rsid w:val="002130E0"/>
    <w:rsid w:val="0024770D"/>
    <w:rsid w:val="00252ACA"/>
    <w:rsid w:val="00264425"/>
    <w:rsid w:val="00265875"/>
    <w:rsid w:val="00272499"/>
    <w:rsid w:val="0027303B"/>
    <w:rsid w:val="002805AE"/>
    <w:rsid w:val="0028109B"/>
    <w:rsid w:val="002909E4"/>
    <w:rsid w:val="002A2188"/>
    <w:rsid w:val="002B0EBB"/>
    <w:rsid w:val="002B1F58"/>
    <w:rsid w:val="002B623B"/>
    <w:rsid w:val="002B7C7D"/>
    <w:rsid w:val="002C1C7A"/>
    <w:rsid w:val="002C2C6F"/>
    <w:rsid w:val="002C54E2"/>
    <w:rsid w:val="0030160F"/>
    <w:rsid w:val="00306A4C"/>
    <w:rsid w:val="00320223"/>
    <w:rsid w:val="00322D0D"/>
    <w:rsid w:val="00335B6E"/>
    <w:rsid w:val="00355A31"/>
    <w:rsid w:val="00361465"/>
    <w:rsid w:val="003705BD"/>
    <w:rsid w:val="0038589D"/>
    <w:rsid w:val="00386224"/>
    <w:rsid w:val="003877F5"/>
    <w:rsid w:val="0039390D"/>
    <w:rsid w:val="003942D4"/>
    <w:rsid w:val="003958A8"/>
    <w:rsid w:val="003A2DD2"/>
    <w:rsid w:val="003A5570"/>
    <w:rsid w:val="003B1B0B"/>
    <w:rsid w:val="003B6827"/>
    <w:rsid w:val="003C2533"/>
    <w:rsid w:val="003D0953"/>
    <w:rsid w:val="003D5A7F"/>
    <w:rsid w:val="0040435A"/>
    <w:rsid w:val="00416A24"/>
    <w:rsid w:val="0042150C"/>
    <w:rsid w:val="00431D9E"/>
    <w:rsid w:val="00433CE8"/>
    <w:rsid w:val="00434A5C"/>
    <w:rsid w:val="004544D9"/>
    <w:rsid w:val="00472BAD"/>
    <w:rsid w:val="00484009"/>
    <w:rsid w:val="00490E72"/>
    <w:rsid w:val="00491157"/>
    <w:rsid w:val="00491FE8"/>
    <w:rsid w:val="004921C8"/>
    <w:rsid w:val="00492F07"/>
    <w:rsid w:val="00495B0B"/>
    <w:rsid w:val="004A1B8B"/>
    <w:rsid w:val="004A2B7A"/>
    <w:rsid w:val="004B168F"/>
    <w:rsid w:val="004C6A3D"/>
    <w:rsid w:val="004D1851"/>
    <w:rsid w:val="004D599D"/>
    <w:rsid w:val="004E2EA5"/>
    <w:rsid w:val="004E3AEB"/>
    <w:rsid w:val="0050223C"/>
    <w:rsid w:val="00512E44"/>
    <w:rsid w:val="0051463B"/>
    <w:rsid w:val="00522C73"/>
    <w:rsid w:val="005243FF"/>
    <w:rsid w:val="00545774"/>
    <w:rsid w:val="00564FBC"/>
    <w:rsid w:val="0056631C"/>
    <w:rsid w:val="00567CC3"/>
    <w:rsid w:val="005800BC"/>
    <w:rsid w:val="00582442"/>
    <w:rsid w:val="005A015E"/>
    <w:rsid w:val="005A51DC"/>
    <w:rsid w:val="005B2871"/>
    <w:rsid w:val="005B4EC8"/>
    <w:rsid w:val="005F3269"/>
    <w:rsid w:val="00611381"/>
    <w:rsid w:val="006116C4"/>
    <w:rsid w:val="00623AE3"/>
    <w:rsid w:val="00641238"/>
    <w:rsid w:val="0064737F"/>
    <w:rsid w:val="006535F1"/>
    <w:rsid w:val="0065557D"/>
    <w:rsid w:val="00660D50"/>
    <w:rsid w:val="00662984"/>
    <w:rsid w:val="00670316"/>
    <w:rsid w:val="0067146F"/>
    <w:rsid w:val="006716BB"/>
    <w:rsid w:val="006B1859"/>
    <w:rsid w:val="006B6680"/>
    <w:rsid w:val="006B6DCC"/>
    <w:rsid w:val="006E5BDB"/>
    <w:rsid w:val="006F33FA"/>
    <w:rsid w:val="006F5BD3"/>
    <w:rsid w:val="00702DEF"/>
    <w:rsid w:val="00704365"/>
    <w:rsid w:val="00705646"/>
    <w:rsid w:val="00706861"/>
    <w:rsid w:val="00715FAA"/>
    <w:rsid w:val="00717D4E"/>
    <w:rsid w:val="00721B02"/>
    <w:rsid w:val="00750272"/>
    <w:rsid w:val="0075051B"/>
    <w:rsid w:val="00782824"/>
    <w:rsid w:val="00784A36"/>
    <w:rsid w:val="00787EC3"/>
    <w:rsid w:val="00793188"/>
    <w:rsid w:val="00794D34"/>
    <w:rsid w:val="007A4F40"/>
    <w:rsid w:val="007C3342"/>
    <w:rsid w:val="007D2678"/>
    <w:rsid w:val="007E05EB"/>
    <w:rsid w:val="00813E5E"/>
    <w:rsid w:val="00817FAE"/>
    <w:rsid w:val="00835114"/>
    <w:rsid w:val="0083581B"/>
    <w:rsid w:val="00863874"/>
    <w:rsid w:val="00864AFF"/>
    <w:rsid w:val="00865925"/>
    <w:rsid w:val="00871EA4"/>
    <w:rsid w:val="008A2EFE"/>
    <w:rsid w:val="008A711E"/>
    <w:rsid w:val="008B4A6A"/>
    <w:rsid w:val="008C7E27"/>
    <w:rsid w:val="008F6A81"/>
    <w:rsid w:val="008F7448"/>
    <w:rsid w:val="0090147A"/>
    <w:rsid w:val="009173EF"/>
    <w:rsid w:val="009217FE"/>
    <w:rsid w:val="00932906"/>
    <w:rsid w:val="00942CAC"/>
    <w:rsid w:val="009518C3"/>
    <w:rsid w:val="00961B0B"/>
    <w:rsid w:val="009654D2"/>
    <w:rsid w:val="00967F51"/>
    <w:rsid w:val="00984835"/>
    <w:rsid w:val="009B38C3"/>
    <w:rsid w:val="009C138F"/>
    <w:rsid w:val="009E17BD"/>
    <w:rsid w:val="009E3169"/>
    <w:rsid w:val="009E485A"/>
    <w:rsid w:val="00A04CEC"/>
    <w:rsid w:val="00A27F92"/>
    <w:rsid w:val="00A32257"/>
    <w:rsid w:val="00A3606E"/>
    <w:rsid w:val="00A36D20"/>
    <w:rsid w:val="00A514A4"/>
    <w:rsid w:val="00A54171"/>
    <w:rsid w:val="00A55622"/>
    <w:rsid w:val="00A73192"/>
    <w:rsid w:val="00A83502"/>
    <w:rsid w:val="00AA0D38"/>
    <w:rsid w:val="00AD15B3"/>
    <w:rsid w:val="00AD3606"/>
    <w:rsid w:val="00AD4A3D"/>
    <w:rsid w:val="00AE42B6"/>
    <w:rsid w:val="00AF6E49"/>
    <w:rsid w:val="00B0114B"/>
    <w:rsid w:val="00B01879"/>
    <w:rsid w:val="00B04A67"/>
    <w:rsid w:val="00B0583C"/>
    <w:rsid w:val="00B10651"/>
    <w:rsid w:val="00B148F1"/>
    <w:rsid w:val="00B215A4"/>
    <w:rsid w:val="00B2663F"/>
    <w:rsid w:val="00B40A81"/>
    <w:rsid w:val="00B42793"/>
    <w:rsid w:val="00B44910"/>
    <w:rsid w:val="00B55D5A"/>
    <w:rsid w:val="00B669E7"/>
    <w:rsid w:val="00B72267"/>
    <w:rsid w:val="00B74CC0"/>
    <w:rsid w:val="00B76EB6"/>
    <w:rsid w:val="00B7737B"/>
    <w:rsid w:val="00B824C8"/>
    <w:rsid w:val="00B84B9D"/>
    <w:rsid w:val="00B956B5"/>
    <w:rsid w:val="00BB6C95"/>
    <w:rsid w:val="00BC251A"/>
    <w:rsid w:val="00BC5B25"/>
    <w:rsid w:val="00BD032B"/>
    <w:rsid w:val="00BE2640"/>
    <w:rsid w:val="00C01189"/>
    <w:rsid w:val="00C01C6B"/>
    <w:rsid w:val="00C05536"/>
    <w:rsid w:val="00C06C67"/>
    <w:rsid w:val="00C37314"/>
    <w:rsid w:val="00C374DE"/>
    <w:rsid w:val="00C47AD4"/>
    <w:rsid w:val="00C52D81"/>
    <w:rsid w:val="00C55198"/>
    <w:rsid w:val="00C7017A"/>
    <w:rsid w:val="00C90C3A"/>
    <w:rsid w:val="00C97362"/>
    <w:rsid w:val="00CA6393"/>
    <w:rsid w:val="00CB18FF"/>
    <w:rsid w:val="00CC5D82"/>
    <w:rsid w:val="00CD0C08"/>
    <w:rsid w:val="00CE03FB"/>
    <w:rsid w:val="00CE433C"/>
    <w:rsid w:val="00CF0161"/>
    <w:rsid w:val="00CF33F3"/>
    <w:rsid w:val="00D06183"/>
    <w:rsid w:val="00D224DC"/>
    <w:rsid w:val="00D22C42"/>
    <w:rsid w:val="00D24344"/>
    <w:rsid w:val="00D45DFD"/>
    <w:rsid w:val="00D65041"/>
    <w:rsid w:val="00DA6AC7"/>
    <w:rsid w:val="00DB1936"/>
    <w:rsid w:val="00DB384B"/>
    <w:rsid w:val="00DC7ECF"/>
    <w:rsid w:val="00DF0189"/>
    <w:rsid w:val="00E067CF"/>
    <w:rsid w:val="00E06FD5"/>
    <w:rsid w:val="00E10E80"/>
    <w:rsid w:val="00E124F0"/>
    <w:rsid w:val="00E4260D"/>
    <w:rsid w:val="00E60F04"/>
    <w:rsid w:val="00E65B24"/>
    <w:rsid w:val="00E800C4"/>
    <w:rsid w:val="00E854E4"/>
    <w:rsid w:val="00E86DBF"/>
    <w:rsid w:val="00E97785"/>
    <w:rsid w:val="00EB0D6F"/>
    <w:rsid w:val="00EB2232"/>
    <w:rsid w:val="00EC5337"/>
    <w:rsid w:val="00ED4B47"/>
    <w:rsid w:val="00EE49E8"/>
    <w:rsid w:val="00EF122D"/>
    <w:rsid w:val="00EF42BB"/>
    <w:rsid w:val="00EF6C29"/>
    <w:rsid w:val="00F16BAB"/>
    <w:rsid w:val="00F2150A"/>
    <w:rsid w:val="00F231D8"/>
    <w:rsid w:val="00F44C00"/>
    <w:rsid w:val="00F46C5F"/>
    <w:rsid w:val="00F62409"/>
    <w:rsid w:val="00F632C0"/>
    <w:rsid w:val="00F673EB"/>
    <w:rsid w:val="00F82B85"/>
    <w:rsid w:val="00F87A75"/>
    <w:rsid w:val="00F94A63"/>
    <w:rsid w:val="00FA1C28"/>
    <w:rsid w:val="00FB1279"/>
    <w:rsid w:val="00FB42BA"/>
    <w:rsid w:val="00FB6B76"/>
    <w:rsid w:val="00FB7596"/>
    <w:rsid w:val="00FB7CF0"/>
    <w:rsid w:val="00FE4077"/>
    <w:rsid w:val="00FE4234"/>
    <w:rsid w:val="00FE5F64"/>
    <w:rsid w:val="00FE73C6"/>
    <w:rsid w:val="00FE77D2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8589D"/>
    <w:pPr>
      <w:framePr w:hSpace="180" w:wrap="around" w:vAnchor="page" w:hAnchor="page" w:x="1821" w:y="2317"/>
      <w:spacing w:before="2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B74CC0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eastAsia="MS Mincho" w:hAnsiTheme="minorHAnsi"/>
    </w:rPr>
  </w:style>
  <w:style w:type="character" w:styleId="CommentReference">
    <w:name w:val="annotation reference"/>
    <w:basedOn w:val="DefaultParagraphFont"/>
    <w:semiHidden/>
    <w:unhideWhenUsed/>
    <w:rsid w:val="00B74C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4CC0"/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B74CC0"/>
    <w:rPr>
      <w:rFonts w:ascii="Calibri" w:eastAsia="MS Mincho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74CC0"/>
    <w:rPr>
      <w:rFonts w:ascii="Calibri" w:hAnsi="Calibri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B74CC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0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2ACA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EBB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0EBB"/>
    <w:rPr>
      <w:rFonts w:ascii="Calibri" w:eastAsia="MS Mincho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25-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ublications/ITU-D/pages/publications.aspx?parent=D-TDC-WTDC-2022&amp;media=electroni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E5570-F5CF-4156-A462-D42A5297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B7A98-BE94-4BBB-989B-8201E0BB5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0BFD8-A1A6-479A-AA05-194303C2C59D}">
  <ds:schemaRefs>
    <ds:schemaRef ds:uri="http://purl.org/dc/elements/1.1/"/>
    <ds:schemaRef ds:uri="http://www.w3.org/XML/1998/namespace"/>
    <ds:schemaRef ds:uri="http://schemas.microsoft.com/office/2006/metadata/properties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5a9e730e-50ca-4fdd-8a7a-b4f5b57bd209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1281</Words>
  <Characters>8192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Implications of the Regional Initiatives Approved by WTDC-22</vt:lpstr>
    </vt:vector>
  </TitlesOfParts>
  <Manager>General Secretariat - Pool</Manager>
  <Company>International Telecommunication Union (ITU)</Company>
  <LinksUpToDate>false</LinksUpToDate>
  <CharactersWithSpaces>9455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/>
  <cp:keywords>C2023, C23, Council-23</cp:keywords>
  <dc:description/>
  <cp:lastModifiedBy>Brouard, Ricarda</cp:lastModifiedBy>
  <cp:revision>5</cp:revision>
  <cp:lastPrinted>2023-05-16T16:47:00Z</cp:lastPrinted>
  <dcterms:created xsi:type="dcterms:W3CDTF">2023-05-16T17:39:00Z</dcterms:created>
  <dcterms:modified xsi:type="dcterms:W3CDTF">2023-05-16T18:29:00Z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