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E587C" w14:paraId="1591300A" w14:textId="77777777" w:rsidTr="00AD3606">
        <w:trPr>
          <w:cantSplit/>
          <w:trHeight w:val="23"/>
        </w:trPr>
        <w:tc>
          <w:tcPr>
            <w:tcW w:w="3969" w:type="dxa"/>
            <w:vMerge w:val="restart"/>
            <w:tcMar>
              <w:left w:w="0" w:type="dxa"/>
            </w:tcMar>
          </w:tcPr>
          <w:p w14:paraId="4F2DE73B" w14:textId="668F417C"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664DD0">
              <w:rPr>
                <w:b/>
              </w:rPr>
              <w:t>ADM 1</w:t>
            </w:r>
          </w:p>
        </w:tc>
        <w:tc>
          <w:tcPr>
            <w:tcW w:w="5245" w:type="dxa"/>
          </w:tcPr>
          <w:p w14:paraId="2F0CB53A" w14:textId="49C75F75" w:rsidR="00AD3606" w:rsidRPr="006E587C" w:rsidRDefault="006E587C" w:rsidP="00472BAD">
            <w:pPr>
              <w:tabs>
                <w:tab w:val="left" w:pos="851"/>
              </w:tabs>
              <w:spacing w:before="0" w:line="240" w:lineRule="atLeast"/>
              <w:jc w:val="right"/>
              <w:rPr>
                <w:b/>
              </w:rPr>
            </w:pPr>
            <w:r w:rsidRPr="006E587C">
              <w:rPr>
                <w:b/>
              </w:rPr>
              <w:t>Addendum 1 to</w:t>
            </w:r>
            <w:r w:rsidRPr="006E587C">
              <w:rPr>
                <w:b/>
              </w:rPr>
              <w:br/>
            </w:r>
            <w:r w:rsidR="00AD3606" w:rsidRPr="006E587C">
              <w:rPr>
                <w:b/>
              </w:rPr>
              <w:t>Document C23/</w:t>
            </w:r>
            <w:r w:rsidR="00664DD0">
              <w:rPr>
                <w:b/>
              </w:rPr>
              <w:t>26</w:t>
            </w:r>
            <w:r w:rsidR="00AD3606" w:rsidRPr="006E587C">
              <w:rPr>
                <w:b/>
              </w:rPr>
              <w:t>-E</w:t>
            </w:r>
          </w:p>
        </w:tc>
      </w:tr>
      <w:tr w:rsidR="00AD3606" w:rsidRPr="00813E5E" w14:paraId="777833CB" w14:textId="77777777" w:rsidTr="00AD3606">
        <w:trPr>
          <w:cantSplit/>
        </w:trPr>
        <w:tc>
          <w:tcPr>
            <w:tcW w:w="3969" w:type="dxa"/>
            <w:vMerge/>
          </w:tcPr>
          <w:p w14:paraId="7DECAB6C" w14:textId="77777777" w:rsidR="00AD3606" w:rsidRPr="006E587C"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4899E8D5" w:rsidR="00AD3606" w:rsidRPr="00E85629" w:rsidRDefault="00CB6A93" w:rsidP="00AD3606">
            <w:pPr>
              <w:tabs>
                <w:tab w:val="left" w:pos="851"/>
              </w:tabs>
              <w:spacing w:before="0"/>
              <w:jc w:val="right"/>
              <w:rPr>
                <w:b/>
              </w:rPr>
            </w:pPr>
            <w:r>
              <w:rPr>
                <w:b/>
              </w:rPr>
              <w:t>6</w:t>
            </w:r>
            <w:r w:rsidR="00F60B3D">
              <w:rPr>
                <w:b/>
              </w:rPr>
              <w:t xml:space="preserve"> July </w:t>
            </w:r>
            <w:r w:rsidR="00AD3606">
              <w:rPr>
                <w:b/>
              </w:rPr>
              <w:t>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193F047E" w14:textId="77777777" w:rsidR="008829DE" w:rsidRDefault="008829DE" w:rsidP="008829DE">
            <w:pPr>
              <w:pStyle w:val="Source"/>
              <w:framePr w:hSpace="0" w:wrap="auto" w:vAnchor="margin" w:hAnchor="text" w:xAlign="left" w:yAlign="inline"/>
            </w:pPr>
            <w:bookmarkStart w:id="4" w:name="dsource" w:colFirst="0" w:colLast="0"/>
            <w:bookmarkEnd w:id="3"/>
            <w:r w:rsidRPr="008829DE">
              <w:t>Note</w:t>
            </w:r>
            <w:r w:rsidR="00AD3606" w:rsidRPr="008829DE">
              <w:t xml:space="preserve"> by the Secretary-General</w:t>
            </w:r>
          </w:p>
          <w:p w14:paraId="598EF21A" w14:textId="559D93E1" w:rsidR="00AD3606" w:rsidRPr="008829DE" w:rsidRDefault="008829DE" w:rsidP="008829DE">
            <w:pPr>
              <w:pStyle w:val="Source"/>
              <w:framePr w:hSpace="0" w:wrap="auto" w:vAnchor="margin" w:hAnchor="text" w:xAlign="left" w:yAlign="inline"/>
            </w:pPr>
            <w:r w:rsidRPr="008829DE">
              <w:t>ADDENDUM FROM TDAG-23 BY CHAIRMAN OF TDAG</w:t>
            </w:r>
          </w:p>
        </w:tc>
      </w:tr>
      <w:tr w:rsidR="00AD3606" w:rsidRPr="00813E5E" w14:paraId="62B9C291" w14:textId="77777777" w:rsidTr="00AD3606">
        <w:trPr>
          <w:cantSplit/>
        </w:trPr>
        <w:tc>
          <w:tcPr>
            <w:tcW w:w="9214" w:type="dxa"/>
            <w:gridSpan w:val="2"/>
            <w:tcMar>
              <w:left w:w="0" w:type="dxa"/>
            </w:tcMar>
          </w:tcPr>
          <w:p w14:paraId="556A1BCF" w14:textId="28A2F4F9" w:rsidR="00AD3606" w:rsidRPr="008829DE" w:rsidRDefault="00664DD0" w:rsidP="006E587C">
            <w:pPr>
              <w:spacing w:after="120"/>
              <w:rPr>
                <w:b/>
                <w:bCs/>
                <w:sz w:val="32"/>
                <w:szCs w:val="32"/>
              </w:rPr>
            </w:pPr>
            <w:bookmarkStart w:id="5" w:name="dtitle1" w:colFirst="0" w:colLast="0"/>
            <w:bookmarkEnd w:id="4"/>
            <w:r w:rsidRPr="008829DE">
              <w:rPr>
                <w:b/>
                <w:bCs/>
                <w:sz w:val="32"/>
                <w:szCs w:val="32"/>
              </w:rPr>
              <w:t>FINANCIAL IMPLICATIONS OF THE REGIONAL INITIATIVES APPROVED BY WTDC-22</w:t>
            </w:r>
          </w:p>
        </w:tc>
      </w:tr>
      <w:tr w:rsidR="00AD3606" w:rsidRPr="006E587C" w14:paraId="59287389" w14:textId="77777777" w:rsidTr="00A4026F">
        <w:trPr>
          <w:cantSplit/>
        </w:trPr>
        <w:tc>
          <w:tcPr>
            <w:tcW w:w="9214" w:type="dxa"/>
            <w:gridSpan w:val="2"/>
            <w:tcBorders>
              <w:top w:val="single" w:sz="4" w:space="0" w:color="auto"/>
              <w:bottom w:val="single" w:sz="4" w:space="0" w:color="auto"/>
            </w:tcBorders>
            <w:shd w:val="clear" w:color="auto" w:fill="auto"/>
            <w:tcMar>
              <w:left w:w="0" w:type="dxa"/>
            </w:tcMar>
          </w:tcPr>
          <w:p w14:paraId="07804307" w14:textId="1C14D795" w:rsidR="00F101D6" w:rsidRPr="00A4026F" w:rsidRDefault="00F101D6" w:rsidP="00A4026F">
            <w:pPr>
              <w:spacing w:before="160"/>
              <w:rPr>
                <w:szCs w:val="24"/>
              </w:rPr>
            </w:pPr>
          </w:p>
          <w:p w14:paraId="6F1B8B4E" w14:textId="77777777" w:rsidR="00AD3606" w:rsidRPr="00A4026F" w:rsidRDefault="00AD3606" w:rsidP="00F16BAB">
            <w:pPr>
              <w:spacing w:before="160"/>
              <w:rPr>
                <w:caps/>
                <w:sz w:val="22"/>
              </w:rPr>
            </w:pPr>
            <w:r w:rsidRPr="00A4026F">
              <w:rPr>
                <w:sz w:val="22"/>
              </w:rPr>
              <w:t>__________________</w:t>
            </w:r>
          </w:p>
          <w:p w14:paraId="5E64E31C" w14:textId="77777777" w:rsidR="00664DD0" w:rsidRPr="00A4026F" w:rsidRDefault="00AD3606" w:rsidP="00664DD0">
            <w:pPr>
              <w:spacing w:before="160"/>
              <w:rPr>
                <w:b/>
                <w:bCs/>
                <w:sz w:val="26"/>
                <w:szCs w:val="26"/>
              </w:rPr>
            </w:pPr>
            <w:r w:rsidRPr="00A4026F">
              <w:rPr>
                <w:b/>
                <w:bCs/>
                <w:sz w:val="26"/>
                <w:szCs w:val="26"/>
              </w:rPr>
              <w:t>References</w:t>
            </w:r>
          </w:p>
          <w:p w14:paraId="166E3093" w14:textId="77777777" w:rsidR="00664DD0" w:rsidRPr="00A4026F" w:rsidRDefault="009E01A9" w:rsidP="00664DD0">
            <w:pPr>
              <w:spacing w:before="160"/>
              <w:rPr>
                <w:b/>
                <w:bCs/>
                <w:szCs w:val="24"/>
              </w:rPr>
            </w:pPr>
            <w:hyperlink r:id="rId11" w:history="1">
              <w:r w:rsidR="00664DD0" w:rsidRPr="00A4026F">
                <w:rPr>
                  <w:rFonts w:eastAsia="Calibri"/>
                  <w:i/>
                  <w:iCs/>
                  <w:color w:val="0563C1"/>
                  <w:kern w:val="2"/>
                  <w:szCs w:val="24"/>
                  <w:u w:val="single"/>
                  <w14:ligatures w14:val="standardContextual"/>
                </w:rPr>
                <w:t>Document TDAG-23/25-E - Director, Telecommunication Development Bureau - Financial implications of the Regional Initiatives approved by WTDC-22</w:t>
              </w:r>
            </w:hyperlink>
          </w:p>
          <w:p w14:paraId="6E726E2C" w14:textId="77777777" w:rsidR="00664DD0" w:rsidRPr="00A4026F" w:rsidRDefault="009E01A9" w:rsidP="00664DD0">
            <w:pPr>
              <w:spacing w:before="160"/>
              <w:rPr>
                <w:b/>
                <w:bCs/>
                <w:szCs w:val="24"/>
              </w:rPr>
            </w:pPr>
            <w:hyperlink r:id="rId12" w:history="1">
              <w:r w:rsidR="00664DD0" w:rsidRPr="00A4026F">
                <w:rPr>
                  <w:rFonts w:eastAsia="Calibri"/>
                  <w:i/>
                  <w:iCs/>
                  <w:color w:val="0563C1"/>
                  <w:kern w:val="2"/>
                  <w:szCs w:val="24"/>
                  <w:u w:val="single"/>
                  <w14:ligatures w14:val="standardContextual"/>
                </w:rPr>
                <w:t>Document TDAG-23/DT/5-E - Chairman, Telecommunication Development Advisory Group (TDAG) - Draft summary of conclusions</w:t>
              </w:r>
            </w:hyperlink>
          </w:p>
          <w:p w14:paraId="31A38B9A" w14:textId="1F99E853" w:rsidR="00664DD0" w:rsidRPr="00A4026F" w:rsidRDefault="009E01A9" w:rsidP="00664DD0">
            <w:pPr>
              <w:spacing w:before="160"/>
              <w:rPr>
                <w:b/>
                <w:bCs/>
                <w:szCs w:val="24"/>
              </w:rPr>
            </w:pPr>
            <w:hyperlink r:id="rId13" w:history="1">
              <w:r w:rsidR="00664DD0" w:rsidRPr="00A4026F">
                <w:rPr>
                  <w:rFonts w:eastAsia="Calibri"/>
                  <w:i/>
                  <w:iCs/>
                  <w:color w:val="0563C1"/>
                  <w:kern w:val="2"/>
                  <w:szCs w:val="24"/>
                  <w:u w:val="single"/>
                  <w14:ligatures w14:val="standardContextual"/>
                </w:rPr>
                <w:t>Final Report of the</w:t>
              </w:r>
              <w:r w:rsidR="00664DD0" w:rsidRPr="00A4026F">
                <w:rPr>
                  <w:rFonts w:eastAsia="Calibri"/>
                  <w:i/>
                  <w:iCs/>
                  <w:kern w:val="2"/>
                  <w:szCs w:val="24"/>
                  <w14:ligatures w14:val="standardContextual"/>
                </w:rPr>
                <w:t xml:space="preserve"> </w:t>
              </w:r>
              <w:r w:rsidR="00664DD0" w:rsidRPr="00A4026F">
                <w:rPr>
                  <w:rFonts w:eastAsia="Calibri"/>
                  <w:i/>
                  <w:iCs/>
                  <w:color w:val="0563C1"/>
                  <w:kern w:val="2"/>
                  <w:szCs w:val="24"/>
                  <w:u w:val="single"/>
                  <w14:ligatures w14:val="standardContextual"/>
                </w:rPr>
                <w:t>World Telecommunication Development Conference (Kigali, 2022), Part III – Regional Initiatives</w:t>
              </w:r>
            </w:hyperlink>
          </w:p>
          <w:p w14:paraId="65250B1E" w14:textId="6A2F6896" w:rsidR="00AD3606" w:rsidRPr="00A4026F" w:rsidRDefault="009E01A9" w:rsidP="00664DD0">
            <w:pPr>
              <w:spacing w:after="160"/>
              <w:rPr>
                <w:szCs w:val="24"/>
              </w:rPr>
            </w:pPr>
            <w:hyperlink r:id="rId14" w:history="1">
              <w:r w:rsidR="00664DD0" w:rsidRPr="00A4026F">
                <w:rPr>
                  <w:rFonts w:eastAsia="Calibri"/>
                  <w:i/>
                  <w:iCs/>
                  <w:color w:val="0563C1"/>
                  <w:kern w:val="2"/>
                  <w:szCs w:val="24"/>
                  <w:u w:val="single"/>
                  <w14:ligatures w14:val="standardContextual"/>
                </w:rPr>
                <w:t>Resolution 25 (Rev. Bucharest 2022)</w:t>
              </w:r>
            </w:hyperlink>
            <w:r w:rsidR="00664DD0" w:rsidRPr="00A4026F">
              <w:rPr>
                <w:rFonts w:eastAsia="Calibri"/>
                <w:i/>
                <w:iCs/>
                <w:color w:val="0563C1"/>
                <w:kern w:val="2"/>
                <w:szCs w:val="24"/>
                <w:u w:val="single"/>
                <w14:ligatures w14:val="standardContextual"/>
              </w:rPr>
              <w:t xml:space="preserve"> of the Plenipotentiary Conference</w:t>
            </w:r>
          </w:p>
        </w:tc>
      </w:tr>
      <w:bookmarkEnd w:id="5"/>
    </w:tbl>
    <w:p w14:paraId="7FE52F59" w14:textId="77777777" w:rsidR="0090147A" w:rsidRPr="006E587C"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6E587C">
        <w:br w:type="page"/>
      </w:r>
    </w:p>
    <w:p w14:paraId="40C821DC" w14:textId="77777777" w:rsidR="008829DE" w:rsidRPr="00F46E5B" w:rsidRDefault="008829DE" w:rsidP="008829DE">
      <w:pPr>
        <w:jc w:val="both"/>
        <w:rPr>
          <w:szCs w:val="24"/>
          <w:lang w:val="en-US"/>
        </w:rPr>
      </w:pPr>
      <w:r w:rsidRPr="00F46E5B">
        <w:rPr>
          <w:szCs w:val="24"/>
          <w:lang w:val="en-US"/>
        </w:rPr>
        <w:lastRenderedPageBreak/>
        <w:t>The Telecommunication Development Advisory Group (TDAG) meeting took place from 19 to 23 June 2023.</w:t>
      </w:r>
    </w:p>
    <w:p w14:paraId="58C7D8CD" w14:textId="77FABA0D" w:rsidR="008829DE" w:rsidRPr="00F46E5B" w:rsidRDefault="008829DE" w:rsidP="008829DE">
      <w:pPr>
        <w:jc w:val="both"/>
        <w:rPr>
          <w:szCs w:val="24"/>
          <w:lang w:val="en-US"/>
        </w:rPr>
      </w:pPr>
      <w:r w:rsidRPr="00F46E5B">
        <w:rPr>
          <w:szCs w:val="24"/>
          <w:lang w:val="en-US"/>
        </w:rPr>
        <w:t>BDT submitted a contribution (</w:t>
      </w:r>
      <w:hyperlink r:id="rId15" w:history="1">
        <w:r w:rsidRPr="00F46E5B">
          <w:rPr>
            <w:rStyle w:val="Hyperlink"/>
            <w:szCs w:val="24"/>
            <w:lang w:val="en-US"/>
          </w:rPr>
          <w:t>Document 25</w:t>
        </w:r>
      </w:hyperlink>
      <w:r w:rsidRPr="00F46E5B">
        <w:rPr>
          <w:szCs w:val="24"/>
          <w:lang w:val="en-US"/>
        </w:rPr>
        <w:t>) titled “</w:t>
      </w:r>
      <w:r w:rsidRPr="00F46E5B">
        <w:rPr>
          <w:i/>
          <w:iCs/>
          <w:szCs w:val="24"/>
          <w:lang w:val="en-US"/>
        </w:rPr>
        <w:t>Financial implications of the regional initiatives by WTDC 22</w:t>
      </w:r>
      <w:r w:rsidRPr="00F46E5B">
        <w:rPr>
          <w:szCs w:val="24"/>
          <w:lang w:val="en-US"/>
        </w:rPr>
        <w:t xml:space="preserve">”, in which BDT made the following request “In the budget approval process for 2024-2027 BDT proposes to request that Council consider the allocation of dedicated financial resources for the implementation of the Regional Initiatives adopted by WTDC-22 for all the six regions” and informed TDAG that a </w:t>
      </w:r>
      <w:r w:rsidR="00643110">
        <w:rPr>
          <w:szCs w:val="24"/>
          <w:lang w:val="en-US"/>
        </w:rPr>
        <w:t>s</w:t>
      </w:r>
      <w:r w:rsidRPr="00F46E5B">
        <w:rPr>
          <w:szCs w:val="24"/>
          <w:lang w:val="en-US"/>
        </w:rPr>
        <w:t xml:space="preserve">ecretariat </w:t>
      </w:r>
      <w:hyperlink r:id="rId16" w:history="1">
        <w:r w:rsidRPr="00643110">
          <w:rPr>
            <w:rStyle w:val="Hyperlink"/>
            <w:color w:val="auto"/>
            <w:szCs w:val="24"/>
            <w:u w:val="none"/>
            <w:lang w:val="en-US"/>
          </w:rPr>
          <w:t>Document 26</w:t>
        </w:r>
      </w:hyperlink>
      <w:r w:rsidRPr="00643110">
        <w:rPr>
          <w:rStyle w:val="Hyperlink"/>
          <w:color w:val="auto"/>
          <w:szCs w:val="24"/>
          <w:u w:val="none"/>
          <w:lang w:val="en-US"/>
        </w:rPr>
        <w:t xml:space="preserve"> had been submitted to Council with regards the financing of WTDC-22 Regional Initiatives, as was the case in 2018 when a budget was allocated for the implementation of WTDC-2017 Regional Initiatives.</w:t>
      </w:r>
    </w:p>
    <w:p w14:paraId="05D50F30" w14:textId="77777777" w:rsidR="008829DE" w:rsidRPr="00F46E5B" w:rsidRDefault="008829DE" w:rsidP="008829DE">
      <w:pPr>
        <w:jc w:val="both"/>
        <w:rPr>
          <w:szCs w:val="24"/>
          <w:lang w:val="en-US"/>
        </w:rPr>
      </w:pPr>
      <w:r w:rsidRPr="00F46E5B">
        <w:rPr>
          <w:szCs w:val="24"/>
          <w:lang w:val="en-US"/>
        </w:rPr>
        <w:t>TDAG discussed the document and participants noted the need for the additional allocation of funds and requested Secretariat to provide an addendum to Council document 26 to express the views of TDAG.</w:t>
      </w:r>
    </w:p>
    <w:p w14:paraId="59B44854" w14:textId="77777777" w:rsidR="008829DE" w:rsidRPr="00F46E5B" w:rsidRDefault="008829DE" w:rsidP="008829DE">
      <w:pPr>
        <w:jc w:val="both"/>
        <w:rPr>
          <w:szCs w:val="24"/>
          <w:lang w:val="en-US"/>
        </w:rPr>
      </w:pPr>
      <w:r w:rsidRPr="00F46E5B">
        <w:rPr>
          <w:szCs w:val="24"/>
          <w:lang w:val="en-US"/>
        </w:rPr>
        <w:t>This addendum seeks to provide this additional information based on TDAG discussions at the meeting which was held after the submission of Council document 26.</w:t>
      </w:r>
    </w:p>
    <w:p w14:paraId="26EFEF0F" w14:textId="74479894" w:rsidR="00F96297" w:rsidRPr="00F44136" w:rsidRDefault="008829DE" w:rsidP="008829DE">
      <w:pPr>
        <w:jc w:val="both"/>
        <w:rPr>
          <w:i/>
          <w:iCs/>
          <w:szCs w:val="24"/>
          <w:lang w:val="en-US"/>
        </w:rPr>
      </w:pPr>
      <w:r>
        <w:rPr>
          <w:szCs w:val="24"/>
          <w:lang w:val="en-US"/>
        </w:rPr>
        <w:t>In reaching its conclusions, TDAG considered the following:</w:t>
      </w:r>
    </w:p>
    <w:p w14:paraId="11B38EF0" w14:textId="12127075" w:rsidR="00664DD0" w:rsidRPr="00664DD0" w:rsidRDefault="003A2C8B" w:rsidP="000263EE">
      <w:pPr>
        <w:keepNext/>
        <w:tabs>
          <w:tab w:val="clear" w:pos="567"/>
          <w:tab w:val="clear" w:pos="1134"/>
          <w:tab w:val="clear" w:pos="1701"/>
          <w:tab w:val="clear" w:pos="2268"/>
          <w:tab w:val="clear" w:pos="2835"/>
        </w:tabs>
        <w:overflowPunct/>
        <w:autoSpaceDE/>
        <w:autoSpaceDN/>
        <w:adjustRightInd/>
        <w:spacing w:before="240"/>
        <w:jc w:val="both"/>
        <w:textAlignment w:val="auto"/>
        <w:rPr>
          <w:rFonts w:eastAsia="Calibri"/>
          <w:b/>
          <w:bCs/>
          <w:kern w:val="2"/>
          <w:szCs w:val="24"/>
          <w:lang w:val="en-US"/>
          <w14:ligatures w14:val="standardContextual"/>
        </w:rPr>
      </w:pPr>
      <w:r>
        <w:rPr>
          <w:rFonts w:eastAsia="Calibri"/>
          <w:b/>
          <w:bCs/>
          <w:kern w:val="2"/>
          <w:szCs w:val="24"/>
          <w:lang w:val="en-US"/>
          <w14:ligatures w14:val="standardContextual"/>
        </w:rPr>
        <w:t xml:space="preserve">2. </w:t>
      </w:r>
      <w:r w:rsidR="00664DD0" w:rsidRPr="00664DD0">
        <w:rPr>
          <w:rFonts w:eastAsia="Calibri"/>
          <w:b/>
          <w:bCs/>
          <w:kern w:val="2"/>
          <w:szCs w:val="24"/>
          <w:lang w:val="en-US"/>
          <w14:ligatures w14:val="standardContextual"/>
        </w:rPr>
        <w:t xml:space="preserve">Rationale </w:t>
      </w:r>
    </w:p>
    <w:p w14:paraId="4D10F1AD" w14:textId="77777777" w:rsidR="00643110" w:rsidRDefault="00643110" w:rsidP="00643110">
      <w:pPr>
        <w:jc w:val="both"/>
        <w:rPr>
          <w:szCs w:val="24"/>
          <w:lang w:val="en-US"/>
        </w:rPr>
      </w:pPr>
      <w:r w:rsidRPr="00F44136">
        <w:rPr>
          <w:szCs w:val="24"/>
          <w:lang w:val="en-US"/>
        </w:rPr>
        <w:t xml:space="preserve">The need of additional resources for the implementation of WTDC-22 Regional Initiatives follows the successful outcomes </w:t>
      </w:r>
      <w:r>
        <w:rPr>
          <w:szCs w:val="24"/>
          <w:lang w:val="en-US"/>
        </w:rPr>
        <w:t xml:space="preserve">during </w:t>
      </w:r>
      <w:r w:rsidRPr="00F44136">
        <w:rPr>
          <w:szCs w:val="24"/>
          <w:lang w:val="en-US"/>
        </w:rPr>
        <w:t xml:space="preserve">the previous cycle where </w:t>
      </w:r>
      <w:r>
        <w:rPr>
          <w:szCs w:val="24"/>
          <w:lang w:val="en-US"/>
        </w:rPr>
        <w:t>an</w:t>
      </w:r>
      <w:r w:rsidRPr="00F44136">
        <w:rPr>
          <w:szCs w:val="24"/>
          <w:lang w:val="en-US"/>
        </w:rPr>
        <w:t xml:space="preserve"> allocation of 5 million CHF, </w:t>
      </w:r>
      <w:r>
        <w:rPr>
          <w:szCs w:val="24"/>
          <w:lang w:val="en-US"/>
        </w:rPr>
        <w:t>resulted in the implementation of</w:t>
      </w:r>
      <w:r w:rsidRPr="00F44136">
        <w:rPr>
          <w:szCs w:val="24"/>
          <w:lang w:val="en-US"/>
        </w:rPr>
        <w:t xml:space="preserve"> 37 projects </w:t>
      </w:r>
      <w:r>
        <w:rPr>
          <w:szCs w:val="24"/>
          <w:lang w:val="en-US"/>
        </w:rPr>
        <w:t>under</w:t>
      </w:r>
      <w:r w:rsidRPr="00F44136">
        <w:rPr>
          <w:szCs w:val="24"/>
          <w:lang w:val="en-US"/>
        </w:rPr>
        <w:t xml:space="preserve"> the regional initiatives approved by WTDC-17.</w:t>
      </w:r>
      <w:r>
        <w:rPr>
          <w:szCs w:val="24"/>
          <w:lang w:val="en-US"/>
        </w:rPr>
        <w:t xml:space="preserve"> Detailed information on these projects is available in annex:1 (document </w:t>
      </w:r>
      <w:r>
        <w:rPr>
          <w:rStyle w:val="ui-provider"/>
        </w:rPr>
        <w:t>TDAG-23/25-E</w:t>
      </w:r>
      <w:r>
        <w:rPr>
          <w:szCs w:val="24"/>
          <w:lang w:val="en-US"/>
        </w:rPr>
        <w:t xml:space="preserve">), available here: </w:t>
      </w:r>
      <w:hyperlink r:id="rId17" w:history="1">
        <w:r w:rsidRPr="006166D0">
          <w:rPr>
            <w:rStyle w:val="Hyperlink"/>
            <w:szCs w:val="24"/>
            <w:lang w:val="en-US"/>
          </w:rPr>
          <w:t>https://www.itu.int/dms_pub/itu-d/md/22/tdag30/c/D22-TDAG30-C-0025!N1!MSW-E.docx</w:t>
        </w:r>
      </w:hyperlink>
    </w:p>
    <w:p w14:paraId="1E146659" w14:textId="77777777" w:rsidR="00643110" w:rsidRPr="00F44136" w:rsidRDefault="00643110" w:rsidP="00643110">
      <w:pPr>
        <w:jc w:val="both"/>
        <w:rPr>
          <w:szCs w:val="24"/>
          <w:lang w:val="en-US"/>
        </w:rPr>
      </w:pPr>
      <w:r>
        <w:rPr>
          <w:szCs w:val="24"/>
          <w:lang w:val="en-US"/>
        </w:rPr>
        <w:t xml:space="preserve">Using the CH5 million allocated by Council as seed money, BDT managed to mobilize resources from external partners valued at CH 8.5 million that was used to co-finance projects. </w:t>
      </w:r>
    </w:p>
    <w:p w14:paraId="0FA71869" w14:textId="77777777" w:rsidR="00643110" w:rsidRPr="00F44136" w:rsidRDefault="00643110" w:rsidP="00643110">
      <w:pPr>
        <w:jc w:val="both"/>
        <w:rPr>
          <w:szCs w:val="24"/>
          <w:lang w:val="en-US"/>
        </w:rPr>
      </w:pPr>
      <w:r>
        <w:rPr>
          <w:szCs w:val="24"/>
          <w:lang w:val="en-US"/>
        </w:rPr>
        <w:t>Based on BDT experience during the previous cycle (</w:t>
      </w:r>
      <w:r w:rsidRPr="00F44136">
        <w:rPr>
          <w:szCs w:val="24"/>
          <w:lang w:val="en-US"/>
        </w:rPr>
        <w:t>2018-2022</w:t>
      </w:r>
      <w:r>
        <w:rPr>
          <w:szCs w:val="24"/>
          <w:lang w:val="en-US"/>
        </w:rPr>
        <w:t>)</w:t>
      </w:r>
      <w:r w:rsidRPr="00F44136">
        <w:rPr>
          <w:szCs w:val="24"/>
          <w:lang w:val="en-US"/>
        </w:rPr>
        <w:t>:</w:t>
      </w:r>
    </w:p>
    <w:p w14:paraId="186030D7" w14:textId="77777777" w:rsidR="00643110" w:rsidRPr="00F44136" w:rsidRDefault="00643110" w:rsidP="00643110">
      <w:pPr>
        <w:pStyle w:val="ListParagraph"/>
        <w:numPr>
          <w:ilvl w:val="0"/>
          <w:numId w:val="4"/>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szCs w:val="24"/>
          <w:lang w:val="en-US"/>
        </w:rPr>
      </w:pPr>
      <w:r w:rsidRPr="00F44136">
        <w:rPr>
          <w:szCs w:val="24"/>
          <w:lang w:val="en-US"/>
        </w:rPr>
        <w:t>The allocation of fund</w:t>
      </w:r>
      <w:r>
        <w:rPr>
          <w:szCs w:val="24"/>
          <w:lang w:val="en-US"/>
        </w:rPr>
        <w:t>s</w:t>
      </w:r>
      <w:r w:rsidRPr="00F44136">
        <w:rPr>
          <w:szCs w:val="24"/>
          <w:lang w:val="en-US"/>
        </w:rPr>
        <w:t xml:space="preserve"> </w:t>
      </w:r>
      <w:r>
        <w:rPr>
          <w:szCs w:val="24"/>
          <w:lang w:val="en-US"/>
        </w:rPr>
        <w:t>by</w:t>
      </w:r>
      <w:r w:rsidRPr="00F44136">
        <w:rPr>
          <w:szCs w:val="24"/>
          <w:lang w:val="en-US"/>
        </w:rPr>
        <w:t xml:space="preserve"> Council </w:t>
      </w:r>
      <w:r>
        <w:rPr>
          <w:szCs w:val="24"/>
          <w:lang w:val="en-US"/>
        </w:rPr>
        <w:t>for the implementation of projects under the</w:t>
      </w:r>
      <w:r w:rsidRPr="00F44136">
        <w:rPr>
          <w:szCs w:val="24"/>
          <w:lang w:val="en-US"/>
        </w:rPr>
        <w:t xml:space="preserve"> regional initiatives</w:t>
      </w:r>
      <w:r>
        <w:rPr>
          <w:szCs w:val="24"/>
          <w:lang w:val="en-US"/>
        </w:rPr>
        <w:t xml:space="preserve">, accounts for the successful implementation of WTDC-17 adopted regional initiatives. </w:t>
      </w:r>
    </w:p>
    <w:p w14:paraId="3D3E6087" w14:textId="77777777" w:rsidR="00643110" w:rsidRPr="00F44136" w:rsidRDefault="00643110" w:rsidP="00643110">
      <w:pPr>
        <w:pStyle w:val="ListParagraph"/>
        <w:numPr>
          <w:ilvl w:val="0"/>
          <w:numId w:val="4"/>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szCs w:val="24"/>
          <w:lang w:val="en-US"/>
        </w:rPr>
      </w:pPr>
      <w:r w:rsidRPr="00F44136">
        <w:rPr>
          <w:szCs w:val="24"/>
          <w:lang w:val="en-US"/>
        </w:rPr>
        <w:t xml:space="preserve">The </w:t>
      </w:r>
      <w:r>
        <w:rPr>
          <w:szCs w:val="24"/>
          <w:lang w:val="en-US"/>
        </w:rPr>
        <w:t>availability of</w:t>
      </w:r>
      <w:r w:rsidRPr="00F44136">
        <w:rPr>
          <w:szCs w:val="24"/>
          <w:lang w:val="en-US"/>
        </w:rPr>
        <w:t xml:space="preserve"> Council </w:t>
      </w:r>
      <w:r>
        <w:rPr>
          <w:szCs w:val="24"/>
          <w:lang w:val="en-US"/>
        </w:rPr>
        <w:t xml:space="preserve">allocated funds that served as </w:t>
      </w:r>
      <w:r w:rsidRPr="00F44136">
        <w:rPr>
          <w:szCs w:val="24"/>
          <w:lang w:val="en-US"/>
        </w:rPr>
        <w:t>seed fund</w:t>
      </w:r>
      <w:r>
        <w:rPr>
          <w:szCs w:val="24"/>
          <w:lang w:val="en-US"/>
        </w:rPr>
        <w:t xml:space="preserve">s facilitated </w:t>
      </w:r>
      <w:r w:rsidRPr="00F44136">
        <w:rPr>
          <w:szCs w:val="24"/>
          <w:lang w:val="en-US"/>
        </w:rPr>
        <w:t xml:space="preserve">ITU/BDT’s </w:t>
      </w:r>
      <w:r>
        <w:rPr>
          <w:szCs w:val="24"/>
          <w:lang w:val="en-US"/>
        </w:rPr>
        <w:t xml:space="preserve">effort to mobilize additional resources. </w:t>
      </w:r>
    </w:p>
    <w:p w14:paraId="1D09EC45" w14:textId="77777777" w:rsidR="00643110" w:rsidRPr="00F44136" w:rsidRDefault="00643110" w:rsidP="00643110">
      <w:pPr>
        <w:pStyle w:val="ListParagraph"/>
        <w:numPr>
          <w:ilvl w:val="0"/>
          <w:numId w:val="4"/>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szCs w:val="24"/>
          <w:lang w:val="en-US"/>
        </w:rPr>
      </w:pPr>
      <w:r>
        <w:rPr>
          <w:szCs w:val="24"/>
          <w:lang w:val="en-US"/>
        </w:rPr>
        <w:t>To cover all the regions, the guiding principle was to have ex</w:t>
      </w:r>
      <w:r w:rsidRPr="00F44136">
        <w:rPr>
          <w:szCs w:val="24"/>
          <w:lang w:val="en-US"/>
        </w:rPr>
        <w:t xml:space="preserve">ternal partners to </w:t>
      </w:r>
      <w:r>
        <w:rPr>
          <w:szCs w:val="24"/>
          <w:lang w:val="en-US"/>
        </w:rPr>
        <w:t>contribute</w:t>
      </w:r>
      <w:r w:rsidRPr="00F44136">
        <w:rPr>
          <w:szCs w:val="24"/>
          <w:lang w:val="en-US"/>
        </w:rPr>
        <w:t xml:space="preserve"> 50 per cent of the projects</w:t>
      </w:r>
      <w:r>
        <w:rPr>
          <w:szCs w:val="24"/>
          <w:lang w:val="en-US"/>
        </w:rPr>
        <w:t xml:space="preserve"> cost</w:t>
      </w:r>
      <w:r w:rsidRPr="00F44136">
        <w:rPr>
          <w:szCs w:val="24"/>
          <w:lang w:val="en-US"/>
        </w:rPr>
        <w:t xml:space="preserve">. </w:t>
      </w:r>
    </w:p>
    <w:p w14:paraId="20B9C2A6" w14:textId="77777777" w:rsidR="00643110" w:rsidRPr="00F44136" w:rsidRDefault="00643110" w:rsidP="00643110">
      <w:pPr>
        <w:pStyle w:val="ListParagraph"/>
        <w:numPr>
          <w:ilvl w:val="0"/>
          <w:numId w:val="4"/>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szCs w:val="24"/>
          <w:lang w:val="en-US"/>
        </w:rPr>
      </w:pPr>
      <w:r w:rsidRPr="00F44136">
        <w:rPr>
          <w:szCs w:val="24"/>
          <w:lang w:val="en-US"/>
        </w:rPr>
        <w:t xml:space="preserve">The implementation of regional initiatives adopted by WTDC-22 </w:t>
      </w:r>
      <w:r>
        <w:rPr>
          <w:szCs w:val="24"/>
          <w:lang w:val="en-US"/>
        </w:rPr>
        <w:t xml:space="preserve">that remain unbudgeted, </w:t>
      </w:r>
      <w:r w:rsidRPr="00F44136">
        <w:rPr>
          <w:szCs w:val="24"/>
          <w:lang w:val="en-US"/>
        </w:rPr>
        <w:t xml:space="preserve">will depend </w:t>
      </w:r>
      <w:r>
        <w:rPr>
          <w:szCs w:val="24"/>
          <w:lang w:val="en-US"/>
        </w:rPr>
        <w:t xml:space="preserve">on a specific budget being made available to finance the projects. </w:t>
      </w:r>
    </w:p>
    <w:p w14:paraId="116D1AE5" w14:textId="77777777" w:rsidR="00643110" w:rsidRPr="00701067" w:rsidRDefault="00643110" w:rsidP="00643110">
      <w:pPr>
        <w:pStyle w:val="ListParagraph"/>
        <w:numPr>
          <w:ilvl w:val="0"/>
          <w:numId w:val="4"/>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szCs w:val="24"/>
          <w:lang w:val="en-US"/>
        </w:rPr>
      </w:pPr>
      <w:r>
        <w:rPr>
          <w:szCs w:val="24"/>
          <w:lang w:val="en-US"/>
        </w:rPr>
        <w:t>Although the BDT is working hard to mobilize resources for projects, it should be noted that w</w:t>
      </w:r>
      <w:r w:rsidRPr="00701067">
        <w:rPr>
          <w:szCs w:val="24"/>
          <w:lang w:val="en-US"/>
        </w:rPr>
        <w:t xml:space="preserve">ithout </w:t>
      </w:r>
      <w:r>
        <w:rPr>
          <w:szCs w:val="24"/>
          <w:lang w:val="en-US"/>
        </w:rPr>
        <w:t xml:space="preserve">seed funds (allocation by Council) </w:t>
      </w:r>
      <w:r w:rsidRPr="00701067">
        <w:rPr>
          <w:szCs w:val="24"/>
          <w:lang w:val="en-US"/>
        </w:rPr>
        <w:t xml:space="preserve">for financing the adopted regional initiatives, there would be no guarantee that our resource mobilization efforts would bear fruit as donors determine the thematic topics that they want to finance </w:t>
      </w:r>
      <w:proofErr w:type="gramStart"/>
      <w:r w:rsidRPr="00701067">
        <w:rPr>
          <w:szCs w:val="24"/>
          <w:lang w:val="en-US"/>
        </w:rPr>
        <w:t>and also</w:t>
      </w:r>
      <w:proofErr w:type="gramEnd"/>
      <w:r w:rsidRPr="00701067">
        <w:rPr>
          <w:szCs w:val="24"/>
          <w:lang w:val="en-US"/>
        </w:rPr>
        <w:t xml:space="preserve"> reserve the right to pick priority regions and/or countries to benefit from their resources. </w:t>
      </w:r>
    </w:p>
    <w:p w14:paraId="16566EB5" w14:textId="299DB948" w:rsidR="00A514A4" w:rsidRPr="00F60B3D" w:rsidRDefault="00291F7D" w:rsidP="005A21CB">
      <w:pPr>
        <w:jc w:val="center"/>
      </w:pPr>
      <w:r>
        <w:t>_______________</w:t>
      </w:r>
    </w:p>
    <w:sectPr w:rsidR="00A514A4" w:rsidRPr="00F60B3D" w:rsidSect="00AD3606">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8210" w14:textId="77777777" w:rsidR="00786E31" w:rsidRDefault="00786E31">
      <w:r>
        <w:separator/>
      </w:r>
    </w:p>
  </w:endnote>
  <w:endnote w:type="continuationSeparator" w:id="0">
    <w:p w14:paraId="7EB0AD27" w14:textId="77777777" w:rsidR="00786E31" w:rsidRDefault="0078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5113A460" w:rsidR="00EE49E8" w:rsidRDefault="00EE49E8" w:rsidP="00EE49E8">
          <w:pPr>
            <w:pStyle w:val="Header"/>
            <w:jc w:val="left"/>
            <w:rPr>
              <w:noProof/>
            </w:rPr>
          </w:pPr>
          <w:r>
            <w:rPr>
              <w:noProof/>
            </w:rPr>
            <w:t xml:space="preserve">DPS </w:t>
          </w:r>
          <w:r w:rsidR="00291F7D">
            <w:rPr>
              <w:noProof/>
            </w:rPr>
            <w:t>52</w:t>
          </w:r>
          <w:r w:rsidR="000263EE">
            <w:rPr>
              <w:noProof/>
            </w:rPr>
            <w:t>5717</w:t>
          </w:r>
        </w:p>
      </w:tc>
      <w:tc>
        <w:tcPr>
          <w:tcW w:w="8261" w:type="dxa"/>
        </w:tcPr>
        <w:p w14:paraId="35709C74" w14:textId="2FBEC770" w:rsidR="00EE49E8" w:rsidRPr="00E06FD5" w:rsidRDefault="00EE49E8" w:rsidP="00A95438">
          <w:pPr>
            <w:pStyle w:val="Header"/>
            <w:tabs>
              <w:tab w:val="left" w:pos="6595"/>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64DD0">
            <w:rPr>
              <w:bCs/>
            </w:rPr>
            <w:t>26</w:t>
          </w:r>
          <w:r w:rsidR="00291F7D">
            <w:rPr>
              <w:bCs/>
            </w:rPr>
            <w:t>(Add.1)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9E01A9"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06630B33" w:rsidR="00EE49E8" w:rsidRPr="00E06FD5" w:rsidRDefault="00EE49E8" w:rsidP="00664DD0">
          <w:pPr>
            <w:pStyle w:val="Header"/>
            <w:tabs>
              <w:tab w:val="left" w:pos="6597"/>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64DD0">
            <w:rPr>
              <w:bCs/>
            </w:rPr>
            <w:t>26</w:t>
          </w:r>
          <w:r w:rsidR="006E587C">
            <w:rPr>
              <w:bCs/>
            </w:rPr>
            <w:t>(Add.1)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41B5" w14:textId="77777777" w:rsidR="00786E31" w:rsidRDefault="00786E31">
      <w:r>
        <w:t>____________________</w:t>
      </w:r>
    </w:p>
  </w:footnote>
  <w:footnote w:type="continuationSeparator" w:id="0">
    <w:p w14:paraId="1C35DAA9" w14:textId="77777777" w:rsidR="00786E31" w:rsidRDefault="00786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46DF1"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86D0B"/>
    <w:multiLevelType w:val="hybridMultilevel"/>
    <w:tmpl w:val="216C736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366321B0"/>
    <w:multiLevelType w:val="hybridMultilevel"/>
    <w:tmpl w:val="2942412A"/>
    <w:lvl w:ilvl="0" w:tplc="458449B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C7820FF"/>
    <w:multiLevelType w:val="hybridMultilevel"/>
    <w:tmpl w:val="42343DD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1481581292">
    <w:abstractNumId w:val="2"/>
  </w:num>
  <w:num w:numId="3" w16cid:durableId="918749946">
    <w:abstractNumId w:val="1"/>
  </w:num>
  <w:num w:numId="4" w16cid:durableId="1611427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263EE"/>
    <w:rsid w:val="00063016"/>
    <w:rsid w:val="00066795"/>
    <w:rsid w:val="00076AF6"/>
    <w:rsid w:val="000803CA"/>
    <w:rsid w:val="000836C8"/>
    <w:rsid w:val="00085CF2"/>
    <w:rsid w:val="000B1705"/>
    <w:rsid w:val="000D75B2"/>
    <w:rsid w:val="001121F5"/>
    <w:rsid w:val="001400DC"/>
    <w:rsid w:val="00140CE1"/>
    <w:rsid w:val="0017539C"/>
    <w:rsid w:val="00175AC2"/>
    <w:rsid w:val="0017609F"/>
    <w:rsid w:val="001A7D1D"/>
    <w:rsid w:val="001B51DD"/>
    <w:rsid w:val="001C4CE5"/>
    <w:rsid w:val="001C628E"/>
    <w:rsid w:val="001D55EA"/>
    <w:rsid w:val="001E0E35"/>
    <w:rsid w:val="001E0F7B"/>
    <w:rsid w:val="001E7AF5"/>
    <w:rsid w:val="002119FD"/>
    <w:rsid w:val="002130E0"/>
    <w:rsid w:val="00226DDE"/>
    <w:rsid w:val="00235E21"/>
    <w:rsid w:val="00264425"/>
    <w:rsid w:val="00265875"/>
    <w:rsid w:val="0026666F"/>
    <w:rsid w:val="0027303B"/>
    <w:rsid w:val="0028109B"/>
    <w:rsid w:val="00291F7D"/>
    <w:rsid w:val="002A2188"/>
    <w:rsid w:val="002B1F58"/>
    <w:rsid w:val="002C1C7A"/>
    <w:rsid w:val="002C54E2"/>
    <w:rsid w:val="0030160F"/>
    <w:rsid w:val="00320223"/>
    <w:rsid w:val="00322D0D"/>
    <w:rsid w:val="00361465"/>
    <w:rsid w:val="003877F5"/>
    <w:rsid w:val="003942D4"/>
    <w:rsid w:val="003958A8"/>
    <w:rsid w:val="003A2C8B"/>
    <w:rsid w:val="003C2533"/>
    <w:rsid w:val="003D5A7F"/>
    <w:rsid w:val="003E29A8"/>
    <w:rsid w:val="0040435A"/>
    <w:rsid w:val="00416A24"/>
    <w:rsid w:val="00431D9E"/>
    <w:rsid w:val="00433CE8"/>
    <w:rsid w:val="00434A5C"/>
    <w:rsid w:val="00441B71"/>
    <w:rsid w:val="00451A5D"/>
    <w:rsid w:val="004544D9"/>
    <w:rsid w:val="00472BAD"/>
    <w:rsid w:val="00484009"/>
    <w:rsid w:val="00490E72"/>
    <w:rsid w:val="00491157"/>
    <w:rsid w:val="004921C8"/>
    <w:rsid w:val="00495B0B"/>
    <w:rsid w:val="004A0A12"/>
    <w:rsid w:val="004A1B8B"/>
    <w:rsid w:val="004D1851"/>
    <w:rsid w:val="004D599D"/>
    <w:rsid w:val="004E2EA5"/>
    <w:rsid w:val="004E3AEB"/>
    <w:rsid w:val="0050223C"/>
    <w:rsid w:val="00512F24"/>
    <w:rsid w:val="005243FF"/>
    <w:rsid w:val="00564FBC"/>
    <w:rsid w:val="005800BC"/>
    <w:rsid w:val="00582442"/>
    <w:rsid w:val="005A21CB"/>
    <w:rsid w:val="005D38AF"/>
    <w:rsid w:val="005F3269"/>
    <w:rsid w:val="00623AE3"/>
    <w:rsid w:val="00643110"/>
    <w:rsid w:val="0064737F"/>
    <w:rsid w:val="006535F1"/>
    <w:rsid w:val="0065557D"/>
    <w:rsid w:val="00660D50"/>
    <w:rsid w:val="00662984"/>
    <w:rsid w:val="00663878"/>
    <w:rsid w:val="00664DD0"/>
    <w:rsid w:val="006716BB"/>
    <w:rsid w:val="006B1859"/>
    <w:rsid w:val="006B6680"/>
    <w:rsid w:val="006B6DCC"/>
    <w:rsid w:val="006E587C"/>
    <w:rsid w:val="00702DEF"/>
    <w:rsid w:val="007067DC"/>
    <w:rsid w:val="00706861"/>
    <w:rsid w:val="0075051B"/>
    <w:rsid w:val="00786E31"/>
    <w:rsid w:val="00793188"/>
    <w:rsid w:val="00794D34"/>
    <w:rsid w:val="007C6306"/>
    <w:rsid w:val="007D6108"/>
    <w:rsid w:val="00813E5E"/>
    <w:rsid w:val="0082105B"/>
    <w:rsid w:val="0083581B"/>
    <w:rsid w:val="00863874"/>
    <w:rsid w:val="00864AFF"/>
    <w:rsid w:val="00865925"/>
    <w:rsid w:val="008829DE"/>
    <w:rsid w:val="008B4A6A"/>
    <w:rsid w:val="008C7E27"/>
    <w:rsid w:val="008E0C62"/>
    <w:rsid w:val="008F7448"/>
    <w:rsid w:val="0090147A"/>
    <w:rsid w:val="009173EF"/>
    <w:rsid w:val="00932906"/>
    <w:rsid w:val="00961B0B"/>
    <w:rsid w:val="009B38C3"/>
    <w:rsid w:val="009E01A9"/>
    <w:rsid w:val="009E17BD"/>
    <w:rsid w:val="009E485A"/>
    <w:rsid w:val="00A04CEC"/>
    <w:rsid w:val="00A27F92"/>
    <w:rsid w:val="00A32257"/>
    <w:rsid w:val="00A36D20"/>
    <w:rsid w:val="00A4026F"/>
    <w:rsid w:val="00A44716"/>
    <w:rsid w:val="00A514A4"/>
    <w:rsid w:val="00A54171"/>
    <w:rsid w:val="00A55622"/>
    <w:rsid w:val="00A83502"/>
    <w:rsid w:val="00A844F1"/>
    <w:rsid w:val="00A95438"/>
    <w:rsid w:val="00AB62B2"/>
    <w:rsid w:val="00AD15B3"/>
    <w:rsid w:val="00AD3606"/>
    <w:rsid w:val="00AD4A3D"/>
    <w:rsid w:val="00AF6E49"/>
    <w:rsid w:val="00B04A67"/>
    <w:rsid w:val="00B0583C"/>
    <w:rsid w:val="00B40A81"/>
    <w:rsid w:val="00B44910"/>
    <w:rsid w:val="00B72267"/>
    <w:rsid w:val="00B76EB6"/>
    <w:rsid w:val="00B7737B"/>
    <w:rsid w:val="00B824C8"/>
    <w:rsid w:val="00B84B9D"/>
    <w:rsid w:val="00B940E6"/>
    <w:rsid w:val="00BC251A"/>
    <w:rsid w:val="00BD032B"/>
    <w:rsid w:val="00BE2640"/>
    <w:rsid w:val="00C01189"/>
    <w:rsid w:val="00C374DE"/>
    <w:rsid w:val="00C401B4"/>
    <w:rsid w:val="00C47AD4"/>
    <w:rsid w:val="00C52D81"/>
    <w:rsid w:val="00C55198"/>
    <w:rsid w:val="00CA6393"/>
    <w:rsid w:val="00CB18FF"/>
    <w:rsid w:val="00CB6A93"/>
    <w:rsid w:val="00CD0C08"/>
    <w:rsid w:val="00CE03FB"/>
    <w:rsid w:val="00CE433C"/>
    <w:rsid w:val="00CF0161"/>
    <w:rsid w:val="00CF33F3"/>
    <w:rsid w:val="00D06183"/>
    <w:rsid w:val="00D22C42"/>
    <w:rsid w:val="00D65041"/>
    <w:rsid w:val="00DB1936"/>
    <w:rsid w:val="00DB384B"/>
    <w:rsid w:val="00DF0189"/>
    <w:rsid w:val="00DF1897"/>
    <w:rsid w:val="00E06FD5"/>
    <w:rsid w:val="00E10E80"/>
    <w:rsid w:val="00E12471"/>
    <w:rsid w:val="00E124F0"/>
    <w:rsid w:val="00E60F04"/>
    <w:rsid w:val="00E65B24"/>
    <w:rsid w:val="00E854E4"/>
    <w:rsid w:val="00E86DBF"/>
    <w:rsid w:val="00EB0D6F"/>
    <w:rsid w:val="00EB2232"/>
    <w:rsid w:val="00EC5337"/>
    <w:rsid w:val="00EE49E8"/>
    <w:rsid w:val="00F0457B"/>
    <w:rsid w:val="00F101D6"/>
    <w:rsid w:val="00F16BAB"/>
    <w:rsid w:val="00F2150A"/>
    <w:rsid w:val="00F231D8"/>
    <w:rsid w:val="00F44C00"/>
    <w:rsid w:val="00F46C5F"/>
    <w:rsid w:val="00F60B3D"/>
    <w:rsid w:val="00F632C0"/>
    <w:rsid w:val="00F94A63"/>
    <w:rsid w:val="00F96297"/>
    <w:rsid w:val="00FA1C28"/>
    <w:rsid w:val="00FB1279"/>
    <w:rsid w:val="00FB6B76"/>
    <w:rsid w:val="00FB7596"/>
    <w:rsid w:val="00FD03F4"/>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829DE"/>
    <w:pPr>
      <w:framePr w:hSpace="180" w:wrap="around" w:vAnchor="page" w:hAnchor="page" w:x="1821" w:y="2317"/>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F60B3D"/>
    <w:pPr>
      <w:ind w:left="720"/>
      <w:contextualSpacing/>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link w:val="ListParagraph"/>
    <w:uiPriority w:val="34"/>
    <w:locked/>
    <w:rsid w:val="00F60B3D"/>
    <w:rPr>
      <w:rFonts w:ascii="Calibri" w:hAnsi="Calibri"/>
      <w:sz w:val="24"/>
      <w:lang w:val="en-GB" w:eastAsia="en-US"/>
    </w:rPr>
  </w:style>
  <w:style w:type="character" w:styleId="CommentReference">
    <w:name w:val="annotation reference"/>
    <w:basedOn w:val="DefaultParagraphFont"/>
    <w:semiHidden/>
    <w:unhideWhenUsed/>
    <w:rsid w:val="00F60B3D"/>
    <w:rPr>
      <w:sz w:val="16"/>
      <w:szCs w:val="16"/>
    </w:rPr>
  </w:style>
  <w:style w:type="paragraph" w:styleId="CommentText">
    <w:name w:val="annotation text"/>
    <w:basedOn w:val="Normal"/>
    <w:link w:val="CommentTextChar"/>
    <w:unhideWhenUsed/>
    <w:rsid w:val="00F60B3D"/>
    <w:rPr>
      <w:sz w:val="20"/>
    </w:rPr>
  </w:style>
  <w:style w:type="character" w:customStyle="1" w:styleId="CommentTextChar">
    <w:name w:val="Comment Text Char"/>
    <w:basedOn w:val="DefaultParagraphFont"/>
    <w:link w:val="CommentText"/>
    <w:rsid w:val="00F60B3D"/>
    <w:rPr>
      <w:rFonts w:ascii="Calibri" w:hAnsi="Calibri"/>
      <w:lang w:val="en-GB" w:eastAsia="en-US"/>
    </w:rPr>
  </w:style>
  <w:style w:type="paragraph" w:styleId="CommentSubject">
    <w:name w:val="annotation subject"/>
    <w:basedOn w:val="CommentText"/>
    <w:next w:val="CommentText"/>
    <w:link w:val="CommentSubjectChar"/>
    <w:semiHidden/>
    <w:unhideWhenUsed/>
    <w:rsid w:val="00F60B3D"/>
    <w:rPr>
      <w:b/>
      <w:bCs/>
    </w:rPr>
  </w:style>
  <w:style w:type="character" w:customStyle="1" w:styleId="CommentSubjectChar">
    <w:name w:val="Comment Subject Char"/>
    <w:basedOn w:val="CommentTextChar"/>
    <w:link w:val="CommentSubject"/>
    <w:semiHidden/>
    <w:rsid w:val="00F60B3D"/>
    <w:rPr>
      <w:rFonts w:ascii="Calibri" w:hAnsi="Calibri"/>
      <w:b/>
      <w:bCs/>
      <w:lang w:val="en-GB" w:eastAsia="en-US"/>
    </w:rPr>
  </w:style>
  <w:style w:type="paragraph" w:styleId="Revision">
    <w:name w:val="Revision"/>
    <w:hidden/>
    <w:uiPriority w:val="99"/>
    <w:semiHidden/>
    <w:rsid w:val="006E587C"/>
    <w:rPr>
      <w:rFonts w:ascii="Calibri" w:hAnsi="Calibri"/>
      <w:sz w:val="24"/>
      <w:lang w:val="en-GB" w:eastAsia="en-US"/>
    </w:rPr>
  </w:style>
  <w:style w:type="character" w:styleId="UnresolvedMention">
    <w:name w:val="Unresolved Mention"/>
    <w:basedOn w:val="DefaultParagraphFont"/>
    <w:uiPriority w:val="99"/>
    <w:semiHidden/>
    <w:unhideWhenUsed/>
    <w:rsid w:val="006E587C"/>
    <w:rPr>
      <w:color w:val="605E5C"/>
      <w:shd w:val="clear" w:color="auto" w:fill="E1DFDD"/>
    </w:rPr>
  </w:style>
  <w:style w:type="character" w:customStyle="1" w:styleId="ui-provider">
    <w:name w:val="ui-provider"/>
    <w:basedOn w:val="DefaultParagraphFont"/>
    <w:rsid w:val="0064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publications/ITU-D/pages/publications.aspx?parent=D-TDC-WTDC-2022&amp;media=electroni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D22-TDAG30-230619-TD-0005/en" TargetMode="External"/><Relationship Id="rId17" Type="http://schemas.openxmlformats.org/officeDocument/2006/relationships/hyperlink" Target="https://www.itu.int/dms_pub/itu-d/md/22/tdag30/c/D22-TDAG30-C-0025!N1!MSW-E.docx" TargetMode="External"/><Relationship Id="rId2" Type="http://schemas.openxmlformats.org/officeDocument/2006/relationships/customXml" Target="../customXml/item2.xml"/><Relationship Id="rId16" Type="http://schemas.openxmlformats.org/officeDocument/2006/relationships/hyperlink" Target="https://www.itu.int/md/S23-CL-C-0026/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D22-TDAG30-C-0025/en" TargetMode="External"/><Relationship Id="rId5" Type="http://schemas.openxmlformats.org/officeDocument/2006/relationships/numbering" Target="numbering.xml"/><Relationship Id="rId15" Type="http://schemas.openxmlformats.org/officeDocument/2006/relationships/hyperlink" Target="https://www.itu.int/md/D22-TDAG30-C-0025/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25-E.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15" ma:contentTypeDescription="Create a new document." ma:contentTypeScope="" ma:versionID="26869953965e74d8c72a130e6b8446f8">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9b33b41861c4320a5d14b915174f42e"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549f36-43cc-4bf4-80e3-1ee687645b69}" ma:internalName="TaxCatchAll" ma:showField="CatchAllData" ma:web="0f208774-d51b-4573-a67b-89dea6922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208774-d51b-4573-a67b-89dea6922a77" xsi:nil="true"/>
    <lcf76f155ced4ddcb4097134ff3c332f xmlns="c90385a7-5e94-4852-9398-ec888c07ca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91E72E1F-254D-45C2-8A0D-E694D0AAC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47F4A-233C-4EBA-9BF5-688BF821B39B}">
  <ds:schemaRefs>
    <ds:schemaRef ds:uri="http://schemas.microsoft.com/sharepoint/v3/contenttype/forms"/>
  </ds:schemaRefs>
</ds:datastoreItem>
</file>

<file path=customXml/itemProps4.xml><?xml version="1.0" encoding="utf-8"?>
<ds:datastoreItem xmlns:ds="http://schemas.openxmlformats.org/officeDocument/2006/customXml" ds:itemID="{3B401476-9D90-4674-A1EB-BB2559EA244B}">
  <ds:schemaRefs>
    <ds:schemaRef ds:uri="http://schemas.microsoft.com/office/2006/metadata/properties"/>
    <ds:schemaRef ds:uri="http://purl.org/dc/terms/"/>
    <ds:schemaRef ds:uri="0f208774-d51b-4573-a67b-89dea6922a77"/>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c90385a7-5e94-4852-9398-ec888c07ca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Financial Implications of the Regional Initiatives Approved by WTDC-22</vt:lpstr>
    </vt:vector>
  </TitlesOfParts>
  <Manager>General Secretariat - Pool</Manager>
  <Company>International Telecommunication Union (ITU)</Company>
  <LinksUpToDate>false</LinksUpToDate>
  <CharactersWithSpaces>4202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Implications of the Regional Initiatives Approved by WTDC-22</dc:title>
  <dc:subject>Council 2023</dc:subject>
  <dc:creator>Pluchon, Beatrice</dc:creator>
  <cp:keywords>C2023, C23, Council-23</cp:keywords>
  <dc:description/>
  <cp:lastModifiedBy>Brouard, Ricarda</cp:lastModifiedBy>
  <cp:revision>3</cp:revision>
  <cp:lastPrinted>2000-07-18T13:30:00Z</cp:lastPrinted>
  <dcterms:created xsi:type="dcterms:W3CDTF">2023-07-10T08:29:00Z</dcterms:created>
  <dcterms:modified xsi:type="dcterms:W3CDTF">2023-07-10T08:29:00Z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0x010100B2338E4BF82AF64C8975C65DD52FAE3E</vt:lpwstr>
  </property>
</Properties>
</file>