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20C2" w14:paraId="1591300A" w14:textId="77777777" w:rsidTr="00AD3606">
        <w:trPr>
          <w:cantSplit/>
          <w:trHeight w:val="23"/>
        </w:trPr>
        <w:tc>
          <w:tcPr>
            <w:tcW w:w="3969" w:type="dxa"/>
            <w:vMerge w:val="restart"/>
            <w:tcMar>
              <w:left w:w="0" w:type="dxa"/>
            </w:tcMar>
          </w:tcPr>
          <w:p w14:paraId="4F2DE73B" w14:textId="61BA6D17" w:rsidR="00AD3606" w:rsidRPr="00C020C2" w:rsidRDefault="00AD3606" w:rsidP="00472BAD">
            <w:pPr>
              <w:tabs>
                <w:tab w:val="left" w:pos="851"/>
              </w:tabs>
              <w:spacing w:before="0" w:line="240" w:lineRule="atLeast"/>
              <w:rPr>
                <w:b/>
              </w:rPr>
            </w:pPr>
            <w:bookmarkStart w:id="0" w:name="dmeeting" w:colFirst="0" w:colLast="0"/>
            <w:bookmarkStart w:id="1" w:name="dnum" w:colFirst="1" w:colLast="1"/>
            <w:r w:rsidRPr="00C020C2">
              <w:rPr>
                <w:b/>
              </w:rPr>
              <w:t xml:space="preserve">Agenda item: </w:t>
            </w:r>
            <w:r w:rsidR="0011467A" w:rsidRPr="00C020C2">
              <w:rPr>
                <w:b/>
              </w:rPr>
              <w:t xml:space="preserve">PL </w:t>
            </w:r>
            <w:r w:rsidR="00DE38D4" w:rsidRPr="00C020C2">
              <w:rPr>
                <w:b/>
              </w:rPr>
              <w:t>1</w:t>
            </w:r>
          </w:p>
        </w:tc>
        <w:tc>
          <w:tcPr>
            <w:tcW w:w="5245" w:type="dxa"/>
          </w:tcPr>
          <w:p w14:paraId="2F0CB53A" w14:textId="1E283A42" w:rsidR="00AD3606" w:rsidRPr="00C020C2" w:rsidRDefault="00AD3606" w:rsidP="00472BAD">
            <w:pPr>
              <w:tabs>
                <w:tab w:val="left" w:pos="851"/>
              </w:tabs>
              <w:spacing w:before="0" w:line="240" w:lineRule="atLeast"/>
              <w:jc w:val="right"/>
              <w:rPr>
                <w:b/>
              </w:rPr>
            </w:pPr>
            <w:r w:rsidRPr="00C020C2">
              <w:rPr>
                <w:b/>
              </w:rPr>
              <w:t>Document C23/</w:t>
            </w:r>
            <w:r w:rsidR="0011467A" w:rsidRPr="00C020C2">
              <w:rPr>
                <w:b/>
              </w:rPr>
              <w:t>35</w:t>
            </w:r>
            <w:r w:rsidRPr="00C020C2">
              <w:rPr>
                <w:b/>
              </w:rPr>
              <w:t>-E</w:t>
            </w:r>
          </w:p>
        </w:tc>
      </w:tr>
      <w:tr w:rsidR="00AD3606" w:rsidRPr="00C020C2" w14:paraId="777833CB" w14:textId="77777777" w:rsidTr="00AD3606">
        <w:trPr>
          <w:cantSplit/>
        </w:trPr>
        <w:tc>
          <w:tcPr>
            <w:tcW w:w="3969" w:type="dxa"/>
            <w:vMerge/>
          </w:tcPr>
          <w:p w14:paraId="7DECAB6C" w14:textId="77777777" w:rsidR="00AD3606" w:rsidRPr="00C020C2"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11D0E79E" w:rsidR="00AD3606" w:rsidRPr="00C020C2" w:rsidRDefault="00B77967" w:rsidP="00AD3606">
            <w:pPr>
              <w:tabs>
                <w:tab w:val="left" w:pos="851"/>
              </w:tabs>
              <w:spacing w:before="0"/>
              <w:jc w:val="right"/>
              <w:rPr>
                <w:b/>
              </w:rPr>
            </w:pPr>
            <w:r w:rsidRPr="00C020C2">
              <w:rPr>
                <w:b/>
              </w:rPr>
              <w:t xml:space="preserve">12 </w:t>
            </w:r>
            <w:r w:rsidR="00223E67" w:rsidRPr="00C020C2">
              <w:rPr>
                <w:b/>
              </w:rPr>
              <w:t>June</w:t>
            </w:r>
            <w:r w:rsidR="00AD3606" w:rsidRPr="00C020C2">
              <w:rPr>
                <w:b/>
              </w:rPr>
              <w:t xml:space="preserve"> 2023</w:t>
            </w:r>
          </w:p>
        </w:tc>
      </w:tr>
      <w:tr w:rsidR="00AD3606" w:rsidRPr="00C020C2" w14:paraId="082C2282" w14:textId="77777777" w:rsidTr="00AD3606">
        <w:trPr>
          <w:cantSplit/>
          <w:trHeight w:val="23"/>
        </w:trPr>
        <w:tc>
          <w:tcPr>
            <w:tcW w:w="3969" w:type="dxa"/>
            <w:vMerge/>
          </w:tcPr>
          <w:p w14:paraId="5967F199" w14:textId="77777777" w:rsidR="00AD3606" w:rsidRPr="00C020C2"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C020C2" w:rsidRDefault="00AD3606" w:rsidP="00AD3606">
            <w:pPr>
              <w:tabs>
                <w:tab w:val="left" w:pos="851"/>
              </w:tabs>
              <w:spacing w:before="0" w:line="240" w:lineRule="atLeast"/>
              <w:jc w:val="right"/>
              <w:rPr>
                <w:b/>
              </w:rPr>
            </w:pPr>
            <w:r w:rsidRPr="00C020C2">
              <w:rPr>
                <w:b/>
              </w:rPr>
              <w:t>Original: English</w:t>
            </w:r>
          </w:p>
        </w:tc>
      </w:tr>
      <w:tr w:rsidR="00472BAD" w:rsidRPr="00C020C2" w14:paraId="3C9C7706" w14:textId="77777777" w:rsidTr="00AD3606">
        <w:trPr>
          <w:cantSplit/>
          <w:trHeight w:val="23"/>
        </w:trPr>
        <w:tc>
          <w:tcPr>
            <w:tcW w:w="3969" w:type="dxa"/>
          </w:tcPr>
          <w:p w14:paraId="20349897" w14:textId="77777777" w:rsidR="00472BAD" w:rsidRPr="00C020C2" w:rsidRDefault="00472BAD" w:rsidP="00AD3606">
            <w:pPr>
              <w:tabs>
                <w:tab w:val="left" w:pos="851"/>
              </w:tabs>
              <w:spacing w:line="240" w:lineRule="atLeast"/>
              <w:rPr>
                <w:b/>
              </w:rPr>
            </w:pPr>
          </w:p>
        </w:tc>
        <w:tc>
          <w:tcPr>
            <w:tcW w:w="5245" w:type="dxa"/>
          </w:tcPr>
          <w:p w14:paraId="1CCE97A6" w14:textId="77777777" w:rsidR="00472BAD" w:rsidRPr="00C020C2" w:rsidRDefault="00472BAD" w:rsidP="00AD3606">
            <w:pPr>
              <w:tabs>
                <w:tab w:val="left" w:pos="851"/>
              </w:tabs>
              <w:spacing w:before="0" w:line="240" w:lineRule="atLeast"/>
              <w:jc w:val="right"/>
              <w:rPr>
                <w:b/>
              </w:rPr>
            </w:pPr>
          </w:p>
        </w:tc>
      </w:tr>
      <w:tr w:rsidR="00AD3606" w:rsidRPr="00C020C2" w14:paraId="5BEAAFE0" w14:textId="77777777" w:rsidTr="00AD3606">
        <w:trPr>
          <w:cantSplit/>
        </w:trPr>
        <w:tc>
          <w:tcPr>
            <w:tcW w:w="9214" w:type="dxa"/>
            <w:gridSpan w:val="2"/>
            <w:tcMar>
              <w:left w:w="0" w:type="dxa"/>
            </w:tcMar>
          </w:tcPr>
          <w:p w14:paraId="598EF21A" w14:textId="77777777" w:rsidR="00AD3606" w:rsidRPr="00C020C2" w:rsidRDefault="00AD3606" w:rsidP="00AD3606">
            <w:pPr>
              <w:pStyle w:val="Source"/>
              <w:framePr w:hSpace="0" w:wrap="auto" w:vAnchor="margin" w:hAnchor="text" w:yAlign="inline"/>
            </w:pPr>
            <w:bookmarkStart w:id="4" w:name="dsource" w:colFirst="0" w:colLast="0"/>
            <w:bookmarkEnd w:id="3"/>
            <w:r w:rsidRPr="00C020C2">
              <w:t>Report by the Secretary-General</w:t>
            </w:r>
          </w:p>
        </w:tc>
      </w:tr>
      <w:tr w:rsidR="00AD3606" w:rsidRPr="00C020C2" w14:paraId="62B9C291" w14:textId="77777777" w:rsidTr="00AD3606">
        <w:trPr>
          <w:cantSplit/>
        </w:trPr>
        <w:tc>
          <w:tcPr>
            <w:tcW w:w="9214" w:type="dxa"/>
            <w:gridSpan w:val="2"/>
            <w:tcMar>
              <w:left w:w="0" w:type="dxa"/>
            </w:tcMar>
          </w:tcPr>
          <w:p w14:paraId="556A1BCF" w14:textId="5EDA80E4" w:rsidR="00AD3606" w:rsidRPr="00C020C2" w:rsidRDefault="0011467A" w:rsidP="0011467A">
            <w:pPr>
              <w:pStyle w:val="Subtitle1"/>
              <w:framePr w:hSpace="0" w:wrap="auto" w:hAnchor="text" w:xAlign="left" w:yAlign="inline"/>
            </w:pPr>
            <w:bookmarkStart w:id="5" w:name="dtitle1" w:colFirst="0" w:colLast="0"/>
            <w:bookmarkEnd w:id="4"/>
            <w:r w:rsidRPr="00C020C2">
              <w:t>REPORT ON THE IMPLEMENTATION OF THE STRATEGIC PLAN AND THE ACTIVITIES OF THE UNION, JULY 2022 – APRIL 2023</w:t>
            </w:r>
          </w:p>
        </w:tc>
      </w:tr>
      <w:tr w:rsidR="00AD3606" w:rsidRPr="00C020C2"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1069BF47" w:rsidR="00AD3606" w:rsidRPr="00C020C2" w:rsidRDefault="00F16BAB" w:rsidP="00F16BAB">
            <w:pPr>
              <w:spacing w:before="160"/>
              <w:rPr>
                <w:b/>
                <w:bCs/>
                <w:sz w:val="26"/>
                <w:szCs w:val="26"/>
              </w:rPr>
            </w:pPr>
            <w:r w:rsidRPr="00C020C2">
              <w:rPr>
                <w:b/>
                <w:bCs/>
                <w:sz w:val="26"/>
                <w:szCs w:val="26"/>
              </w:rPr>
              <w:t xml:space="preserve">Purpose </w:t>
            </w:r>
          </w:p>
          <w:p w14:paraId="01EEEAC5" w14:textId="56396727" w:rsidR="00AD3606" w:rsidRPr="00C020C2" w:rsidRDefault="0011467A" w:rsidP="00F16BAB">
            <w:r w:rsidRPr="00C020C2">
              <w:t>Report on the implementation of the Strategic Plan for the Union 2019-2023 corresponding to the period July 2022 to April 2023</w:t>
            </w:r>
          </w:p>
          <w:p w14:paraId="45B1495A" w14:textId="77777777" w:rsidR="00AD3606" w:rsidRPr="00C020C2" w:rsidRDefault="00AD3606" w:rsidP="00F16BAB">
            <w:pPr>
              <w:spacing w:before="160"/>
              <w:rPr>
                <w:b/>
                <w:bCs/>
                <w:sz w:val="26"/>
                <w:szCs w:val="26"/>
              </w:rPr>
            </w:pPr>
            <w:r w:rsidRPr="00C020C2">
              <w:rPr>
                <w:b/>
                <w:bCs/>
                <w:sz w:val="26"/>
                <w:szCs w:val="26"/>
              </w:rPr>
              <w:t>Action required</w:t>
            </w:r>
            <w:r w:rsidR="00F16BAB" w:rsidRPr="00C020C2">
              <w:rPr>
                <w:b/>
                <w:bCs/>
                <w:sz w:val="26"/>
                <w:szCs w:val="26"/>
              </w:rPr>
              <w:t xml:space="preserve"> by the Council</w:t>
            </w:r>
          </w:p>
          <w:p w14:paraId="3D57EDF8" w14:textId="73DD2EC8" w:rsidR="00AD3606" w:rsidRPr="00C020C2" w:rsidRDefault="00DE38D4" w:rsidP="00AD3606">
            <w:r w:rsidRPr="00C020C2">
              <w:t xml:space="preserve">Council is invited </w:t>
            </w:r>
            <w:r w:rsidRPr="00C020C2">
              <w:rPr>
                <w:b/>
                <w:bCs/>
              </w:rPr>
              <w:t>to a</w:t>
            </w:r>
            <w:r w:rsidR="0011467A" w:rsidRPr="00C020C2">
              <w:rPr>
                <w:b/>
                <w:bCs/>
              </w:rPr>
              <w:t>pprove</w:t>
            </w:r>
            <w:r w:rsidR="0011467A" w:rsidRPr="00C020C2">
              <w:t xml:space="preserve"> the report</w:t>
            </w:r>
            <w:r w:rsidRPr="00C020C2">
              <w:t>.</w:t>
            </w:r>
          </w:p>
          <w:p w14:paraId="71511FA1" w14:textId="1F544385" w:rsidR="00F16BAB" w:rsidRPr="00C020C2" w:rsidRDefault="00F16BAB" w:rsidP="00F16BAB">
            <w:pPr>
              <w:spacing w:before="160"/>
              <w:rPr>
                <w:b/>
                <w:bCs/>
                <w:sz w:val="26"/>
                <w:szCs w:val="26"/>
              </w:rPr>
            </w:pPr>
            <w:r w:rsidRPr="00C020C2">
              <w:rPr>
                <w:b/>
                <w:bCs/>
                <w:sz w:val="26"/>
                <w:szCs w:val="26"/>
              </w:rPr>
              <w:t>Relevant link</w:t>
            </w:r>
            <w:r w:rsidR="00A54171" w:rsidRPr="00C020C2">
              <w:rPr>
                <w:b/>
                <w:bCs/>
                <w:sz w:val="26"/>
                <w:szCs w:val="26"/>
              </w:rPr>
              <w:t>(s)</w:t>
            </w:r>
            <w:r w:rsidRPr="00C020C2">
              <w:rPr>
                <w:b/>
                <w:bCs/>
                <w:sz w:val="26"/>
                <w:szCs w:val="26"/>
              </w:rPr>
              <w:t xml:space="preserve"> with the Strategic Plan</w:t>
            </w:r>
          </w:p>
          <w:p w14:paraId="503749D7" w14:textId="2A5E6CA9" w:rsidR="00F16BAB" w:rsidRPr="00C020C2" w:rsidRDefault="0011467A" w:rsidP="00F16BAB">
            <w:r w:rsidRPr="00C020C2">
              <w:t xml:space="preserve">As instructed by </w:t>
            </w:r>
            <w:r w:rsidR="00DE38D4" w:rsidRPr="00C020C2">
              <w:t>Resolution</w:t>
            </w:r>
            <w:r w:rsidRPr="00C020C2">
              <w:t xml:space="preserve"> 71</w:t>
            </w:r>
            <w:r w:rsidR="00DE38D4" w:rsidRPr="00C020C2">
              <w:t xml:space="preserve"> (Rev. Bucharest, 2022) of the Plenipotentiary Conference</w:t>
            </w:r>
            <w:r w:rsidRPr="00C020C2">
              <w:t xml:space="preserve">, this is the annual report to Council on the implementation of the </w:t>
            </w:r>
            <w:r w:rsidR="00DE38D4" w:rsidRPr="00C020C2">
              <w:t>strategic plan</w:t>
            </w:r>
            <w:r w:rsidRPr="00C020C2">
              <w:t xml:space="preserve"> and activities of the Union (combining the requirement by No. 102 of the Convention, i.e. an annual activities report; and by No. 61 of the Convention, i.e. a report on the implementation of the strategic plan)</w:t>
            </w:r>
          </w:p>
          <w:p w14:paraId="74189BBD" w14:textId="0BE1E25B" w:rsidR="00F16BAB" w:rsidRPr="00C020C2" w:rsidRDefault="00F16BAB" w:rsidP="00F16BAB">
            <w:pPr>
              <w:spacing w:before="160"/>
              <w:rPr>
                <w:b/>
                <w:bCs/>
                <w:sz w:val="26"/>
                <w:szCs w:val="26"/>
              </w:rPr>
            </w:pPr>
            <w:r w:rsidRPr="00C020C2">
              <w:rPr>
                <w:b/>
                <w:bCs/>
                <w:sz w:val="26"/>
                <w:szCs w:val="26"/>
              </w:rPr>
              <w:t>Financial implications</w:t>
            </w:r>
          </w:p>
          <w:p w14:paraId="6F1B8B4E" w14:textId="77777777" w:rsidR="00AD3606" w:rsidRPr="00C020C2" w:rsidRDefault="00AD3606" w:rsidP="00F16BAB">
            <w:pPr>
              <w:spacing w:before="160"/>
              <w:rPr>
                <w:caps/>
                <w:sz w:val="22"/>
              </w:rPr>
            </w:pPr>
            <w:r w:rsidRPr="00C020C2">
              <w:rPr>
                <w:sz w:val="22"/>
              </w:rPr>
              <w:t>__________________</w:t>
            </w:r>
          </w:p>
          <w:p w14:paraId="0EBC340A" w14:textId="77777777" w:rsidR="00AD3606" w:rsidRPr="00C020C2" w:rsidRDefault="00AD3606" w:rsidP="00F16BAB">
            <w:pPr>
              <w:spacing w:before="160"/>
              <w:rPr>
                <w:b/>
                <w:bCs/>
                <w:sz w:val="26"/>
                <w:szCs w:val="26"/>
              </w:rPr>
            </w:pPr>
            <w:r w:rsidRPr="00C020C2">
              <w:rPr>
                <w:b/>
                <w:bCs/>
                <w:sz w:val="26"/>
                <w:szCs w:val="26"/>
              </w:rPr>
              <w:t>References</w:t>
            </w:r>
          </w:p>
          <w:p w14:paraId="65250B1E" w14:textId="60CB10FF" w:rsidR="00AD3606" w:rsidRPr="00C020C2" w:rsidRDefault="00C020C2" w:rsidP="00F16BAB">
            <w:pPr>
              <w:spacing w:after="160"/>
              <w:rPr>
                <w:i/>
              </w:rPr>
            </w:pPr>
            <w:hyperlink r:id="rId11" w:history="1">
              <w:r w:rsidR="0011467A" w:rsidRPr="00C020C2">
                <w:rPr>
                  <w:rStyle w:val="Hyperlink"/>
                  <w:i/>
                </w:rPr>
                <w:t>Resolutions 71</w:t>
              </w:r>
            </w:hyperlink>
            <w:r w:rsidR="00DE38D4" w:rsidRPr="00C020C2">
              <w:rPr>
                <w:i/>
              </w:rPr>
              <w:t xml:space="preserve"> (Rev. Bucharest, 2022) of the Plenipotentiary Conference</w:t>
            </w:r>
            <w:r w:rsidR="0011467A" w:rsidRPr="00C020C2">
              <w:rPr>
                <w:i/>
              </w:rPr>
              <w:t xml:space="preserve">, </w:t>
            </w:r>
            <w:hyperlink r:id="rId12" w:history="1">
              <w:r w:rsidR="00DE38D4" w:rsidRPr="00C020C2">
                <w:rPr>
                  <w:rStyle w:val="Hyperlink"/>
                  <w:i/>
                </w:rPr>
                <w:t xml:space="preserve">Resolution </w:t>
              </w:r>
              <w:r w:rsidR="0011467A" w:rsidRPr="00C020C2">
                <w:rPr>
                  <w:rStyle w:val="Hyperlink"/>
                  <w:i/>
                </w:rPr>
                <w:t>151</w:t>
              </w:r>
            </w:hyperlink>
            <w:r w:rsidR="00DE38D4" w:rsidRPr="00C020C2">
              <w:rPr>
                <w:i/>
              </w:rPr>
              <w:t>(Rev. Bucharest, 2022) of the Plenipotentiary Conference,</w:t>
            </w:r>
            <w:r w:rsidR="0011467A" w:rsidRPr="00C020C2">
              <w:rPr>
                <w:i/>
              </w:rPr>
              <w:t xml:space="preserve"> </w:t>
            </w:r>
            <w:hyperlink r:id="rId13" w:history="1">
              <w:r w:rsidR="00DE38D4" w:rsidRPr="00C020C2">
                <w:rPr>
                  <w:rStyle w:val="Hyperlink"/>
                  <w:i/>
                </w:rPr>
                <w:t xml:space="preserve">Resolution </w:t>
              </w:r>
              <w:r w:rsidR="0011467A" w:rsidRPr="00C020C2">
                <w:rPr>
                  <w:rStyle w:val="Hyperlink"/>
                  <w:i/>
                </w:rPr>
                <w:t>200</w:t>
              </w:r>
            </w:hyperlink>
            <w:r w:rsidR="00DE38D4" w:rsidRPr="00C020C2">
              <w:rPr>
                <w:i/>
              </w:rPr>
              <w:t xml:space="preserve"> (Rev. Bucharest, 2022) of the Plenipotentiary Conference</w:t>
            </w:r>
            <w:r w:rsidR="0011467A" w:rsidRPr="00C020C2">
              <w:rPr>
                <w:i/>
              </w:rPr>
              <w:t xml:space="preserve">; and </w:t>
            </w:r>
            <w:hyperlink r:id="rId14" w:history="1">
              <w:r w:rsidR="0011467A" w:rsidRPr="00C020C2">
                <w:rPr>
                  <w:rStyle w:val="Hyperlink"/>
                  <w:i/>
                </w:rPr>
                <w:t>CV102 and 61</w:t>
              </w:r>
            </w:hyperlink>
          </w:p>
        </w:tc>
      </w:tr>
      <w:bookmarkEnd w:id="5"/>
    </w:tbl>
    <w:p w14:paraId="7FE52F59" w14:textId="77777777" w:rsidR="0090147A" w:rsidRPr="00C020C2"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20C2">
        <w:br w:type="page"/>
      </w:r>
    </w:p>
    <w:p w14:paraId="154D873E" w14:textId="77777777" w:rsidR="0011467A" w:rsidRPr="00C020C2" w:rsidRDefault="0011467A" w:rsidP="0011467A">
      <w:pPr>
        <w:snapToGrid w:val="0"/>
        <w:spacing w:after="120"/>
        <w:jc w:val="center"/>
        <w:rPr>
          <w:rFonts w:cs="Calibri"/>
          <w:b/>
          <w:bCs/>
          <w:sz w:val="28"/>
          <w:szCs w:val="28"/>
        </w:rPr>
      </w:pPr>
      <w:bookmarkStart w:id="6" w:name="_Hlk67565195"/>
      <w:r w:rsidRPr="00C020C2">
        <w:rPr>
          <w:rFonts w:cs="Calibri"/>
          <w:b/>
          <w:bCs/>
          <w:sz w:val="28"/>
          <w:szCs w:val="28"/>
        </w:rPr>
        <w:lastRenderedPageBreak/>
        <w:t>Foreword to the report on the implementation of the strategic plan and activities of the Union</w:t>
      </w:r>
    </w:p>
    <w:p w14:paraId="5A4A1570" w14:textId="77777777" w:rsidR="0011467A" w:rsidRPr="00C020C2" w:rsidRDefault="0011467A" w:rsidP="0011467A">
      <w:pPr>
        <w:snapToGrid w:val="0"/>
        <w:spacing w:after="120"/>
        <w:jc w:val="center"/>
        <w:rPr>
          <w:rFonts w:asciiTheme="majorHAnsi" w:hAnsiTheme="majorHAnsi" w:cstheme="majorHAnsi"/>
          <w:b/>
          <w:bCs/>
        </w:rPr>
      </w:pPr>
      <w:r w:rsidRPr="00C020C2">
        <w:rPr>
          <w:rFonts w:cs="Calibri"/>
          <w:b/>
          <w:bCs/>
        </w:rPr>
        <w:t>July 2022 – April 2023</w:t>
      </w:r>
    </w:p>
    <w:bookmarkEnd w:id="6"/>
    <w:p w14:paraId="1B4347BA" w14:textId="5B84AF7B" w:rsidR="0011467A" w:rsidRPr="00C020C2" w:rsidRDefault="0011467A" w:rsidP="00B82BF4">
      <w:pPr>
        <w:snapToGrid w:val="0"/>
        <w:spacing w:before="240" w:after="120"/>
        <w:jc w:val="both"/>
        <w:rPr>
          <w:rFonts w:asciiTheme="minorHAnsi" w:hAnsiTheme="minorHAnsi" w:cstheme="minorHAnsi"/>
        </w:rPr>
      </w:pPr>
      <w:r w:rsidRPr="00C020C2">
        <w:rPr>
          <w:rFonts w:asciiTheme="majorHAnsi" w:hAnsiTheme="majorHAnsi" w:cstheme="majorHAnsi"/>
          <w:sz w:val="8"/>
          <w:szCs w:val="8"/>
        </w:rPr>
        <w:br/>
      </w:r>
      <w:bookmarkStart w:id="7" w:name="_Hlk67565419"/>
      <w:r w:rsidRPr="00C020C2">
        <w:rPr>
          <w:rFonts w:asciiTheme="minorHAnsi" w:hAnsiTheme="minorHAnsi" w:cstheme="minorHAnsi"/>
        </w:rPr>
        <w:t>Dear members of the ITU family,</w:t>
      </w:r>
    </w:p>
    <w:p w14:paraId="7F4009F2" w14:textId="77777777" w:rsidR="00CE117C" w:rsidRPr="00C020C2" w:rsidRDefault="00CE117C" w:rsidP="00B82BF4">
      <w:pPr>
        <w:snapToGrid w:val="0"/>
        <w:spacing w:after="120"/>
        <w:jc w:val="both"/>
        <w:rPr>
          <w:rFonts w:asciiTheme="minorHAnsi" w:hAnsiTheme="minorHAnsi" w:cstheme="minorHAnsi"/>
        </w:rPr>
      </w:pPr>
      <w:r w:rsidRPr="00C020C2">
        <w:rPr>
          <w:rFonts w:asciiTheme="minorHAnsi" w:hAnsiTheme="minorHAnsi" w:cstheme="minorHAnsi"/>
        </w:rPr>
        <w:t xml:space="preserve">This report covers one of the most intensive and decisive periods in ITU history. </w:t>
      </w:r>
    </w:p>
    <w:p w14:paraId="56CA8A8A" w14:textId="77777777" w:rsidR="00CE117C" w:rsidRPr="00C020C2" w:rsidRDefault="00CE117C" w:rsidP="00B82BF4">
      <w:pPr>
        <w:snapToGrid w:val="0"/>
        <w:spacing w:after="120"/>
        <w:jc w:val="both"/>
        <w:rPr>
          <w:rFonts w:asciiTheme="minorHAnsi" w:hAnsiTheme="minorHAnsi" w:cstheme="minorHAnsi"/>
        </w:rPr>
      </w:pPr>
      <w:r w:rsidRPr="00C020C2">
        <w:rPr>
          <w:rFonts w:asciiTheme="minorHAnsi" w:hAnsiTheme="minorHAnsi" w:cstheme="minorHAnsi"/>
        </w:rPr>
        <w:t xml:space="preserve">In a span of a few months, we held our World Telecommunication Standardization Assembly (WTSA-20) and World Telecommunication Development Conference (WTDC-22), setting the stage for a Plenipotentiary Conference (PP-22) that made universal connectivity and sustainable digital transformation the two strategic goals of our Union going forward. </w:t>
      </w:r>
    </w:p>
    <w:p w14:paraId="3331B344" w14:textId="77777777" w:rsidR="00CE117C" w:rsidRPr="00C020C2" w:rsidRDefault="00CE117C" w:rsidP="00B82BF4">
      <w:pPr>
        <w:snapToGrid w:val="0"/>
        <w:spacing w:after="120"/>
        <w:jc w:val="both"/>
        <w:rPr>
          <w:rFonts w:asciiTheme="minorHAnsi" w:hAnsiTheme="minorHAnsi" w:cstheme="minorHAnsi"/>
        </w:rPr>
      </w:pPr>
      <w:r w:rsidRPr="00C020C2">
        <w:rPr>
          <w:rFonts w:asciiTheme="minorHAnsi" w:hAnsiTheme="minorHAnsi" w:cstheme="minorHAnsi"/>
        </w:rPr>
        <w:t>The choice before us is clear: do everything in our power to use digital to rescue the Sustainable Development Goals (SDGs) in the little time we have left, or risk falling further behind and facing a future marked by increasing digital inequalities and environmental breakdown.</w:t>
      </w:r>
    </w:p>
    <w:p w14:paraId="14B6F718" w14:textId="77777777" w:rsidR="00CE117C" w:rsidRPr="00C020C2" w:rsidRDefault="00CE117C" w:rsidP="00B82BF4">
      <w:pPr>
        <w:snapToGrid w:val="0"/>
        <w:spacing w:after="120"/>
        <w:jc w:val="both"/>
        <w:rPr>
          <w:rFonts w:asciiTheme="minorHAnsi" w:hAnsiTheme="minorHAnsi" w:cstheme="minorHAnsi"/>
        </w:rPr>
      </w:pPr>
      <w:r w:rsidRPr="00C020C2">
        <w:rPr>
          <w:rFonts w:asciiTheme="minorHAnsi" w:hAnsiTheme="minorHAnsi" w:cstheme="minorHAnsi"/>
        </w:rPr>
        <w:t xml:space="preserve">This is happening against a backdrop of tectonic shifts in tech and our planet’s ecosystem. </w:t>
      </w:r>
    </w:p>
    <w:p w14:paraId="4A3220D2" w14:textId="7381CEE6" w:rsidR="00CE117C" w:rsidRPr="00C020C2" w:rsidRDefault="00CE117C" w:rsidP="57480088">
      <w:pPr>
        <w:snapToGrid w:val="0"/>
        <w:spacing w:after="120"/>
        <w:jc w:val="both"/>
        <w:rPr>
          <w:rFonts w:asciiTheme="minorHAnsi" w:hAnsiTheme="minorHAnsi" w:cstheme="minorBidi"/>
        </w:rPr>
      </w:pPr>
      <w:r w:rsidRPr="00C020C2">
        <w:rPr>
          <w:rFonts w:asciiTheme="minorHAnsi" w:hAnsiTheme="minorHAnsi" w:cstheme="minorBidi"/>
        </w:rPr>
        <w:t xml:space="preserve">The explosion of generative AI and the prospect of artificial general intelligence are raising concerns about humanity’s very existence, prompting global calls for regulation. </w:t>
      </w:r>
      <w:r w:rsidR="26A02C5E" w:rsidRPr="00C020C2">
        <w:rPr>
          <w:rFonts w:asciiTheme="minorHAnsi" w:hAnsiTheme="minorHAnsi" w:cstheme="minorBidi"/>
        </w:rPr>
        <w:t xml:space="preserve">At the same time, </w:t>
      </w:r>
      <w:r w:rsidR="754FDEDA" w:rsidRPr="00C020C2">
        <w:rPr>
          <w:rFonts w:asciiTheme="minorHAnsi" w:hAnsiTheme="minorHAnsi" w:cstheme="minorBidi"/>
        </w:rPr>
        <w:t xml:space="preserve">technological development may </w:t>
      </w:r>
      <w:r w:rsidRPr="00C020C2">
        <w:rPr>
          <w:rFonts w:asciiTheme="minorHAnsi" w:hAnsiTheme="minorHAnsi" w:cstheme="minorBidi"/>
        </w:rPr>
        <w:t xml:space="preserve">also represent one of our best hopes to put climate targets and the SDGs back on track. </w:t>
      </w:r>
    </w:p>
    <w:p w14:paraId="0021EE9C" w14:textId="77777777" w:rsidR="00CE117C" w:rsidRPr="00C020C2" w:rsidRDefault="00CE117C" w:rsidP="00B82BF4">
      <w:pPr>
        <w:snapToGrid w:val="0"/>
        <w:spacing w:after="120"/>
        <w:jc w:val="both"/>
        <w:rPr>
          <w:rFonts w:asciiTheme="minorHAnsi" w:hAnsiTheme="minorHAnsi" w:cstheme="minorHAnsi"/>
        </w:rPr>
      </w:pPr>
      <w:r w:rsidRPr="00C020C2">
        <w:rPr>
          <w:rFonts w:asciiTheme="minorHAnsi" w:hAnsiTheme="minorHAnsi" w:cstheme="minorHAnsi"/>
        </w:rPr>
        <w:t>Quantum information technology continues to advance, driven by the emergence of powerful new computers. The mobile broadband market has already started talking about 6G. And then, there is the metaverse.</w:t>
      </w:r>
    </w:p>
    <w:p w14:paraId="30CB93BD" w14:textId="77777777" w:rsidR="00CE117C" w:rsidRPr="00C020C2" w:rsidRDefault="00CE117C" w:rsidP="00B82BF4">
      <w:pPr>
        <w:snapToGrid w:val="0"/>
        <w:spacing w:after="120"/>
        <w:jc w:val="both"/>
        <w:rPr>
          <w:rFonts w:asciiTheme="minorHAnsi" w:hAnsiTheme="minorHAnsi" w:cstheme="minorHAnsi"/>
        </w:rPr>
      </w:pPr>
      <w:r w:rsidRPr="00C020C2">
        <w:rPr>
          <w:rFonts w:asciiTheme="minorHAnsi" w:hAnsiTheme="minorHAnsi" w:cstheme="minorHAnsi"/>
        </w:rPr>
        <w:t xml:space="preserve">Space is also emerging as a driver of sustainable development, with the space economy reaching new heights – and it is just the beginning. </w:t>
      </w:r>
    </w:p>
    <w:p w14:paraId="0CEF94ED" w14:textId="77777777" w:rsidR="00CE117C" w:rsidRPr="00C020C2" w:rsidRDefault="00CE117C" w:rsidP="00B82BF4">
      <w:pPr>
        <w:snapToGrid w:val="0"/>
        <w:spacing w:after="120"/>
        <w:jc w:val="both"/>
        <w:rPr>
          <w:rFonts w:asciiTheme="minorHAnsi" w:hAnsiTheme="minorHAnsi" w:cstheme="minorHAnsi"/>
        </w:rPr>
      </w:pPr>
      <w:r w:rsidRPr="00C020C2">
        <w:rPr>
          <w:rFonts w:asciiTheme="minorHAnsi" w:hAnsiTheme="minorHAnsi" w:cstheme="minorHAnsi"/>
        </w:rPr>
        <w:t xml:space="preserve">Everywhere we look, we see and feel technology racing ahead at warp speed. What has not accelerated fast enough, however, is digital inclusion. </w:t>
      </w:r>
    </w:p>
    <w:p w14:paraId="5E311319" w14:textId="77777777" w:rsidR="00CE117C" w:rsidRPr="00C020C2" w:rsidRDefault="00CE117C" w:rsidP="00B82BF4">
      <w:pPr>
        <w:snapToGrid w:val="0"/>
        <w:spacing w:after="120"/>
        <w:jc w:val="both"/>
        <w:rPr>
          <w:rFonts w:asciiTheme="minorHAnsi" w:hAnsiTheme="minorHAnsi" w:cstheme="minorHAnsi"/>
        </w:rPr>
      </w:pPr>
      <w:r w:rsidRPr="00C020C2">
        <w:rPr>
          <w:rFonts w:asciiTheme="minorHAnsi" w:hAnsiTheme="minorHAnsi" w:cstheme="minorHAnsi"/>
        </w:rPr>
        <w:t xml:space="preserve">As this report makes clear, we are still facing crippling digital divides affecting women, rural and other vulnerable populations, both within and between countries. </w:t>
      </w:r>
    </w:p>
    <w:p w14:paraId="1BB69F78" w14:textId="6DCBAF8A" w:rsidR="00CE117C" w:rsidRPr="00C020C2" w:rsidRDefault="00CE117C" w:rsidP="57480088">
      <w:pPr>
        <w:snapToGrid w:val="0"/>
        <w:spacing w:after="120"/>
        <w:jc w:val="both"/>
        <w:rPr>
          <w:rFonts w:asciiTheme="minorHAnsi" w:hAnsiTheme="minorHAnsi" w:cstheme="minorBidi"/>
        </w:rPr>
      </w:pPr>
      <w:r w:rsidRPr="00C020C2">
        <w:rPr>
          <w:rFonts w:asciiTheme="minorHAnsi" w:hAnsiTheme="minorHAnsi" w:cstheme="minorBidi"/>
        </w:rPr>
        <w:t xml:space="preserve">It is a multifaceted question that involves matters of infrastructure but also affordability, </w:t>
      </w:r>
      <w:r w:rsidR="129492BB" w:rsidRPr="00C020C2">
        <w:rPr>
          <w:rFonts w:asciiTheme="minorHAnsi" w:hAnsiTheme="minorHAnsi" w:cstheme="minorBidi"/>
        </w:rPr>
        <w:t>trust</w:t>
      </w:r>
      <w:r w:rsidRPr="00C020C2">
        <w:rPr>
          <w:rFonts w:asciiTheme="minorHAnsi" w:hAnsiTheme="minorHAnsi" w:cstheme="minorBidi"/>
        </w:rPr>
        <w:t xml:space="preserve">, accessibility, and skills. And oftentimes, more data is required to guide decisions and asses the progress and impact of our work. </w:t>
      </w:r>
    </w:p>
    <w:p w14:paraId="48107BF6" w14:textId="5E1E3F47" w:rsidR="00CE117C" w:rsidRPr="00C020C2" w:rsidRDefault="00CE117C" w:rsidP="57480088">
      <w:pPr>
        <w:snapToGrid w:val="0"/>
        <w:spacing w:after="120"/>
        <w:jc w:val="both"/>
        <w:rPr>
          <w:rFonts w:asciiTheme="minorHAnsi" w:hAnsiTheme="minorHAnsi" w:cstheme="minorBidi"/>
        </w:rPr>
      </w:pPr>
      <w:r w:rsidRPr="00C020C2">
        <w:rPr>
          <w:rFonts w:asciiTheme="minorHAnsi" w:hAnsiTheme="minorHAnsi" w:cstheme="minorBidi"/>
        </w:rPr>
        <w:t xml:space="preserve">In the face of these challenges, our priority – and my main objective – is to build a fit-for-purpose and fit-for-future ITU. </w:t>
      </w:r>
      <w:r w:rsidR="76B19B51" w:rsidRPr="00C020C2">
        <w:rPr>
          <w:rFonts w:asciiTheme="minorHAnsi" w:hAnsiTheme="minorHAnsi" w:cstheme="minorBidi"/>
        </w:rPr>
        <w:t>The ITU that could help the world to rise to the challenges and leverage the opportunities of today.</w:t>
      </w:r>
      <w:r w:rsidRPr="00C020C2">
        <w:rPr>
          <w:rFonts w:asciiTheme="minorHAnsi" w:hAnsiTheme="minorHAnsi" w:cstheme="minorBidi"/>
        </w:rPr>
        <w:t xml:space="preserve"> That means focusing our efforts in three areas: technical expertise, strategic partnerships, and organizational excellence.</w:t>
      </w:r>
    </w:p>
    <w:p w14:paraId="3B705D24" w14:textId="09F455B4" w:rsidR="00CE117C" w:rsidRPr="00C020C2" w:rsidRDefault="00CE117C" w:rsidP="57480088">
      <w:pPr>
        <w:snapToGrid w:val="0"/>
        <w:spacing w:after="120"/>
        <w:jc w:val="both"/>
        <w:rPr>
          <w:rFonts w:asciiTheme="minorHAnsi" w:hAnsiTheme="minorHAnsi" w:cstheme="minorBidi"/>
        </w:rPr>
      </w:pPr>
      <w:r w:rsidRPr="00C020C2">
        <w:rPr>
          <w:rFonts w:asciiTheme="minorHAnsi" w:hAnsiTheme="minorHAnsi" w:cstheme="minorBidi"/>
        </w:rPr>
        <w:t xml:space="preserve">ITU’s </w:t>
      </w:r>
      <w:r w:rsidR="6CDCCACA" w:rsidRPr="00C020C2">
        <w:rPr>
          <w:rFonts w:asciiTheme="minorHAnsi" w:hAnsiTheme="minorHAnsi" w:cstheme="minorBidi"/>
        </w:rPr>
        <w:t xml:space="preserve">globally </w:t>
      </w:r>
      <w:r w:rsidRPr="00C020C2">
        <w:rPr>
          <w:rFonts w:asciiTheme="minorHAnsi" w:hAnsiTheme="minorHAnsi" w:cstheme="minorBidi"/>
        </w:rPr>
        <w:t>recognized technical work in radio-frequency spectrum and associated orbit resources, standards, emerging technologies, the environment and smart sustainable cities and communities, cybersecurity, and digital inclusion is the answer to our ever-more complex digital world. It provides the building blocks for the entire global digital ecosystem.</w:t>
      </w:r>
    </w:p>
    <w:p w14:paraId="60B20093" w14:textId="77777777" w:rsidR="00CE117C" w:rsidRPr="00C020C2" w:rsidRDefault="00CE117C" w:rsidP="00B82BF4">
      <w:pPr>
        <w:snapToGrid w:val="0"/>
        <w:spacing w:after="120"/>
        <w:jc w:val="both"/>
        <w:rPr>
          <w:rFonts w:asciiTheme="minorHAnsi" w:hAnsiTheme="minorHAnsi" w:cstheme="minorHAnsi"/>
        </w:rPr>
      </w:pPr>
      <w:r w:rsidRPr="00C020C2">
        <w:rPr>
          <w:rFonts w:asciiTheme="minorHAnsi" w:hAnsiTheme="minorHAnsi" w:cstheme="minorHAnsi"/>
        </w:rPr>
        <w:t xml:space="preserve">Because today’s challenges are too big for any one player to face alone, ITU has formed strategic partnerships with sister UN agencies and others. That is the bedrock of the flagship </w:t>
      </w:r>
      <w:r w:rsidRPr="00C020C2">
        <w:rPr>
          <w:rFonts w:asciiTheme="minorHAnsi" w:hAnsiTheme="minorHAnsi" w:cstheme="minorHAnsi"/>
        </w:rPr>
        <w:lastRenderedPageBreak/>
        <w:t>initiatives highlighted in these pages, including AI for Good, EQUALS, the Broadband Commission, the WSIS Forum, Early Warnings for All, Giga, and Partner2Connect.</w:t>
      </w:r>
    </w:p>
    <w:p w14:paraId="27CCE0B8" w14:textId="78BC64F8" w:rsidR="00CE117C" w:rsidRPr="00C020C2" w:rsidRDefault="1930752E" w:rsidP="57480088">
      <w:pPr>
        <w:snapToGrid w:val="0"/>
        <w:spacing w:after="120"/>
        <w:jc w:val="both"/>
        <w:rPr>
          <w:rFonts w:asciiTheme="minorHAnsi" w:hAnsiTheme="minorHAnsi" w:cstheme="minorBidi"/>
        </w:rPr>
      </w:pPr>
      <w:r w:rsidRPr="00C020C2">
        <w:rPr>
          <w:rFonts w:asciiTheme="minorHAnsi" w:hAnsiTheme="minorHAnsi" w:cstheme="minorBidi"/>
        </w:rPr>
        <w:t>T</w:t>
      </w:r>
      <w:r w:rsidR="00CE117C" w:rsidRPr="00C020C2">
        <w:rPr>
          <w:rFonts w:asciiTheme="minorHAnsi" w:hAnsiTheme="minorHAnsi" w:cstheme="minorBidi"/>
        </w:rPr>
        <w:t>o better serve our members and deliver with our partners, ITU must achieve organizational excellence across our entire organization. The goal for this ‘’One ITU’’ is to be open and transparent,</w:t>
      </w:r>
      <w:r w:rsidR="2A5AA030" w:rsidRPr="00C020C2">
        <w:rPr>
          <w:rFonts w:asciiTheme="minorHAnsi" w:hAnsiTheme="minorHAnsi" w:cstheme="minorBidi"/>
        </w:rPr>
        <w:t xml:space="preserve"> </w:t>
      </w:r>
      <w:proofErr w:type="gramStart"/>
      <w:r w:rsidR="2A5AA030" w:rsidRPr="00C020C2">
        <w:rPr>
          <w:rFonts w:asciiTheme="minorHAnsi" w:hAnsiTheme="minorHAnsi" w:cstheme="minorBidi"/>
        </w:rPr>
        <w:t>accountable</w:t>
      </w:r>
      <w:proofErr w:type="gramEnd"/>
      <w:r w:rsidR="2A5AA030" w:rsidRPr="00C020C2">
        <w:rPr>
          <w:rFonts w:asciiTheme="minorHAnsi" w:hAnsiTheme="minorHAnsi" w:cstheme="minorBidi"/>
        </w:rPr>
        <w:t xml:space="preserve"> and trusted,</w:t>
      </w:r>
      <w:r w:rsidR="00CE117C" w:rsidRPr="00C020C2">
        <w:rPr>
          <w:rFonts w:asciiTheme="minorHAnsi" w:hAnsiTheme="minorHAnsi" w:cstheme="minorBidi"/>
        </w:rPr>
        <w:t xml:space="preserve"> innovative</w:t>
      </w:r>
      <w:r w:rsidR="73CC20B4" w:rsidRPr="00C020C2">
        <w:rPr>
          <w:rFonts w:asciiTheme="minorHAnsi" w:hAnsiTheme="minorHAnsi" w:cstheme="minorBidi"/>
        </w:rPr>
        <w:t xml:space="preserve"> and agile</w:t>
      </w:r>
      <w:r w:rsidR="00CE117C" w:rsidRPr="00C020C2">
        <w:rPr>
          <w:rFonts w:asciiTheme="minorHAnsi" w:hAnsiTheme="minorHAnsi" w:cstheme="minorBidi"/>
        </w:rPr>
        <w:t xml:space="preserve">, results-based, and financially stable. </w:t>
      </w:r>
    </w:p>
    <w:p w14:paraId="79D5BA19" w14:textId="3F1B4C64" w:rsidR="00CE117C" w:rsidRPr="00C020C2" w:rsidRDefault="00CE117C" w:rsidP="57480088">
      <w:pPr>
        <w:snapToGrid w:val="0"/>
        <w:spacing w:after="120"/>
        <w:jc w:val="both"/>
        <w:rPr>
          <w:rFonts w:asciiTheme="minorHAnsi" w:hAnsiTheme="minorHAnsi" w:cstheme="minorBidi"/>
        </w:rPr>
      </w:pPr>
      <w:r w:rsidRPr="00C020C2">
        <w:rPr>
          <w:rFonts w:asciiTheme="minorHAnsi" w:hAnsiTheme="minorHAnsi" w:cstheme="minorBidi"/>
        </w:rPr>
        <w:t xml:space="preserve">The next few months promise to be as intensive and decisive as the last ten months – with the SDG Digital Day on 17 September in New York and the World Radiocommunication Conference 2023 (WRC-23) later this year in Dubai, coinciding with COP28. </w:t>
      </w:r>
      <w:r w:rsidR="1C5CA3D3" w:rsidRPr="00C020C2">
        <w:rPr>
          <w:rFonts w:asciiTheme="minorHAnsi" w:hAnsiTheme="minorHAnsi" w:cstheme="minorBidi"/>
        </w:rPr>
        <w:t xml:space="preserve">And the whole next year will be pivotal in setting the foundation for the </w:t>
      </w:r>
      <w:r w:rsidR="551F24C2" w:rsidRPr="00C020C2">
        <w:rPr>
          <w:rFonts w:asciiTheme="minorHAnsi" w:hAnsiTheme="minorHAnsi" w:cstheme="minorBidi"/>
        </w:rPr>
        <w:t>Union’s</w:t>
      </w:r>
      <w:r w:rsidR="1C5CA3D3" w:rsidRPr="00C020C2">
        <w:rPr>
          <w:rFonts w:asciiTheme="minorHAnsi" w:hAnsiTheme="minorHAnsi" w:cstheme="minorBidi"/>
        </w:rPr>
        <w:t xml:space="preserve"> transf</w:t>
      </w:r>
      <w:r w:rsidR="33ED6539" w:rsidRPr="00C020C2">
        <w:rPr>
          <w:rFonts w:asciiTheme="minorHAnsi" w:hAnsiTheme="minorHAnsi" w:cstheme="minorBidi"/>
        </w:rPr>
        <w:t>ormation journey</w:t>
      </w:r>
      <w:r w:rsidR="1C5CA3D3" w:rsidRPr="00C020C2">
        <w:rPr>
          <w:rFonts w:asciiTheme="minorHAnsi" w:hAnsiTheme="minorHAnsi" w:cstheme="minorBidi"/>
        </w:rPr>
        <w:t>.</w:t>
      </w:r>
    </w:p>
    <w:p w14:paraId="17514752" w14:textId="077E06B2" w:rsidR="00CE117C" w:rsidRPr="00C020C2" w:rsidRDefault="00CE117C" w:rsidP="57480088">
      <w:pPr>
        <w:snapToGrid w:val="0"/>
        <w:spacing w:after="120"/>
        <w:jc w:val="both"/>
        <w:rPr>
          <w:rFonts w:asciiTheme="minorHAnsi" w:hAnsiTheme="minorHAnsi" w:cstheme="minorBidi"/>
        </w:rPr>
      </w:pPr>
      <w:r w:rsidRPr="00C020C2">
        <w:rPr>
          <w:rFonts w:asciiTheme="minorHAnsi" w:hAnsiTheme="minorHAnsi" w:cstheme="minorBidi"/>
        </w:rPr>
        <w:t xml:space="preserve">Ultimately, the measure of success will be the impact on universal connectivity and sustainable digital transformation. </w:t>
      </w:r>
      <w:r w:rsidR="536D3C49" w:rsidRPr="00C020C2">
        <w:rPr>
          <w:rFonts w:asciiTheme="minorHAnsi" w:hAnsiTheme="minorHAnsi" w:cstheme="minorBidi"/>
        </w:rPr>
        <w:t>We can only achieve this by working together.</w:t>
      </w:r>
    </w:p>
    <w:p w14:paraId="7EC5AD14" w14:textId="2429E08B" w:rsidR="00CE117C" w:rsidRPr="00C020C2" w:rsidRDefault="00CE117C" w:rsidP="00B82BF4">
      <w:pPr>
        <w:snapToGrid w:val="0"/>
        <w:spacing w:after="120"/>
        <w:jc w:val="both"/>
        <w:rPr>
          <w:rFonts w:asciiTheme="minorHAnsi" w:hAnsiTheme="minorHAnsi" w:cstheme="minorHAnsi"/>
        </w:rPr>
      </w:pPr>
      <w:r w:rsidRPr="00C020C2">
        <w:rPr>
          <w:rFonts w:asciiTheme="minorHAnsi" w:hAnsiTheme="minorHAnsi" w:cstheme="minorHAnsi"/>
        </w:rPr>
        <w:t xml:space="preserve">The clock is </w:t>
      </w:r>
      <w:proofErr w:type="gramStart"/>
      <w:r w:rsidRPr="00C020C2">
        <w:rPr>
          <w:rFonts w:asciiTheme="minorHAnsi" w:hAnsiTheme="minorHAnsi" w:cstheme="minorHAnsi"/>
        </w:rPr>
        <w:t>ticking</w:t>
      </w:r>
      <w:proofErr w:type="gramEnd"/>
      <w:r w:rsidRPr="00C020C2">
        <w:rPr>
          <w:rFonts w:asciiTheme="minorHAnsi" w:hAnsiTheme="minorHAnsi" w:cstheme="minorHAnsi"/>
        </w:rPr>
        <w:t xml:space="preserve"> and failure is not an option.</w:t>
      </w:r>
    </w:p>
    <w:p w14:paraId="0CB04EF4" w14:textId="45D49C0F" w:rsidR="0011467A" w:rsidRPr="00C020C2" w:rsidRDefault="0011467A" w:rsidP="00B82BF4">
      <w:pPr>
        <w:snapToGrid w:val="0"/>
        <w:spacing w:before="600" w:after="120"/>
        <w:jc w:val="both"/>
        <w:rPr>
          <w:rFonts w:asciiTheme="minorHAnsi" w:hAnsiTheme="minorHAnsi" w:cstheme="minorHAnsi"/>
        </w:rPr>
      </w:pPr>
      <w:r w:rsidRPr="00C020C2">
        <w:rPr>
          <w:rFonts w:asciiTheme="minorHAnsi" w:hAnsiTheme="minorHAnsi" w:cstheme="minorHAnsi"/>
        </w:rPr>
        <w:t>Doreen Bogdan</w:t>
      </w:r>
      <w:r w:rsidR="00CE117C" w:rsidRPr="00C020C2">
        <w:rPr>
          <w:rFonts w:asciiTheme="minorHAnsi" w:hAnsiTheme="minorHAnsi" w:cstheme="minorHAnsi"/>
        </w:rPr>
        <w:t>-Martin</w:t>
      </w:r>
    </w:p>
    <w:p w14:paraId="023C99D0" w14:textId="61CBF81F" w:rsidR="0011467A" w:rsidRPr="00C020C2" w:rsidRDefault="0011467A" w:rsidP="00B82BF4">
      <w:pPr>
        <w:spacing w:after="120"/>
        <w:rPr>
          <w:rFonts w:asciiTheme="minorHAnsi" w:hAnsiTheme="minorHAnsi" w:cstheme="minorHAnsi"/>
        </w:rPr>
      </w:pPr>
      <w:r w:rsidRPr="00C020C2">
        <w:rPr>
          <w:rFonts w:asciiTheme="minorHAnsi" w:hAnsiTheme="minorHAnsi" w:cstheme="minorHAnsi"/>
        </w:rPr>
        <w:t>Secretary-General</w:t>
      </w:r>
      <w:r w:rsidR="00B82BF4" w:rsidRPr="00C020C2">
        <w:rPr>
          <w:rFonts w:asciiTheme="minorHAnsi" w:hAnsiTheme="minorHAnsi" w:cstheme="minorHAnsi"/>
        </w:rPr>
        <w:br/>
      </w:r>
      <w:r w:rsidRPr="00C020C2">
        <w:rPr>
          <w:rFonts w:asciiTheme="minorHAnsi" w:hAnsiTheme="minorHAnsi" w:cstheme="minorHAnsi"/>
        </w:rPr>
        <w:t>International Telecommunication Union</w:t>
      </w:r>
      <w:bookmarkEnd w:id="7"/>
    </w:p>
    <w:p w14:paraId="7CD9E666" w14:textId="6190736C" w:rsidR="00CE117C" w:rsidRPr="00C020C2" w:rsidRDefault="00CE117C">
      <w:pPr>
        <w:tabs>
          <w:tab w:val="clear" w:pos="567"/>
          <w:tab w:val="clear" w:pos="1134"/>
          <w:tab w:val="clear" w:pos="1701"/>
          <w:tab w:val="clear" w:pos="2268"/>
          <w:tab w:val="clear" w:pos="2835"/>
        </w:tabs>
        <w:overflowPunct/>
        <w:autoSpaceDE/>
        <w:autoSpaceDN/>
        <w:adjustRightInd/>
        <w:spacing w:before="0"/>
        <w:textAlignment w:val="auto"/>
        <w:rPr>
          <w:lang w:eastAsia="en-GB"/>
        </w:rPr>
      </w:pPr>
      <w:r w:rsidRPr="00C020C2">
        <w:rPr>
          <w:lang w:eastAsia="en-GB"/>
        </w:rPr>
        <w:br w:type="page"/>
      </w:r>
    </w:p>
    <w:p w14:paraId="7DA8D457" w14:textId="77777777" w:rsidR="0011467A" w:rsidRPr="00C020C2" w:rsidRDefault="0011467A" w:rsidP="0011467A">
      <w:pPr>
        <w:spacing w:after="160" w:line="259" w:lineRule="auto"/>
        <w:rPr>
          <w:lang w:eastAsia="en-GB"/>
        </w:rPr>
      </w:pPr>
    </w:p>
    <w:sdt>
      <w:sdtPr>
        <w:rPr>
          <w:rFonts w:eastAsia="Times New Roman" w:cs="Times New Roman"/>
          <w:color w:val="auto"/>
          <w:sz w:val="24"/>
          <w:szCs w:val="20"/>
          <w:lang w:val="en-GB"/>
        </w:rPr>
        <w:id w:val="-102418170"/>
        <w:docPartObj>
          <w:docPartGallery w:val="Table of Contents"/>
          <w:docPartUnique/>
        </w:docPartObj>
      </w:sdtPr>
      <w:sdtEndPr>
        <w:rPr>
          <w:b/>
          <w:bCs/>
          <w:noProof/>
        </w:rPr>
      </w:sdtEndPr>
      <w:sdtContent>
        <w:p w14:paraId="029B36E1" w14:textId="199EEE11" w:rsidR="000B2C4F" w:rsidRPr="00C020C2" w:rsidRDefault="000B2C4F">
          <w:pPr>
            <w:pStyle w:val="TOCHeading"/>
          </w:pPr>
          <w:r w:rsidRPr="00C020C2">
            <w:t>Contents</w:t>
          </w:r>
        </w:p>
        <w:p w14:paraId="1849B092" w14:textId="4E4F6A51" w:rsidR="00CE117C" w:rsidRPr="00C020C2" w:rsidRDefault="000B2C4F">
          <w:pPr>
            <w:pStyle w:val="TOC1"/>
            <w:rPr>
              <w:rFonts w:asciiTheme="minorHAnsi" w:eastAsiaTheme="minorEastAsia" w:hAnsiTheme="minorHAnsi" w:cstheme="minorBidi"/>
              <w:noProof/>
              <w:sz w:val="22"/>
              <w:szCs w:val="22"/>
              <w:lang w:eastAsia="en-GB"/>
            </w:rPr>
          </w:pPr>
          <w:r w:rsidRPr="00C020C2">
            <w:rPr>
              <w:b/>
              <w:bCs/>
              <w:noProof/>
            </w:rPr>
            <w:fldChar w:fldCharType="begin"/>
          </w:r>
          <w:r w:rsidRPr="00C020C2">
            <w:rPr>
              <w:b/>
              <w:bCs/>
              <w:noProof/>
            </w:rPr>
            <w:instrText xml:space="preserve"> TOC \o "1-3" \h \z \u </w:instrText>
          </w:r>
          <w:r w:rsidRPr="00C020C2">
            <w:rPr>
              <w:b/>
              <w:bCs/>
              <w:noProof/>
            </w:rPr>
            <w:fldChar w:fldCharType="separate"/>
          </w:r>
          <w:hyperlink w:anchor="_Toc137211286" w:history="1">
            <w:r w:rsidR="00CE117C" w:rsidRPr="00C020C2">
              <w:rPr>
                <w:rStyle w:val="Hyperlink"/>
                <w:noProof/>
              </w:rPr>
              <w:t>1.</w:t>
            </w:r>
            <w:r w:rsidR="00CE117C" w:rsidRPr="00C020C2">
              <w:rPr>
                <w:rFonts w:asciiTheme="minorHAnsi" w:eastAsiaTheme="minorEastAsia" w:hAnsiTheme="minorHAnsi" w:cstheme="minorBidi"/>
                <w:noProof/>
                <w:sz w:val="22"/>
                <w:szCs w:val="22"/>
                <w:lang w:eastAsia="en-GB"/>
              </w:rPr>
              <w:tab/>
            </w:r>
            <w:r w:rsidR="00CE117C" w:rsidRPr="00C020C2">
              <w:rPr>
                <w:rStyle w:val="Hyperlink"/>
                <w:noProof/>
              </w:rPr>
              <w:t>Introduction</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_Toc137211286 \h </w:instrText>
            </w:r>
            <w:r w:rsidR="00CE117C" w:rsidRPr="00C020C2">
              <w:rPr>
                <w:noProof/>
                <w:webHidden/>
              </w:rPr>
            </w:r>
            <w:r w:rsidR="00CE117C" w:rsidRPr="00C020C2">
              <w:rPr>
                <w:noProof/>
                <w:webHidden/>
              </w:rPr>
              <w:fldChar w:fldCharType="separate"/>
            </w:r>
            <w:r w:rsidR="00CE117C" w:rsidRPr="00C020C2">
              <w:rPr>
                <w:noProof/>
                <w:webHidden/>
              </w:rPr>
              <w:t>5</w:t>
            </w:r>
            <w:r w:rsidR="00CE117C" w:rsidRPr="00C020C2">
              <w:rPr>
                <w:noProof/>
                <w:webHidden/>
              </w:rPr>
              <w:fldChar w:fldCharType="end"/>
            </w:r>
          </w:hyperlink>
        </w:p>
        <w:p w14:paraId="5E079C6A" w14:textId="5BDF4AAD" w:rsidR="00CE117C" w:rsidRPr="00C020C2" w:rsidRDefault="00C020C2">
          <w:pPr>
            <w:pStyle w:val="TOC1"/>
            <w:rPr>
              <w:rFonts w:asciiTheme="minorHAnsi" w:eastAsiaTheme="minorEastAsia" w:hAnsiTheme="minorHAnsi" w:cstheme="minorBidi"/>
              <w:noProof/>
              <w:sz w:val="22"/>
              <w:szCs w:val="22"/>
              <w:lang w:eastAsia="en-GB"/>
            </w:rPr>
          </w:pPr>
          <w:hyperlink w:anchor="_Toc137211287" w:history="1">
            <w:r w:rsidR="00CE117C" w:rsidRPr="00C020C2">
              <w:rPr>
                <w:rStyle w:val="Hyperlink"/>
                <w:rFonts w:cstheme="minorHAnsi"/>
                <w:noProof/>
              </w:rPr>
              <w:t>2.</w:t>
            </w:r>
            <w:r w:rsidR="00CE117C" w:rsidRPr="00C020C2">
              <w:rPr>
                <w:rFonts w:asciiTheme="minorHAnsi" w:eastAsiaTheme="minorEastAsia" w:hAnsiTheme="minorHAnsi" w:cstheme="minorBidi"/>
                <w:noProof/>
                <w:sz w:val="22"/>
                <w:szCs w:val="22"/>
                <w:lang w:eastAsia="en-GB"/>
              </w:rPr>
              <w:tab/>
            </w:r>
            <w:r w:rsidR="00CE117C" w:rsidRPr="00C020C2">
              <w:rPr>
                <w:rStyle w:val="Hyperlink"/>
                <w:rFonts w:cstheme="minorHAnsi"/>
                <w:noProof/>
              </w:rPr>
              <w:t>ITU Plenipotentiary Conference (PP</w:t>
            </w:r>
            <w:r w:rsidR="00CE117C" w:rsidRPr="00C020C2">
              <w:rPr>
                <w:rStyle w:val="Hyperlink"/>
                <w:rFonts w:ascii="Cambria Math" w:hAnsi="Cambria Math" w:cs="Cambria Math"/>
                <w:noProof/>
              </w:rPr>
              <w:t>‑</w:t>
            </w:r>
            <w:r w:rsidR="00CE117C" w:rsidRPr="00C020C2">
              <w:rPr>
                <w:rStyle w:val="Hyperlink"/>
                <w:rFonts w:cstheme="minorHAnsi"/>
                <w:noProof/>
              </w:rPr>
              <w:t>22)</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_Toc137211287 \h </w:instrText>
            </w:r>
            <w:r w:rsidR="00CE117C" w:rsidRPr="00C020C2">
              <w:rPr>
                <w:noProof/>
                <w:webHidden/>
              </w:rPr>
            </w:r>
            <w:r w:rsidR="00CE117C" w:rsidRPr="00C020C2">
              <w:rPr>
                <w:noProof/>
                <w:webHidden/>
              </w:rPr>
              <w:fldChar w:fldCharType="separate"/>
            </w:r>
            <w:r w:rsidR="00CE117C" w:rsidRPr="00C020C2">
              <w:rPr>
                <w:noProof/>
                <w:webHidden/>
              </w:rPr>
              <w:t>6</w:t>
            </w:r>
            <w:r w:rsidR="00CE117C" w:rsidRPr="00C020C2">
              <w:rPr>
                <w:noProof/>
                <w:webHidden/>
              </w:rPr>
              <w:fldChar w:fldCharType="end"/>
            </w:r>
          </w:hyperlink>
        </w:p>
        <w:p w14:paraId="6508845E" w14:textId="6DD5FF9D" w:rsidR="00CE117C" w:rsidRPr="00C020C2" w:rsidRDefault="00C020C2">
          <w:pPr>
            <w:pStyle w:val="TOC1"/>
            <w:rPr>
              <w:rFonts w:asciiTheme="minorHAnsi" w:eastAsiaTheme="minorEastAsia" w:hAnsiTheme="minorHAnsi" w:cstheme="minorBidi"/>
              <w:noProof/>
              <w:sz w:val="22"/>
              <w:szCs w:val="22"/>
              <w:lang w:eastAsia="en-GB"/>
            </w:rPr>
          </w:pPr>
          <w:hyperlink w:anchor="_Toc137211288" w:history="1">
            <w:r w:rsidR="00CE117C" w:rsidRPr="00C020C2">
              <w:rPr>
                <w:rStyle w:val="Hyperlink"/>
                <w:noProof/>
              </w:rPr>
              <w:t>3.</w:t>
            </w:r>
            <w:r w:rsidR="00CE117C" w:rsidRPr="00C020C2">
              <w:rPr>
                <w:rFonts w:asciiTheme="minorHAnsi" w:eastAsiaTheme="minorEastAsia" w:hAnsiTheme="minorHAnsi" w:cstheme="minorBidi"/>
                <w:noProof/>
                <w:sz w:val="22"/>
                <w:szCs w:val="22"/>
                <w:lang w:eastAsia="en-GB"/>
              </w:rPr>
              <w:tab/>
            </w:r>
            <w:r w:rsidR="00CE117C" w:rsidRPr="00C020C2">
              <w:rPr>
                <w:rStyle w:val="Hyperlink"/>
                <w:noProof/>
              </w:rPr>
              <w:t>Impact of ITU’s work – progress towards the Connect 2030 Agenda</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_Toc137211288 \h </w:instrText>
            </w:r>
            <w:r w:rsidR="00CE117C" w:rsidRPr="00C020C2">
              <w:rPr>
                <w:noProof/>
                <w:webHidden/>
              </w:rPr>
            </w:r>
            <w:r w:rsidR="00CE117C" w:rsidRPr="00C020C2">
              <w:rPr>
                <w:noProof/>
                <w:webHidden/>
              </w:rPr>
              <w:fldChar w:fldCharType="separate"/>
            </w:r>
            <w:r w:rsidR="00CE117C" w:rsidRPr="00C020C2">
              <w:rPr>
                <w:noProof/>
                <w:webHidden/>
              </w:rPr>
              <w:t>7</w:t>
            </w:r>
            <w:r w:rsidR="00CE117C" w:rsidRPr="00C020C2">
              <w:rPr>
                <w:noProof/>
                <w:webHidden/>
              </w:rPr>
              <w:fldChar w:fldCharType="end"/>
            </w:r>
          </w:hyperlink>
        </w:p>
        <w:p w14:paraId="12CAFFA4" w14:textId="5B34FFF1" w:rsidR="00CE117C" w:rsidRPr="00C020C2" w:rsidRDefault="00C020C2">
          <w:pPr>
            <w:pStyle w:val="TOC1"/>
            <w:rPr>
              <w:rFonts w:asciiTheme="minorHAnsi" w:eastAsiaTheme="minorEastAsia" w:hAnsiTheme="minorHAnsi" w:cstheme="minorBidi"/>
              <w:noProof/>
              <w:sz w:val="22"/>
              <w:szCs w:val="22"/>
              <w:lang w:eastAsia="en-GB"/>
            </w:rPr>
          </w:pPr>
          <w:hyperlink w:anchor="_Toc137211289" w:history="1">
            <w:r w:rsidR="00CE117C" w:rsidRPr="00C020C2">
              <w:rPr>
                <w:rStyle w:val="Hyperlink"/>
                <w:noProof/>
              </w:rPr>
              <w:t>4.</w:t>
            </w:r>
            <w:r w:rsidR="00CE117C" w:rsidRPr="00C020C2">
              <w:rPr>
                <w:rFonts w:asciiTheme="minorHAnsi" w:eastAsiaTheme="minorEastAsia" w:hAnsiTheme="minorHAnsi" w:cstheme="minorBidi"/>
                <w:noProof/>
                <w:sz w:val="22"/>
                <w:szCs w:val="22"/>
                <w:lang w:eastAsia="en-GB"/>
              </w:rPr>
              <w:tab/>
            </w:r>
            <w:r w:rsidR="00CE117C" w:rsidRPr="00C020C2">
              <w:rPr>
                <w:rStyle w:val="Hyperlink"/>
                <w:noProof/>
              </w:rPr>
              <w:t>Key themes of work</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_Toc137211289 \h </w:instrText>
            </w:r>
            <w:r w:rsidR="00CE117C" w:rsidRPr="00C020C2">
              <w:rPr>
                <w:noProof/>
                <w:webHidden/>
              </w:rPr>
            </w:r>
            <w:r w:rsidR="00CE117C" w:rsidRPr="00C020C2">
              <w:rPr>
                <w:noProof/>
                <w:webHidden/>
              </w:rPr>
              <w:fldChar w:fldCharType="separate"/>
            </w:r>
            <w:r w:rsidR="00CE117C" w:rsidRPr="00C020C2">
              <w:rPr>
                <w:noProof/>
                <w:webHidden/>
              </w:rPr>
              <w:t>11</w:t>
            </w:r>
            <w:r w:rsidR="00CE117C" w:rsidRPr="00C020C2">
              <w:rPr>
                <w:noProof/>
                <w:webHidden/>
              </w:rPr>
              <w:fldChar w:fldCharType="end"/>
            </w:r>
          </w:hyperlink>
        </w:p>
        <w:p w14:paraId="10BDE2DD" w14:textId="4190BBEB" w:rsidR="00CE117C" w:rsidRPr="00C020C2" w:rsidRDefault="00C020C2">
          <w:pPr>
            <w:pStyle w:val="TOC2"/>
            <w:rPr>
              <w:rFonts w:asciiTheme="minorHAnsi" w:eastAsiaTheme="minorEastAsia" w:hAnsiTheme="minorHAnsi" w:cstheme="minorBidi"/>
              <w:noProof/>
              <w:sz w:val="22"/>
              <w:szCs w:val="22"/>
              <w:lang w:eastAsia="en-GB"/>
            </w:rPr>
          </w:pPr>
          <w:hyperlink w:anchor="_Toc137211290" w:history="1">
            <w:r w:rsidR="00CE117C" w:rsidRPr="00C020C2">
              <w:rPr>
                <w:rStyle w:val="Hyperlink"/>
                <w:noProof/>
                <w:lang w:eastAsia="en-GB"/>
              </w:rPr>
              <w:t>4.1</w:t>
            </w:r>
            <w:r w:rsidR="00CE117C" w:rsidRPr="00C020C2">
              <w:rPr>
                <w:rFonts w:asciiTheme="minorHAnsi" w:eastAsiaTheme="minorEastAsia" w:hAnsiTheme="minorHAnsi" w:cstheme="minorBidi"/>
                <w:noProof/>
                <w:sz w:val="22"/>
                <w:szCs w:val="22"/>
                <w:lang w:eastAsia="en-GB"/>
              </w:rPr>
              <w:tab/>
            </w:r>
            <w:r w:rsidR="00CE117C" w:rsidRPr="00C020C2">
              <w:rPr>
                <w:rStyle w:val="Hyperlink"/>
                <w:noProof/>
                <w:lang w:eastAsia="en-GB"/>
              </w:rPr>
              <w:t>Spectrum/orbit regulation and management</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_Toc137211290 \h </w:instrText>
            </w:r>
            <w:r w:rsidR="00CE117C" w:rsidRPr="00C020C2">
              <w:rPr>
                <w:noProof/>
                <w:webHidden/>
              </w:rPr>
            </w:r>
            <w:r w:rsidR="00CE117C" w:rsidRPr="00C020C2">
              <w:rPr>
                <w:noProof/>
                <w:webHidden/>
              </w:rPr>
              <w:fldChar w:fldCharType="separate"/>
            </w:r>
            <w:r w:rsidR="00CE117C" w:rsidRPr="00C020C2">
              <w:rPr>
                <w:noProof/>
                <w:webHidden/>
              </w:rPr>
              <w:t>11</w:t>
            </w:r>
            <w:r w:rsidR="00CE117C" w:rsidRPr="00C020C2">
              <w:rPr>
                <w:noProof/>
                <w:webHidden/>
              </w:rPr>
              <w:fldChar w:fldCharType="end"/>
            </w:r>
          </w:hyperlink>
        </w:p>
        <w:p w14:paraId="5FB4F92C" w14:textId="77DCC81F" w:rsidR="00CE117C" w:rsidRPr="00C020C2" w:rsidRDefault="00C020C2">
          <w:pPr>
            <w:pStyle w:val="TOC2"/>
            <w:rPr>
              <w:rFonts w:asciiTheme="minorHAnsi" w:eastAsiaTheme="minorEastAsia" w:hAnsiTheme="minorHAnsi" w:cstheme="minorBidi"/>
              <w:noProof/>
              <w:sz w:val="22"/>
              <w:szCs w:val="22"/>
              <w:lang w:eastAsia="en-GB"/>
            </w:rPr>
          </w:pPr>
          <w:hyperlink w:anchor="_Toc137211291" w:history="1">
            <w:r w:rsidR="00CE117C" w:rsidRPr="00C020C2">
              <w:rPr>
                <w:rStyle w:val="Hyperlink"/>
                <w:noProof/>
                <w:lang w:eastAsia="en-GB"/>
              </w:rPr>
              <w:t>4.2</w:t>
            </w:r>
            <w:r w:rsidR="00CE117C" w:rsidRPr="00C020C2">
              <w:rPr>
                <w:rFonts w:asciiTheme="minorHAnsi" w:eastAsiaTheme="minorEastAsia" w:hAnsiTheme="minorHAnsi" w:cstheme="minorBidi"/>
                <w:noProof/>
                <w:sz w:val="22"/>
                <w:szCs w:val="22"/>
                <w:lang w:eastAsia="en-GB"/>
              </w:rPr>
              <w:tab/>
            </w:r>
            <w:r w:rsidR="00CE117C" w:rsidRPr="00C020C2">
              <w:rPr>
                <w:rStyle w:val="Hyperlink"/>
                <w:noProof/>
                <w:lang w:eastAsia="en-GB"/>
              </w:rPr>
              <w:t>Standardization</w:t>
            </w:r>
            <w:r w:rsidR="00CE117C" w:rsidRPr="00C020C2">
              <w:rPr>
                <w:rStyle w:val="Hyperlink"/>
                <w:noProof/>
              </w:rPr>
              <w:t xml:space="preserve"> </w:t>
            </w:r>
            <w:r w:rsidR="00CE117C" w:rsidRPr="00C020C2">
              <w:rPr>
                <w:rStyle w:val="Hyperlink"/>
                <w:noProof/>
                <w:lang w:eastAsia="en-GB"/>
              </w:rPr>
              <w:t>– foundations to shape technologies of today and tomorrow</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_Toc137211291 \h </w:instrText>
            </w:r>
            <w:r w:rsidR="00CE117C" w:rsidRPr="00C020C2">
              <w:rPr>
                <w:noProof/>
                <w:webHidden/>
              </w:rPr>
            </w:r>
            <w:r w:rsidR="00CE117C" w:rsidRPr="00C020C2">
              <w:rPr>
                <w:noProof/>
                <w:webHidden/>
              </w:rPr>
              <w:fldChar w:fldCharType="separate"/>
            </w:r>
            <w:r w:rsidR="00CE117C" w:rsidRPr="00C020C2">
              <w:rPr>
                <w:noProof/>
                <w:webHidden/>
              </w:rPr>
              <w:t>12</w:t>
            </w:r>
            <w:r w:rsidR="00CE117C" w:rsidRPr="00C020C2">
              <w:rPr>
                <w:noProof/>
                <w:webHidden/>
              </w:rPr>
              <w:fldChar w:fldCharType="end"/>
            </w:r>
          </w:hyperlink>
        </w:p>
        <w:p w14:paraId="3CC7F25D" w14:textId="63263EA1" w:rsidR="00CE117C" w:rsidRPr="00C020C2" w:rsidRDefault="00C020C2">
          <w:pPr>
            <w:pStyle w:val="TOC2"/>
            <w:rPr>
              <w:rFonts w:asciiTheme="minorHAnsi" w:eastAsiaTheme="minorEastAsia" w:hAnsiTheme="minorHAnsi" w:cstheme="minorBidi"/>
              <w:noProof/>
              <w:sz w:val="22"/>
              <w:szCs w:val="22"/>
              <w:lang w:eastAsia="en-GB"/>
            </w:rPr>
          </w:pPr>
          <w:hyperlink w:anchor="_Toc137211292" w:history="1">
            <w:r w:rsidR="00CE117C" w:rsidRPr="00C020C2">
              <w:rPr>
                <w:rStyle w:val="Hyperlink"/>
                <w:noProof/>
                <w:lang w:eastAsia="en-GB"/>
              </w:rPr>
              <w:t>4.3</w:t>
            </w:r>
            <w:r w:rsidR="00CE117C" w:rsidRPr="00C020C2">
              <w:rPr>
                <w:rFonts w:asciiTheme="minorHAnsi" w:eastAsiaTheme="minorEastAsia" w:hAnsiTheme="minorHAnsi" w:cstheme="minorBidi"/>
                <w:noProof/>
                <w:sz w:val="22"/>
                <w:szCs w:val="22"/>
                <w:lang w:eastAsia="en-GB"/>
              </w:rPr>
              <w:tab/>
            </w:r>
            <w:r w:rsidR="00CE117C" w:rsidRPr="00C020C2">
              <w:rPr>
                <w:rStyle w:val="Hyperlink"/>
                <w:noProof/>
                <w:lang w:eastAsia="en-GB"/>
              </w:rPr>
              <w:t>Emerging technologies – ITU shaping frameworks to manage their development</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_Toc137211292 \h </w:instrText>
            </w:r>
            <w:r w:rsidR="00CE117C" w:rsidRPr="00C020C2">
              <w:rPr>
                <w:noProof/>
                <w:webHidden/>
              </w:rPr>
            </w:r>
            <w:r w:rsidR="00CE117C" w:rsidRPr="00C020C2">
              <w:rPr>
                <w:noProof/>
                <w:webHidden/>
              </w:rPr>
              <w:fldChar w:fldCharType="separate"/>
            </w:r>
            <w:r w:rsidR="00CE117C" w:rsidRPr="00C020C2">
              <w:rPr>
                <w:noProof/>
                <w:webHidden/>
              </w:rPr>
              <w:t>13</w:t>
            </w:r>
            <w:r w:rsidR="00CE117C" w:rsidRPr="00C020C2">
              <w:rPr>
                <w:noProof/>
                <w:webHidden/>
              </w:rPr>
              <w:fldChar w:fldCharType="end"/>
            </w:r>
          </w:hyperlink>
        </w:p>
        <w:p w14:paraId="5DA9AA68" w14:textId="4C6DDCCE" w:rsidR="00CE117C" w:rsidRPr="00C020C2" w:rsidRDefault="00C020C2">
          <w:pPr>
            <w:pStyle w:val="TOC2"/>
            <w:rPr>
              <w:rFonts w:asciiTheme="minorHAnsi" w:eastAsiaTheme="minorEastAsia" w:hAnsiTheme="minorHAnsi" w:cstheme="minorBidi"/>
              <w:noProof/>
              <w:sz w:val="22"/>
              <w:szCs w:val="22"/>
              <w:lang w:eastAsia="en-GB"/>
            </w:rPr>
          </w:pPr>
          <w:hyperlink w:anchor="_Toc137211293" w:history="1">
            <w:r w:rsidR="00CE117C" w:rsidRPr="00C020C2">
              <w:rPr>
                <w:rStyle w:val="Hyperlink"/>
                <w:noProof/>
                <w:lang w:eastAsia="en-GB"/>
              </w:rPr>
              <w:t>4.4</w:t>
            </w:r>
            <w:r w:rsidR="00CE117C" w:rsidRPr="00C020C2">
              <w:rPr>
                <w:rFonts w:asciiTheme="minorHAnsi" w:eastAsiaTheme="minorEastAsia" w:hAnsiTheme="minorHAnsi" w:cstheme="minorBidi"/>
                <w:noProof/>
                <w:sz w:val="22"/>
                <w:szCs w:val="22"/>
                <w:lang w:eastAsia="en-GB"/>
              </w:rPr>
              <w:tab/>
            </w:r>
            <w:r w:rsidR="00CE117C" w:rsidRPr="00C020C2">
              <w:rPr>
                <w:rStyle w:val="Hyperlink"/>
                <w:noProof/>
                <w:lang w:eastAsia="en-GB"/>
              </w:rPr>
              <w:t>Environment and smart sustainable cities and communities</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_Toc137211293 \h </w:instrText>
            </w:r>
            <w:r w:rsidR="00CE117C" w:rsidRPr="00C020C2">
              <w:rPr>
                <w:noProof/>
                <w:webHidden/>
              </w:rPr>
            </w:r>
            <w:r w:rsidR="00CE117C" w:rsidRPr="00C020C2">
              <w:rPr>
                <w:noProof/>
                <w:webHidden/>
              </w:rPr>
              <w:fldChar w:fldCharType="separate"/>
            </w:r>
            <w:r w:rsidR="00CE117C" w:rsidRPr="00C020C2">
              <w:rPr>
                <w:noProof/>
                <w:webHidden/>
              </w:rPr>
              <w:t>15</w:t>
            </w:r>
            <w:r w:rsidR="00CE117C" w:rsidRPr="00C020C2">
              <w:rPr>
                <w:noProof/>
                <w:webHidden/>
              </w:rPr>
              <w:fldChar w:fldCharType="end"/>
            </w:r>
          </w:hyperlink>
        </w:p>
        <w:p w14:paraId="50FB42B4" w14:textId="3C19EF16" w:rsidR="00CE117C" w:rsidRPr="00C020C2" w:rsidRDefault="00C020C2">
          <w:pPr>
            <w:pStyle w:val="TOC2"/>
            <w:rPr>
              <w:rFonts w:asciiTheme="minorHAnsi" w:eastAsiaTheme="minorEastAsia" w:hAnsiTheme="minorHAnsi" w:cstheme="minorBidi"/>
              <w:noProof/>
              <w:sz w:val="22"/>
              <w:szCs w:val="22"/>
              <w:lang w:eastAsia="en-GB"/>
            </w:rPr>
          </w:pPr>
          <w:hyperlink w:anchor="_Toc137211294" w:history="1">
            <w:r w:rsidR="00CE117C" w:rsidRPr="00C020C2">
              <w:rPr>
                <w:rStyle w:val="Hyperlink"/>
                <w:noProof/>
                <w:lang w:eastAsia="en-GB"/>
              </w:rPr>
              <w:t>4.5</w:t>
            </w:r>
            <w:r w:rsidR="00CE117C" w:rsidRPr="00C020C2">
              <w:rPr>
                <w:rFonts w:asciiTheme="minorHAnsi" w:eastAsiaTheme="minorEastAsia" w:hAnsiTheme="minorHAnsi" w:cstheme="minorBidi"/>
                <w:noProof/>
                <w:sz w:val="22"/>
                <w:szCs w:val="22"/>
                <w:lang w:eastAsia="en-GB"/>
              </w:rPr>
              <w:tab/>
            </w:r>
            <w:r w:rsidR="00CE117C" w:rsidRPr="00C020C2">
              <w:rPr>
                <w:rStyle w:val="Hyperlink"/>
                <w:noProof/>
                <w:lang w:eastAsia="en-GB"/>
              </w:rPr>
              <w:t>Cybersecurity: building confidence and security in ICTs</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_Toc137211294 \h </w:instrText>
            </w:r>
            <w:r w:rsidR="00CE117C" w:rsidRPr="00C020C2">
              <w:rPr>
                <w:noProof/>
                <w:webHidden/>
              </w:rPr>
            </w:r>
            <w:r w:rsidR="00CE117C" w:rsidRPr="00C020C2">
              <w:rPr>
                <w:noProof/>
                <w:webHidden/>
              </w:rPr>
              <w:fldChar w:fldCharType="separate"/>
            </w:r>
            <w:r w:rsidR="00CE117C" w:rsidRPr="00C020C2">
              <w:rPr>
                <w:noProof/>
                <w:webHidden/>
              </w:rPr>
              <w:t>16</w:t>
            </w:r>
            <w:r w:rsidR="00CE117C" w:rsidRPr="00C020C2">
              <w:rPr>
                <w:noProof/>
                <w:webHidden/>
              </w:rPr>
              <w:fldChar w:fldCharType="end"/>
            </w:r>
          </w:hyperlink>
        </w:p>
        <w:p w14:paraId="523AD4F2" w14:textId="79C87289" w:rsidR="00CE117C" w:rsidRPr="00C020C2" w:rsidRDefault="00C020C2">
          <w:pPr>
            <w:pStyle w:val="TOC2"/>
            <w:rPr>
              <w:rFonts w:asciiTheme="minorHAnsi" w:eastAsiaTheme="minorEastAsia" w:hAnsiTheme="minorHAnsi" w:cstheme="minorBidi"/>
              <w:noProof/>
              <w:sz w:val="22"/>
              <w:szCs w:val="22"/>
              <w:lang w:eastAsia="en-GB"/>
            </w:rPr>
          </w:pPr>
          <w:hyperlink w:anchor="_Toc137211295" w:history="1">
            <w:r w:rsidR="00CE117C" w:rsidRPr="00C020C2">
              <w:rPr>
                <w:rStyle w:val="Hyperlink"/>
                <w:noProof/>
                <w:lang w:eastAsia="en-GB"/>
              </w:rPr>
              <w:t>4.6</w:t>
            </w:r>
            <w:r w:rsidR="00CE117C" w:rsidRPr="00C020C2">
              <w:rPr>
                <w:rFonts w:asciiTheme="minorHAnsi" w:eastAsiaTheme="minorEastAsia" w:hAnsiTheme="minorHAnsi" w:cstheme="minorBidi"/>
                <w:noProof/>
                <w:sz w:val="22"/>
                <w:szCs w:val="22"/>
                <w:lang w:eastAsia="en-GB"/>
              </w:rPr>
              <w:tab/>
            </w:r>
            <w:r w:rsidR="00CE117C" w:rsidRPr="00C020C2">
              <w:rPr>
                <w:rStyle w:val="Hyperlink"/>
                <w:noProof/>
                <w:lang w:eastAsia="en-GB"/>
              </w:rPr>
              <w:t>Digital inclusion – ensuring inclusive, equal access and use of ICTs for all</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_Toc137211295 \h </w:instrText>
            </w:r>
            <w:r w:rsidR="00CE117C" w:rsidRPr="00C020C2">
              <w:rPr>
                <w:noProof/>
                <w:webHidden/>
              </w:rPr>
            </w:r>
            <w:r w:rsidR="00CE117C" w:rsidRPr="00C020C2">
              <w:rPr>
                <w:noProof/>
                <w:webHidden/>
              </w:rPr>
              <w:fldChar w:fldCharType="separate"/>
            </w:r>
            <w:r w:rsidR="00CE117C" w:rsidRPr="00C020C2">
              <w:rPr>
                <w:noProof/>
                <w:webHidden/>
              </w:rPr>
              <w:t>18</w:t>
            </w:r>
            <w:r w:rsidR="00CE117C" w:rsidRPr="00C020C2">
              <w:rPr>
                <w:noProof/>
                <w:webHidden/>
              </w:rPr>
              <w:fldChar w:fldCharType="end"/>
            </w:r>
          </w:hyperlink>
        </w:p>
        <w:p w14:paraId="360834C9" w14:textId="15F9119B" w:rsidR="00CE117C" w:rsidRPr="00C020C2" w:rsidRDefault="00C020C2">
          <w:pPr>
            <w:pStyle w:val="TOC2"/>
            <w:rPr>
              <w:rFonts w:asciiTheme="minorHAnsi" w:eastAsiaTheme="minorEastAsia" w:hAnsiTheme="minorHAnsi" w:cstheme="minorBidi"/>
              <w:noProof/>
              <w:sz w:val="22"/>
              <w:szCs w:val="22"/>
              <w:lang w:eastAsia="en-GB"/>
            </w:rPr>
          </w:pPr>
          <w:hyperlink w:anchor="_Toc137211296" w:history="1">
            <w:r w:rsidR="00CE117C" w:rsidRPr="00C020C2">
              <w:rPr>
                <w:rStyle w:val="Hyperlink"/>
                <w:noProof/>
                <w:lang w:eastAsia="en-GB"/>
              </w:rPr>
              <w:t>4.7</w:t>
            </w:r>
            <w:r w:rsidR="00CE117C" w:rsidRPr="00C020C2">
              <w:rPr>
                <w:rFonts w:asciiTheme="minorHAnsi" w:eastAsiaTheme="minorEastAsia" w:hAnsiTheme="minorHAnsi" w:cstheme="minorBidi"/>
                <w:noProof/>
                <w:sz w:val="22"/>
                <w:szCs w:val="22"/>
                <w:lang w:eastAsia="en-GB"/>
              </w:rPr>
              <w:tab/>
            </w:r>
            <w:r w:rsidR="00CE117C" w:rsidRPr="00C020C2">
              <w:rPr>
                <w:rStyle w:val="Hyperlink"/>
                <w:noProof/>
                <w:lang w:eastAsia="en-GB"/>
              </w:rPr>
              <w:t>Strategic partnerships for SDGs</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_Toc137211296 \h </w:instrText>
            </w:r>
            <w:r w:rsidR="00CE117C" w:rsidRPr="00C020C2">
              <w:rPr>
                <w:noProof/>
                <w:webHidden/>
              </w:rPr>
            </w:r>
            <w:r w:rsidR="00CE117C" w:rsidRPr="00C020C2">
              <w:rPr>
                <w:noProof/>
                <w:webHidden/>
              </w:rPr>
              <w:fldChar w:fldCharType="separate"/>
            </w:r>
            <w:r w:rsidR="00CE117C" w:rsidRPr="00C020C2">
              <w:rPr>
                <w:noProof/>
                <w:webHidden/>
              </w:rPr>
              <w:t>21</w:t>
            </w:r>
            <w:r w:rsidR="00CE117C" w:rsidRPr="00C020C2">
              <w:rPr>
                <w:noProof/>
                <w:webHidden/>
              </w:rPr>
              <w:fldChar w:fldCharType="end"/>
            </w:r>
          </w:hyperlink>
        </w:p>
        <w:p w14:paraId="73DDD9EF" w14:textId="21C8916C" w:rsidR="00CE117C" w:rsidRPr="00C020C2" w:rsidRDefault="00C020C2">
          <w:pPr>
            <w:pStyle w:val="TOC2"/>
            <w:rPr>
              <w:rFonts w:asciiTheme="minorHAnsi" w:eastAsiaTheme="minorEastAsia" w:hAnsiTheme="minorHAnsi" w:cstheme="minorBidi"/>
              <w:noProof/>
              <w:sz w:val="22"/>
              <w:szCs w:val="22"/>
              <w:lang w:eastAsia="en-GB"/>
            </w:rPr>
          </w:pPr>
          <w:hyperlink w:anchor="_Toc137211297" w:history="1">
            <w:r w:rsidR="00CE117C" w:rsidRPr="00C020C2">
              <w:rPr>
                <w:rStyle w:val="Hyperlink"/>
                <w:noProof/>
                <w:lang w:eastAsia="en-GB"/>
              </w:rPr>
              <w:t>4.8</w:t>
            </w:r>
            <w:r w:rsidR="00CE117C" w:rsidRPr="00C020C2">
              <w:rPr>
                <w:rFonts w:asciiTheme="minorHAnsi" w:eastAsiaTheme="minorEastAsia" w:hAnsiTheme="minorHAnsi" w:cstheme="minorBidi"/>
                <w:noProof/>
                <w:sz w:val="22"/>
                <w:szCs w:val="22"/>
                <w:lang w:eastAsia="en-GB"/>
              </w:rPr>
              <w:tab/>
            </w:r>
            <w:r w:rsidR="00CE117C" w:rsidRPr="00C020C2">
              <w:rPr>
                <w:rStyle w:val="Hyperlink"/>
                <w:noProof/>
                <w:lang w:eastAsia="en-GB"/>
              </w:rPr>
              <w:t>Seminars and workshops</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_Toc137211297 \h </w:instrText>
            </w:r>
            <w:r w:rsidR="00CE117C" w:rsidRPr="00C020C2">
              <w:rPr>
                <w:noProof/>
                <w:webHidden/>
              </w:rPr>
            </w:r>
            <w:r w:rsidR="00CE117C" w:rsidRPr="00C020C2">
              <w:rPr>
                <w:noProof/>
                <w:webHidden/>
              </w:rPr>
              <w:fldChar w:fldCharType="separate"/>
            </w:r>
            <w:r w:rsidR="00CE117C" w:rsidRPr="00C020C2">
              <w:rPr>
                <w:noProof/>
                <w:webHidden/>
              </w:rPr>
              <w:t>24</w:t>
            </w:r>
            <w:r w:rsidR="00CE117C" w:rsidRPr="00C020C2">
              <w:rPr>
                <w:noProof/>
                <w:webHidden/>
              </w:rPr>
              <w:fldChar w:fldCharType="end"/>
            </w:r>
          </w:hyperlink>
        </w:p>
        <w:p w14:paraId="20FE9AA4" w14:textId="071226C9" w:rsidR="00CE117C" w:rsidRPr="00C020C2" w:rsidRDefault="00C020C2">
          <w:pPr>
            <w:pStyle w:val="TOC3"/>
            <w:rPr>
              <w:rFonts w:asciiTheme="minorHAnsi" w:eastAsiaTheme="minorEastAsia" w:hAnsiTheme="minorHAnsi" w:cstheme="minorBidi"/>
              <w:noProof/>
              <w:sz w:val="22"/>
              <w:szCs w:val="22"/>
              <w:lang w:eastAsia="en-GB"/>
            </w:rPr>
          </w:pPr>
          <w:hyperlink w:anchor="_Toc137211298" w:history="1">
            <w:r w:rsidR="00CE117C" w:rsidRPr="00C020C2">
              <w:rPr>
                <w:rStyle w:val="Hyperlink"/>
                <w:noProof/>
                <w:lang w:eastAsia="en-GB"/>
              </w:rPr>
              <w:t>4.9</w:t>
            </w:r>
            <w:r w:rsidR="00CE117C" w:rsidRPr="00C020C2">
              <w:rPr>
                <w:rFonts w:asciiTheme="minorHAnsi" w:eastAsiaTheme="minorEastAsia" w:hAnsiTheme="minorHAnsi" w:cstheme="minorBidi"/>
                <w:noProof/>
                <w:sz w:val="22"/>
                <w:szCs w:val="22"/>
                <w:lang w:eastAsia="en-GB"/>
              </w:rPr>
              <w:tab/>
            </w:r>
            <w:r w:rsidR="00CE117C" w:rsidRPr="00C020C2">
              <w:rPr>
                <w:rStyle w:val="Hyperlink"/>
                <w:noProof/>
                <w:lang w:eastAsia="en-GB"/>
              </w:rPr>
              <w:t>Key events</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_Toc137211298 \h </w:instrText>
            </w:r>
            <w:r w:rsidR="00CE117C" w:rsidRPr="00C020C2">
              <w:rPr>
                <w:noProof/>
                <w:webHidden/>
              </w:rPr>
            </w:r>
            <w:r w:rsidR="00CE117C" w:rsidRPr="00C020C2">
              <w:rPr>
                <w:noProof/>
                <w:webHidden/>
              </w:rPr>
              <w:fldChar w:fldCharType="separate"/>
            </w:r>
            <w:r w:rsidR="00CE117C" w:rsidRPr="00C020C2">
              <w:rPr>
                <w:noProof/>
                <w:webHidden/>
              </w:rPr>
              <w:t>25</w:t>
            </w:r>
            <w:r w:rsidR="00CE117C" w:rsidRPr="00C020C2">
              <w:rPr>
                <w:noProof/>
                <w:webHidden/>
              </w:rPr>
              <w:fldChar w:fldCharType="end"/>
            </w:r>
          </w:hyperlink>
        </w:p>
        <w:p w14:paraId="627F3FF2" w14:textId="2030F071" w:rsidR="00CE117C" w:rsidRPr="00C020C2" w:rsidRDefault="00C020C2">
          <w:pPr>
            <w:pStyle w:val="TOC2"/>
            <w:rPr>
              <w:rFonts w:asciiTheme="minorHAnsi" w:eastAsiaTheme="minorEastAsia" w:hAnsiTheme="minorHAnsi" w:cstheme="minorBidi"/>
              <w:noProof/>
              <w:sz w:val="22"/>
              <w:szCs w:val="22"/>
              <w:lang w:eastAsia="en-GB"/>
            </w:rPr>
          </w:pPr>
          <w:hyperlink w:anchor="_Toc137211299" w:history="1">
            <w:r w:rsidR="00CE117C" w:rsidRPr="00C020C2">
              <w:rPr>
                <w:rStyle w:val="Hyperlink"/>
                <w:rFonts w:cstheme="minorHAnsi"/>
                <w:noProof/>
              </w:rPr>
              <w:t>5.</w:t>
            </w:r>
            <w:r w:rsidR="00CE117C" w:rsidRPr="00C020C2">
              <w:rPr>
                <w:rFonts w:asciiTheme="minorHAnsi" w:eastAsiaTheme="minorEastAsia" w:hAnsiTheme="minorHAnsi" w:cstheme="minorBidi"/>
                <w:noProof/>
                <w:sz w:val="22"/>
                <w:szCs w:val="22"/>
                <w:lang w:eastAsia="en-GB"/>
              </w:rPr>
              <w:tab/>
            </w:r>
            <w:r w:rsidR="00CE117C" w:rsidRPr="00C020C2">
              <w:rPr>
                <w:rStyle w:val="Hyperlink"/>
                <w:rFonts w:cstheme="minorHAnsi"/>
                <w:noProof/>
              </w:rPr>
              <w:t>Report on the implementation of PP Resolutions</w:t>
            </w:r>
            <w:r w:rsidR="00CE117C" w:rsidRPr="00C020C2">
              <w:rPr>
                <w:noProof/>
                <w:webHidden/>
              </w:rPr>
              <w:tab/>
            </w:r>
            <w:r w:rsidR="00CE117C" w:rsidRPr="00C020C2">
              <w:rPr>
                <w:noProof/>
                <w:webHidden/>
              </w:rPr>
              <w:fldChar w:fldCharType="begin"/>
            </w:r>
            <w:r w:rsidR="00CE117C" w:rsidRPr="00C020C2">
              <w:rPr>
                <w:noProof/>
                <w:webHidden/>
              </w:rPr>
              <w:instrText xml:space="preserve"> PAGEREF _Toc137211299 \h </w:instrText>
            </w:r>
            <w:r w:rsidR="00CE117C" w:rsidRPr="00C020C2">
              <w:rPr>
                <w:noProof/>
                <w:webHidden/>
              </w:rPr>
            </w:r>
            <w:r w:rsidR="00CE117C" w:rsidRPr="00C020C2">
              <w:rPr>
                <w:noProof/>
                <w:webHidden/>
              </w:rPr>
              <w:fldChar w:fldCharType="separate"/>
            </w:r>
            <w:r w:rsidR="00CE117C" w:rsidRPr="00C020C2">
              <w:rPr>
                <w:noProof/>
                <w:webHidden/>
              </w:rPr>
              <w:t>26</w:t>
            </w:r>
            <w:r w:rsidR="00CE117C" w:rsidRPr="00C020C2">
              <w:rPr>
                <w:noProof/>
                <w:webHidden/>
              </w:rPr>
              <w:fldChar w:fldCharType="end"/>
            </w:r>
          </w:hyperlink>
        </w:p>
        <w:p w14:paraId="179500D3" w14:textId="46C513DC" w:rsidR="000B2C4F" w:rsidRPr="00C020C2" w:rsidRDefault="000B2C4F">
          <w:r w:rsidRPr="00C020C2">
            <w:rPr>
              <w:b/>
              <w:bCs/>
              <w:noProof/>
            </w:rPr>
            <w:fldChar w:fldCharType="end"/>
          </w:r>
        </w:p>
      </w:sdtContent>
    </w:sdt>
    <w:p w14:paraId="5713FA8E" w14:textId="77777777" w:rsidR="0011467A" w:rsidRPr="00C020C2" w:rsidRDefault="0011467A" w:rsidP="0011467A">
      <w:pPr>
        <w:sectPr w:rsidR="0011467A" w:rsidRPr="00C020C2" w:rsidSect="00F15918">
          <w:headerReference w:type="default" r:id="rId15"/>
          <w:footerReference w:type="default" r:id="rId16"/>
          <w:headerReference w:type="first" r:id="rId17"/>
          <w:footerReference w:type="first" r:id="rId18"/>
          <w:pgSz w:w="11906" w:h="16838" w:code="9"/>
          <w:pgMar w:top="568" w:right="1418" w:bottom="1418" w:left="1418" w:header="567" w:footer="567" w:gutter="0"/>
          <w:pgNumType w:fmt="lowerRoman" w:start="1"/>
          <w:cols w:space="708"/>
          <w:titlePg/>
          <w:docGrid w:linePitch="360"/>
        </w:sectPr>
      </w:pPr>
    </w:p>
    <w:p w14:paraId="347FFF1D" w14:textId="47240AFC" w:rsidR="0011467A" w:rsidRPr="00C020C2" w:rsidRDefault="003E75A6" w:rsidP="00DE38D4">
      <w:pPr>
        <w:pStyle w:val="Heading1"/>
        <w:numPr>
          <w:ilvl w:val="0"/>
          <w:numId w:val="13"/>
        </w:numPr>
        <w:spacing w:before="240" w:after="120"/>
        <w:ind w:left="567" w:hanging="567"/>
      </w:pPr>
      <w:bookmarkStart w:id="9" w:name="_Toc137211286"/>
      <w:bookmarkStart w:id="10" w:name="_Toc37860454"/>
      <w:bookmarkStart w:id="11" w:name="_Toc37861215"/>
      <w:bookmarkStart w:id="12" w:name="_Toc37943334"/>
      <w:r w:rsidRPr="00C020C2">
        <w:lastRenderedPageBreak/>
        <w:t>Introduction</w:t>
      </w:r>
      <w:bookmarkEnd w:id="9"/>
    </w:p>
    <w:p w14:paraId="75765680" w14:textId="793070DB" w:rsidR="009C53BC" w:rsidRPr="00C020C2" w:rsidRDefault="72924A6A" w:rsidP="00DE38D4">
      <w:pPr>
        <w:spacing w:after="120"/>
        <w:jc w:val="both"/>
        <w:rPr>
          <w:rFonts w:eastAsia="Calibri"/>
        </w:rPr>
      </w:pPr>
      <w:r w:rsidRPr="00C020C2">
        <w:rPr>
          <w:rFonts w:eastAsia="Calibri"/>
        </w:rPr>
        <w:t xml:space="preserve">The International Telecommunication Union (ITU) </w:t>
      </w:r>
      <w:r w:rsidR="5872FE38" w:rsidRPr="00C020C2">
        <w:rPr>
          <w:rFonts w:eastAsia="Calibri"/>
        </w:rPr>
        <w:t xml:space="preserve">plays a major role in the UN system </w:t>
      </w:r>
      <w:r w:rsidR="753C0010" w:rsidRPr="00C020C2">
        <w:rPr>
          <w:rFonts w:eastAsia="Calibri"/>
        </w:rPr>
        <w:t xml:space="preserve">as </w:t>
      </w:r>
      <w:r w:rsidR="653BB4F0" w:rsidRPr="00C020C2">
        <w:rPr>
          <w:rFonts w:eastAsia="Calibri"/>
        </w:rPr>
        <w:t>the UN agency for ICTs</w:t>
      </w:r>
      <w:r w:rsidR="5872FE38" w:rsidRPr="00C020C2">
        <w:rPr>
          <w:rFonts w:eastAsia="Calibri"/>
        </w:rPr>
        <w:t xml:space="preserve">. The ITU allocates </w:t>
      </w:r>
      <w:r w:rsidR="653BB4F0" w:rsidRPr="00C020C2">
        <w:rPr>
          <w:rFonts w:eastAsia="Calibri"/>
        </w:rPr>
        <w:t>global radio-frequency spectrum and associated satellite-orbits resources, develop</w:t>
      </w:r>
      <w:r w:rsidR="5872FE38" w:rsidRPr="00C020C2">
        <w:rPr>
          <w:rFonts w:eastAsia="Calibri"/>
        </w:rPr>
        <w:t xml:space="preserve">s </w:t>
      </w:r>
      <w:r w:rsidR="653BB4F0" w:rsidRPr="00C020C2">
        <w:rPr>
          <w:rFonts w:eastAsia="Calibri"/>
        </w:rPr>
        <w:t>technical standards that ensure networks and technologies</w:t>
      </w:r>
      <w:r w:rsidR="17451F20" w:rsidRPr="00C020C2">
        <w:rPr>
          <w:rFonts w:eastAsia="Calibri"/>
        </w:rPr>
        <w:t xml:space="preserve"> </w:t>
      </w:r>
      <w:r w:rsidR="653BB4F0" w:rsidRPr="00C020C2">
        <w:rPr>
          <w:rFonts w:eastAsia="Calibri"/>
        </w:rPr>
        <w:t>seamlessly interconnect, and striv</w:t>
      </w:r>
      <w:r w:rsidR="5872FE38" w:rsidRPr="00C020C2">
        <w:rPr>
          <w:rFonts w:eastAsia="Calibri"/>
        </w:rPr>
        <w:t>es</w:t>
      </w:r>
      <w:r w:rsidR="653BB4F0" w:rsidRPr="00C020C2">
        <w:rPr>
          <w:rFonts w:eastAsia="Calibri"/>
        </w:rPr>
        <w:t xml:space="preserve"> to improve access to and use of telecommunications/ICTs for underserved communities worldwide. </w:t>
      </w:r>
    </w:p>
    <w:p w14:paraId="57E15566" w14:textId="0A454D64" w:rsidR="009C53BC" w:rsidRPr="00C020C2" w:rsidRDefault="6CAFE628" w:rsidP="00DE38D4">
      <w:pPr>
        <w:spacing w:after="120"/>
        <w:jc w:val="both"/>
        <w:rPr>
          <w:rFonts w:eastAsia="Calibri"/>
        </w:rPr>
      </w:pPr>
      <w:r w:rsidRPr="00C020C2">
        <w:rPr>
          <w:rFonts w:eastAsia="Calibri"/>
        </w:rPr>
        <w:t>D</w:t>
      </w:r>
      <w:r w:rsidR="653BB4F0" w:rsidRPr="00C020C2">
        <w:rPr>
          <w:rFonts w:eastAsia="Calibri"/>
        </w:rPr>
        <w:t xml:space="preserve">igital technology </w:t>
      </w:r>
      <w:r w:rsidRPr="00C020C2">
        <w:rPr>
          <w:rFonts w:eastAsia="Calibri"/>
        </w:rPr>
        <w:t>is</w:t>
      </w:r>
      <w:r w:rsidR="653BB4F0" w:rsidRPr="00C020C2">
        <w:rPr>
          <w:rFonts w:eastAsia="Calibri"/>
        </w:rPr>
        <w:t xml:space="preserve"> increasingly vital in transforming economic and social activit</w:t>
      </w:r>
      <w:r w:rsidR="2DD9437E" w:rsidRPr="00C020C2">
        <w:rPr>
          <w:rFonts w:eastAsia="Calibri"/>
        </w:rPr>
        <w:t>y</w:t>
      </w:r>
      <w:r w:rsidR="653BB4F0" w:rsidRPr="00C020C2">
        <w:rPr>
          <w:rFonts w:eastAsia="Calibri"/>
        </w:rPr>
        <w:t xml:space="preserve"> around the world</w:t>
      </w:r>
      <w:r w:rsidR="2DD9437E" w:rsidRPr="00C020C2">
        <w:rPr>
          <w:rFonts w:eastAsia="Calibri"/>
        </w:rPr>
        <w:t xml:space="preserve"> – and </w:t>
      </w:r>
      <w:r w:rsidR="653BB4F0" w:rsidRPr="00C020C2">
        <w:rPr>
          <w:rFonts w:eastAsia="Calibri"/>
        </w:rPr>
        <w:t xml:space="preserve">the digital agenda </w:t>
      </w:r>
      <w:r w:rsidR="2DD9437E" w:rsidRPr="00C020C2">
        <w:rPr>
          <w:rFonts w:eastAsia="Calibri"/>
        </w:rPr>
        <w:t xml:space="preserve">is today </w:t>
      </w:r>
      <w:r w:rsidR="653BB4F0" w:rsidRPr="00C020C2">
        <w:rPr>
          <w:rFonts w:eastAsia="Calibri"/>
        </w:rPr>
        <w:t>a priority across the entire UN system</w:t>
      </w:r>
      <w:r w:rsidR="2DD9437E" w:rsidRPr="00C020C2">
        <w:rPr>
          <w:rFonts w:eastAsia="Calibri"/>
        </w:rPr>
        <w:t xml:space="preserve">. It is of </w:t>
      </w:r>
      <w:r w:rsidR="17451F20" w:rsidRPr="00C020C2">
        <w:rPr>
          <w:rFonts w:eastAsia="Calibri"/>
        </w:rPr>
        <w:t>special</w:t>
      </w:r>
      <w:r w:rsidR="2DD9437E" w:rsidRPr="00C020C2">
        <w:rPr>
          <w:rFonts w:eastAsia="Calibri"/>
        </w:rPr>
        <w:t xml:space="preserve"> importance </w:t>
      </w:r>
      <w:r w:rsidR="653BB4F0" w:rsidRPr="00C020C2">
        <w:rPr>
          <w:rFonts w:eastAsia="Calibri"/>
        </w:rPr>
        <w:t xml:space="preserve">in accelerating the achievement of the </w:t>
      </w:r>
      <w:r w:rsidR="4CF75FA3" w:rsidRPr="00C020C2">
        <w:rPr>
          <w:rFonts w:eastAsia="Calibri"/>
        </w:rPr>
        <w:t>Sustainable Development Goals (</w:t>
      </w:r>
      <w:r w:rsidR="653BB4F0" w:rsidRPr="00C020C2">
        <w:rPr>
          <w:rFonts w:eastAsia="Calibri"/>
        </w:rPr>
        <w:t>SDGs</w:t>
      </w:r>
      <w:r w:rsidR="4CF75FA3" w:rsidRPr="00C020C2">
        <w:rPr>
          <w:rFonts w:eastAsia="Calibri"/>
        </w:rPr>
        <w:t>)</w:t>
      </w:r>
      <w:r w:rsidR="584B5367" w:rsidRPr="00C020C2">
        <w:rPr>
          <w:rFonts w:eastAsia="Calibri"/>
        </w:rPr>
        <w:t>, including through</w:t>
      </w:r>
      <w:r w:rsidR="17451F20" w:rsidRPr="00C020C2">
        <w:rPr>
          <w:rFonts w:eastAsia="Calibri"/>
        </w:rPr>
        <w:t xml:space="preserve"> </w:t>
      </w:r>
      <w:r w:rsidR="653BB4F0" w:rsidRPr="00C020C2">
        <w:rPr>
          <w:rFonts w:eastAsia="Calibri"/>
        </w:rPr>
        <w:t xml:space="preserve">the UN Secretary-General’s Our Common Agenda. </w:t>
      </w:r>
    </w:p>
    <w:p w14:paraId="57245436" w14:textId="3B955FF3" w:rsidR="00E215BC" w:rsidRPr="00C020C2" w:rsidRDefault="45F1BC32" w:rsidP="00DE38D4">
      <w:pPr>
        <w:spacing w:after="120"/>
        <w:jc w:val="both"/>
        <w:rPr>
          <w:rFonts w:eastAsia="Calibri"/>
        </w:rPr>
      </w:pPr>
      <w:r w:rsidRPr="00C020C2">
        <w:rPr>
          <w:rFonts w:eastAsia="Calibri"/>
        </w:rPr>
        <w:t>The digital landscape is evolving faster than ever</w:t>
      </w:r>
      <w:r w:rsidR="17451F20" w:rsidRPr="00C020C2">
        <w:rPr>
          <w:rFonts w:eastAsia="Calibri"/>
        </w:rPr>
        <w:t xml:space="preserve"> and</w:t>
      </w:r>
      <w:r w:rsidRPr="00C020C2">
        <w:rPr>
          <w:rFonts w:eastAsia="Calibri"/>
        </w:rPr>
        <w:t xml:space="preserve"> </w:t>
      </w:r>
      <w:r w:rsidR="77B66310" w:rsidRPr="00C020C2">
        <w:rPr>
          <w:rFonts w:eastAsia="Calibri"/>
          <w:lang w:val="en-US"/>
        </w:rPr>
        <w:t xml:space="preserve">ITU has </w:t>
      </w:r>
      <w:r w:rsidR="689A377F" w:rsidRPr="00C020C2">
        <w:rPr>
          <w:rFonts w:eastAsia="Calibri"/>
          <w:lang w:val="en-US"/>
        </w:rPr>
        <w:t xml:space="preserve">been tracking </w:t>
      </w:r>
      <w:r w:rsidR="77B66310" w:rsidRPr="00C020C2">
        <w:rPr>
          <w:rFonts w:eastAsia="Calibri"/>
          <w:lang w:val="en-US"/>
        </w:rPr>
        <w:t xml:space="preserve">the </w:t>
      </w:r>
      <w:r w:rsidR="5107EC6A" w:rsidRPr="00C020C2">
        <w:rPr>
          <w:rFonts w:eastAsia="Calibri"/>
          <w:lang w:val="en-US"/>
        </w:rPr>
        <w:t xml:space="preserve">development and convergence </w:t>
      </w:r>
      <w:r w:rsidR="77B66310" w:rsidRPr="00C020C2">
        <w:rPr>
          <w:rFonts w:eastAsia="Calibri"/>
          <w:lang w:val="en-US"/>
        </w:rPr>
        <w:t>of a constellation of emerging technologies</w:t>
      </w:r>
      <w:r w:rsidR="50C36193" w:rsidRPr="00C020C2">
        <w:rPr>
          <w:rFonts w:eastAsia="Calibri"/>
          <w:lang w:val="en-US"/>
        </w:rPr>
        <w:t xml:space="preserve">. These include </w:t>
      </w:r>
      <w:r w:rsidR="77B66310" w:rsidRPr="00C020C2">
        <w:rPr>
          <w:rFonts w:eastAsia="Calibri"/>
          <w:lang w:val="en-US"/>
        </w:rPr>
        <w:t>AI</w:t>
      </w:r>
      <w:r w:rsidR="50C36193" w:rsidRPr="00C020C2">
        <w:rPr>
          <w:rFonts w:eastAsia="Calibri"/>
          <w:lang w:val="en-US"/>
        </w:rPr>
        <w:t>-</w:t>
      </w:r>
      <w:r w:rsidR="77B66310" w:rsidRPr="00C020C2">
        <w:rPr>
          <w:rFonts w:eastAsia="Calibri"/>
          <w:lang w:val="en-US"/>
        </w:rPr>
        <w:t>driven predictive</w:t>
      </w:r>
      <w:r w:rsidR="4A77A228" w:rsidRPr="00C020C2">
        <w:rPr>
          <w:rFonts w:eastAsia="Calibri"/>
          <w:lang w:val="en-US"/>
        </w:rPr>
        <w:t xml:space="preserve"> and generative</w:t>
      </w:r>
      <w:r w:rsidR="77B66310" w:rsidRPr="00C020C2">
        <w:rPr>
          <w:rFonts w:eastAsia="Calibri"/>
          <w:lang w:val="en-US"/>
        </w:rPr>
        <w:t xml:space="preserve"> technologies</w:t>
      </w:r>
      <w:r w:rsidR="50C36193" w:rsidRPr="00C020C2">
        <w:rPr>
          <w:rFonts w:eastAsia="Calibri"/>
          <w:lang w:val="en-US"/>
        </w:rPr>
        <w:t xml:space="preserve">, </w:t>
      </w:r>
      <w:r w:rsidR="67716C79" w:rsidRPr="00C020C2">
        <w:rPr>
          <w:rFonts w:eastAsia="Calibri"/>
          <w:lang w:val="en-US"/>
        </w:rPr>
        <w:t>q</w:t>
      </w:r>
      <w:r w:rsidR="77B66310" w:rsidRPr="00C020C2">
        <w:rPr>
          <w:rFonts w:eastAsia="Calibri"/>
          <w:lang w:val="en-US"/>
        </w:rPr>
        <w:t>uantum</w:t>
      </w:r>
      <w:r w:rsidR="50C36193" w:rsidRPr="00C020C2">
        <w:rPr>
          <w:rFonts w:eastAsia="Calibri"/>
          <w:lang w:val="en-US"/>
        </w:rPr>
        <w:t xml:space="preserve"> </w:t>
      </w:r>
      <w:r w:rsidR="17451F20" w:rsidRPr="00C020C2">
        <w:rPr>
          <w:rFonts w:eastAsia="Calibri"/>
          <w:lang w:val="en-US"/>
        </w:rPr>
        <w:t>(</w:t>
      </w:r>
      <w:r w:rsidR="50C36193" w:rsidRPr="00C020C2">
        <w:rPr>
          <w:rFonts w:eastAsia="Calibri"/>
          <w:lang w:val="en-US"/>
        </w:rPr>
        <w:t>offering phenomenal computational capabilities</w:t>
      </w:r>
      <w:r w:rsidR="17451F20" w:rsidRPr="00C020C2">
        <w:rPr>
          <w:rFonts w:eastAsia="Calibri"/>
          <w:lang w:val="en-US"/>
        </w:rPr>
        <w:t>)</w:t>
      </w:r>
      <w:r w:rsidR="50C36193" w:rsidRPr="00C020C2">
        <w:rPr>
          <w:rFonts w:eastAsia="Calibri"/>
          <w:lang w:val="en-US"/>
        </w:rPr>
        <w:t xml:space="preserve"> and </w:t>
      </w:r>
      <w:r w:rsidR="77B66310" w:rsidRPr="00C020C2">
        <w:rPr>
          <w:rFonts w:eastAsia="Calibri"/>
          <w:lang w:val="en-US"/>
        </w:rPr>
        <w:t xml:space="preserve">next-gen infrastructure such as 5G/6G, IoTs and </w:t>
      </w:r>
      <w:r w:rsidR="009C6B81" w:rsidRPr="00C020C2">
        <w:rPr>
          <w:rFonts w:eastAsia="Calibri"/>
          <w:lang w:val="en-US"/>
        </w:rPr>
        <w:t xml:space="preserve">space </w:t>
      </w:r>
      <w:r w:rsidR="77B66310" w:rsidRPr="00C020C2">
        <w:rPr>
          <w:rFonts w:eastAsia="Calibri"/>
          <w:lang w:val="en-US"/>
        </w:rPr>
        <w:t>communications</w:t>
      </w:r>
      <w:r w:rsidR="50C36193" w:rsidRPr="00C020C2">
        <w:rPr>
          <w:rFonts w:eastAsia="Calibri"/>
          <w:lang w:val="en-US"/>
        </w:rPr>
        <w:t>. ITU is also tracking</w:t>
      </w:r>
      <w:r w:rsidR="77B66310" w:rsidRPr="00C020C2">
        <w:rPr>
          <w:rFonts w:eastAsia="Calibri"/>
          <w:lang w:val="en-US"/>
        </w:rPr>
        <w:t xml:space="preserve"> new paradigms of human computer interaction offered by </w:t>
      </w:r>
      <w:r w:rsidR="67716C79" w:rsidRPr="00C020C2">
        <w:rPr>
          <w:rFonts w:eastAsia="Calibri"/>
          <w:lang w:val="en-US"/>
        </w:rPr>
        <w:t>neurotech</w:t>
      </w:r>
      <w:r w:rsidR="77B66310" w:rsidRPr="00C020C2">
        <w:rPr>
          <w:rFonts w:eastAsia="Calibri"/>
          <w:lang w:val="en-US"/>
        </w:rPr>
        <w:t xml:space="preserve">, </w:t>
      </w:r>
      <w:r w:rsidR="50C36193" w:rsidRPr="00C020C2">
        <w:rPr>
          <w:rFonts w:eastAsia="Calibri"/>
          <w:lang w:val="en-US"/>
        </w:rPr>
        <w:t xml:space="preserve">and </w:t>
      </w:r>
      <w:r w:rsidR="77B66310" w:rsidRPr="00C020C2">
        <w:rPr>
          <w:rFonts w:eastAsia="Calibri"/>
          <w:lang w:val="en-US"/>
        </w:rPr>
        <w:t xml:space="preserve">next generation environments such as the </w:t>
      </w:r>
      <w:r w:rsidR="67716C79" w:rsidRPr="00C020C2">
        <w:rPr>
          <w:rFonts w:eastAsia="Calibri"/>
          <w:lang w:val="en-US"/>
        </w:rPr>
        <w:t>metaverse</w:t>
      </w:r>
      <w:r w:rsidR="77B66310" w:rsidRPr="00C020C2">
        <w:rPr>
          <w:rFonts w:eastAsia="Calibri"/>
          <w:lang w:val="en-US"/>
        </w:rPr>
        <w:t xml:space="preserve">. </w:t>
      </w:r>
      <w:r w:rsidR="17451F20" w:rsidRPr="00C020C2">
        <w:rPr>
          <w:rFonts w:eastAsia="Calibri"/>
          <w:lang w:val="en-US"/>
        </w:rPr>
        <w:t>While t</w:t>
      </w:r>
      <w:r w:rsidR="77B66310" w:rsidRPr="00C020C2">
        <w:rPr>
          <w:rFonts w:eastAsia="Calibri"/>
          <w:lang w:val="en-US"/>
        </w:rPr>
        <w:t xml:space="preserve">his </w:t>
      </w:r>
      <w:r w:rsidR="50C36193" w:rsidRPr="00C020C2">
        <w:rPr>
          <w:rFonts w:eastAsia="Calibri"/>
          <w:lang w:val="en-US"/>
        </w:rPr>
        <w:t xml:space="preserve">raft of fast emerging technologies </w:t>
      </w:r>
      <w:r w:rsidR="77B66310" w:rsidRPr="00C020C2">
        <w:rPr>
          <w:rFonts w:eastAsia="Calibri"/>
          <w:lang w:val="en-US"/>
        </w:rPr>
        <w:t xml:space="preserve">has the potential to </w:t>
      </w:r>
      <w:r w:rsidR="2EB17659" w:rsidRPr="00C020C2">
        <w:rPr>
          <w:rFonts w:eastAsia="Calibri"/>
          <w:lang w:val="en-US"/>
        </w:rPr>
        <w:t>drive sustainable development</w:t>
      </w:r>
      <w:r w:rsidR="17451F20" w:rsidRPr="00C020C2">
        <w:rPr>
          <w:rFonts w:eastAsia="Calibri"/>
          <w:lang w:val="en-US"/>
        </w:rPr>
        <w:t xml:space="preserve">, it </w:t>
      </w:r>
      <w:r w:rsidR="77B66310" w:rsidRPr="00C020C2">
        <w:rPr>
          <w:rFonts w:eastAsia="Calibri"/>
          <w:lang w:val="en-US"/>
        </w:rPr>
        <w:t xml:space="preserve">also </w:t>
      </w:r>
      <w:r w:rsidR="2EB17659" w:rsidRPr="00C020C2">
        <w:rPr>
          <w:rFonts w:eastAsia="Calibri"/>
          <w:lang w:val="en-US"/>
        </w:rPr>
        <w:t xml:space="preserve">brings with it challenges </w:t>
      </w:r>
      <w:r w:rsidR="77B66310" w:rsidRPr="00C020C2">
        <w:rPr>
          <w:rFonts w:eastAsia="Calibri"/>
          <w:lang w:val="en-US"/>
        </w:rPr>
        <w:t xml:space="preserve">that may exacerbate current risks or </w:t>
      </w:r>
      <w:r w:rsidR="50C36193" w:rsidRPr="00C020C2">
        <w:rPr>
          <w:rFonts w:eastAsia="Calibri"/>
          <w:lang w:val="en-US"/>
        </w:rPr>
        <w:t xml:space="preserve">generate </w:t>
      </w:r>
      <w:r w:rsidR="77B66310" w:rsidRPr="00C020C2">
        <w:rPr>
          <w:rFonts w:eastAsia="Calibri"/>
          <w:lang w:val="en-US"/>
        </w:rPr>
        <w:t xml:space="preserve">new ones. </w:t>
      </w:r>
    </w:p>
    <w:p w14:paraId="2CB8BDA8" w14:textId="7597A029" w:rsidR="00E215BC" w:rsidRPr="00C020C2" w:rsidRDefault="48C7F102" w:rsidP="00DE38D4">
      <w:pPr>
        <w:spacing w:after="120"/>
        <w:jc w:val="both"/>
        <w:rPr>
          <w:rFonts w:eastAsia="Calibri"/>
        </w:rPr>
      </w:pPr>
      <w:r w:rsidRPr="00C020C2">
        <w:rPr>
          <w:rFonts w:eastAsia="Calibri"/>
        </w:rPr>
        <w:t xml:space="preserve">For </w:t>
      </w:r>
      <w:r w:rsidR="50C36193" w:rsidRPr="00C020C2">
        <w:rPr>
          <w:rFonts w:eastAsia="Calibri"/>
        </w:rPr>
        <w:t>example</w:t>
      </w:r>
      <w:r w:rsidRPr="00C020C2">
        <w:rPr>
          <w:rFonts w:eastAsia="Calibri"/>
        </w:rPr>
        <w:t>,</w:t>
      </w:r>
      <w:r w:rsidR="50C36193" w:rsidRPr="00C020C2">
        <w:rPr>
          <w:rFonts w:eastAsia="Calibri"/>
        </w:rPr>
        <w:t xml:space="preserve"> while </w:t>
      </w:r>
      <w:r w:rsidR="7A058611" w:rsidRPr="00C020C2">
        <w:rPr>
          <w:rFonts w:eastAsia="Calibri"/>
        </w:rPr>
        <w:t xml:space="preserve">the recent release of </w:t>
      </w:r>
      <w:r w:rsidR="67716C79" w:rsidRPr="00C020C2">
        <w:rPr>
          <w:rFonts w:eastAsia="Calibri"/>
        </w:rPr>
        <w:t xml:space="preserve">generative </w:t>
      </w:r>
      <w:r w:rsidR="7A058611" w:rsidRPr="00C020C2">
        <w:rPr>
          <w:rFonts w:eastAsia="Calibri"/>
        </w:rPr>
        <w:t xml:space="preserve">AI </w:t>
      </w:r>
      <w:r w:rsidR="199579AB" w:rsidRPr="00C020C2">
        <w:rPr>
          <w:rFonts w:eastAsia="Calibri"/>
        </w:rPr>
        <w:t>applications</w:t>
      </w:r>
      <w:r w:rsidR="50C36193" w:rsidRPr="00C020C2">
        <w:rPr>
          <w:rFonts w:eastAsia="Calibri"/>
        </w:rPr>
        <w:t xml:space="preserve"> offers </w:t>
      </w:r>
      <w:r w:rsidR="0FDCFA85" w:rsidRPr="00C020C2">
        <w:rPr>
          <w:rFonts w:eastAsia="Calibri"/>
        </w:rPr>
        <w:t xml:space="preserve">transformative potential </w:t>
      </w:r>
      <w:r w:rsidR="50C36193" w:rsidRPr="00C020C2">
        <w:rPr>
          <w:rFonts w:eastAsia="Calibri"/>
        </w:rPr>
        <w:t xml:space="preserve">for </w:t>
      </w:r>
      <w:r w:rsidR="0FDCFA85" w:rsidRPr="00C020C2">
        <w:rPr>
          <w:rFonts w:eastAsia="Calibri"/>
        </w:rPr>
        <w:t xml:space="preserve">wide-ranging </w:t>
      </w:r>
      <w:r w:rsidR="50C36193" w:rsidRPr="00C020C2">
        <w:rPr>
          <w:rFonts w:eastAsia="Calibri"/>
        </w:rPr>
        <w:t xml:space="preserve">and positive </w:t>
      </w:r>
      <w:r w:rsidR="0FDCFA85" w:rsidRPr="00C020C2">
        <w:rPr>
          <w:rFonts w:eastAsia="Calibri"/>
        </w:rPr>
        <w:t>impact</w:t>
      </w:r>
      <w:r w:rsidR="50C36193" w:rsidRPr="00C020C2">
        <w:rPr>
          <w:rFonts w:eastAsia="Calibri"/>
        </w:rPr>
        <w:t>, we recogni</w:t>
      </w:r>
      <w:r w:rsidR="360E8A3E" w:rsidRPr="00C020C2">
        <w:rPr>
          <w:rFonts w:eastAsia="Calibri"/>
        </w:rPr>
        <w:t>z</w:t>
      </w:r>
      <w:r w:rsidR="50C36193" w:rsidRPr="00C020C2">
        <w:rPr>
          <w:rFonts w:eastAsia="Calibri"/>
        </w:rPr>
        <w:t xml:space="preserve">e </w:t>
      </w:r>
      <w:r w:rsidR="40963506" w:rsidRPr="00C020C2">
        <w:rPr>
          <w:rFonts w:eastAsia="Calibri"/>
        </w:rPr>
        <w:t>equally</w:t>
      </w:r>
      <w:r w:rsidR="50C36193" w:rsidRPr="00C020C2">
        <w:rPr>
          <w:rFonts w:eastAsia="Calibri"/>
        </w:rPr>
        <w:t xml:space="preserve"> </w:t>
      </w:r>
      <w:r w:rsidR="40963506" w:rsidRPr="00C020C2">
        <w:rPr>
          <w:rFonts w:eastAsia="Calibri"/>
        </w:rPr>
        <w:t xml:space="preserve">AI’s potential for </w:t>
      </w:r>
      <w:r w:rsidR="50C36193" w:rsidRPr="00C020C2">
        <w:rPr>
          <w:rFonts w:eastAsia="Calibri"/>
        </w:rPr>
        <w:t xml:space="preserve">negative impacts on </w:t>
      </w:r>
      <w:r w:rsidR="31A6C5DF" w:rsidRPr="00C020C2">
        <w:rPr>
          <w:rFonts w:eastAsia="Calibri"/>
        </w:rPr>
        <w:t xml:space="preserve">such areas as </w:t>
      </w:r>
      <w:r w:rsidR="0D32EB87" w:rsidRPr="00C020C2">
        <w:rPr>
          <w:rFonts w:eastAsia="Calibri"/>
        </w:rPr>
        <w:t xml:space="preserve">employment, </w:t>
      </w:r>
      <w:r w:rsidR="30F2944B" w:rsidRPr="00C020C2">
        <w:rPr>
          <w:rFonts w:eastAsia="Calibri"/>
        </w:rPr>
        <w:t>trust</w:t>
      </w:r>
      <w:r w:rsidR="72415FCA" w:rsidRPr="00C020C2">
        <w:rPr>
          <w:rFonts w:eastAsia="Calibri"/>
        </w:rPr>
        <w:t>, transparency, accountability, bias</w:t>
      </w:r>
      <w:r w:rsidR="53BDA49F" w:rsidRPr="00C020C2">
        <w:rPr>
          <w:rFonts w:eastAsia="Calibri"/>
        </w:rPr>
        <w:t>, climate footprint</w:t>
      </w:r>
      <w:r w:rsidR="150F781F" w:rsidRPr="00C020C2">
        <w:rPr>
          <w:rFonts w:eastAsia="Calibri"/>
        </w:rPr>
        <w:t xml:space="preserve"> </w:t>
      </w:r>
      <w:r w:rsidR="53BDA49F" w:rsidRPr="00C020C2">
        <w:rPr>
          <w:rFonts w:eastAsia="Calibri"/>
        </w:rPr>
        <w:t>and the digital divide.</w:t>
      </w:r>
      <w:r w:rsidR="71842C9A" w:rsidRPr="00C020C2">
        <w:rPr>
          <w:rFonts w:eastAsia="Calibri"/>
        </w:rPr>
        <w:t xml:space="preserve"> </w:t>
      </w:r>
    </w:p>
    <w:p w14:paraId="31BCC36E" w14:textId="54999008" w:rsidR="0033720E" w:rsidRPr="00C020C2" w:rsidRDefault="150F781F" w:rsidP="00DE38D4">
      <w:pPr>
        <w:spacing w:after="120"/>
        <w:jc w:val="both"/>
        <w:rPr>
          <w:rFonts w:eastAsia="Calibri"/>
        </w:rPr>
      </w:pPr>
      <w:r w:rsidRPr="00C020C2">
        <w:rPr>
          <w:rFonts w:eastAsia="Calibri"/>
        </w:rPr>
        <w:t>T</w:t>
      </w:r>
      <w:r w:rsidR="67C07CB2" w:rsidRPr="00C020C2">
        <w:rPr>
          <w:rFonts w:eastAsia="Calibri"/>
        </w:rPr>
        <w:t>he space indus</w:t>
      </w:r>
      <w:r w:rsidR="50C36193" w:rsidRPr="00C020C2">
        <w:rPr>
          <w:rFonts w:eastAsia="Calibri"/>
        </w:rPr>
        <w:t>t</w:t>
      </w:r>
      <w:r w:rsidR="67C07CB2" w:rsidRPr="00C020C2">
        <w:rPr>
          <w:rFonts w:eastAsia="Calibri"/>
        </w:rPr>
        <w:t>ry</w:t>
      </w:r>
      <w:r w:rsidR="48C7F102" w:rsidRPr="00C020C2">
        <w:rPr>
          <w:rFonts w:eastAsia="Calibri"/>
        </w:rPr>
        <w:t xml:space="preserve"> </w:t>
      </w:r>
      <w:r w:rsidR="67C07CB2" w:rsidRPr="00C020C2">
        <w:rPr>
          <w:rFonts w:eastAsia="Calibri"/>
        </w:rPr>
        <w:t xml:space="preserve">is </w:t>
      </w:r>
      <w:r w:rsidR="48C7F102" w:rsidRPr="00C020C2">
        <w:rPr>
          <w:rFonts w:eastAsia="Calibri"/>
        </w:rPr>
        <w:t xml:space="preserve">also </w:t>
      </w:r>
      <w:r w:rsidR="67C07CB2" w:rsidRPr="00C020C2">
        <w:rPr>
          <w:rFonts w:eastAsia="Calibri"/>
        </w:rPr>
        <w:t xml:space="preserve">fast becoming </w:t>
      </w:r>
      <w:r w:rsidRPr="00C020C2">
        <w:rPr>
          <w:rFonts w:eastAsia="Calibri"/>
        </w:rPr>
        <w:t xml:space="preserve">a </w:t>
      </w:r>
      <w:r w:rsidR="67C07CB2" w:rsidRPr="00C020C2">
        <w:rPr>
          <w:rFonts w:eastAsia="Calibri"/>
        </w:rPr>
        <w:t xml:space="preserve">key driver of digital transformation with </w:t>
      </w:r>
      <w:r w:rsidR="502C927B" w:rsidRPr="00C020C2">
        <w:rPr>
          <w:rFonts w:eastAsia="Calibri"/>
        </w:rPr>
        <w:t xml:space="preserve">entry of </w:t>
      </w:r>
      <w:r w:rsidR="67C07CB2" w:rsidRPr="00C020C2">
        <w:rPr>
          <w:rFonts w:eastAsia="Calibri"/>
        </w:rPr>
        <w:t xml:space="preserve">new actors and industries, and the </w:t>
      </w:r>
      <w:r w:rsidRPr="00C020C2">
        <w:rPr>
          <w:rFonts w:eastAsia="Calibri"/>
        </w:rPr>
        <w:t xml:space="preserve">deployment </w:t>
      </w:r>
      <w:r w:rsidR="67C07CB2" w:rsidRPr="00C020C2">
        <w:rPr>
          <w:rFonts w:eastAsia="Calibri"/>
        </w:rPr>
        <w:t>of satellites to extend the reach of broadband</w:t>
      </w:r>
      <w:r w:rsidRPr="00C020C2">
        <w:rPr>
          <w:rFonts w:eastAsia="Calibri"/>
        </w:rPr>
        <w:t xml:space="preserve">, </w:t>
      </w:r>
      <w:r w:rsidR="5E23F538" w:rsidRPr="00C020C2">
        <w:rPr>
          <w:rFonts w:eastAsia="Calibri"/>
        </w:rPr>
        <w:t xml:space="preserve">including </w:t>
      </w:r>
      <w:r w:rsidRPr="00C020C2">
        <w:rPr>
          <w:rFonts w:eastAsia="Calibri"/>
        </w:rPr>
        <w:t xml:space="preserve">helping </w:t>
      </w:r>
      <w:r w:rsidR="67C07CB2" w:rsidRPr="00C020C2">
        <w:rPr>
          <w:rFonts w:eastAsia="Calibri"/>
        </w:rPr>
        <w:t>enabl</w:t>
      </w:r>
      <w:r w:rsidR="502C927B" w:rsidRPr="00C020C2">
        <w:rPr>
          <w:rFonts w:eastAsia="Calibri"/>
        </w:rPr>
        <w:t>e</w:t>
      </w:r>
      <w:r w:rsidR="67C07CB2" w:rsidRPr="00C020C2">
        <w:rPr>
          <w:rFonts w:eastAsia="Calibri"/>
        </w:rPr>
        <w:t xml:space="preserve"> global universal IoT coverage.</w:t>
      </w:r>
    </w:p>
    <w:p w14:paraId="762E0B77" w14:textId="1692D533" w:rsidR="009C53BC" w:rsidRPr="00C020C2" w:rsidRDefault="653BB4F0" w:rsidP="00DE38D4">
      <w:pPr>
        <w:spacing w:after="120"/>
        <w:jc w:val="both"/>
        <w:rPr>
          <w:rFonts w:eastAsia="Calibri"/>
        </w:rPr>
      </w:pPr>
      <w:r w:rsidRPr="00C020C2">
        <w:rPr>
          <w:rFonts w:eastAsia="Calibri"/>
        </w:rPr>
        <w:t xml:space="preserve">This </w:t>
      </w:r>
      <w:r w:rsidR="076CD634" w:rsidRPr="00C020C2">
        <w:rPr>
          <w:rFonts w:eastAsia="Calibri"/>
        </w:rPr>
        <w:t xml:space="preserve">rise in prominence of digital technologies and associated </w:t>
      </w:r>
      <w:r w:rsidRPr="00C020C2">
        <w:rPr>
          <w:rFonts w:eastAsia="Calibri"/>
        </w:rPr>
        <w:t xml:space="preserve">evolution in the UN system has led to the emergence of multiple workstreams among various entities whose work </w:t>
      </w:r>
      <w:r w:rsidR="7F0B4806" w:rsidRPr="00C020C2">
        <w:rPr>
          <w:rFonts w:eastAsia="Calibri"/>
        </w:rPr>
        <w:t xml:space="preserve">intersects </w:t>
      </w:r>
      <w:r w:rsidRPr="00C020C2">
        <w:rPr>
          <w:rFonts w:eastAsia="Calibri"/>
        </w:rPr>
        <w:t xml:space="preserve">with our mission and mandates in areas of telecommunications/ICTs. Although this </w:t>
      </w:r>
      <w:r w:rsidR="4DD2E4E1" w:rsidRPr="00C020C2">
        <w:rPr>
          <w:rFonts w:eastAsia="Calibri"/>
        </w:rPr>
        <w:t xml:space="preserve">may </w:t>
      </w:r>
      <w:r w:rsidRPr="00C020C2">
        <w:rPr>
          <w:rFonts w:eastAsia="Calibri"/>
        </w:rPr>
        <w:t>present a significant challenge</w:t>
      </w:r>
      <w:r w:rsidR="565EFD18" w:rsidRPr="00C020C2">
        <w:rPr>
          <w:rFonts w:eastAsia="Calibri"/>
        </w:rPr>
        <w:t xml:space="preserve"> of avoiding duplications and ensuring that the ITU’s mandate is well understood</w:t>
      </w:r>
      <w:r w:rsidRPr="00C020C2">
        <w:rPr>
          <w:rFonts w:eastAsia="Calibri"/>
        </w:rPr>
        <w:t xml:space="preserve">, it also offers ITU an opportunity to </w:t>
      </w:r>
      <w:r w:rsidR="150F781F" w:rsidRPr="00C020C2">
        <w:rPr>
          <w:rFonts w:eastAsia="Calibri"/>
        </w:rPr>
        <w:t>address these issues</w:t>
      </w:r>
      <w:r w:rsidR="4611BB65" w:rsidRPr="00C020C2">
        <w:rPr>
          <w:rFonts w:eastAsia="Calibri"/>
        </w:rPr>
        <w:t xml:space="preserve"> in a spirit of broad collaboration and partnerships</w:t>
      </w:r>
      <w:r w:rsidR="150F781F" w:rsidRPr="00C020C2">
        <w:rPr>
          <w:rFonts w:eastAsia="Calibri"/>
        </w:rPr>
        <w:t xml:space="preserve">, </w:t>
      </w:r>
      <w:r w:rsidRPr="00C020C2">
        <w:rPr>
          <w:rFonts w:eastAsia="Calibri"/>
        </w:rPr>
        <w:t>leverag</w:t>
      </w:r>
      <w:r w:rsidR="150F781F" w:rsidRPr="00C020C2">
        <w:rPr>
          <w:rFonts w:eastAsia="Calibri"/>
        </w:rPr>
        <w:t>ing</w:t>
      </w:r>
      <w:r w:rsidRPr="00C020C2">
        <w:rPr>
          <w:rFonts w:eastAsia="Calibri"/>
        </w:rPr>
        <w:t xml:space="preserve"> its expertise and unique position as </w:t>
      </w:r>
      <w:r w:rsidR="150F781F" w:rsidRPr="00C020C2">
        <w:rPr>
          <w:rFonts w:eastAsia="Calibri"/>
        </w:rPr>
        <w:t xml:space="preserve">the UN’s </w:t>
      </w:r>
      <w:r w:rsidRPr="00C020C2">
        <w:rPr>
          <w:rFonts w:eastAsia="Calibri"/>
        </w:rPr>
        <w:t xml:space="preserve">specialized agency for ICTs. </w:t>
      </w:r>
    </w:p>
    <w:p w14:paraId="3FE063E0" w14:textId="57D14F01" w:rsidR="0073437F" w:rsidRPr="00C020C2" w:rsidRDefault="45F1BC32" w:rsidP="00DE38D4">
      <w:pPr>
        <w:spacing w:after="120"/>
        <w:jc w:val="both"/>
      </w:pPr>
      <w:r w:rsidRPr="00C020C2">
        <w:t xml:space="preserve">The </w:t>
      </w:r>
      <w:r w:rsidR="4C7851C9" w:rsidRPr="00C020C2">
        <w:t>t</w:t>
      </w:r>
      <w:r w:rsidR="2F0CE6EC" w:rsidRPr="00C020C2">
        <w:t>hree</w:t>
      </w:r>
      <w:r w:rsidR="4C7851C9" w:rsidRPr="00C020C2">
        <w:t xml:space="preserve"> world conferences </w:t>
      </w:r>
      <w:r w:rsidR="2F0CE6EC" w:rsidRPr="00C020C2">
        <w:t xml:space="preserve">WTSA-20, </w:t>
      </w:r>
      <w:r w:rsidR="4C7851C9" w:rsidRPr="00C020C2">
        <w:t xml:space="preserve">WTDC-22 and PP-22 </w:t>
      </w:r>
      <w:r w:rsidR="150F781F" w:rsidRPr="00C020C2">
        <w:t xml:space="preserve">underlined </w:t>
      </w:r>
      <w:r w:rsidR="2F79CAF8" w:rsidRPr="00C020C2">
        <w:t xml:space="preserve">the </w:t>
      </w:r>
      <w:r w:rsidRPr="00C020C2">
        <w:t>membership</w:t>
      </w:r>
      <w:r w:rsidR="2F79CAF8" w:rsidRPr="00C020C2">
        <w:t>’s</w:t>
      </w:r>
      <w:r w:rsidRPr="00C020C2">
        <w:t xml:space="preserve"> </w:t>
      </w:r>
      <w:r w:rsidR="150F781F" w:rsidRPr="00C020C2">
        <w:t>pronounced ambition</w:t>
      </w:r>
      <w:r w:rsidRPr="00C020C2">
        <w:t xml:space="preserve"> to have ITU play a key role </w:t>
      </w:r>
      <w:r w:rsidR="06288CC7" w:rsidRPr="00C020C2">
        <w:t xml:space="preserve">in the </w:t>
      </w:r>
      <w:r w:rsidR="002A481C" w:rsidRPr="00C020C2">
        <w:t>digital landscape</w:t>
      </w:r>
      <w:r w:rsidR="150F781F" w:rsidRPr="00C020C2">
        <w:t xml:space="preserve"> – </w:t>
      </w:r>
      <w:r w:rsidR="566CC5DA" w:rsidRPr="00C020C2">
        <w:t>empower</w:t>
      </w:r>
      <w:r w:rsidR="150F781F" w:rsidRPr="00C020C2">
        <w:t>ing</w:t>
      </w:r>
      <w:r w:rsidR="566CC5DA" w:rsidRPr="00C020C2">
        <w:t xml:space="preserve"> </w:t>
      </w:r>
      <w:r w:rsidR="002A481C" w:rsidRPr="00C020C2">
        <w:t xml:space="preserve">all citizens of the world </w:t>
      </w:r>
      <w:r w:rsidR="2F79CAF8" w:rsidRPr="00C020C2">
        <w:t xml:space="preserve">to </w:t>
      </w:r>
      <w:r w:rsidR="002A481C" w:rsidRPr="00C020C2">
        <w:t>enj</w:t>
      </w:r>
      <w:r w:rsidR="1EE9F2D8" w:rsidRPr="00C020C2">
        <w:t>o</w:t>
      </w:r>
      <w:r w:rsidR="002A481C" w:rsidRPr="00C020C2">
        <w:t xml:space="preserve">y the benefits of these </w:t>
      </w:r>
      <w:r w:rsidR="4C7851C9" w:rsidRPr="00C020C2">
        <w:t>technologies</w:t>
      </w:r>
      <w:r w:rsidR="002A481C" w:rsidRPr="00C020C2">
        <w:t>. IT</w:t>
      </w:r>
      <w:r w:rsidR="1B271B5B" w:rsidRPr="00C020C2">
        <w:t>U</w:t>
      </w:r>
      <w:r w:rsidR="002A481C" w:rsidRPr="00C020C2">
        <w:t xml:space="preserve"> </w:t>
      </w:r>
      <w:r w:rsidR="2E03F83B" w:rsidRPr="00C020C2">
        <w:t xml:space="preserve">key focus now is </w:t>
      </w:r>
      <w:r w:rsidR="002A481C" w:rsidRPr="00C020C2">
        <w:t>t</w:t>
      </w:r>
      <w:r w:rsidR="59A38581" w:rsidRPr="00C020C2">
        <w:t xml:space="preserve">he preparation for WRC-23, including </w:t>
      </w:r>
      <w:r w:rsidR="5947FCCA" w:rsidRPr="00C020C2">
        <w:t xml:space="preserve">through </w:t>
      </w:r>
      <w:r w:rsidR="59A38581" w:rsidRPr="00C020C2">
        <w:t>the CPM which took place in March 2023.</w:t>
      </w:r>
    </w:p>
    <w:p w14:paraId="7E60C2CB" w14:textId="426AC1C6" w:rsidR="0073437F" w:rsidRPr="00C020C2" w:rsidRDefault="45F1BC32" w:rsidP="00DE38D4">
      <w:pPr>
        <w:spacing w:after="120"/>
        <w:jc w:val="both"/>
        <w:rPr>
          <w:rFonts w:eastAsia="Calibri"/>
        </w:rPr>
      </w:pPr>
      <w:r w:rsidRPr="00C020C2">
        <w:rPr>
          <w:rFonts w:eastAsia="Calibri"/>
        </w:rPr>
        <w:t>ITU</w:t>
      </w:r>
      <w:r w:rsidR="653BB4F0" w:rsidRPr="00C020C2">
        <w:rPr>
          <w:rFonts w:eastAsia="Calibri"/>
        </w:rPr>
        <w:t xml:space="preserve">’s objective is </w:t>
      </w:r>
      <w:r w:rsidR="0B1D36FB" w:rsidRPr="00C020C2">
        <w:rPr>
          <w:rFonts w:eastAsia="Calibri"/>
        </w:rPr>
        <w:t xml:space="preserve">to </w:t>
      </w:r>
      <w:r w:rsidR="4C7851C9" w:rsidRPr="00C020C2">
        <w:rPr>
          <w:rFonts w:eastAsia="Calibri"/>
        </w:rPr>
        <w:t>build</w:t>
      </w:r>
      <w:r w:rsidRPr="00C020C2">
        <w:rPr>
          <w:rFonts w:eastAsia="Calibri"/>
        </w:rPr>
        <w:t xml:space="preserve"> a world where everyone can reap the benefits of digital transformation and digital connectivity, regardless of nationality, location, gender, </w:t>
      </w:r>
      <w:r w:rsidR="3412A8DB" w:rsidRPr="00C020C2">
        <w:rPr>
          <w:rFonts w:eastAsia="Calibri"/>
        </w:rPr>
        <w:t xml:space="preserve">age </w:t>
      </w:r>
      <w:r w:rsidRPr="00C020C2">
        <w:rPr>
          <w:rFonts w:eastAsia="Calibri"/>
        </w:rPr>
        <w:t xml:space="preserve">or background. To </w:t>
      </w:r>
      <w:r w:rsidR="40963506" w:rsidRPr="00C020C2">
        <w:rPr>
          <w:rFonts w:eastAsia="Calibri"/>
        </w:rPr>
        <w:t xml:space="preserve">transform </w:t>
      </w:r>
      <w:r w:rsidRPr="00C020C2">
        <w:rPr>
          <w:rFonts w:eastAsia="Calibri"/>
        </w:rPr>
        <w:t xml:space="preserve">this vision into reality, ITU is committed to building an organization that is not only effective, but also embodies our core values of transparency, accountability, openness, universality, people-centeredness, service-orientation, and </w:t>
      </w:r>
      <w:r w:rsidR="40963506" w:rsidRPr="00C020C2">
        <w:rPr>
          <w:rFonts w:eastAsia="Calibri"/>
        </w:rPr>
        <w:t>of being</w:t>
      </w:r>
      <w:r w:rsidR="2F79CAF8" w:rsidRPr="00C020C2">
        <w:rPr>
          <w:rFonts w:eastAsia="Calibri"/>
        </w:rPr>
        <w:t xml:space="preserve"> </w:t>
      </w:r>
      <w:r w:rsidRPr="00C020C2">
        <w:rPr>
          <w:rFonts w:eastAsia="Calibri"/>
        </w:rPr>
        <w:t xml:space="preserve">results-driven. </w:t>
      </w:r>
      <w:r w:rsidR="0B1D36FB" w:rsidRPr="00C020C2">
        <w:rPr>
          <w:rFonts w:eastAsia="Calibri"/>
        </w:rPr>
        <w:t>Supported by</w:t>
      </w:r>
      <w:r w:rsidRPr="00C020C2">
        <w:rPr>
          <w:rFonts w:eastAsia="Calibri"/>
        </w:rPr>
        <w:t xml:space="preserve"> these values, </w:t>
      </w:r>
      <w:r w:rsidR="0B1D36FB" w:rsidRPr="00C020C2">
        <w:rPr>
          <w:rFonts w:eastAsia="Calibri"/>
        </w:rPr>
        <w:t xml:space="preserve">our </w:t>
      </w:r>
      <w:r w:rsidRPr="00C020C2">
        <w:rPr>
          <w:rFonts w:eastAsia="Calibri"/>
        </w:rPr>
        <w:t>aim is to ensure that the Union services the needs of Member States</w:t>
      </w:r>
      <w:r w:rsidR="6715BF2B" w:rsidRPr="00C020C2">
        <w:rPr>
          <w:rFonts w:eastAsia="Calibri"/>
        </w:rPr>
        <w:t>,</w:t>
      </w:r>
      <w:r w:rsidRPr="00C020C2">
        <w:rPr>
          <w:rFonts w:eastAsia="Calibri"/>
        </w:rPr>
        <w:t xml:space="preserve"> its </w:t>
      </w:r>
      <w:r w:rsidR="7422335D" w:rsidRPr="00C020C2">
        <w:rPr>
          <w:rFonts w:eastAsia="Calibri"/>
        </w:rPr>
        <w:t xml:space="preserve">broader </w:t>
      </w:r>
      <w:proofErr w:type="gramStart"/>
      <w:r w:rsidRPr="00C020C2">
        <w:rPr>
          <w:rFonts w:eastAsia="Calibri"/>
        </w:rPr>
        <w:t>membership</w:t>
      </w:r>
      <w:proofErr w:type="gramEnd"/>
      <w:r w:rsidR="69B4A1B3" w:rsidRPr="00C020C2">
        <w:rPr>
          <w:rFonts w:eastAsia="Calibri"/>
        </w:rPr>
        <w:t xml:space="preserve"> and the world at large</w:t>
      </w:r>
      <w:r w:rsidRPr="00C020C2">
        <w:rPr>
          <w:rFonts w:eastAsia="Calibri"/>
        </w:rPr>
        <w:t xml:space="preserve">, and </w:t>
      </w:r>
      <w:r w:rsidR="40963506" w:rsidRPr="00C020C2">
        <w:rPr>
          <w:rFonts w:eastAsia="Calibri"/>
        </w:rPr>
        <w:t xml:space="preserve">in so doing </w:t>
      </w:r>
      <w:r w:rsidRPr="00C020C2">
        <w:rPr>
          <w:rFonts w:eastAsia="Calibri"/>
        </w:rPr>
        <w:t>help</w:t>
      </w:r>
      <w:r w:rsidR="40963506" w:rsidRPr="00C020C2">
        <w:rPr>
          <w:rFonts w:eastAsia="Calibri"/>
        </w:rPr>
        <w:t xml:space="preserve"> </w:t>
      </w:r>
      <w:r w:rsidRPr="00C020C2">
        <w:rPr>
          <w:rFonts w:eastAsia="Calibri"/>
        </w:rPr>
        <w:t>bridge the digital divide that continues to impact so many communities.</w:t>
      </w:r>
    </w:p>
    <w:p w14:paraId="611DE785" w14:textId="383AB669" w:rsidR="0073437F" w:rsidRPr="00C020C2" w:rsidRDefault="45F1BC32" w:rsidP="00DE38D4">
      <w:pPr>
        <w:spacing w:after="120"/>
        <w:jc w:val="both"/>
        <w:rPr>
          <w:rFonts w:eastAsia="Calibri"/>
        </w:rPr>
      </w:pPr>
      <w:r w:rsidRPr="00C020C2">
        <w:rPr>
          <w:rFonts w:eastAsia="Calibri"/>
        </w:rPr>
        <w:lastRenderedPageBreak/>
        <w:t xml:space="preserve">To </w:t>
      </w:r>
      <w:r w:rsidR="76B8A439" w:rsidRPr="00C020C2">
        <w:rPr>
          <w:rFonts w:eastAsia="Calibri"/>
        </w:rPr>
        <w:t xml:space="preserve">enhance the impact of </w:t>
      </w:r>
      <w:r w:rsidRPr="00C020C2">
        <w:rPr>
          <w:rFonts w:eastAsia="Calibri"/>
        </w:rPr>
        <w:t>its services and products, the management</w:t>
      </w:r>
      <w:r w:rsidR="4C2B218F" w:rsidRPr="00C020C2">
        <w:rPr>
          <w:rFonts w:eastAsia="Calibri"/>
        </w:rPr>
        <w:t xml:space="preserve"> </w:t>
      </w:r>
      <w:r w:rsidR="40963506" w:rsidRPr="00C020C2">
        <w:rPr>
          <w:rFonts w:eastAsia="Calibri"/>
        </w:rPr>
        <w:t xml:space="preserve">is </w:t>
      </w:r>
      <w:r w:rsidRPr="00C020C2">
        <w:rPr>
          <w:rFonts w:eastAsia="Calibri"/>
        </w:rPr>
        <w:t>commit</w:t>
      </w:r>
      <w:r w:rsidR="40963506" w:rsidRPr="00C020C2">
        <w:rPr>
          <w:rFonts w:eastAsia="Calibri"/>
        </w:rPr>
        <w:t xml:space="preserve">ted </w:t>
      </w:r>
      <w:r w:rsidRPr="00C020C2">
        <w:rPr>
          <w:rFonts w:eastAsia="Calibri"/>
        </w:rPr>
        <w:t xml:space="preserve">to </w:t>
      </w:r>
      <w:r w:rsidR="3906B9D4" w:rsidRPr="00C020C2">
        <w:rPr>
          <w:rFonts w:eastAsia="Calibri"/>
        </w:rPr>
        <w:t xml:space="preserve">ensure </w:t>
      </w:r>
      <w:r w:rsidR="14126952" w:rsidRPr="00C020C2">
        <w:rPr>
          <w:rFonts w:eastAsia="Calibri"/>
        </w:rPr>
        <w:t xml:space="preserve">that </w:t>
      </w:r>
      <w:r w:rsidR="4C2B218F" w:rsidRPr="00C020C2">
        <w:rPr>
          <w:rFonts w:eastAsia="Calibri"/>
        </w:rPr>
        <w:t xml:space="preserve">ITU </w:t>
      </w:r>
      <w:r w:rsidR="13AA0468" w:rsidRPr="00C020C2">
        <w:rPr>
          <w:rFonts w:eastAsia="Calibri"/>
        </w:rPr>
        <w:t xml:space="preserve">finds its appropriate role </w:t>
      </w:r>
      <w:r w:rsidRPr="00C020C2">
        <w:rPr>
          <w:rFonts w:eastAsia="Calibri"/>
        </w:rPr>
        <w:t xml:space="preserve">in emerging areas, such as AI, data, green digital transformation, digital resilience and metaverse. </w:t>
      </w:r>
      <w:r w:rsidR="4C2B218F" w:rsidRPr="00C020C2">
        <w:rPr>
          <w:rFonts w:eastAsia="Calibri"/>
        </w:rPr>
        <w:t>T</w:t>
      </w:r>
      <w:r w:rsidRPr="00C020C2">
        <w:rPr>
          <w:rFonts w:eastAsia="Calibri"/>
        </w:rPr>
        <w:t xml:space="preserve">he Union will leverage digital technologies to support data-driven, agile decision-making, and enhance organizational efficiency. </w:t>
      </w:r>
      <w:r w:rsidR="02006AFA" w:rsidRPr="00C020C2">
        <w:rPr>
          <w:rFonts w:eastAsia="Calibri"/>
        </w:rPr>
        <w:t>T</w:t>
      </w:r>
      <w:r w:rsidR="4C2B218F" w:rsidRPr="00C020C2">
        <w:rPr>
          <w:rFonts w:eastAsia="Calibri"/>
        </w:rPr>
        <w:t>hrough</w:t>
      </w:r>
      <w:r w:rsidRPr="00C020C2">
        <w:rPr>
          <w:rFonts w:eastAsia="Calibri"/>
        </w:rPr>
        <w:t xml:space="preserve"> efficient allocation and use of limited resources, the Union will better rationalize the provision of common services and products throughout </w:t>
      </w:r>
      <w:r w:rsidR="4C2B218F" w:rsidRPr="00C020C2">
        <w:rPr>
          <w:rFonts w:eastAsia="Calibri"/>
        </w:rPr>
        <w:t xml:space="preserve">its </w:t>
      </w:r>
      <w:r w:rsidRPr="00C020C2">
        <w:rPr>
          <w:rFonts w:eastAsia="Calibri"/>
        </w:rPr>
        <w:t>three Sectors and General Secretariat, leverag</w:t>
      </w:r>
      <w:r w:rsidR="40963506" w:rsidRPr="00C020C2">
        <w:rPr>
          <w:rFonts w:eastAsia="Calibri"/>
        </w:rPr>
        <w:t>ing</w:t>
      </w:r>
      <w:r w:rsidRPr="00C020C2">
        <w:rPr>
          <w:rFonts w:eastAsia="Calibri"/>
        </w:rPr>
        <w:t xml:space="preserve"> expertise across </w:t>
      </w:r>
      <w:r w:rsidRPr="00C020C2">
        <w:rPr>
          <w:rFonts w:eastAsia="Calibri"/>
          <w:i/>
          <w:iCs/>
        </w:rPr>
        <w:t>One ITU</w:t>
      </w:r>
      <w:r w:rsidRPr="00C020C2">
        <w:rPr>
          <w:rFonts w:eastAsia="Calibri"/>
        </w:rPr>
        <w:t xml:space="preserve">. This approach will </w:t>
      </w:r>
      <w:r w:rsidR="40963506" w:rsidRPr="00C020C2">
        <w:rPr>
          <w:rFonts w:eastAsia="Calibri"/>
        </w:rPr>
        <w:t xml:space="preserve">reinforce ITU’s leadership position in </w:t>
      </w:r>
      <w:r w:rsidR="6152DD92" w:rsidRPr="00C020C2">
        <w:rPr>
          <w:rFonts w:eastAsia="Calibri"/>
        </w:rPr>
        <w:t>contributing to the digital development</w:t>
      </w:r>
      <w:r w:rsidR="40963506" w:rsidRPr="00C020C2">
        <w:rPr>
          <w:rFonts w:eastAsia="Calibri"/>
        </w:rPr>
        <w:t xml:space="preserve">, and at the same time will </w:t>
      </w:r>
      <w:r w:rsidRPr="00C020C2">
        <w:rPr>
          <w:rFonts w:eastAsia="Calibri"/>
        </w:rPr>
        <w:t xml:space="preserve">enhance our culture, finance, system and processes, </w:t>
      </w:r>
      <w:r w:rsidR="40963506" w:rsidRPr="00C020C2">
        <w:rPr>
          <w:rFonts w:eastAsia="Calibri"/>
        </w:rPr>
        <w:t xml:space="preserve">our </w:t>
      </w:r>
      <w:r w:rsidRPr="00C020C2">
        <w:rPr>
          <w:rFonts w:eastAsia="Calibri"/>
        </w:rPr>
        <w:t xml:space="preserve">workplace and governance. </w:t>
      </w:r>
    </w:p>
    <w:p w14:paraId="631B848A" w14:textId="76186C50" w:rsidR="002B38AA" w:rsidRPr="00C020C2" w:rsidRDefault="002B38AA" w:rsidP="00DE38D4">
      <w:pPr>
        <w:pStyle w:val="Heading1"/>
        <w:numPr>
          <w:ilvl w:val="0"/>
          <w:numId w:val="13"/>
        </w:numPr>
        <w:spacing w:before="240" w:after="120"/>
        <w:ind w:left="567" w:hanging="567"/>
      </w:pPr>
      <w:bookmarkStart w:id="13" w:name="_Toc137211287"/>
      <w:r w:rsidRPr="00C020C2">
        <w:t>ITU Plenipotentiary Conference (PP</w:t>
      </w:r>
      <w:r w:rsidRPr="00C020C2">
        <w:rPr>
          <w:rFonts w:ascii="Cambria Math" w:hAnsi="Cambria Math" w:cs="Cambria Math"/>
        </w:rPr>
        <w:t>‑</w:t>
      </w:r>
      <w:r w:rsidRPr="00C020C2">
        <w:t>22)</w:t>
      </w:r>
      <w:bookmarkEnd w:id="13"/>
    </w:p>
    <w:p w14:paraId="12191BDA" w14:textId="3819C745" w:rsidR="002B38AA" w:rsidRPr="00C020C2" w:rsidRDefault="0F3C606C" w:rsidP="57480088">
      <w:pPr>
        <w:spacing w:after="120"/>
        <w:jc w:val="both"/>
        <w:rPr>
          <w:rFonts w:asciiTheme="minorHAnsi" w:hAnsiTheme="minorHAnsi" w:cstheme="minorHAnsi"/>
          <w:lang w:val="en-US"/>
        </w:rPr>
      </w:pPr>
      <w:r w:rsidRPr="00C020C2">
        <w:rPr>
          <w:rFonts w:asciiTheme="minorHAnsi" w:hAnsiTheme="minorHAnsi" w:cstheme="minorHAnsi"/>
        </w:rPr>
        <w:t>The 21st ITU Plenipotentiary Conference (PP</w:t>
      </w:r>
      <w:r w:rsidRPr="00C020C2">
        <w:rPr>
          <w:rFonts w:ascii="Cambria Math" w:hAnsi="Cambria Math" w:cs="Cambria Math"/>
        </w:rPr>
        <w:t>‑</w:t>
      </w:r>
      <w:r w:rsidRPr="00C020C2">
        <w:rPr>
          <w:rFonts w:asciiTheme="minorHAnsi" w:hAnsiTheme="minorHAnsi" w:cstheme="minorHAnsi"/>
        </w:rPr>
        <w:t xml:space="preserve">22) </w:t>
      </w:r>
      <w:r w:rsidR="35A4F131" w:rsidRPr="00C020C2">
        <w:rPr>
          <w:rFonts w:asciiTheme="minorHAnsi" w:hAnsiTheme="minorHAnsi" w:cstheme="minorHAnsi"/>
        </w:rPr>
        <w:t xml:space="preserve">convened </w:t>
      </w:r>
      <w:r w:rsidRPr="00C020C2">
        <w:rPr>
          <w:rFonts w:asciiTheme="minorHAnsi" w:hAnsiTheme="minorHAnsi" w:cstheme="minorHAnsi"/>
        </w:rPr>
        <w:t xml:space="preserve">in Bucharest, Romania, set out the general policies and strategic direction of ITU for the coming period, adopting four-year strategic and financial plans and addressing key issues related to information and communication technologies (ICTs) </w:t>
      </w:r>
      <w:r w:rsidR="22BECE0E" w:rsidRPr="00C020C2">
        <w:rPr>
          <w:rFonts w:asciiTheme="minorHAnsi" w:hAnsiTheme="minorHAnsi" w:cstheme="minorHAnsi"/>
        </w:rPr>
        <w:t xml:space="preserve">in alignment with </w:t>
      </w:r>
      <w:r w:rsidRPr="00C020C2">
        <w:rPr>
          <w:rFonts w:asciiTheme="minorHAnsi" w:hAnsiTheme="minorHAnsi" w:cstheme="minorHAnsi"/>
        </w:rPr>
        <w:t>request</w:t>
      </w:r>
      <w:r w:rsidR="22BECE0E" w:rsidRPr="00C020C2">
        <w:rPr>
          <w:rFonts w:asciiTheme="minorHAnsi" w:hAnsiTheme="minorHAnsi" w:cstheme="minorHAnsi"/>
        </w:rPr>
        <w:t xml:space="preserve">s of </w:t>
      </w:r>
      <w:r w:rsidRPr="00C020C2">
        <w:rPr>
          <w:rFonts w:asciiTheme="minorHAnsi" w:hAnsiTheme="minorHAnsi" w:cstheme="minorHAnsi"/>
        </w:rPr>
        <w:t xml:space="preserve">ITU members. It took place from 26 September to 14 October in Bucharest’s Palace of Parliament and was </w:t>
      </w:r>
      <w:r w:rsidR="2F79CAF8" w:rsidRPr="00C020C2">
        <w:rPr>
          <w:rFonts w:asciiTheme="minorHAnsi" w:hAnsiTheme="minorHAnsi" w:cstheme="minorHAnsi"/>
        </w:rPr>
        <w:t xml:space="preserve">chaired </w:t>
      </w:r>
      <w:r w:rsidRPr="00C020C2">
        <w:rPr>
          <w:rFonts w:asciiTheme="minorHAnsi" w:hAnsiTheme="minorHAnsi" w:cstheme="minorHAnsi"/>
        </w:rPr>
        <w:t xml:space="preserve">by Mr. Sabin Sărmaș, President of Romania’s </w:t>
      </w:r>
      <w:r w:rsidR="35609763" w:rsidRPr="00C020C2">
        <w:rPr>
          <w:rFonts w:asciiTheme="minorHAnsi" w:hAnsiTheme="minorHAnsi" w:cstheme="minorHAnsi"/>
        </w:rPr>
        <w:t xml:space="preserve">House of Deputies </w:t>
      </w:r>
      <w:r w:rsidRPr="00C020C2">
        <w:rPr>
          <w:rFonts w:asciiTheme="minorHAnsi" w:hAnsiTheme="minorHAnsi" w:cstheme="minorHAnsi"/>
        </w:rPr>
        <w:t>Information Technology and Communications Committee.</w:t>
      </w:r>
    </w:p>
    <w:p w14:paraId="18AE4302" w14:textId="6A736563" w:rsidR="002B38AA" w:rsidRPr="00C020C2" w:rsidRDefault="002B38AA" w:rsidP="00DE38D4">
      <w:pPr>
        <w:spacing w:before="240" w:after="120"/>
        <w:jc w:val="both"/>
        <w:rPr>
          <w:rFonts w:asciiTheme="minorHAnsi" w:hAnsiTheme="minorHAnsi" w:cstheme="minorHAnsi"/>
          <w:b/>
          <w:bCs/>
          <w:szCs w:val="24"/>
        </w:rPr>
      </w:pPr>
      <w:r w:rsidRPr="00C020C2">
        <w:rPr>
          <w:rFonts w:asciiTheme="minorHAnsi" w:hAnsiTheme="minorHAnsi" w:cstheme="minorHAnsi"/>
          <w:b/>
          <w:bCs/>
          <w:szCs w:val="24"/>
        </w:rPr>
        <w:t>Participants</w:t>
      </w:r>
      <w:r w:rsidR="00950031" w:rsidRPr="00C020C2">
        <w:rPr>
          <w:rFonts w:asciiTheme="minorHAnsi" w:hAnsiTheme="minorHAnsi" w:cstheme="minorHAnsi"/>
          <w:b/>
          <w:bCs/>
          <w:szCs w:val="24"/>
        </w:rPr>
        <w:t xml:space="preserve"> and main outcomes</w:t>
      </w:r>
      <w:r w:rsidRPr="00C020C2">
        <w:rPr>
          <w:rFonts w:asciiTheme="minorHAnsi" w:hAnsiTheme="minorHAnsi" w:cstheme="minorHAnsi"/>
          <w:b/>
          <w:bCs/>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5287"/>
      </w:tblGrid>
      <w:tr w:rsidR="00854F63" w:rsidRPr="00C020C2" w14:paraId="201EFCD9" w14:textId="77777777" w:rsidTr="00854F63">
        <w:tc>
          <w:tcPr>
            <w:tcW w:w="3774" w:type="dxa"/>
          </w:tcPr>
          <w:p w14:paraId="2EC174FE" w14:textId="090233B1" w:rsidR="00361EF1" w:rsidRPr="00C020C2" w:rsidRDefault="00361EF1" w:rsidP="002B38AA">
            <w:pPr>
              <w:jc w:val="both"/>
              <w:rPr>
                <w:rFonts w:asciiTheme="minorHAnsi" w:hAnsiTheme="minorHAnsi" w:cstheme="minorHAnsi"/>
                <w:b/>
                <w:bCs/>
                <w:szCs w:val="24"/>
                <w:lang w:val="en-US"/>
              </w:rPr>
            </w:pPr>
            <w:r w:rsidRPr="00C020C2">
              <w:rPr>
                <w:rFonts w:asciiTheme="minorHAnsi" w:hAnsiTheme="minorHAnsi" w:cstheme="minorHAnsi"/>
                <w:noProof/>
                <w:szCs w:val="24"/>
                <w:lang w:val="fr-FR" w:eastAsia="fr-FR"/>
              </w:rPr>
              <w:drawing>
                <wp:inline distT="0" distB="0" distL="0" distR="0" wp14:anchorId="3485C31A" wp14:editId="1143D928">
                  <wp:extent cx="2241550" cy="2830237"/>
                  <wp:effectExtent l="0" t="0" r="6350" b="8255"/>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9"/>
                          <a:stretch>
                            <a:fillRect/>
                          </a:stretch>
                        </pic:blipFill>
                        <pic:spPr>
                          <a:xfrm>
                            <a:off x="0" y="0"/>
                            <a:ext cx="2279091" cy="2877638"/>
                          </a:xfrm>
                          <a:prstGeom prst="rect">
                            <a:avLst/>
                          </a:prstGeom>
                        </pic:spPr>
                      </pic:pic>
                    </a:graphicData>
                  </a:graphic>
                </wp:inline>
              </w:drawing>
            </w:r>
          </w:p>
        </w:tc>
        <w:tc>
          <w:tcPr>
            <w:tcW w:w="5287" w:type="dxa"/>
          </w:tcPr>
          <w:p w14:paraId="4EB2100F" w14:textId="6B42584A" w:rsidR="00361EF1" w:rsidRPr="00C020C2" w:rsidRDefault="00950031" w:rsidP="002B38AA">
            <w:pPr>
              <w:jc w:val="both"/>
              <w:rPr>
                <w:rFonts w:asciiTheme="minorHAnsi" w:hAnsiTheme="minorHAnsi" w:cstheme="minorHAnsi"/>
                <w:b/>
                <w:bCs/>
                <w:szCs w:val="24"/>
                <w:lang w:val="en-US"/>
              </w:rPr>
            </w:pPr>
            <w:r w:rsidRPr="00C020C2">
              <w:rPr>
                <w:noProof/>
                <w:lang w:val="fr-FR" w:eastAsia="fr-FR"/>
              </w:rPr>
              <w:drawing>
                <wp:inline distT="0" distB="0" distL="0" distR="0" wp14:anchorId="6B41EFC3" wp14:editId="55979B87">
                  <wp:extent cx="3219450" cy="152081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43248" cy="1532061"/>
                          </a:xfrm>
                          <a:prstGeom prst="rect">
                            <a:avLst/>
                          </a:prstGeom>
                        </pic:spPr>
                      </pic:pic>
                    </a:graphicData>
                  </a:graphic>
                </wp:inline>
              </w:drawing>
            </w:r>
          </w:p>
        </w:tc>
      </w:tr>
    </w:tbl>
    <w:p w14:paraId="610343FA" w14:textId="2E467C06" w:rsidR="002B38AA" w:rsidRPr="00C020C2" w:rsidRDefault="00C55F20" w:rsidP="00DE38D4">
      <w:pPr>
        <w:spacing w:after="120"/>
        <w:jc w:val="both"/>
        <w:rPr>
          <w:rFonts w:asciiTheme="minorHAnsi" w:hAnsiTheme="minorHAnsi" w:cstheme="minorHAnsi"/>
          <w:szCs w:val="24"/>
          <w:lang w:val="en-US"/>
        </w:rPr>
      </w:pPr>
      <w:r w:rsidRPr="00C020C2">
        <w:rPr>
          <w:rFonts w:asciiTheme="minorHAnsi" w:hAnsiTheme="minorHAnsi" w:cstheme="minorHAnsi"/>
          <w:szCs w:val="24"/>
        </w:rPr>
        <w:t>One-</w:t>
      </w:r>
      <w:r w:rsidR="002B38AA" w:rsidRPr="00C020C2">
        <w:rPr>
          <w:rFonts w:asciiTheme="minorHAnsi" w:hAnsiTheme="minorHAnsi" w:cstheme="minorHAnsi"/>
          <w:szCs w:val="24"/>
        </w:rPr>
        <w:t>third (33 per cent) of the delegates to PP-22 were women, compared to 2</w:t>
      </w:r>
      <w:r w:rsidR="00935EE2" w:rsidRPr="00C020C2">
        <w:rPr>
          <w:rFonts w:asciiTheme="minorHAnsi" w:hAnsiTheme="minorHAnsi" w:cstheme="minorHAnsi"/>
          <w:szCs w:val="24"/>
        </w:rPr>
        <w:t>7</w:t>
      </w:r>
      <w:r w:rsidR="002B38AA" w:rsidRPr="00C020C2">
        <w:rPr>
          <w:rFonts w:asciiTheme="minorHAnsi" w:hAnsiTheme="minorHAnsi" w:cstheme="minorHAnsi"/>
          <w:szCs w:val="24"/>
        </w:rPr>
        <w:t xml:space="preserve"> per cent at ITU’s previous Plenipotentiary, held in Dubai in 2018.</w:t>
      </w:r>
    </w:p>
    <w:p w14:paraId="5553B359" w14:textId="77777777" w:rsidR="002B38AA" w:rsidRPr="00C020C2" w:rsidRDefault="002B38AA" w:rsidP="00DE38D4">
      <w:pPr>
        <w:keepNext/>
        <w:spacing w:after="120"/>
        <w:jc w:val="both"/>
        <w:rPr>
          <w:rFonts w:asciiTheme="minorHAnsi" w:hAnsiTheme="minorHAnsi" w:cstheme="minorHAnsi"/>
          <w:szCs w:val="24"/>
        </w:rPr>
      </w:pPr>
      <w:r w:rsidRPr="00C020C2">
        <w:rPr>
          <w:rFonts w:asciiTheme="minorHAnsi" w:hAnsiTheme="minorHAnsi" w:cstheme="minorHAnsi"/>
          <w:b/>
          <w:bCs/>
          <w:szCs w:val="24"/>
        </w:rPr>
        <w:t>Key decisions</w:t>
      </w:r>
    </w:p>
    <w:p w14:paraId="4C40805D" w14:textId="77777777" w:rsidR="002B38AA" w:rsidRPr="00C020C2" w:rsidRDefault="002B38AA" w:rsidP="00DE38D4">
      <w:pPr>
        <w:keepNext/>
        <w:spacing w:after="120"/>
        <w:jc w:val="both"/>
        <w:rPr>
          <w:rFonts w:asciiTheme="minorHAnsi" w:hAnsiTheme="minorHAnsi" w:cstheme="minorHAnsi"/>
          <w:b/>
          <w:bCs/>
          <w:szCs w:val="24"/>
        </w:rPr>
      </w:pPr>
      <w:r w:rsidRPr="00C020C2">
        <w:rPr>
          <w:rFonts w:asciiTheme="minorHAnsi" w:hAnsiTheme="minorHAnsi" w:cstheme="minorHAnsi"/>
          <w:b/>
          <w:bCs/>
          <w:szCs w:val="24"/>
          <w:lang w:val="en-US"/>
        </w:rPr>
        <w:t>ITU elections:</w:t>
      </w:r>
    </w:p>
    <w:p w14:paraId="61894115" w14:textId="5B3C1B53" w:rsidR="002B38AA" w:rsidRPr="00C020C2" w:rsidRDefault="002B38AA" w:rsidP="00DE38D4">
      <w:pPr>
        <w:spacing w:after="120"/>
        <w:jc w:val="both"/>
        <w:rPr>
          <w:rFonts w:asciiTheme="minorHAnsi" w:hAnsiTheme="minorHAnsi" w:cstheme="minorHAnsi"/>
          <w:szCs w:val="24"/>
          <w:lang w:val="en-US"/>
        </w:rPr>
      </w:pPr>
      <w:r w:rsidRPr="00C020C2">
        <w:rPr>
          <w:rFonts w:asciiTheme="minorHAnsi" w:hAnsiTheme="minorHAnsi" w:cstheme="minorHAnsi"/>
          <w:szCs w:val="24"/>
          <w:lang w:val="en-US"/>
        </w:rPr>
        <w:t xml:space="preserve">PP-22 also featured elections for the organization’s top management posts </w:t>
      </w:r>
      <w:r w:rsidR="00473C55" w:rsidRPr="00C020C2">
        <w:rPr>
          <w:rFonts w:eastAsia="Calibri"/>
        </w:rPr>
        <w:t>–</w:t>
      </w:r>
      <w:r w:rsidRPr="00C020C2">
        <w:rPr>
          <w:rFonts w:asciiTheme="minorHAnsi" w:hAnsiTheme="minorHAnsi" w:cstheme="minorHAnsi"/>
          <w:szCs w:val="24"/>
          <w:lang w:val="en-US"/>
        </w:rPr>
        <w:t xml:space="preserve"> Secretary-General, Deputy Secretary</w:t>
      </w:r>
      <w:r w:rsidRPr="00C020C2">
        <w:rPr>
          <w:rFonts w:asciiTheme="minorHAnsi" w:hAnsiTheme="minorHAnsi" w:cstheme="minorHAnsi"/>
          <w:szCs w:val="24"/>
        </w:rPr>
        <w:t>-</w:t>
      </w:r>
      <w:r w:rsidRPr="00C020C2">
        <w:rPr>
          <w:rFonts w:asciiTheme="minorHAnsi" w:hAnsiTheme="minorHAnsi" w:cstheme="minorHAnsi"/>
          <w:szCs w:val="24"/>
          <w:lang w:val="en-US"/>
        </w:rPr>
        <w:t xml:space="preserve">General, and Directors for Radiocommunication, Telecommunication Standardization, and Telecommunication Development </w:t>
      </w:r>
      <w:r w:rsidR="00473C55" w:rsidRPr="00C020C2">
        <w:rPr>
          <w:rFonts w:eastAsia="Calibri"/>
        </w:rPr>
        <w:t>–</w:t>
      </w:r>
      <w:r w:rsidRPr="00C020C2">
        <w:rPr>
          <w:rFonts w:asciiTheme="minorHAnsi" w:hAnsiTheme="minorHAnsi" w:cstheme="minorHAnsi"/>
          <w:szCs w:val="24"/>
          <w:lang w:val="en-US"/>
        </w:rPr>
        <w:t xml:space="preserve"> along with the 12-seat Radio Regulations Board and 48-seat ITU Council</w:t>
      </w:r>
      <w:r w:rsidRPr="00C020C2">
        <w:rPr>
          <w:rFonts w:asciiTheme="minorHAnsi" w:hAnsiTheme="minorHAnsi" w:cstheme="minorHAnsi"/>
          <w:szCs w:val="24"/>
        </w:rPr>
        <w:t xml:space="preserve"> (</w:t>
      </w:r>
      <w:hyperlink r:id="rId21" w:history="1">
        <w:r w:rsidRPr="00C020C2">
          <w:rPr>
            <w:rStyle w:val="Hyperlink"/>
            <w:rFonts w:asciiTheme="minorHAnsi" w:hAnsiTheme="minorHAnsi" w:cstheme="minorHAnsi"/>
            <w:szCs w:val="24"/>
          </w:rPr>
          <w:t>See all PP-22 election results</w:t>
        </w:r>
      </w:hyperlink>
      <w:r w:rsidRPr="00C020C2">
        <w:rPr>
          <w:rFonts w:asciiTheme="minorHAnsi" w:hAnsiTheme="minorHAnsi" w:cstheme="minorHAnsi"/>
          <w:szCs w:val="24"/>
        </w:rPr>
        <w:t>)</w:t>
      </w:r>
      <w:r w:rsidRPr="00C020C2">
        <w:rPr>
          <w:rFonts w:asciiTheme="minorHAnsi" w:hAnsiTheme="minorHAnsi" w:cstheme="minorHAnsi"/>
          <w:szCs w:val="24"/>
          <w:lang w:val="en-US"/>
        </w:rPr>
        <w:t>.</w:t>
      </w:r>
    </w:p>
    <w:p w14:paraId="69929F8A" w14:textId="23248DAE" w:rsidR="002B38AA" w:rsidRPr="00C020C2" w:rsidRDefault="002B38AA" w:rsidP="002A7955">
      <w:pPr>
        <w:keepNext/>
        <w:spacing w:after="120"/>
        <w:jc w:val="both"/>
        <w:rPr>
          <w:rFonts w:asciiTheme="minorHAnsi" w:hAnsiTheme="minorHAnsi" w:cstheme="minorHAnsi"/>
          <w:szCs w:val="24"/>
        </w:rPr>
      </w:pPr>
      <w:r w:rsidRPr="00C020C2">
        <w:rPr>
          <w:rFonts w:asciiTheme="minorHAnsi" w:hAnsiTheme="minorHAnsi" w:cstheme="minorHAnsi"/>
          <w:b/>
          <w:bCs/>
          <w:szCs w:val="24"/>
          <w:lang w:val="en-US"/>
        </w:rPr>
        <w:lastRenderedPageBreak/>
        <w:t xml:space="preserve">ITU Strategic </w:t>
      </w:r>
      <w:r w:rsidR="004B010B" w:rsidRPr="00C020C2">
        <w:rPr>
          <w:rFonts w:asciiTheme="minorHAnsi" w:hAnsiTheme="minorHAnsi" w:cstheme="minorHAnsi"/>
          <w:b/>
          <w:bCs/>
          <w:szCs w:val="24"/>
          <w:lang w:val="en-US"/>
        </w:rPr>
        <w:t xml:space="preserve">and Financial </w:t>
      </w:r>
      <w:r w:rsidRPr="00C020C2">
        <w:rPr>
          <w:rFonts w:asciiTheme="minorHAnsi" w:hAnsiTheme="minorHAnsi" w:cstheme="minorHAnsi"/>
          <w:b/>
          <w:bCs/>
          <w:szCs w:val="24"/>
          <w:lang w:val="en-US"/>
        </w:rPr>
        <w:t>Plan</w:t>
      </w:r>
      <w:r w:rsidR="004B010B" w:rsidRPr="00C020C2">
        <w:rPr>
          <w:rFonts w:asciiTheme="minorHAnsi" w:hAnsiTheme="minorHAnsi" w:cstheme="minorHAnsi"/>
          <w:b/>
          <w:bCs/>
          <w:szCs w:val="24"/>
          <w:lang w:val="en-US"/>
        </w:rPr>
        <w:t>s</w:t>
      </w:r>
      <w:r w:rsidRPr="00C020C2">
        <w:rPr>
          <w:rFonts w:asciiTheme="minorHAnsi" w:hAnsiTheme="minorHAnsi" w:cstheme="minorHAnsi"/>
          <w:b/>
          <w:bCs/>
          <w:szCs w:val="24"/>
          <w:lang w:val="en-US"/>
        </w:rPr>
        <w:t xml:space="preserve"> 2024-2027</w:t>
      </w:r>
      <w:r w:rsidRPr="00C020C2">
        <w:rPr>
          <w:rFonts w:asciiTheme="minorHAnsi" w:hAnsiTheme="minorHAnsi" w:cstheme="minorHAnsi"/>
          <w:szCs w:val="24"/>
          <w:lang w:val="en-US"/>
        </w:rPr>
        <w:t xml:space="preserve">: </w:t>
      </w:r>
    </w:p>
    <w:p w14:paraId="38FF53F7" w14:textId="2BF12B80" w:rsidR="002B38AA" w:rsidRPr="00C020C2" w:rsidRDefault="002B38AA" w:rsidP="00DE38D4">
      <w:pPr>
        <w:spacing w:after="120"/>
        <w:jc w:val="both"/>
        <w:rPr>
          <w:rFonts w:asciiTheme="minorHAnsi" w:hAnsiTheme="minorHAnsi" w:cstheme="minorHAnsi"/>
          <w:szCs w:val="24"/>
        </w:rPr>
      </w:pPr>
      <w:r w:rsidRPr="00C020C2">
        <w:rPr>
          <w:rFonts w:asciiTheme="minorHAnsi" w:hAnsiTheme="minorHAnsi" w:cstheme="minorHAnsi"/>
          <w:szCs w:val="24"/>
          <w:lang w:val="en-US"/>
        </w:rPr>
        <w:t xml:space="preserve">The Bucharest meeting adopted ITU’s </w:t>
      </w:r>
      <w:r w:rsidR="004B010B" w:rsidRPr="00C020C2">
        <w:rPr>
          <w:rFonts w:asciiTheme="minorHAnsi" w:hAnsiTheme="minorHAnsi" w:cstheme="minorHAnsi"/>
          <w:szCs w:val="24"/>
          <w:lang w:val="en-US"/>
        </w:rPr>
        <w:t>S</w:t>
      </w:r>
      <w:r w:rsidRPr="00C020C2">
        <w:rPr>
          <w:rFonts w:asciiTheme="minorHAnsi" w:hAnsiTheme="minorHAnsi" w:cstheme="minorHAnsi"/>
          <w:szCs w:val="24"/>
          <w:lang w:val="en-US"/>
        </w:rPr>
        <w:t xml:space="preserve">trategic </w:t>
      </w:r>
      <w:r w:rsidR="0038313A" w:rsidRPr="00C020C2">
        <w:rPr>
          <w:rFonts w:asciiTheme="minorHAnsi" w:hAnsiTheme="minorHAnsi" w:cstheme="minorHAnsi"/>
          <w:szCs w:val="24"/>
          <w:lang w:val="en-US"/>
        </w:rPr>
        <w:t xml:space="preserve">(Res 71) </w:t>
      </w:r>
      <w:r w:rsidRPr="00C020C2">
        <w:rPr>
          <w:rFonts w:asciiTheme="minorHAnsi" w:hAnsiTheme="minorHAnsi" w:cstheme="minorHAnsi"/>
          <w:szCs w:val="24"/>
          <w:lang w:val="en-US"/>
        </w:rPr>
        <w:t xml:space="preserve">and </w:t>
      </w:r>
      <w:r w:rsidR="004B010B" w:rsidRPr="00C020C2">
        <w:rPr>
          <w:rFonts w:asciiTheme="minorHAnsi" w:hAnsiTheme="minorHAnsi" w:cstheme="minorHAnsi"/>
          <w:szCs w:val="24"/>
          <w:lang w:val="en-US"/>
        </w:rPr>
        <w:t>F</w:t>
      </w:r>
      <w:r w:rsidR="0038313A" w:rsidRPr="00C020C2">
        <w:rPr>
          <w:rFonts w:asciiTheme="minorHAnsi" w:hAnsiTheme="minorHAnsi" w:cstheme="minorHAnsi"/>
          <w:szCs w:val="24"/>
          <w:lang w:val="en-US"/>
        </w:rPr>
        <w:t>inancial (Dec. 5)</w:t>
      </w:r>
      <w:r w:rsidR="002930A1" w:rsidRPr="00C020C2">
        <w:rPr>
          <w:rFonts w:asciiTheme="minorHAnsi" w:hAnsiTheme="minorHAnsi" w:cstheme="minorHAnsi"/>
          <w:szCs w:val="24"/>
          <w:lang w:val="en-US"/>
        </w:rPr>
        <w:t xml:space="preserve"> </w:t>
      </w:r>
      <w:r w:rsidR="004B010B" w:rsidRPr="00C020C2">
        <w:rPr>
          <w:rFonts w:asciiTheme="minorHAnsi" w:hAnsiTheme="minorHAnsi" w:cstheme="minorHAnsi"/>
          <w:szCs w:val="24"/>
          <w:lang w:val="en-US"/>
        </w:rPr>
        <w:t xml:space="preserve">Plans </w:t>
      </w:r>
      <w:r w:rsidR="002930A1" w:rsidRPr="00C020C2">
        <w:rPr>
          <w:rFonts w:asciiTheme="minorHAnsi" w:hAnsiTheme="minorHAnsi" w:cstheme="minorHAnsi"/>
          <w:szCs w:val="24"/>
          <w:lang w:val="en-US"/>
        </w:rPr>
        <w:t>for</w:t>
      </w:r>
      <w:r w:rsidRPr="00C020C2">
        <w:rPr>
          <w:rFonts w:asciiTheme="minorHAnsi" w:hAnsiTheme="minorHAnsi" w:cstheme="minorHAnsi"/>
          <w:szCs w:val="24"/>
          <w:lang w:val="en-US"/>
        </w:rPr>
        <w:t xml:space="preserve"> 2024</w:t>
      </w:r>
      <w:r w:rsidR="00473C55" w:rsidRPr="00C020C2">
        <w:t>-</w:t>
      </w:r>
      <w:r w:rsidRPr="00C020C2">
        <w:rPr>
          <w:rFonts w:asciiTheme="minorHAnsi" w:hAnsiTheme="minorHAnsi" w:cstheme="minorHAnsi"/>
          <w:szCs w:val="24"/>
          <w:lang w:val="en-US"/>
        </w:rPr>
        <w:t xml:space="preserve">2027. </w:t>
      </w:r>
    </w:p>
    <w:p w14:paraId="3644F49C" w14:textId="748D743F" w:rsidR="002B38AA" w:rsidRPr="00C020C2" w:rsidRDefault="002B38AA" w:rsidP="00DE38D4">
      <w:pPr>
        <w:spacing w:after="120"/>
        <w:jc w:val="both"/>
        <w:rPr>
          <w:rFonts w:asciiTheme="minorHAnsi" w:hAnsiTheme="minorHAnsi" w:cstheme="minorHAnsi"/>
          <w:szCs w:val="24"/>
          <w:lang w:val="en-US"/>
        </w:rPr>
      </w:pPr>
      <w:r w:rsidRPr="00C020C2">
        <w:rPr>
          <w:rFonts w:asciiTheme="minorHAnsi" w:hAnsiTheme="minorHAnsi" w:cstheme="minorHAnsi"/>
          <w:szCs w:val="24"/>
          <w:lang w:val="en-US"/>
        </w:rPr>
        <w:t xml:space="preserve">ITU’s four-year strategy highlights key priorities for radiocommunication, standardization and development work </w:t>
      </w:r>
      <w:r w:rsidR="006B1FF6" w:rsidRPr="00C020C2">
        <w:rPr>
          <w:rFonts w:asciiTheme="minorHAnsi" w:hAnsiTheme="minorHAnsi" w:cstheme="minorHAnsi"/>
          <w:szCs w:val="24"/>
          <w:lang w:val="en-US"/>
        </w:rPr>
        <w:t>designed to</w:t>
      </w:r>
      <w:r w:rsidRPr="00C020C2">
        <w:rPr>
          <w:rFonts w:asciiTheme="minorHAnsi" w:hAnsiTheme="minorHAnsi" w:cstheme="minorHAnsi"/>
          <w:szCs w:val="24"/>
          <w:lang w:val="en-US"/>
        </w:rPr>
        <w:t xml:space="preserve"> connect</w:t>
      </w:r>
      <w:r w:rsidR="006B1FF6" w:rsidRPr="00C020C2">
        <w:rPr>
          <w:rFonts w:asciiTheme="minorHAnsi" w:hAnsiTheme="minorHAnsi" w:cstheme="minorHAnsi"/>
          <w:szCs w:val="24"/>
          <w:lang w:val="en-US"/>
        </w:rPr>
        <w:t xml:space="preserve"> </w:t>
      </w:r>
      <w:r w:rsidRPr="00C020C2">
        <w:rPr>
          <w:rFonts w:asciiTheme="minorHAnsi" w:hAnsiTheme="minorHAnsi" w:cstheme="minorHAnsi"/>
          <w:szCs w:val="24"/>
          <w:lang w:val="en-US"/>
        </w:rPr>
        <w:t>the world, driv</w:t>
      </w:r>
      <w:r w:rsidR="006B1FF6" w:rsidRPr="00C020C2">
        <w:rPr>
          <w:rFonts w:asciiTheme="minorHAnsi" w:hAnsiTheme="minorHAnsi" w:cstheme="minorHAnsi"/>
          <w:szCs w:val="24"/>
          <w:lang w:val="en-US"/>
        </w:rPr>
        <w:t>e a</w:t>
      </w:r>
      <w:r w:rsidRPr="00C020C2">
        <w:rPr>
          <w:rFonts w:asciiTheme="minorHAnsi" w:hAnsiTheme="minorHAnsi" w:cstheme="minorHAnsi"/>
          <w:szCs w:val="24"/>
          <w:lang w:val="en-US"/>
        </w:rPr>
        <w:t>n inclusive global digital transformation, and help achieve the SDGs set</w:t>
      </w:r>
      <w:r w:rsidR="006B1FF6" w:rsidRPr="00C020C2">
        <w:rPr>
          <w:rFonts w:asciiTheme="minorHAnsi" w:hAnsiTheme="minorHAnsi" w:cstheme="minorHAnsi"/>
          <w:szCs w:val="24"/>
          <w:lang w:val="en-US"/>
        </w:rPr>
        <w:t xml:space="preserve"> out</w:t>
      </w:r>
      <w:r w:rsidRPr="00C020C2">
        <w:rPr>
          <w:rFonts w:asciiTheme="minorHAnsi" w:hAnsiTheme="minorHAnsi" w:cstheme="minorHAnsi"/>
          <w:szCs w:val="24"/>
          <w:lang w:val="en-US"/>
        </w:rPr>
        <w:t xml:space="preserve"> by the United Nations for 2030.</w:t>
      </w:r>
      <w:r w:rsidRPr="00C020C2">
        <w:rPr>
          <w:rFonts w:asciiTheme="minorHAnsi" w:hAnsiTheme="minorHAnsi" w:cstheme="minorHAnsi"/>
          <w:szCs w:val="24"/>
          <w:lang w:val="en-US"/>
        </w:rPr>
        <w:cr/>
      </w:r>
    </w:p>
    <w:p w14:paraId="0E68E243" w14:textId="77777777" w:rsidR="002B38AA" w:rsidRPr="00C020C2" w:rsidRDefault="002B38AA" w:rsidP="001B7EB1">
      <w:pPr>
        <w:rPr>
          <w:rFonts w:asciiTheme="minorHAnsi" w:hAnsiTheme="minorHAnsi" w:cstheme="minorHAnsi"/>
          <w:szCs w:val="24"/>
          <w:lang w:val="en-US"/>
        </w:rPr>
      </w:pPr>
      <w:r w:rsidRPr="00C020C2">
        <w:rPr>
          <w:rFonts w:asciiTheme="minorHAnsi" w:hAnsiTheme="minorHAnsi" w:cstheme="minorHAnsi"/>
          <w:noProof/>
          <w:szCs w:val="24"/>
          <w:lang w:val="fr-FR" w:eastAsia="fr-FR"/>
        </w:rPr>
        <w:drawing>
          <wp:inline distT="0" distB="0" distL="0" distR="0" wp14:anchorId="746D1EB3" wp14:editId="2E9ACFFD">
            <wp:extent cx="6324600" cy="38521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65568" cy="3877055"/>
                    </a:xfrm>
                    <a:prstGeom prst="rect">
                      <a:avLst/>
                    </a:prstGeom>
                  </pic:spPr>
                </pic:pic>
              </a:graphicData>
            </a:graphic>
          </wp:inline>
        </w:drawing>
      </w:r>
    </w:p>
    <w:p w14:paraId="68BCD2CB" w14:textId="77777777" w:rsidR="002B38AA" w:rsidRPr="00C020C2" w:rsidRDefault="002B38AA" w:rsidP="002B38AA">
      <w:pPr>
        <w:jc w:val="center"/>
        <w:rPr>
          <w:rFonts w:asciiTheme="minorHAnsi" w:hAnsiTheme="minorHAnsi" w:cstheme="minorHAnsi"/>
          <w:szCs w:val="24"/>
          <w:lang w:val="en-US"/>
        </w:rPr>
      </w:pPr>
    </w:p>
    <w:p w14:paraId="2EEFA744" w14:textId="77777777" w:rsidR="002B38AA" w:rsidRPr="00C020C2" w:rsidRDefault="002B38AA" w:rsidP="00DE38D4">
      <w:pPr>
        <w:rPr>
          <w:rFonts w:asciiTheme="minorHAnsi" w:hAnsiTheme="minorHAnsi" w:cstheme="minorHAnsi"/>
          <w:szCs w:val="24"/>
        </w:rPr>
      </w:pPr>
      <w:r w:rsidRPr="00C020C2">
        <w:rPr>
          <w:rFonts w:asciiTheme="minorHAnsi" w:hAnsiTheme="minorHAnsi" w:cstheme="minorHAnsi"/>
          <w:szCs w:val="24"/>
        </w:rPr>
        <w:t>For more information on PP-22, see:</w:t>
      </w:r>
    </w:p>
    <w:p w14:paraId="3AF0964C" w14:textId="77777777" w:rsidR="002B38AA" w:rsidRPr="00C020C2" w:rsidRDefault="00C020C2" w:rsidP="002B38AA">
      <w:pPr>
        <w:pStyle w:val="ListParagraph"/>
        <w:numPr>
          <w:ilvl w:val="0"/>
          <w:numId w:val="26"/>
        </w:numPr>
        <w:spacing w:before="0" w:after="160" w:line="259" w:lineRule="auto"/>
        <w:contextualSpacing/>
        <w:rPr>
          <w:rFonts w:asciiTheme="minorHAnsi" w:hAnsiTheme="minorHAnsi" w:cstheme="minorHAnsi"/>
          <w:sz w:val="24"/>
          <w:szCs w:val="24"/>
        </w:rPr>
      </w:pPr>
      <w:hyperlink r:id="rId23" w:history="1">
        <w:r w:rsidR="002B38AA" w:rsidRPr="00C020C2">
          <w:rPr>
            <w:rStyle w:val="Hyperlink"/>
            <w:rFonts w:asciiTheme="minorHAnsi" w:hAnsiTheme="minorHAnsi" w:cstheme="minorHAnsi"/>
            <w:i/>
            <w:iCs/>
            <w:sz w:val="24"/>
            <w:szCs w:val="24"/>
          </w:rPr>
          <w:t>ITU News Magazine,</w:t>
        </w:r>
        <w:r w:rsidR="002B38AA" w:rsidRPr="00C020C2">
          <w:rPr>
            <w:rStyle w:val="Hyperlink"/>
            <w:rFonts w:asciiTheme="minorHAnsi" w:hAnsiTheme="minorHAnsi" w:cstheme="minorHAnsi"/>
            <w:sz w:val="24"/>
            <w:szCs w:val="24"/>
          </w:rPr>
          <w:t xml:space="preserve"> “Connect and Unite: Outcomes of the ITU Plenipotentiary Conference”</w:t>
        </w:r>
      </w:hyperlink>
    </w:p>
    <w:p w14:paraId="3AC2BD19" w14:textId="77777777" w:rsidR="002B38AA" w:rsidRPr="00C020C2" w:rsidRDefault="00C020C2" w:rsidP="002B38AA">
      <w:pPr>
        <w:pStyle w:val="ListParagraph"/>
        <w:numPr>
          <w:ilvl w:val="0"/>
          <w:numId w:val="26"/>
        </w:numPr>
        <w:spacing w:before="0" w:after="160" w:line="259" w:lineRule="auto"/>
        <w:contextualSpacing/>
        <w:rPr>
          <w:rFonts w:asciiTheme="minorHAnsi" w:hAnsiTheme="minorHAnsi" w:cstheme="minorHAnsi"/>
          <w:sz w:val="24"/>
          <w:szCs w:val="24"/>
        </w:rPr>
      </w:pPr>
      <w:hyperlink r:id="rId24" w:history="1">
        <w:r w:rsidR="002B38AA" w:rsidRPr="00C020C2">
          <w:rPr>
            <w:rStyle w:val="Hyperlink"/>
            <w:rFonts w:asciiTheme="minorHAnsi" w:hAnsiTheme="minorHAnsi" w:cstheme="minorHAnsi"/>
            <w:sz w:val="24"/>
            <w:szCs w:val="24"/>
          </w:rPr>
          <w:t>PP-22 Closing Press Release</w:t>
        </w:r>
      </w:hyperlink>
    </w:p>
    <w:p w14:paraId="19393206" w14:textId="2B5D6D3B" w:rsidR="002B38AA" w:rsidRPr="00C020C2" w:rsidRDefault="00C020C2" w:rsidP="001F75A2">
      <w:pPr>
        <w:pStyle w:val="ListParagraph"/>
        <w:numPr>
          <w:ilvl w:val="0"/>
          <w:numId w:val="26"/>
        </w:numPr>
        <w:spacing w:before="0" w:after="160" w:line="259" w:lineRule="auto"/>
        <w:contextualSpacing/>
        <w:rPr>
          <w:rStyle w:val="Hyperlink"/>
          <w:rFonts w:asciiTheme="minorHAnsi" w:hAnsiTheme="minorHAnsi" w:cstheme="minorHAnsi"/>
          <w:color w:val="auto"/>
          <w:sz w:val="24"/>
          <w:szCs w:val="24"/>
          <w:u w:val="none"/>
        </w:rPr>
      </w:pPr>
      <w:hyperlink r:id="rId25" w:history="1">
        <w:r w:rsidR="002B38AA" w:rsidRPr="00C020C2">
          <w:rPr>
            <w:rStyle w:val="Hyperlink"/>
            <w:rFonts w:asciiTheme="minorHAnsi" w:hAnsiTheme="minorHAnsi" w:cstheme="minorHAnsi"/>
            <w:sz w:val="24"/>
            <w:szCs w:val="24"/>
          </w:rPr>
          <w:t>Daily highlights</w:t>
        </w:r>
      </w:hyperlink>
    </w:p>
    <w:p w14:paraId="3A343299" w14:textId="1DB72F40" w:rsidR="00333589" w:rsidRPr="00C020C2" w:rsidRDefault="00333589" w:rsidP="001F75A2">
      <w:pPr>
        <w:pStyle w:val="ListParagraph"/>
        <w:numPr>
          <w:ilvl w:val="0"/>
          <w:numId w:val="26"/>
        </w:numPr>
        <w:spacing w:before="0" w:after="160" w:line="259" w:lineRule="auto"/>
        <w:contextualSpacing/>
        <w:rPr>
          <w:rFonts w:asciiTheme="minorHAnsi" w:hAnsiTheme="minorHAnsi" w:cstheme="minorHAnsi"/>
          <w:sz w:val="24"/>
          <w:szCs w:val="24"/>
        </w:rPr>
      </w:pPr>
      <w:r w:rsidRPr="00C020C2">
        <w:rPr>
          <w:rStyle w:val="Hyperlink"/>
          <w:rFonts w:asciiTheme="minorHAnsi" w:hAnsiTheme="minorHAnsi" w:cstheme="minorHAnsi"/>
          <w:sz w:val="24"/>
          <w:szCs w:val="24"/>
        </w:rPr>
        <w:t xml:space="preserve">Final </w:t>
      </w:r>
      <w:hyperlink r:id="rId26" w:history="1">
        <w:r w:rsidRPr="00C020C2">
          <w:rPr>
            <w:rStyle w:val="Hyperlink"/>
            <w:rFonts w:asciiTheme="minorHAnsi" w:hAnsiTheme="minorHAnsi" w:cstheme="minorHAnsi"/>
            <w:sz w:val="24"/>
            <w:szCs w:val="24"/>
          </w:rPr>
          <w:t>acts</w:t>
        </w:r>
      </w:hyperlink>
    </w:p>
    <w:p w14:paraId="28A723AC" w14:textId="77B87E4F" w:rsidR="00363459" w:rsidRPr="00C020C2" w:rsidRDefault="00C529A2" w:rsidP="00B77967">
      <w:pPr>
        <w:pStyle w:val="Heading1"/>
        <w:numPr>
          <w:ilvl w:val="0"/>
          <w:numId w:val="13"/>
        </w:numPr>
        <w:spacing w:before="240" w:after="120"/>
        <w:ind w:left="567" w:hanging="567"/>
      </w:pPr>
      <w:bookmarkStart w:id="14" w:name="_Toc137211288"/>
      <w:r w:rsidRPr="00C020C2">
        <w:t xml:space="preserve">Impact </w:t>
      </w:r>
      <w:r w:rsidR="00FD31F8" w:rsidRPr="00C020C2">
        <w:t>o</w:t>
      </w:r>
      <w:r w:rsidRPr="00C020C2">
        <w:t>f ITU’s work</w:t>
      </w:r>
      <w:r w:rsidR="000571DC" w:rsidRPr="00C020C2">
        <w:t xml:space="preserve"> – </w:t>
      </w:r>
      <w:r w:rsidR="000B2C4F" w:rsidRPr="00C020C2">
        <w:t>p</w:t>
      </w:r>
      <w:r w:rsidR="000571DC" w:rsidRPr="00C020C2">
        <w:t>rogre</w:t>
      </w:r>
      <w:r w:rsidR="00D4309F" w:rsidRPr="00C020C2">
        <w:t>s</w:t>
      </w:r>
      <w:r w:rsidR="000571DC" w:rsidRPr="00C020C2">
        <w:t xml:space="preserve">s towards the </w:t>
      </w:r>
      <w:r w:rsidR="00333589" w:rsidRPr="00C020C2">
        <w:t>Connect 2030 Agenda</w:t>
      </w:r>
      <w:bookmarkEnd w:id="14"/>
      <w:r w:rsidR="00333589" w:rsidRPr="00C020C2">
        <w:t xml:space="preserve"> </w:t>
      </w:r>
    </w:p>
    <w:p w14:paraId="66905626" w14:textId="765EF9B9" w:rsidR="00A47DCC" w:rsidRPr="00C020C2" w:rsidRDefault="497C8551" w:rsidP="00DE38D4">
      <w:pPr>
        <w:jc w:val="both"/>
      </w:pPr>
      <w:r w:rsidRPr="00C020C2">
        <w:t xml:space="preserve">This section summarizes the main </w:t>
      </w:r>
      <w:r w:rsidR="5A0A82A0" w:rsidRPr="00C020C2">
        <w:t xml:space="preserve">results </w:t>
      </w:r>
      <w:r w:rsidR="643F9E29" w:rsidRPr="00C020C2">
        <w:t xml:space="preserve">and progress </w:t>
      </w:r>
      <w:r w:rsidR="5A0A82A0" w:rsidRPr="00C020C2">
        <w:t xml:space="preserve">achieved towards </w:t>
      </w:r>
      <w:r w:rsidR="0C98DB18" w:rsidRPr="00C020C2">
        <w:t xml:space="preserve">the Goals and </w:t>
      </w:r>
      <w:r w:rsidR="0E448493" w:rsidRPr="00C020C2">
        <w:t xml:space="preserve">2023 </w:t>
      </w:r>
      <w:r w:rsidR="0C98DB18" w:rsidRPr="00C020C2">
        <w:t xml:space="preserve">Targets </w:t>
      </w:r>
      <w:r w:rsidR="17465D35" w:rsidRPr="00C020C2">
        <w:t xml:space="preserve">set up </w:t>
      </w:r>
      <w:r w:rsidR="0C98DB18" w:rsidRPr="00C020C2">
        <w:t xml:space="preserve">in </w:t>
      </w:r>
      <w:r w:rsidR="5A0A82A0" w:rsidRPr="00C020C2">
        <w:t>the Strategic Plan for the Union 20</w:t>
      </w:r>
      <w:r w:rsidR="0C98DB18" w:rsidRPr="00C020C2">
        <w:t>20-2023</w:t>
      </w:r>
      <w:r w:rsidR="4007B015" w:rsidRPr="00C020C2">
        <w:t>, to which Member St</w:t>
      </w:r>
      <w:r w:rsidR="1DA80498" w:rsidRPr="00C020C2">
        <w:t>a</w:t>
      </w:r>
      <w:r w:rsidR="4007B015" w:rsidRPr="00C020C2">
        <w:t xml:space="preserve">tes have committed in </w:t>
      </w:r>
      <w:r w:rsidR="354FC31E" w:rsidRPr="00C020C2">
        <w:t xml:space="preserve">PP </w:t>
      </w:r>
      <w:r w:rsidR="4007B015" w:rsidRPr="00C020C2">
        <w:t>Resolution 200 (rev. Bucharest, 2022), the Connect 2030 Agenda</w:t>
      </w:r>
      <w:r w:rsidR="17465D35" w:rsidRPr="00C020C2">
        <w:t>.</w:t>
      </w:r>
      <w:r w:rsidR="2C9966CF" w:rsidRPr="00C020C2">
        <w:t xml:space="preserve"> </w:t>
      </w:r>
      <w:r w:rsidR="279489B6" w:rsidRPr="00C020C2">
        <w:t xml:space="preserve">Table 1 below summarizes the status of achievement </w:t>
      </w:r>
      <w:r w:rsidR="4DA11CC0" w:rsidRPr="00C020C2">
        <w:t xml:space="preserve">(by the end of 2022) </w:t>
      </w:r>
      <w:r w:rsidR="279489B6" w:rsidRPr="00C020C2">
        <w:t xml:space="preserve">of </w:t>
      </w:r>
      <w:r w:rsidR="75A039E6" w:rsidRPr="00C020C2">
        <w:t xml:space="preserve">the </w:t>
      </w:r>
      <w:r w:rsidR="279489B6" w:rsidRPr="00C020C2">
        <w:t>2023 Targets.</w:t>
      </w:r>
      <w:r w:rsidR="45441B9A" w:rsidRPr="00C020C2">
        <w:t xml:space="preserve"> All relevant char</w:t>
      </w:r>
      <w:r w:rsidR="16A389AC" w:rsidRPr="00C020C2">
        <w:t>t</w:t>
      </w:r>
      <w:r w:rsidR="45441B9A" w:rsidRPr="00C020C2">
        <w:t xml:space="preserve">s are shown on the Dashboards </w:t>
      </w:r>
      <w:hyperlink r:id="rId27" w:history="1">
        <w:r w:rsidR="45441B9A" w:rsidRPr="00C020C2">
          <w:rPr>
            <w:rStyle w:val="Hyperlink"/>
          </w:rPr>
          <w:t>here</w:t>
        </w:r>
      </w:hyperlink>
      <w:r w:rsidR="45441B9A" w:rsidRPr="00C020C2">
        <w:t>.</w:t>
      </w:r>
    </w:p>
    <w:p w14:paraId="635033FE" w14:textId="65547BD3" w:rsidR="00146F32" w:rsidRPr="00C020C2" w:rsidRDefault="00953BF5" w:rsidP="00DE38D4">
      <w:pPr>
        <w:keepNext/>
        <w:jc w:val="both"/>
      </w:pPr>
      <w:r w:rsidRPr="00C020C2">
        <w:rPr>
          <w:b/>
          <w:bCs/>
        </w:rPr>
        <w:t>Growth (</w:t>
      </w:r>
      <w:r w:rsidR="002B38AA" w:rsidRPr="00C020C2">
        <w:rPr>
          <w:b/>
          <w:bCs/>
        </w:rPr>
        <w:t>Internet access &amp; affordability</w:t>
      </w:r>
      <w:r w:rsidRPr="00C020C2">
        <w:rPr>
          <w:b/>
          <w:bCs/>
        </w:rPr>
        <w:t>)</w:t>
      </w:r>
    </w:p>
    <w:p w14:paraId="0D1E5C4F" w14:textId="3CCAA245" w:rsidR="002B38AA" w:rsidRPr="00C020C2" w:rsidRDefault="30075680" w:rsidP="00DE38D4">
      <w:pPr>
        <w:jc w:val="both"/>
      </w:pPr>
      <w:r w:rsidRPr="00C020C2">
        <w:t>L</w:t>
      </w:r>
      <w:r w:rsidR="0F3C606C" w:rsidRPr="00C020C2">
        <w:t xml:space="preserve">atest </w:t>
      </w:r>
      <w:bookmarkStart w:id="15" w:name="OLE_LINK1"/>
      <w:r w:rsidR="00146F32" w:rsidRPr="00C020C2">
        <w:fldChar w:fldCharType="begin"/>
      </w:r>
      <w:r w:rsidR="00146F32" w:rsidRPr="00C020C2">
        <w:instrText xml:space="preserve"> HYPERLINK "https://www.itu.int/itu-d/reports/statistics/facts-figures-for-ldc/" </w:instrText>
      </w:r>
      <w:r w:rsidR="00146F32" w:rsidRPr="00C020C2">
        <w:fldChar w:fldCharType="separate"/>
      </w:r>
      <w:r w:rsidR="0F3C606C" w:rsidRPr="00C020C2">
        <w:rPr>
          <w:rStyle w:val="Hyperlink"/>
        </w:rPr>
        <w:t>ITU data</w:t>
      </w:r>
      <w:r w:rsidR="00146F32" w:rsidRPr="00C020C2">
        <w:fldChar w:fldCharType="end"/>
      </w:r>
      <w:r w:rsidR="0F3C606C" w:rsidRPr="00C020C2">
        <w:t xml:space="preserve"> </w:t>
      </w:r>
      <w:bookmarkEnd w:id="15"/>
      <w:r w:rsidR="0F3C606C" w:rsidRPr="00C020C2">
        <w:t xml:space="preserve">shows that </w:t>
      </w:r>
      <w:r w:rsidR="643F9E29" w:rsidRPr="00C020C2">
        <w:t xml:space="preserve">progress towards </w:t>
      </w:r>
      <w:r w:rsidR="0F3C606C" w:rsidRPr="00C020C2">
        <w:t xml:space="preserve">2023 Strategic Targets aiming </w:t>
      </w:r>
      <w:r w:rsidR="009C6B81" w:rsidRPr="00C020C2">
        <w:t xml:space="preserve">for </w:t>
      </w:r>
      <w:r w:rsidR="0F3C606C" w:rsidRPr="00C020C2">
        <w:t>world overall</w:t>
      </w:r>
      <w:r w:rsidR="547137C4" w:rsidRPr="00C020C2">
        <w:t xml:space="preserve"> (including broadband)</w:t>
      </w:r>
      <w:r w:rsidR="0F3C606C" w:rsidRPr="00C020C2">
        <w:t xml:space="preserve"> connectivity (households and individuals) </w:t>
      </w:r>
      <w:r w:rsidR="643F9E29" w:rsidRPr="00C020C2">
        <w:t xml:space="preserve">is </w:t>
      </w:r>
      <w:r w:rsidR="0F3C606C" w:rsidRPr="00C020C2">
        <w:t xml:space="preserve">well on track. </w:t>
      </w:r>
      <w:r w:rsidR="5FBFAA05" w:rsidRPr="00C020C2">
        <w:t xml:space="preserve">The world average affordability of connectivity </w:t>
      </w:r>
      <w:r w:rsidR="643F9E29" w:rsidRPr="00C020C2">
        <w:t xml:space="preserve">is also </w:t>
      </w:r>
      <w:r w:rsidR="6E367050" w:rsidRPr="00C020C2">
        <w:t xml:space="preserve">on track to achieve the 2023 </w:t>
      </w:r>
      <w:r w:rsidR="75A039E6" w:rsidRPr="00C020C2">
        <w:t>Target</w:t>
      </w:r>
      <w:r w:rsidR="6E367050" w:rsidRPr="00C020C2">
        <w:t>.</w:t>
      </w:r>
    </w:p>
    <w:p w14:paraId="732F044A" w14:textId="1A1D4988" w:rsidR="005F54ED" w:rsidRPr="00C020C2" w:rsidRDefault="643F9E29" w:rsidP="00DE38D4">
      <w:pPr>
        <w:jc w:val="both"/>
        <w:rPr>
          <w:rFonts w:eastAsia="Calibri"/>
        </w:rPr>
      </w:pPr>
      <w:r w:rsidRPr="00C020C2">
        <w:rPr>
          <w:rFonts w:eastAsia="Calibri"/>
        </w:rPr>
        <w:lastRenderedPageBreak/>
        <w:t xml:space="preserve">On track for achievement too is </w:t>
      </w:r>
      <w:r w:rsidR="3A7D550E" w:rsidRPr="00C020C2">
        <w:rPr>
          <w:rFonts w:eastAsia="Calibri"/>
        </w:rPr>
        <w:t xml:space="preserve">the number of countries </w:t>
      </w:r>
      <w:r w:rsidRPr="00C020C2">
        <w:rPr>
          <w:rFonts w:eastAsia="Calibri"/>
        </w:rPr>
        <w:t xml:space="preserve">now </w:t>
      </w:r>
      <w:r w:rsidR="3A7D550E" w:rsidRPr="00C020C2">
        <w:rPr>
          <w:rFonts w:eastAsia="Calibri"/>
        </w:rPr>
        <w:t xml:space="preserve">having </w:t>
      </w:r>
      <w:r w:rsidR="0E806EC2" w:rsidRPr="00C020C2">
        <w:rPr>
          <w:rFonts w:eastAsia="Calibri"/>
        </w:rPr>
        <w:t>adopted a broadband plan or digital agenda/strategy</w:t>
      </w:r>
      <w:r w:rsidRPr="00C020C2">
        <w:rPr>
          <w:rFonts w:eastAsia="Calibri"/>
        </w:rPr>
        <w:t xml:space="preserve"> – </w:t>
      </w:r>
      <w:r w:rsidR="04867D3D" w:rsidRPr="00C020C2">
        <w:rPr>
          <w:rFonts w:eastAsia="Calibri"/>
        </w:rPr>
        <w:t xml:space="preserve">data shows that </w:t>
      </w:r>
      <w:r w:rsidRPr="00C020C2">
        <w:rPr>
          <w:rFonts w:eastAsia="Calibri"/>
        </w:rPr>
        <w:t xml:space="preserve">this number </w:t>
      </w:r>
      <w:r w:rsidR="04867D3D" w:rsidRPr="00C020C2">
        <w:rPr>
          <w:rFonts w:eastAsia="Calibri"/>
        </w:rPr>
        <w:t>is close to 160</w:t>
      </w:r>
      <w:r w:rsidRPr="00C020C2">
        <w:rPr>
          <w:rFonts w:eastAsia="Calibri"/>
        </w:rPr>
        <w:t xml:space="preserve">. </w:t>
      </w:r>
      <w:r w:rsidR="690D54BA" w:rsidRPr="00C020C2">
        <w:rPr>
          <w:rFonts w:eastAsia="Calibri"/>
        </w:rPr>
        <w:t xml:space="preserve">Although </w:t>
      </w:r>
      <w:r w:rsidRPr="00C020C2">
        <w:rPr>
          <w:rFonts w:eastAsia="Calibri"/>
        </w:rPr>
        <w:t xml:space="preserve">the </w:t>
      </w:r>
      <w:r w:rsidR="75A039E6" w:rsidRPr="00C020C2">
        <w:rPr>
          <w:rFonts w:eastAsia="Calibri"/>
        </w:rPr>
        <w:t>T</w:t>
      </w:r>
      <w:r w:rsidRPr="00C020C2">
        <w:rPr>
          <w:rFonts w:eastAsia="Calibri"/>
        </w:rPr>
        <w:t xml:space="preserve">arget stipulates </w:t>
      </w:r>
      <w:r w:rsidR="5DC73AB3" w:rsidRPr="00C020C2">
        <w:rPr>
          <w:rFonts w:eastAsia="Calibri"/>
        </w:rPr>
        <w:t>“</w:t>
      </w:r>
      <w:r w:rsidRPr="00C020C2">
        <w:rPr>
          <w:rFonts w:eastAsia="Calibri"/>
        </w:rPr>
        <w:t>all</w:t>
      </w:r>
      <w:r w:rsidR="5DC73AB3" w:rsidRPr="00C020C2">
        <w:rPr>
          <w:rFonts w:eastAsia="Calibri"/>
        </w:rPr>
        <w:t>”</w:t>
      </w:r>
      <w:r w:rsidRPr="00C020C2">
        <w:rPr>
          <w:rFonts w:eastAsia="Calibri"/>
        </w:rPr>
        <w:t xml:space="preserve"> countries (</w:t>
      </w:r>
      <w:proofErr w:type="gramStart"/>
      <w:r w:rsidR="55B8D5A8" w:rsidRPr="00C020C2">
        <w:rPr>
          <w:rFonts w:eastAsia="Calibri"/>
        </w:rPr>
        <w:t>i.e.</w:t>
      </w:r>
      <w:proofErr w:type="gramEnd"/>
      <w:r w:rsidR="55B8D5A8" w:rsidRPr="00C020C2">
        <w:rPr>
          <w:rFonts w:eastAsia="Calibri"/>
        </w:rPr>
        <w:t xml:space="preserve"> 193</w:t>
      </w:r>
      <w:r w:rsidR="5DC73AB3" w:rsidRPr="00C020C2">
        <w:rPr>
          <w:rFonts w:eastAsia="Calibri"/>
        </w:rPr>
        <w:t xml:space="preserve">) </w:t>
      </w:r>
      <w:r w:rsidR="2E8D704F" w:rsidRPr="00C020C2">
        <w:rPr>
          <w:rFonts w:eastAsia="Calibri"/>
        </w:rPr>
        <w:t xml:space="preserve">but </w:t>
      </w:r>
      <w:r w:rsidR="39EA7CFE" w:rsidRPr="00C020C2">
        <w:rPr>
          <w:rFonts w:eastAsia="Calibri"/>
        </w:rPr>
        <w:t xml:space="preserve">achieving </w:t>
      </w:r>
      <w:r w:rsidR="2F0CE6EC" w:rsidRPr="00C020C2">
        <w:rPr>
          <w:rFonts w:eastAsia="Calibri"/>
        </w:rPr>
        <w:t>at least 90% of all countries (i.e.,</w:t>
      </w:r>
      <w:r w:rsidR="5DC73AB3" w:rsidRPr="00C020C2">
        <w:rPr>
          <w:rFonts w:eastAsia="Calibri"/>
        </w:rPr>
        <w:t xml:space="preserve"> 170 countries</w:t>
      </w:r>
      <w:r w:rsidR="2F0CE6EC" w:rsidRPr="00C020C2">
        <w:rPr>
          <w:rFonts w:eastAsia="Calibri"/>
        </w:rPr>
        <w:t>)</w:t>
      </w:r>
      <w:r w:rsidR="08C5DEEE" w:rsidRPr="00C020C2">
        <w:rPr>
          <w:rFonts w:eastAsia="Calibri"/>
        </w:rPr>
        <w:t xml:space="preserve"> brings this very close to what can practically be achievable</w:t>
      </w:r>
      <w:r w:rsidR="149640F5" w:rsidRPr="00C020C2">
        <w:rPr>
          <w:rFonts w:eastAsia="Calibri"/>
        </w:rPr>
        <w:t xml:space="preserve">. Interestingly, as shown in the Dashboard </w:t>
      </w:r>
      <w:hyperlink r:id="rId28" w:history="1">
        <w:r w:rsidR="149640F5" w:rsidRPr="00C020C2">
          <w:rPr>
            <w:rStyle w:val="Hyperlink"/>
            <w:rFonts w:eastAsia="Calibri"/>
          </w:rPr>
          <w:t>here</w:t>
        </w:r>
      </w:hyperlink>
      <w:r w:rsidR="149640F5" w:rsidRPr="00C020C2">
        <w:rPr>
          <w:rFonts w:eastAsia="Calibri"/>
        </w:rPr>
        <w:t>, th</w:t>
      </w:r>
      <w:r w:rsidR="3276F8A6" w:rsidRPr="00C020C2">
        <w:rPr>
          <w:rFonts w:eastAsia="Calibri"/>
        </w:rPr>
        <w:t>e</w:t>
      </w:r>
      <w:r w:rsidR="149640F5" w:rsidRPr="00C020C2">
        <w:rPr>
          <w:rFonts w:eastAsia="Calibri"/>
        </w:rPr>
        <w:t xml:space="preserve"> total number </w:t>
      </w:r>
      <w:r w:rsidR="358AE700" w:rsidRPr="00C020C2">
        <w:rPr>
          <w:rFonts w:eastAsia="Calibri"/>
        </w:rPr>
        <w:t xml:space="preserve">of countries </w:t>
      </w:r>
      <w:r w:rsidR="149640F5" w:rsidRPr="00C020C2">
        <w:rPr>
          <w:rFonts w:eastAsia="Calibri"/>
        </w:rPr>
        <w:t>increase</w:t>
      </w:r>
      <w:r w:rsidR="3B824468" w:rsidRPr="00C020C2">
        <w:rPr>
          <w:rFonts w:eastAsia="Calibri"/>
        </w:rPr>
        <w:t>d</w:t>
      </w:r>
      <w:r w:rsidR="149640F5" w:rsidRPr="00C020C2">
        <w:rPr>
          <w:rFonts w:eastAsia="Calibri"/>
        </w:rPr>
        <w:t xml:space="preserve"> to 169</w:t>
      </w:r>
      <w:r w:rsidR="3B824468" w:rsidRPr="00C020C2">
        <w:rPr>
          <w:rFonts w:eastAsia="Calibri"/>
        </w:rPr>
        <w:t xml:space="preserve"> in 2020 and dropped to 155 in 202</w:t>
      </w:r>
      <w:r w:rsidR="512ADB22" w:rsidRPr="00C020C2">
        <w:rPr>
          <w:rFonts w:eastAsia="Calibri"/>
        </w:rPr>
        <w:t xml:space="preserve">2. </w:t>
      </w:r>
      <w:r w:rsidR="358AE700" w:rsidRPr="00C020C2">
        <w:rPr>
          <w:rFonts w:eastAsia="Calibri"/>
        </w:rPr>
        <w:t>This decline in numbers is explained as follows</w:t>
      </w:r>
      <w:r w:rsidR="5DC73AB3" w:rsidRPr="00C020C2">
        <w:rPr>
          <w:rFonts w:eastAsia="Calibri"/>
        </w:rPr>
        <w:t>: t</w:t>
      </w:r>
      <w:r w:rsidR="358AE700" w:rsidRPr="00C020C2">
        <w:rPr>
          <w:rFonts w:eastAsia="Calibri"/>
        </w:rPr>
        <w:t xml:space="preserve">he </w:t>
      </w:r>
      <w:r w:rsidR="2B9672B7" w:rsidRPr="00C020C2">
        <w:rPr>
          <w:rFonts w:eastAsia="Calibri"/>
        </w:rPr>
        <w:t xml:space="preserve">majority of countries worldwide adopted broadband plans or digital agendas in the years following the 2008 financial crisis up until around 2015. Many were time-bound </w:t>
      </w:r>
      <w:r w:rsidR="358AE700" w:rsidRPr="00C020C2">
        <w:rPr>
          <w:rFonts w:eastAsia="Calibri"/>
        </w:rPr>
        <w:t>and s</w:t>
      </w:r>
      <w:r w:rsidR="2B9672B7" w:rsidRPr="00C020C2">
        <w:rPr>
          <w:rFonts w:eastAsia="Calibri"/>
        </w:rPr>
        <w:t>pann</w:t>
      </w:r>
      <w:r w:rsidR="358AE700" w:rsidRPr="00C020C2">
        <w:rPr>
          <w:rFonts w:eastAsia="Calibri"/>
        </w:rPr>
        <w:t>ed 5</w:t>
      </w:r>
      <w:r w:rsidR="2B9672B7" w:rsidRPr="00C020C2">
        <w:rPr>
          <w:rFonts w:eastAsia="Calibri"/>
        </w:rPr>
        <w:t>-10 years. Most have been replaced but some haven’t – and as soon as they expire, they a</w:t>
      </w:r>
      <w:r w:rsidR="147EF968" w:rsidRPr="00C020C2">
        <w:rPr>
          <w:rFonts w:eastAsia="Calibri"/>
        </w:rPr>
        <w:t xml:space="preserve">re not </w:t>
      </w:r>
      <w:r w:rsidR="358AE700" w:rsidRPr="00C020C2">
        <w:rPr>
          <w:rFonts w:eastAsia="Calibri"/>
        </w:rPr>
        <w:t xml:space="preserve">officially </w:t>
      </w:r>
      <w:r w:rsidR="147EF968" w:rsidRPr="00C020C2">
        <w:rPr>
          <w:rFonts w:eastAsia="Calibri"/>
        </w:rPr>
        <w:t>counted.</w:t>
      </w:r>
    </w:p>
    <w:p w14:paraId="1CF6FE93" w14:textId="6B0C0865" w:rsidR="007739AA" w:rsidRPr="00C020C2" w:rsidRDefault="64BDA77E" w:rsidP="00DE38D4">
      <w:pPr>
        <w:jc w:val="both"/>
        <w:rPr>
          <w:rFonts w:eastAsia="Calibri"/>
        </w:rPr>
      </w:pPr>
      <w:r w:rsidRPr="00C020C2">
        <w:rPr>
          <w:rFonts w:eastAsia="Calibri"/>
        </w:rPr>
        <w:t xml:space="preserve">No complete data is available yet </w:t>
      </w:r>
      <w:r w:rsidR="66E174DD" w:rsidRPr="00C020C2">
        <w:rPr>
          <w:rFonts w:eastAsia="Calibri"/>
        </w:rPr>
        <w:t xml:space="preserve">on the </w:t>
      </w:r>
      <w:r w:rsidR="2B9EA95F" w:rsidRPr="00C020C2">
        <w:rPr>
          <w:rFonts w:eastAsia="Calibri"/>
        </w:rPr>
        <w:t xml:space="preserve">interaction with </w:t>
      </w:r>
      <w:r w:rsidRPr="00C020C2">
        <w:rPr>
          <w:rFonts w:eastAsia="Calibri"/>
        </w:rPr>
        <w:t xml:space="preserve">online </w:t>
      </w:r>
      <w:r w:rsidR="2B9EA95F" w:rsidRPr="00C020C2">
        <w:rPr>
          <w:rFonts w:eastAsia="Calibri"/>
        </w:rPr>
        <w:t>government services</w:t>
      </w:r>
      <w:r w:rsidR="0D82A228" w:rsidRPr="00C020C2">
        <w:rPr>
          <w:rFonts w:eastAsia="Calibri"/>
        </w:rPr>
        <w:t xml:space="preserve">. </w:t>
      </w:r>
      <w:r w:rsidR="3FA8BE26" w:rsidRPr="00C020C2">
        <w:rPr>
          <w:rFonts w:eastAsia="Calibri"/>
        </w:rPr>
        <w:t>As of</w:t>
      </w:r>
      <w:r w:rsidR="07510185" w:rsidRPr="00C020C2">
        <w:rPr>
          <w:rFonts w:eastAsia="Calibri"/>
        </w:rPr>
        <w:t xml:space="preserve"> 2020</w:t>
      </w:r>
      <w:r w:rsidR="1106E40D" w:rsidRPr="00C020C2">
        <w:rPr>
          <w:rFonts w:eastAsia="Calibri"/>
        </w:rPr>
        <w:t xml:space="preserve">, only 38 countries have provided data on </w:t>
      </w:r>
      <w:r w:rsidRPr="00C020C2">
        <w:rPr>
          <w:rFonts w:eastAsia="Calibri"/>
        </w:rPr>
        <w:t xml:space="preserve">this. </w:t>
      </w:r>
    </w:p>
    <w:p w14:paraId="71CEB2EE" w14:textId="47112A35" w:rsidR="002B38AA" w:rsidRPr="00C020C2" w:rsidRDefault="00BD2088" w:rsidP="00DE38D4">
      <w:pPr>
        <w:jc w:val="both"/>
      </w:pPr>
      <w:r w:rsidRPr="00C020C2">
        <w:rPr>
          <w:b/>
          <w:bCs/>
        </w:rPr>
        <w:t>Inclusiveness (c</w:t>
      </w:r>
      <w:r w:rsidR="002B38AA" w:rsidRPr="00C020C2">
        <w:rPr>
          <w:b/>
          <w:bCs/>
        </w:rPr>
        <w:t>losing the gaps</w:t>
      </w:r>
      <w:r w:rsidRPr="00C020C2">
        <w:rPr>
          <w:b/>
          <w:bCs/>
        </w:rPr>
        <w:t>)</w:t>
      </w:r>
      <w:r w:rsidR="002B38AA" w:rsidRPr="00C020C2">
        <w:t xml:space="preserve"> </w:t>
      </w:r>
    </w:p>
    <w:p w14:paraId="21B3575D" w14:textId="4B9E9F16" w:rsidR="002B38AA" w:rsidRPr="00C020C2" w:rsidRDefault="002B38AA" w:rsidP="00DE38D4">
      <w:pPr>
        <w:jc w:val="both"/>
        <w:rPr>
          <w:rFonts w:eastAsia="Calibri"/>
        </w:rPr>
      </w:pPr>
      <w:r w:rsidRPr="00C020C2">
        <w:rPr>
          <w:u w:val="single"/>
        </w:rPr>
        <w:t>Gender</w:t>
      </w:r>
      <w:r w:rsidRPr="00C020C2">
        <w:t xml:space="preserve">: as described in section </w:t>
      </w:r>
      <w:r w:rsidR="007B44D1" w:rsidRPr="00C020C2">
        <w:t>4</w:t>
      </w:r>
      <w:r w:rsidR="00FF0A01" w:rsidRPr="00C020C2">
        <w:t>.6</w:t>
      </w:r>
      <w:r w:rsidRPr="00C020C2">
        <w:t xml:space="preserve"> </w:t>
      </w:r>
      <w:r w:rsidR="007B44D1" w:rsidRPr="00C020C2">
        <w:t>below</w:t>
      </w:r>
      <w:r w:rsidRPr="00C020C2">
        <w:t xml:space="preserve">, </w:t>
      </w:r>
      <w:r w:rsidR="00FF0A01" w:rsidRPr="00C020C2">
        <w:t>t</w:t>
      </w:r>
      <w:r w:rsidRPr="00C020C2">
        <w:t xml:space="preserve">he </w:t>
      </w:r>
      <w:hyperlink r:id="rId29" w:history="1">
        <w:r w:rsidRPr="00C020C2">
          <w:rPr>
            <w:rFonts w:eastAsia="Calibri"/>
          </w:rPr>
          <w:t>gender gap in Internet use has increased</w:t>
        </w:r>
      </w:hyperlink>
      <w:r w:rsidRPr="00C020C2">
        <w:rPr>
          <w:rFonts w:eastAsia="Calibri"/>
        </w:rPr>
        <w:t xml:space="preserve"> by 20 million people, with 259 million more men than women using the Internet in 2022. Women non-users now outnumber male non-users by 18 per cent, up from 11 per cent in 2019. Women are about 12 per cent less likely to own mobile phones than men – virtually unchanged from 2019. Among those not owning mobile phones, women outnumbered men by 39 per cent in 2022.</w:t>
      </w:r>
    </w:p>
    <w:p w14:paraId="782B4AD9" w14:textId="788D0D64" w:rsidR="002B38AA" w:rsidRPr="00C020C2" w:rsidRDefault="002B38AA" w:rsidP="00DE38D4">
      <w:pPr>
        <w:jc w:val="both"/>
        <w:rPr>
          <w:rFonts w:eastAsia="Calibri"/>
        </w:rPr>
      </w:pPr>
      <w:r w:rsidRPr="00C020C2">
        <w:rPr>
          <w:rFonts w:eastAsia="Calibri"/>
        </w:rPr>
        <w:t>Moreover, the regions with the highest Internet use also have the highest gender parity scores. LDCs and landlocked developing</w:t>
      </w:r>
      <w:r w:rsidR="002738F4" w:rsidRPr="00C020C2">
        <w:rPr>
          <w:rFonts w:eastAsia="Calibri"/>
        </w:rPr>
        <w:t xml:space="preserve"> </w:t>
      </w:r>
      <w:r w:rsidRPr="00C020C2">
        <w:rPr>
          <w:rFonts w:eastAsia="Calibri"/>
        </w:rPr>
        <w:t>countries (LLDCs), however, show a trend of low Internet use and a low gender parity score, with hardly any progress towards gender parity over the last three years.</w:t>
      </w:r>
    </w:p>
    <w:p w14:paraId="200FCA71" w14:textId="3E784AED" w:rsidR="0045376C" w:rsidRPr="00C020C2" w:rsidRDefault="00F07787" w:rsidP="00DE38D4">
      <w:pPr>
        <w:jc w:val="both"/>
        <w:rPr>
          <w:rFonts w:eastAsia="Calibri"/>
        </w:rPr>
      </w:pPr>
      <w:r w:rsidRPr="00C020C2">
        <w:rPr>
          <w:rFonts w:eastAsia="Calibri"/>
        </w:rPr>
        <w:t>The</w:t>
      </w:r>
      <w:r w:rsidR="0045376C" w:rsidRPr="00C020C2">
        <w:rPr>
          <w:rFonts w:eastAsia="Calibri"/>
        </w:rPr>
        <w:t xml:space="preserve"> </w:t>
      </w:r>
      <w:r w:rsidR="00C75F26" w:rsidRPr="00C020C2">
        <w:rPr>
          <w:rFonts w:eastAsia="Calibri"/>
        </w:rPr>
        <w:t>T</w:t>
      </w:r>
      <w:r w:rsidR="0045376C" w:rsidRPr="00C020C2">
        <w:rPr>
          <w:rFonts w:eastAsia="Calibri"/>
        </w:rPr>
        <w:t xml:space="preserve">argets for LDCs </w:t>
      </w:r>
      <w:r w:rsidR="00215ACC" w:rsidRPr="00C020C2">
        <w:rPr>
          <w:rFonts w:eastAsia="Calibri"/>
        </w:rPr>
        <w:t xml:space="preserve">both in </w:t>
      </w:r>
      <w:r w:rsidR="00215ACC" w:rsidRPr="00C020C2">
        <w:rPr>
          <w:rFonts w:eastAsia="Calibri"/>
          <w:u w:val="single"/>
        </w:rPr>
        <w:t xml:space="preserve">affordability and </w:t>
      </w:r>
      <w:r w:rsidRPr="00C020C2">
        <w:rPr>
          <w:rFonts w:eastAsia="Calibri"/>
          <w:u w:val="single"/>
        </w:rPr>
        <w:t xml:space="preserve">household </w:t>
      </w:r>
      <w:r w:rsidR="00215ACC" w:rsidRPr="00C020C2">
        <w:rPr>
          <w:rFonts w:eastAsia="Calibri"/>
          <w:u w:val="single"/>
        </w:rPr>
        <w:t>penetration</w:t>
      </w:r>
      <w:r w:rsidR="00215ACC" w:rsidRPr="00C020C2">
        <w:rPr>
          <w:rFonts w:eastAsia="Calibri"/>
        </w:rPr>
        <w:t xml:space="preserve"> are </w:t>
      </w:r>
      <w:r w:rsidR="00794675" w:rsidRPr="00C020C2">
        <w:rPr>
          <w:rFonts w:eastAsia="Calibri"/>
          <w:u w:val="single"/>
        </w:rPr>
        <w:t>not on</w:t>
      </w:r>
      <w:r w:rsidR="00215ACC" w:rsidRPr="00C020C2">
        <w:rPr>
          <w:rFonts w:eastAsia="Calibri"/>
          <w:u w:val="single"/>
        </w:rPr>
        <w:t xml:space="preserve"> track</w:t>
      </w:r>
      <w:r w:rsidR="00215ACC" w:rsidRPr="00C020C2">
        <w:rPr>
          <w:rFonts w:eastAsia="Calibri"/>
        </w:rPr>
        <w:t xml:space="preserve"> for achievement by </w:t>
      </w:r>
      <w:r w:rsidR="00BC14CC" w:rsidRPr="00C020C2">
        <w:rPr>
          <w:rFonts w:eastAsia="Calibri"/>
        </w:rPr>
        <w:t xml:space="preserve">the end of 2023 (see Dashboard </w:t>
      </w:r>
      <w:hyperlink r:id="rId30" w:history="1">
        <w:r w:rsidR="00BC14CC" w:rsidRPr="00C020C2">
          <w:rPr>
            <w:rStyle w:val="Hyperlink"/>
            <w:rFonts w:eastAsia="Calibri"/>
          </w:rPr>
          <w:t>here</w:t>
        </w:r>
      </w:hyperlink>
      <w:r w:rsidR="00BC14CC" w:rsidRPr="00C020C2">
        <w:rPr>
          <w:rFonts w:eastAsia="Calibri"/>
        </w:rPr>
        <w:t>).</w:t>
      </w:r>
      <w:r w:rsidRPr="00C020C2">
        <w:rPr>
          <w:rFonts w:eastAsia="Calibri"/>
        </w:rPr>
        <w:t xml:space="preserve"> </w:t>
      </w:r>
      <w:r w:rsidR="00917F36" w:rsidRPr="00C020C2">
        <w:rPr>
          <w:rFonts w:eastAsia="Calibri"/>
        </w:rPr>
        <w:t>However, t</w:t>
      </w:r>
      <w:r w:rsidRPr="00C020C2">
        <w:rPr>
          <w:rFonts w:eastAsia="Calibri"/>
        </w:rPr>
        <w:t xml:space="preserve">he </w:t>
      </w:r>
      <w:r w:rsidR="006739C3" w:rsidRPr="00C020C2">
        <w:rPr>
          <w:rFonts w:eastAsia="Calibri"/>
        </w:rPr>
        <w:t xml:space="preserve">2023 </w:t>
      </w:r>
      <w:r w:rsidR="00917F36" w:rsidRPr="00C020C2">
        <w:rPr>
          <w:rFonts w:eastAsia="Calibri"/>
        </w:rPr>
        <w:t>T</w:t>
      </w:r>
      <w:r w:rsidRPr="00C020C2">
        <w:rPr>
          <w:rFonts w:eastAsia="Calibri"/>
        </w:rPr>
        <w:t xml:space="preserve">arget for </w:t>
      </w:r>
      <w:r w:rsidR="006739C3" w:rsidRPr="00C020C2">
        <w:rPr>
          <w:rFonts w:eastAsia="Calibri"/>
        </w:rPr>
        <w:t xml:space="preserve">individuals using the </w:t>
      </w:r>
      <w:r w:rsidR="00794675" w:rsidRPr="00C020C2">
        <w:rPr>
          <w:rFonts w:eastAsia="Calibri"/>
        </w:rPr>
        <w:t xml:space="preserve">Internet </w:t>
      </w:r>
      <w:r w:rsidR="006739C3" w:rsidRPr="00C020C2">
        <w:rPr>
          <w:rFonts w:eastAsia="Calibri"/>
        </w:rPr>
        <w:t xml:space="preserve">in the </w:t>
      </w:r>
      <w:r w:rsidRPr="00C020C2">
        <w:rPr>
          <w:rFonts w:eastAsia="Calibri"/>
        </w:rPr>
        <w:t xml:space="preserve">LDCs </w:t>
      </w:r>
      <w:r w:rsidR="002E4D0A" w:rsidRPr="00C020C2">
        <w:rPr>
          <w:rFonts w:eastAsia="Calibri"/>
        </w:rPr>
        <w:t xml:space="preserve">had </w:t>
      </w:r>
      <w:r w:rsidR="006739C3" w:rsidRPr="00C020C2">
        <w:rPr>
          <w:rFonts w:eastAsia="Calibri"/>
        </w:rPr>
        <w:t xml:space="preserve">already been achieved by 2022 </w:t>
      </w:r>
      <w:r w:rsidR="005B3D91" w:rsidRPr="00C020C2">
        <w:rPr>
          <w:rFonts w:eastAsia="Calibri"/>
        </w:rPr>
        <w:t xml:space="preserve">– </w:t>
      </w:r>
      <w:r w:rsidR="00FF0E49" w:rsidRPr="00C020C2">
        <w:rPr>
          <w:rFonts w:eastAsia="Calibri"/>
        </w:rPr>
        <w:t>increas</w:t>
      </w:r>
      <w:r w:rsidR="005B3D91" w:rsidRPr="00C020C2">
        <w:rPr>
          <w:rFonts w:eastAsia="Calibri"/>
        </w:rPr>
        <w:t>ing</w:t>
      </w:r>
      <w:r w:rsidR="00FF0E49" w:rsidRPr="00C020C2">
        <w:rPr>
          <w:rFonts w:eastAsia="Calibri"/>
        </w:rPr>
        <w:t xml:space="preserve"> from 20.3 in 2018 to 36.1 in 2022, </w:t>
      </w:r>
      <w:r w:rsidR="005B3D91" w:rsidRPr="00C020C2">
        <w:rPr>
          <w:rFonts w:eastAsia="Calibri"/>
        </w:rPr>
        <w:t>exceeding</w:t>
      </w:r>
      <w:r w:rsidR="00FF0E49" w:rsidRPr="00C020C2">
        <w:rPr>
          <w:rFonts w:eastAsia="Calibri"/>
        </w:rPr>
        <w:t xml:space="preserve"> the actual </w:t>
      </w:r>
      <w:r w:rsidR="00917F36" w:rsidRPr="00C020C2">
        <w:rPr>
          <w:rFonts w:eastAsia="Calibri"/>
        </w:rPr>
        <w:t>2023 T</w:t>
      </w:r>
      <w:r w:rsidR="00FF0E49" w:rsidRPr="00C020C2">
        <w:rPr>
          <w:rFonts w:eastAsia="Calibri"/>
        </w:rPr>
        <w:t>arget</w:t>
      </w:r>
      <w:r w:rsidR="005B3D91" w:rsidRPr="00C020C2">
        <w:rPr>
          <w:rFonts w:eastAsia="Calibri"/>
        </w:rPr>
        <w:t xml:space="preserve"> of</w:t>
      </w:r>
      <w:r w:rsidR="00FF0E49" w:rsidRPr="00C020C2">
        <w:rPr>
          <w:rFonts w:eastAsia="Calibri"/>
        </w:rPr>
        <w:t xml:space="preserve"> 30.</w:t>
      </w:r>
    </w:p>
    <w:p w14:paraId="77CDD875" w14:textId="7BC27305" w:rsidR="00613A3E" w:rsidRPr="00C020C2" w:rsidRDefault="5DC73AB3" w:rsidP="57480088">
      <w:pPr>
        <w:jc w:val="both"/>
        <w:rPr>
          <w:rFonts w:eastAsia="Calibri"/>
        </w:rPr>
      </w:pPr>
      <w:r w:rsidRPr="00C020C2">
        <w:rPr>
          <w:rFonts w:eastAsia="Calibri"/>
          <w:u w:val="single"/>
        </w:rPr>
        <w:t>A</w:t>
      </w:r>
      <w:r w:rsidR="4F0E9DFC" w:rsidRPr="00C020C2">
        <w:rPr>
          <w:rFonts w:eastAsia="Calibri"/>
          <w:u w:val="single"/>
        </w:rPr>
        <w:t>ccessibility</w:t>
      </w:r>
      <w:r w:rsidRPr="00C020C2">
        <w:rPr>
          <w:rFonts w:eastAsia="Calibri"/>
          <w:u w:val="single"/>
        </w:rPr>
        <w:t xml:space="preserve"> </w:t>
      </w:r>
      <w:r w:rsidR="0BAAB7BF" w:rsidRPr="00C020C2">
        <w:rPr>
          <w:rFonts w:eastAsia="Calibri"/>
          <w:u w:val="single"/>
        </w:rPr>
        <w:t>for persons with disabilities</w:t>
      </w:r>
      <w:r w:rsidR="0BAAB7BF" w:rsidRPr="00C020C2">
        <w:rPr>
          <w:rFonts w:eastAsia="Calibri"/>
        </w:rPr>
        <w:t xml:space="preserve"> </w:t>
      </w:r>
      <w:r w:rsidR="7062FBE9" w:rsidRPr="00C020C2">
        <w:rPr>
          <w:rFonts w:eastAsia="Calibri"/>
        </w:rPr>
        <w:t xml:space="preserve">targets </w:t>
      </w:r>
      <w:r w:rsidR="15282653" w:rsidRPr="00C020C2">
        <w:rPr>
          <w:rFonts w:eastAsia="Calibri"/>
        </w:rPr>
        <w:t>show a</w:t>
      </w:r>
      <w:r w:rsidR="7F9C5B88" w:rsidRPr="00C020C2">
        <w:rPr>
          <w:rFonts w:eastAsia="Calibri"/>
        </w:rPr>
        <w:t xml:space="preserve">n </w:t>
      </w:r>
      <w:r w:rsidR="15282653" w:rsidRPr="00C020C2">
        <w:rPr>
          <w:rFonts w:eastAsia="Calibri"/>
        </w:rPr>
        <w:t>increase of almost 50</w:t>
      </w:r>
      <w:r w:rsidR="398E9E7B" w:rsidRPr="00C020C2">
        <w:rPr>
          <w:rFonts w:eastAsia="Calibri"/>
        </w:rPr>
        <w:t xml:space="preserve"> per cent </w:t>
      </w:r>
      <w:r w:rsidR="15282653" w:rsidRPr="00C020C2">
        <w:rPr>
          <w:rFonts w:eastAsia="Calibri"/>
        </w:rPr>
        <w:t>in four years (from 61 to 90)</w:t>
      </w:r>
      <w:r w:rsidRPr="00C020C2">
        <w:rPr>
          <w:rFonts w:eastAsia="Calibri"/>
        </w:rPr>
        <w:t xml:space="preserve"> </w:t>
      </w:r>
      <w:r w:rsidR="40E57A82" w:rsidRPr="00C020C2">
        <w:rPr>
          <w:rFonts w:eastAsia="Calibri"/>
        </w:rPr>
        <w:t xml:space="preserve">in </w:t>
      </w:r>
      <w:r w:rsidR="4ACA3A7D" w:rsidRPr="00C020C2">
        <w:rPr>
          <w:rFonts w:eastAsia="Calibri"/>
        </w:rPr>
        <w:t xml:space="preserve">terms of </w:t>
      </w:r>
      <w:r w:rsidR="40E57A82" w:rsidRPr="00C020C2">
        <w:rPr>
          <w:rFonts w:eastAsia="Calibri"/>
        </w:rPr>
        <w:t>the number of countries having established a regulatory framework to ensure ICT accessibility for persons with disabilities</w:t>
      </w:r>
      <w:r w:rsidR="3FA8BE26" w:rsidRPr="00C020C2">
        <w:rPr>
          <w:rFonts w:eastAsia="Calibri"/>
        </w:rPr>
        <w:t>. However, th</w:t>
      </w:r>
      <w:r w:rsidR="0BAAB7BF" w:rsidRPr="00C020C2">
        <w:rPr>
          <w:rFonts w:eastAsia="Calibri"/>
        </w:rPr>
        <w:t>e figures</w:t>
      </w:r>
      <w:r w:rsidR="40E57A82" w:rsidRPr="00C020C2">
        <w:rPr>
          <w:rFonts w:eastAsia="Calibri"/>
        </w:rPr>
        <w:t xml:space="preserve"> remain</w:t>
      </w:r>
      <w:r w:rsidRPr="00C020C2">
        <w:rPr>
          <w:rFonts w:eastAsia="Calibri"/>
        </w:rPr>
        <w:t xml:space="preserve"> far from the 2023 Target (“all countries”)</w:t>
      </w:r>
      <w:r w:rsidR="5A2FEBA5" w:rsidRPr="00C020C2">
        <w:rPr>
          <w:rFonts w:eastAsia="Calibri"/>
        </w:rPr>
        <w:t>.</w:t>
      </w:r>
    </w:p>
    <w:p w14:paraId="04E4F479" w14:textId="238ACA75" w:rsidR="00073065" w:rsidRPr="00C020C2" w:rsidRDefault="0F3C606C" w:rsidP="00DE38D4">
      <w:pPr>
        <w:jc w:val="both"/>
        <w:rPr>
          <w:rFonts w:eastAsia="Calibri"/>
        </w:rPr>
      </w:pPr>
      <w:r w:rsidRPr="00C020C2">
        <w:rPr>
          <w:rFonts w:eastAsia="Calibri"/>
          <w:u w:val="single"/>
        </w:rPr>
        <w:t>Urban-rural</w:t>
      </w:r>
      <w:r w:rsidR="30075680" w:rsidRPr="00C020C2">
        <w:rPr>
          <w:rFonts w:eastAsia="Calibri"/>
          <w:u w:val="single"/>
        </w:rPr>
        <w:t xml:space="preserve"> access to the </w:t>
      </w:r>
      <w:r w:rsidR="2E611095" w:rsidRPr="00C020C2">
        <w:rPr>
          <w:rFonts w:eastAsia="Calibri"/>
          <w:u w:val="single"/>
        </w:rPr>
        <w:t>I</w:t>
      </w:r>
      <w:r w:rsidR="30075680" w:rsidRPr="00C020C2">
        <w:rPr>
          <w:rFonts w:eastAsia="Calibri"/>
          <w:u w:val="single"/>
        </w:rPr>
        <w:t>nternet</w:t>
      </w:r>
      <w:r w:rsidRPr="00C020C2">
        <w:rPr>
          <w:rFonts w:eastAsia="Calibri"/>
        </w:rPr>
        <w:t>: Worldwide, 82</w:t>
      </w:r>
      <w:r w:rsidR="4E2D98B6" w:rsidRPr="00C020C2">
        <w:rPr>
          <w:rFonts w:eastAsia="Calibri"/>
        </w:rPr>
        <w:t xml:space="preserve"> per cent </w:t>
      </w:r>
      <w:r w:rsidRPr="00C020C2">
        <w:rPr>
          <w:rFonts w:eastAsia="Calibri"/>
        </w:rPr>
        <w:t>of urban dwellers</w:t>
      </w:r>
      <w:r w:rsidR="4C30F603" w:rsidRPr="00C020C2">
        <w:rPr>
          <w:rFonts w:eastAsia="Calibri"/>
        </w:rPr>
        <w:t xml:space="preserve"> (</w:t>
      </w:r>
      <w:r w:rsidR="4C24F99E" w:rsidRPr="00C020C2">
        <w:rPr>
          <w:rFonts w:eastAsia="Calibri"/>
        </w:rPr>
        <w:t>51.7</w:t>
      </w:r>
      <w:r w:rsidR="4E2D98B6" w:rsidRPr="00C020C2">
        <w:rPr>
          <w:rFonts w:eastAsia="Calibri"/>
        </w:rPr>
        <w:t xml:space="preserve"> per cent </w:t>
      </w:r>
      <w:r w:rsidR="4C24F99E" w:rsidRPr="00C020C2">
        <w:rPr>
          <w:rFonts w:eastAsia="Calibri"/>
        </w:rPr>
        <w:t>in the LDCs)</w:t>
      </w:r>
      <w:r w:rsidRPr="00C020C2">
        <w:rPr>
          <w:rFonts w:eastAsia="Calibri"/>
        </w:rPr>
        <w:t xml:space="preserve"> are using the Internet in 2022. </w:t>
      </w:r>
      <w:r w:rsidR="3FA8BE26" w:rsidRPr="00C020C2">
        <w:rPr>
          <w:rFonts w:eastAsia="Calibri"/>
        </w:rPr>
        <w:t>This i</w:t>
      </w:r>
      <w:r w:rsidRPr="00C020C2">
        <w:rPr>
          <w:rFonts w:eastAsia="Calibri"/>
        </w:rPr>
        <w:t>s 1.8 times high</w:t>
      </w:r>
      <w:r w:rsidR="3FA8BE26" w:rsidRPr="00C020C2">
        <w:rPr>
          <w:rFonts w:eastAsia="Calibri"/>
        </w:rPr>
        <w:t>er</w:t>
      </w:r>
      <w:r w:rsidRPr="00C020C2">
        <w:rPr>
          <w:rFonts w:eastAsia="Calibri"/>
        </w:rPr>
        <w:t xml:space="preserve"> </w:t>
      </w:r>
      <w:r w:rsidR="3FA8BE26" w:rsidRPr="00C020C2">
        <w:rPr>
          <w:rFonts w:eastAsia="Calibri"/>
        </w:rPr>
        <w:t>than</w:t>
      </w:r>
      <w:r w:rsidRPr="00C020C2">
        <w:rPr>
          <w:rFonts w:eastAsia="Calibri"/>
        </w:rPr>
        <w:t xml:space="preserve"> the percentage of Internet users in rural areas</w:t>
      </w:r>
      <w:r w:rsidR="4C24F99E" w:rsidRPr="00C020C2">
        <w:rPr>
          <w:rFonts w:eastAsia="Calibri"/>
        </w:rPr>
        <w:t xml:space="preserve"> (1.9</w:t>
      </w:r>
      <w:r w:rsidR="3FA8BE26" w:rsidRPr="00C020C2">
        <w:rPr>
          <w:rFonts w:eastAsia="Calibri"/>
        </w:rPr>
        <w:t xml:space="preserve"> times higher </w:t>
      </w:r>
      <w:r w:rsidR="4C24F99E" w:rsidRPr="00C020C2">
        <w:rPr>
          <w:rFonts w:eastAsia="Calibri"/>
        </w:rPr>
        <w:t>in the LDCs)</w:t>
      </w:r>
      <w:r w:rsidR="74618854" w:rsidRPr="00C020C2">
        <w:rPr>
          <w:rFonts w:eastAsia="Calibri"/>
        </w:rPr>
        <w:t>.</w:t>
      </w:r>
    </w:p>
    <w:p w14:paraId="2FE34C49" w14:textId="704F65F9" w:rsidR="002B38AA" w:rsidRPr="00C020C2" w:rsidRDefault="007E1FD6" w:rsidP="00DE38D4">
      <w:pPr>
        <w:jc w:val="both"/>
        <w:rPr>
          <w:rFonts w:eastAsia="Calibri"/>
        </w:rPr>
      </w:pPr>
      <w:r w:rsidRPr="00C020C2">
        <w:rPr>
          <w:rFonts w:eastAsia="Calibri"/>
        </w:rPr>
        <w:t>Insufficient</w:t>
      </w:r>
      <w:r w:rsidR="005C16F8" w:rsidRPr="00C020C2">
        <w:rPr>
          <w:rFonts w:eastAsia="Calibri"/>
        </w:rPr>
        <w:t xml:space="preserve"> data is</w:t>
      </w:r>
      <w:r w:rsidRPr="00C020C2">
        <w:rPr>
          <w:rFonts w:eastAsia="Calibri"/>
        </w:rPr>
        <w:t xml:space="preserve"> as yet</w:t>
      </w:r>
      <w:r w:rsidR="005C16F8" w:rsidRPr="00C020C2">
        <w:rPr>
          <w:rFonts w:eastAsia="Calibri"/>
        </w:rPr>
        <w:t xml:space="preserve"> available to assess progress on </w:t>
      </w:r>
      <w:r w:rsidR="005C16F8" w:rsidRPr="00C020C2">
        <w:rPr>
          <w:rFonts w:eastAsia="Calibri"/>
          <w:u w:val="single"/>
        </w:rPr>
        <w:t>the proportion of youth/adults with telecommunication/ICT skills</w:t>
      </w:r>
      <w:r w:rsidR="00F51B2C" w:rsidRPr="00C020C2">
        <w:rPr>
          <w:rFonts w:eastAsia="Calibri"/>
        </w:rPr>
        <w:t>.</w:t>
      </w:r>
      <w:r w:rsidR="00050622" w:rsidRPr="00C020C2">
        <w:rPr>
          <w:rFonts w:eastAsia="Calibri"/>
        </w:rPr>
        <w:t xml:space="preserve"> Regarding </w:t>
      </w:r>
      <w:r w:rsidR="00A96081" w:rsidRPr="00C020C2">
        <w:rPr>
          <w:rFonts w:eastAsia="Calibri"/>
        </w:rPr>
        <w:t xml:space="preserve">Internet </w:t>
      </w:r>
      <w:r w:rsidR="00050622" w:rsidRPr="00C020C2">
        <w:rPr>
          <w:rFonts w:eastAsia="Calibri"/>
        </w:rPr>
        <w:t>penetration</w:t>
      </w:r>
      <w:r w:rsidR="005B122A" w:rsidRPr="00C020C2">
        <w:rPr>
          <w:rFonts w:eastAsia="Calibri"/>
        </w:rPr>
        <w:t xml:space="preserve"> </w:t>
      </w:r>
      <w:r w:rsidR="00BD67E0" w:rsidRPr="00C020C2">
        <w:rPr>
          <w:rFonts w:eastAsia="Calibri"/>
        </w:rPr>
        <w:t>in the world</w:t>
      </w:r>
      <w:r w:rsidR="00EB1407" w:rsidRPr="00C020C2">
        <w:rPr>
          <w:rFonts w:eastAsia="Calibri"/>
        </w:rPr>
        <w:t>,</w:t>
      </w:r>
      <w:r w:rsidR="00BD67E0" w:rsidRPr="00C020C2">
        <w:rPr>
          <w:rFonts w:eastAsia="Calibri"/>
        </w:rPr>
        <w:t xml:space="preserve"> 74.8</w:t>
      </w:r>
      <w:r w:rsidR="00A96081" w:rsidRPr="00C020C2">
        <w:rPr>
          <w:rFonts w:eastAsia="Calibri"/>
        </w:rPr>
        <w:t xml:space="preserve"> per cent </w:t>
      </w:r>
      <w:r w:rsidR="00BD67E0" w:rsidRPr="00C020C2">
        <w:rPr>
          <w:rFonts w:eastAsia="Calibri"/>
        </w:rPr>
        <w:t xml:space="preserve">of youth (15-24 years) are using the </w:t>
      </w:r>
      <w:r w:rsidR="00A96081" w:rsidRPr="00C020C2">
        <w:rPr>
          <w:rFonts w:eastAsia="Calibri"/>
        </w:rPr>
        <w:t>Internet</w:t>
      </w:r>
      <w:r w:rsidR="005B122A" w:rsidRPr="00C020C2">
        <w:rPr>
          <w:rFonts w:eastAsia="Calibri"/>
        </w:rPr>
        <w:t xml:space="preserve">, as compared to </w:t>
      </w:r>
      <w:r w:rsidR="00192411" w:rsidRPr="00C020C2">
        <w:rPr>
          <w:rFonts w:eastAsia="Calibri"/>
        </w:rPr>
        <w:t>64.8</w:t>
      </w:r>
      <w:r w:rsidR="00A96081" w:rsidRPr="00C020C2">
        <w:rPr>
          <w:rFonts w:eastAsia="Calibri"/>
        </w:rPr>
        <w:t xml:space="preserve"> per cent </w:t>
      </w:r>
      <w:r w:rsidR="00EB1407" w:rsidRPr="00C020C2">
        <w:rPr>
          <w:rFonts w:eastAsia="Calibri"/>
        </w:rPr>
        <w:t>for the rest of the population</w:t>
      </w:r>
      <w:r w:rsidR="005B122A" w:rsidRPr="00C020C2">
        <w:rPr>
          <w:rFonts w:eastAsia="Calibri"/>
        </w:rPr>
        <w:t xml:space="preserve">. In the case of LDCs, these figures are </w:t>
      </w:r>
      <w:r w:rsidR="00192411" w:rsidRPr="00C020C2">
        <w:rPr>
          <w:rFonts w:eastAsia="Calibri"/>
        </w:rPr>
        <w:t>47.5</w:t>
      </w:r>
      <w:r w:rsidR="00A96081" w:rsidRPr="00C020C2">
        <w:rPr>
          <w:rFonts w:eastAsia="Calibri"/>
        </w:rPr>
        <w:t xml:space="preserve"> per cent </w:t>
      </w:r>
      <w:r w:rsidR="006D05AD" w:rsidRPr="00C020C2">
        <w:rPr>
          <w:rFonts w:eastAsia="Calibri"/>
        </w:rPr>
        <w:t>and 33.3</w:t>
      </w:r>
      <w:r w:rsidR="00A96081" w:rsidRPr="00C020C2">
        <w:rPr>
          <w:rFonts w:eastAsia="Calibri"/>
        </w:rPr>
        <w:t xml:space="preserve"> per cent </w:t>
      </w:r>
      <w:r w:rsidR="006D05AD" w:rsidRPr="00C020C2">
        <w:rPr>
          <w:rFonts w:eastAsia="Calibri"/>
        </w:rPr>
        <w:t>respectively.</w:t>
      </w:r>
    </w:p>
    <w:p w14:paraId="3DF26443" w14:textId="3107E5B6" w:rsidR="002B38AA" w:rsidRPr="00C020C2" w:rsidRDefault="002B38AA" w:rsidP="00DE38D4">
      <w:pPr>
        <w:keepNext/>
        <w:jc w:val="both"/>
      </w:pPr>
      <w:r w:rsidRPr="00C020C2">
        <w:rPr>
          <w:b/>
        </w:rPr>
        <w:t>Sustainability</w:t>
      </w:r>
    </w:p>
    <w:p w14:paraId="6F16CDB7" w14:textId="687DAF36" w:rsidR="00BD74AE" w:rsidRPr="00C020C2" w:rsidRDefault="005424B6" w:rsidP="00DE38D4">
      <w:pPr>
        <w:jc w:val="both"/>
        <w:rPr>
          <w:color w:val="000000" w:themeColor="text1"/>
        </w:rPr>
      </w:pPr>
      <w:r w:rsidRPr="00C020C2">
        <w:rPr>
          <w:color w:val="000000" w:themeColor="text1"/>
        </w:rPr>
        <w:t>More data is required to fully assess the impact of ITU work</w:t>
      </w:r>
      <w:r w:rsidR="00AB140B" w:rsidRPr="00C020C2">
        <w:rPr>
          <w:color w:val="000000" w:themeColor="text1"/>
        </w:rPr>
        <w:t xml:space="preserve"> </w:t>
      </w:r>
      <w:r w:rsidRPr="00C020C2">
        <w:rPr>
          <w:color w:val="000000" w:themeColor="text1"/>
        </w:rPr>
        <w:t xml:space="preserve">in the area of the </w:t>
      </w:r>
      <w:r w:rsidR="00AB140B" w:rsidRPr="00C020C2">
        <w:rPr>
          <w:color w:val="000000" w:themeColor="text1"/>
        </w:rPr>
        <w:t>environmen</w:t>
      </w:r>
      <w:r w:rsidRPr="00C020C2">
        <w:rPr>
          <w:color w:val="000000" w:themeColor="text1"/>
        </w:rPr>
        <w:t>t</w:t>
      </w:r>
      <w:r w:rsidR="00167E09" w:rsidRPr="00C020C2">
        <w:rPr>
          <w:color w:val="000000" w:themeColor="text1"/>
        </w:rPr>
        <w:t xml:space="preserve">. </w:t>
      </w:r>
      <w:r w:rsidRPr="00C020C2">
        <w:rPr>
          <w:color w:val="000000" w:themeColor="text1"/>
        </w:rPr>
        <w:t>F</w:t>
      </w:r>
      <w:r w:rsidR="00167E09" w:rsidRPr="00C020C2">
        <w:rPr>
          <w:color w:val="000000" w:themeColor="text1"/>
        </w:rPr>
        <w:t>or example</w:t>
      </w:r>
      <w:r w:rsidRPr="00C020C2">
        <w:rPr>
          <w:color w:val="000000" w:themeColor="text1"/>
        </w:rPr>
        <w:t xml:space="preserve">, </w:t>
      </w:r>
      <w:r w:rsidR="003F6FDB" w:rsidRPr="00C020C2">
        <w:rPr>
          <w:color w:val="000000" w:themeColor="text1"/>
          <w:u w:val="single"/>
        </w:rPr>
        <w:t>the global e-waste recycling</w:t>
      </w:r>
      <w:r w:rsidR="003F6FDB" w:rsidRPr="00C020C2">
        <w:rPr>
          <w:color w:val="000000" w:themeColor="text1"/>
        </w:rPr>
        <w:t xml:space="preserve"> rate was </w:t>
      </w:r>
      <w:r w:rsidR="005A7E58" w:rsidRPr="00C020C2">
        <w:rPr>
          <w:color w:val="000000" w:themeColor="text1"/>
        </w:rPr>
        <w:t xml:space="preserve">measured </w:t>
      </w:r>
      <w:r w:rsidRPr="00C020C2">
        <w:rPr>
          <w:color w:val="000000" w:themeColor="text1"/>
        </w:rPr>
        <w:t>at</w:t>
      </w:r>
      <w:r w:rsidR="005A7E58" w:rsidRPr="00C020C2">
        <w:rPr>
          <w:color w:val="000000" w:themeColor="text1"/>
        </w:rPr>
        <w:t xml:space="preserve"> </w:t>
      </w:r>
      <w:r w:rsidR="003F6FDB" w:rsidRPr="00C020C2">
        <w:rPr>
          <w:color w:val="000000" w:themeColor="text1"/>
        </w:rPr>
        <w:t>20</w:t>
      </w:r>
      <w:r w:rsidR="00C75F26" w:rsidRPr="00C020C2">
        <w:rPr>
          <w:color w:val="000000" w:themeColor="text1"/>
        </w:rPr>
        <w:t xml:space="preserve"> per cent </w:t>
      </w:r>
      <w:r w:rsidR="003F6FDB" w:rsidRPr="00C020C2">
        <w:rPr>
          <w:color w:val="000000" w:themeColor="text1"/>
        </w:rPr>
        <w:t xml:space="preserve">in 2017 and </w:t>
      </w:r>
      <w:r w:rsidR="002174D5" w:rsidRPr="00C020C2">
        <w:rPr>
          <w:color w:val="000000" w:themeColor="text1"/>
        </w:rPr>
        <w:t>around 17</w:t>
      </w:r>
      <w:r w:rsidR="00C75F26" w:rsidRPr="00C020C2">
        <w:rPr>
          <w:color w:val="000000" w:themeColor="text1"/>
        </w:rPr>
        <w:t xml:space="preserve"> per cent </w:t>
      </w:r>
      <w:r w:rsidR="002174D5" w:rsidRPr="00C020C2">
        <w:rPr>
          <w:color w:val="000000" w:themeColor="text1"/>
        </w:rPr>
        <w:t xml:space="preserve">in 2019, before the </w:t>
      </w:r>
      <w:r w:rsidR="00C75F26" w:rsidRPr="00C020C2">
        <w:rPr>
          <w:color w:val="000000" w:themeColor="text1"/>
        </w:rPr>
        <w:t xml:space="preserve">COVID-19 </w:t>
      </w:r>
      <w:r w:rsidR="002174D5" w:rsidRPr="00C020C2">
        <w:rPr>
          <w:color w:val="000000" w:themeColor="text1"/>
        </w:rPr>
        <w:t xml:space="preserve">crisis. </w:t>
      </w:r>
      <w:r w:rsidRPr="00C020C2">
        <w:rPr>
          <w:color w:val="000000" w:themeColor="text1"/>
        </w:rPr>
        <w:t xml:space="preserve">Further </w:t>
      </w:r>
      <w:r w:rsidR="002D41DE" w:rsidRPr="00C020C2">
        <w:rPr>
          <w:color w:val="000000" w:themeColor="text1"/>
        </w:rPr>
        <w:t xml:space="preserve">data </w:t>
      </w:r>
      <w:r w:rsidRPr="00C020C2">
        <w:rPr>
          <w:color w:val="000000" w:themeColor="text1"/>
        </w:rPr>
        <w:t>is as yet un</w:t>
      </w:r>
      <w:r w:rsidR="002D41DE" w:rsidRPr="00C020C2">
        <w:rPr>
          <w:color w:val="000000" w:themeColor="text1"/>
        </w:rPr>
        <w:t xml:space="preserve">available. </w:t>
      </w:r>
      <w:r w:rsidR="008110E9" w:rsidRPr="00C020C2">
        <w:rPr>
          <w:color w:val="000000" w:themeColor="text1"/>
        </w:rPr>
        <w:t xml:space="preserve">These </w:t>
      </w:r>
      <w:r w:rsidR="002D41DE" w:rsidRPr="00C020C2">
        <w:rPr>
          <w:color w:val="000000" w:themeColor="text1"/>
        </w:rPr>
        <w:t>values</w:t>
      </w:r>
      <w:r w:rsidR="008110E9" w:rsidRPr="00C020C2">
        <w:rPr>
          <w:color w:val="000000" w:themeColor="text1"/>
        </w:rPr>
        <w:t xml:space="preserve"> come from</w:t>
      </w:r>
      <w:r w:rsidR="00407826" w:rsidRPr="00C020C2">
        <w:rPr>
          <w:color w:val="000000" w:themeColor="text1"/>
        </w:rPr>
        <w:t xml:space="preserve"> the</w:t>
      </w:r>
      <w:r w:rsidR="008110E9" w:rsidRPr="00C020C2">
        <w:rPr>
          <w:color w:val="000000" w:themeColor="text1"/>
        </w:rPr>
        <w:t xml:space="preserve"> </w:t>
      </w:r>
      <w:hyperlink r:id="rId31" w:history="1">
        <w:r w:rsidR="008110E9" w:rsidRPr="00C020C2">
          <w:rPr>
            <w:rStyle w:val="Hyperlink"/>
          </w:rPr>
          <w:t>Global E-Waste Monitor</w:t>
        </w:r>
      </w:hyperlink>
      <w:r w:rsidR="008110E9" w:rsidRPr="00C020C2">
        <w:t xml:space="preserve">, which will be updated </w:t>
      </w:r>
      <w:r w:rsidR="007E7B0D" w:rsidRPr="00C020C2">
        <w:t>by</w:t>
      </w:r>
      <w:r w:rsidR="008110E9" w:rsidRPr="00C020C2">
        <w:t xml:space="preserve"> the end of 2023. </w:t>
      </w:r>
      <w:r w:rsidRPr="00C020C2">
        <w:t xml:space="preserve">Nevertheless one can </w:t>
      </w:r>
      <w:r w:rsidR="008110E9" w:rsidRPr="00C020C2">
        <w:t>consider</w:t>
      </w:r>
      <w:r w:rsidRPr="00C020C2">
        <w:t xml:space="preserve"> progress in regard to e-waste is off </w:t>
      </w:r>
      <w:r w:rsidR="008110E9" w:rsidRPr="00C020C2">
        <w:t>t</w:t>
      </w:r>
      <w:r w:rsidRPr="00C020C2">
        <w:t>r</w:t>
      </w:r>
      <w:r w:rsidR="008110E9" w:rsidRPr="00C020C2">
        <w:t xml:space="preserve">ack for achievement by 2023 (the </w:t>
      </w:r>
      <w:r w:rsidR="00BB75FC" w:rsidRPr="00C020C2">
        <w:t xml:space="preserve">Target </w:t>
      </w:r>
      <w:r w:rsidR="005F6004" w:rsidRPr="00C020C2">
        <w:t xml:space="preserve">value </w:t>
      </w:r>
      <w:r w:rsidR="008110E9" w:rsidRPr="00C020C2">
        <w:t xml:space="preserve">is </w:t>
      </w:r>
      <w:r w:rsidR="00E77711" w:rsidRPr="00C020C2">
        <w:t xml:space="preserve">at least </w:t>
      </w:r>
      <w:r w:rsidR="008110E9" w:rsidRPr="00C020C2">
        <w:t>30</w:t>
      </w:r>
      <w:r w:rsidR="00C75F26" w:rsidRPr="00C020C2">
        <w:t xml:space="preserve"> per cent).</w:t>
      </w:r>
      <w:r w:rsidR="00C75F26" w:rsidRPr="00C020C2">
        <w:rPr>
          <w:color w:val="000000" w:themeColor="text1"/>
        </w:rPr>
        <w:t xml:space="preserve"> </w:t>
      </w:r>
      <w:r w:rsidR="00BD74AE" w:rsidRPr="00C020C2">
        <w:rPr>
          <w:color w:val="000000" w:themeColor="text1"/>
        </w:rPr>
        <w:t xml:space="preserve">On the other hand, </w:t>
      </w:r>
      <w:r w:rsidR="00B66FE2" w:rsidRPr="00C020C2">
        <w:rPr>
          <w:color w:val="000000" w:themeColor="text1"/>
        </w:rPr>
        <w:t xml:space="preserve">the Target </w:t>
      </w:r>
      <w:r w:rsidR="00BD74AE" w:rsidRPr="00C020C2">
        <w:rPr>
          <w:color w:val="000000" w:themeColor="text1"/>
        </w:rPr>
        <w:t xml:space="preserve">of having 50 </w:t>
      </w:r>
      <w:r w:rsidR="00BD74AE" w:rsidRPr="00C020C2">
        <w:rPr>
          <w:color w:val="000000" w:themeColor="text1"/>
        </w:rPr>
        <w:lastRenderedPageBreak/>
        <w:t xml:space="preserve">per cent of countries (more than 85) with in-place </w:t>
      </w:r>
      <w:r w:rsidR="00B66FE2" w:rsidRPr="00C020C2">
        <w:rPr>
          <w:color w:val="000000" w:themeColor="text1"/>
        </w:rPr>
        <w:t xml:space="preserve">e-waste policy, legislation or regulation </w:t>
      </w:r>
      <w:r w:rsidR="00BD74AE" w:rsidRPr="00C020C2">
        <w:rPr>
          <w:color w:val="000000" w:themeColor="text1"/>
        </w:rPr>
        <w:t>by 2023 is achieved: numbers</w:t>
      </w:r>
      <w:r w:rsidR="00506B32" w:rsidRPr="00C020C2">
        <w:rPr>
          <w:color w:val="000000" w:themeColor="text1"/>
        </w:rPr>
        <w:t xml:space="preserve"> increased from 48</w:t>
      </w:r>
      <w:r w:rsidR="002F3A1C" w:rsidRPr="00C020C2">
        <w:rPr>
          <w:color w:val="000000" w:themeColor="text1"/>
        </w:rPr>
        <w:t xml:space="preserve"> countries</w:t>
      </w:r>
      <w:r w:rsidR="00506B32" w:rsidRPr="00C020C2">
        <w:rPr>
          <w:color w:val="000000" w:themeColor="text1"/>
        </w:rPr>
        <w:t xml:space="preserve"> in 20</w:t>
      </w:r>
      <w:r w:rsidR="003B3732" w:rsidRPr="00C020C2">
        <w:rPr>
          <w:color w:val="000000" w:themeColor="text1"/>
        </w:rPr>
        <w:t>1</w:t>
      </w:r>
      <w:r w:rsidR="00506B32" w:rsidRPr="00C020C2">
        <w:rPr>
          <w:color w:val="000000" w:themeColor="text1"/>
        </w:rPr>
        <w:t>6 to about 90</w:t>
      </w:r>
      <w:r w:rsidR="002F3A1C" w:rsidRPr="00C020C2">
        <w:rPr>
          <w:color w:val="000000" w:themeColor="text1"/>
        </w:rPr>
        <w:t xml:space="preserve"> in 2020</w:t>
      </w:r>
      <w:r w:rsidR="00BD74AE" w:rsidRPr="00C020C2">
        <w:rPr>
          <w:color w:val="000000" w:themeColor="text1"/>
        </w:rPr>
        <w:t xml:space="preserve">. </w:t>
      </w:r>
    </w:p>
    <w:p w14:paraId="1D587244" w14:textId="62006FCD" w:rsidR="00F0790F" w:rsidRPr="00C020C2" w:rsidRDefault="00407826" w:rsidP="00DE38D4">
      <w:pPr>
        <w:jc w:val="both"/>
        <w:rPr>
          <w:color w:val="000000" w:themeColor="text1"/>
        </w:rPr>
      </w:pPr>
      <w:r w:rsidRPr="00C020C2">
        <w:rPr>
          <w:color w:val="000000" w:themeColor="text1"/>
        </w:rPr>
        <w:t xml:space="preserve">Regarding </w:t>
      </w:r>
      <w:r w:rsidRPr="00C020C2">
        <w:rPr>
          <w:color w:val="000000" w:themeColor="text1"/>
          <w:u w:val="single"/>
        </w:rPr>
        <w:t>the</w:t>
      </w:r>
      <w:r w:rsidR="002C0367" w:rsidRPr="00C020C2">
        <w:rPr>
          <w:color w:val="000000" w:themeColor="text1"/>
          <w:u w:val="single"/>
        </w:rPr>
        <w:t xml:space="preserve"> impact of ICTs in climate change</w:t>
      </w:r>
      <w:r w:rsidR="002C0367" w:rsidRPr="00C020C2">
        <w:rPr>
          <w:color w:val="000000" w:themeColor="text1"/>
        </w:rPr>
        <w:t xml:space="preserve">, the current </w:t>
      </w:r>
      <w:r w:rsidR="00BB75FC" w:rsidRPr="00C020C2">
        <w:rPr>
          <w:color w:val="000000" w:themeColor="text1"/>
        </w:rPr>
        <w:t xml:space="preserve">Target </w:t>
      </w:r>
      <w:r w:rsidR="00716281" w:rsidRPr="00C020C2">
        <w:rPr>
          <w:color w:val="000000" w:themeColor="text1"/>
        </w:rPr>
        <w:t>focus</w:t>
      </w:r>
      <w:r w:rsidR="00C75F26" w:rsidRPr="00C020C2">
        <w:rPr>
          <w:color w:val="000000" w:themeColor="text1"/>
        </w:rPr>
        <w:t>es</w:t>
      </w:r>
      <w:r w:rsidR="00716281" w:rsidRPr="00C020C2">
        <w:rPr>
          <w:color w:val="000000" w:themeColor="text1"/>
        </w:rPr>
        <w:t xml:space="preserve"> on </w:t>
      </w:r>
      <w:r w:rsidR="005F2929" w:rsidRPr="00C020C2">
        <w:rPr>
          <w:color w:val="000000" w:themeColor="text1"/>
        </w:rPr>
        <w:t>the contribution of ICTs to reduce the environmental footprint of other sectors (</w:t>
      </w:r>
      <w:r w:rsidR="00716281" w:rsidRPr="00C020C2">
        <w:rPr>
          <w:color w:val="000000" w:themeColor="text1"/>
        </w:rPr>
        <w:t>net telecommunication/ICT-enabled Greenhouse Gas abatement</w:t>
      </w:r>
      <w:r w:rsidR="005F2929" w:rsidRPr="00C020C2">
        <w:rPr>
          <w:color w:val="000000" w:themeColor="text1"/>
        </w:rPr>
        <w:t>)</w:t>
      </w:r>
      <w:r w:rsidR="00716281" w:rsidRPr="00C020C2">
        <w:rPr>
          <w:color w:val="000000" w:themeColor="text1"/>
        </w:rPr>
        <w:t>.</w:t>
      </w:r>
      <w:r w:rsidR="005F2929" w:rsidRPr="00C020C2">
        <w:rPr>
          <w:color w:val="000000" w:themeColor="text1"/>
        </w:rPr>
        <w:t xml:space="preserve"> </w:t>
      </w:r>
      <w:r w:rsidR="000B47E3" w:rsidRPr="00C020C2">
        <w:rPr>
          <w:color w:val="000000" w:themeColor="text1"/>
        </w:rPr>
        <w:t>ITU has produced</w:t>
      </w:r>
      <w:r w:rsidR="00C86275" w:rsidRPr="00C020C2">
        <w:rPr>
          <w:color w:val="000000" w:themeColor="text1"/>
        </w:rPr>
        <w:t xml:space="preserve"> a </w:t>
      </w:r>
      <w:r w:rsidR="000B47E3" w:rsidRPr="00C020C2">
        <w:rPr>
          <w:color w:val="000000" w:themeColor="text1"/>
        </w:rPr>
        <w:t xml:space="preserve">set of recommendations </w:t>
      </w:r>
      <w:r w:rsidR="005F2929" w:rsidRPr="00C020C2">
        <w:rPr>
          <w:color w:val="000000" w:themeColor="text1"/>
        </w:rPr>
        <w:t xml:space="preserve">designed </w:t>
      </w:r>
      <w:r w:rsidR="005C4C21" w:rsidRPr="00C020C2">
        <w:rPr>
          <w:color w:val="000000" w:themeColor="text1"/>
        </w:rPr>
        <w:t>to</w:t>
      </w:r>
      <w:r w:rsidR="000B47E3" w:rsidRPr="00C020C2">
        <w:rPr>
          <w:color w:val="000000" w:themeColor="text1"/>
        </w:rPr>
        <w:t xml:space="preserve"> measure this impact (see </w:t>
      </w:r>
      <w:r w:rsidR="005C4C21" w:rsidRPr="00C020C2">
        <w:rPr>
          <w:color w:val="000000" w:themeColor="text1"/>
        </w:rPr>
        <w:t xml:space="preserve">the work of </w:t>
      </w:r>
      <w:hyperlink r:id="rId32" w:history="1">
        <w:r w:rsidR="005C4C21" w:rsidRPr="00C020C2">
          <w:rPr>
            <w:rStyle w:val="Hyperlink"/>
          </w:rPr>
          <w:t>ITU-T SG5/9</w:t>
        </w:r>
      </w:hyperlink>
      <w:r w:rsidR="005C4C21" w:rsidRPr="00C020C2">
        <w:rPr>
          <w:color w:val="000000" w:themeColor="text1"/>
        </w:rPr>
        <w:t>)</w:t>
      </w:r>
      <w:r w:rsidR="006538CD" w:rsidRPr="00C020C2">
        <w:rPr>
          <w:color w:val="000000" w:themeColor="text1"/>
        </w:rPr>
        <w:t>, but these methodologies have not yet been used to collect data.</w:t>
      </w:r>
      <w:r w:rsidR="00D972F0" w:rsidRPr="00C020C2">
        <w:rPr>
          <w:color w:val="000000" w:themeColor="text1"/>
        </w:rPr>
        <w:t xml:space="preserve"> </w:t>
      </w:r>
    </w:p>
    <w:p w14:paraId="0EFFD84A" w14:textId="4C6AAB90" w:rsidR="00176D1E" w:rsidRPr="00C020C2" w:rsidRDefault="71313977" w:rsidP="00DE38D4">
      <w:pPr>
        <w:jc w:val="both"/>
        <w:rPr>
          <w:color w:val="000000" w:themeColor="text1"/>
        </w:rPr>
      </w:pPr>
      <w:r w:rsidRPr="00C020C2">
        <w:rPr>
          <w:color w:val="000000" w:themeColor="text1"/>
        </w:rPr>
        <w:t xml:space="preserve">Another </w:t>
      </w:r>
      <w:r w:rsidR="4E1C5082" w:rsidRPr="00C020C2">
        <w:rPr>
          <w:color w:val="000000" w:themeColor="text1"/>
        </w:rPr>
        <w:t xml:space="preserve">relevant </w:t>
      </w:r>
      <w:r w:rsidR="47D66334" w:rsidRPr="00C020C2">
        <w:rPr>
          <w:color w:val="000000" w:themeColor="text1"/>
        </w:rPr>
        <w:t>variable</w:t>
      </w:r>
      <w:r w:rsidR="5C7EE621" w:rsidRPr="00C020C2">
        <w:rPr>
          <w:color w:val="000000" w:themeColor="text1"/>
        </w:rPr>
        <w:t>, for which there is no 2023 Target,</w:t>
      </w:r>
      <w:r w:rsidR="47D66334" w:rsidRPr="00C020C2">
        <w:rPr>
          <w:color w:val="000000" w:themeColor="text1"/>
        </w:rPr>
        <w:t xml:space="preserve"> is th</w:t>
      </w:r>
      <w:r w:rsidR="00E2EE8B" w:rsidRPr="00C020C2">
        <w:rPr>
          <w:color w:val="000000" w:themeColor="text1"/>
        </w:rPr>
        <w:t>at of</w:t>
      </w:r>
      <w:r w:rsidR="47D66334" w:rsidRPr="00C020C2">
        <w:rPr>
          <w:color w:val="000000" w:themeColor="text1"/>
        </w:rPr>
        <w:t xml:space="preserve"> </w:t>
      </w:r>
      <w:r w:rsidR="00E2EE8B" w:rsidRPr="00C020C2">
        <w:rPr>
          <w:color w:val="000000" w:themeColor="text1"/>
          <w:u w:val="single"/>
        </w:rPr>
        <w:t xml:space="preserve">the overall </w:t>
      </w:r>
      <w:r w:rsidR="44F10C99" w:rsidRPr="00C020C2">
        <w:rPr>
          <w:color w:val="000000" w:themeColor="text1"/>
          <w:u w:val="single"/>
        </w:rPr>
        <w:t>ICT environmental foo</w:t>
      </w:r>
      <w:r w:rsidR="2D41FD4B" w:rsidRPr="00C020C2">
        <w:rPr>
          <w:color w:val="000000" w:themeColor="text1"/>
          <w:u w:val="single"/>
        </w:rPr>
        <w:t>t</w:t>
      </w:r>
      <w:r w:rsidR="44F10C99" w:rsidRPr="00C020C2">
        <w:rPr>
          <w:color w:val="000000" w:themeColor="text1"/>
          <w:u w:val="single"/>
        </w:rPr>
        <w:t>print</w:t>
      </w:r>
      <w:r w:rsidR="3A21CC29" w:rsidRPr="00C020C2">
        <w:rPr>
          <w:color w:val="000000" w:themeColor="text1"/>
        </w:rPr>
        <w:t xml:space="preserve">. A baseline </w:t>
      </w:r>
      <w:r w:rsidR="00E2EE8B" w:rsidRPr="00C020C2">
        <w:rPr>
          <w:color w:val="000000" w:themeColor="text1"/>
        </w:rPr>
        <w:t xml:space="preserve">to measure the total ICT Sector’s GHG emissions as </w:t>
      </w:r>
      <w:r w:rsidR="00E2EE8B" w:rsidRPr="00C020C2">
        <w:rPr>
          <w:b/>
          <w:bCs/>
          <w:color w:val="000000" w:themeColor="text1"/>
          <w:u w:val="single"/>
        </w:rPr>
        <w:t>610 MtCO</w:t>
      </w:r>
      <w:r w:rsidR="00E2EE8B" w:rsidRPr="00C020C2">
        <w:rPr>
          <w:b/>
          <w:bCs/>
          <w:color w:val="000000" w:themeColor="text1"/>
          <w:u w:val="single"/>
          <w:vertAlign w:val="subscript"/>
        </w:rPr>
        <w:t>2</w:t>
      </w:r>
      <w:r w:rsidR="00E2EE8B" w:rsidRPr="00C020C2">
        <w:rPr>
          <w:b/>
          <w:bCs/>
          <w:color w:val="000000" w:themeColor="text1"/>
          <w:u w:val="single"/>
        </w:rPr>
        <w:t>e/year</w:t>
      </w:r>
      <w:r w:rsidR="00E2EE8B" w:rsidRPr="00C020C2">
        <w:rPr>
          <w:color w:val="000000" w:themeColor="text1"/>
        </w:rPr>
        <w:t xml:space="preserve"> </w:t>
      </w:r>
      <w:r w:rsidR="3A21CC29" w:rsidRPr="00C020C2">
        <w:rPr>
          <w:color w:val="000000" w:themeColor="text1"/>
        </w:rPr>
        <w:t xml:space="preserve">was established around 2015 by </w:t>
      </w:r>
      <w:hyperlink r:id="rId33">
        <w:proofErr w:type="spellStart"/>
        <w:r w:rsidR="3A21CC29" w:rsidRPr="00C020C2">
          <w:rPr>
            <w:rStyle w:val="Hyperlink"/>
          </w:rPr>
          <w:t>GeSi</w:t>
        </w:r>
        <w:proofErr w:type="spellEnd"/>
      </w:hyperlink>
      <w:r w:rsidR="3A21CC29" w:rsidRPr="00C020C2">
        <w:rPr>
          <w:color w:val="000000" w:themeColor="text1"/>
        </w:rPr>
        <w:t>, using methodologies from the above mentioned ITU-T SG5/9</w:t>
      </w:r>
      <w:r w:rsidR="00E2EE8B" w:rsidRPr="00C020C2">
        <w:rPr>
          <w:color w:val="000000" w:themeColor="text1"/>
        </w:rPr>
        <w:t>.</w:t>
      </w:r>
      <w:r w:rsidR="3A21CC29" w:rsidRPr="00C020C2">
        <w:rPr>
          <w:color w:val="000000" w:themeColor="text1"/>
        </w:rPr>
        <w:t xml:space="preserve"> </w:t>
      </w:r>
      <w:r w:rsidR="002FF80D" w:rsidRPr="00C020C2">
        <w:rPr>
          <w:color w:val="000000" w:themeColor="text1"/>
        </w:rPr>
        <w:t xml:space="preserve">No other measurement has been undertaken after this date. </w:t>
      </w:r>
      <w:r w:rsidR="1386FDC9" w:rsidRPr="00C020C2">
        <w:rPr>
          <w:color w:val="000000" w:themeColor="text1"/>
        </w:rPr>
        <w:t xml:space="preserve">As a </w:t>
      </w:r>
      <w:r w:rsidR="00E2EE8B" w:rsidRPr="00C020C2">
        <w:rPr>
          <w:color w:val="000000" w:themeColor="text1"/>
        </w:rPr>
        <w:t>p</w:t>
      </w:r>
      <w:r w:rsidR="1386FDC9" w:rsidRPr="00C020C2">
        <w:rPr>
          <w:color w:val="000000" w:themeColor="text1"/>
        </w:rPr>
        <w:t xml:space="preserve">roxy, ITU is </w:t>
      </w:r>
      <w:r w:rsidR="2455B5A7" w:rsidRPr="00C020C2">
        <w:rPr>
          <w:color w:val="000000" w:themeColor="text1"/>
        </w:rPr>
        <w:t>track</w:t>
      </w:r>
      <w:r w:rsidR="1386FDC9" w:rsidRPr="00C020C2">
        <w:rPr>
          <w:color w:val="000000" w:themeColor="text1"/>
        </w:rPr>
        <w:t>ing</w:t>
      </w:r>
      <w:r w:rsidR="2455B5A7" w:rsidRPr="00C020C2">
        <w:rPr>
          <w:color w:val="000000" w:themeColor="text1"/>
        </w:rPr>
        <w:t>/monitor</w:t>
      </w:r>
      <w:r w:rsidR="1386FDC9" w:rsidRPr="00C020C2">
        <w:rPr>
          <w:color w:val="000000" w:themeColor="text1"/>
        </w:rPr>
        <w:t>ing</w:t>
      </w:r>
      <w:r w:rsidR="2455B5A7" w:rsidRPr="00C020C2">
        <w:rPr>
          <w:color w:val="000000" w:themeColor="text1"/>
        </w:rPr>
        <w:t xml:space="preserve"> emissions, energy use and climate commitments of the 150 leading tech companies (representing about 75</w:t>
      </w:r>
      <w:r w:rsidRPr="00C020C2">
        <w:rPr>
          <w:color w:val="000000" w:themeColor="text1"/>
        </w:rPr>
        <w:t xml:space="preserve"> per cent </w:t>
      </w:r>
      <w:r w:rsidR="2455B5A7" w:rsidRPr="00C020C2">
        <w:rPr>
          <w:color w:val="000000" w:themeColor="text1"/>
        </w:rPr>
        <w:t xml:space="preserve">of </w:t>
      </w:r>
      <w:r w:rsidRPr="00C020C2">
        <w:rPr>
          <w:color w:val="000000" w:themeColor="text1"/>
        </w:rPr>
        <w:t xml:space="preserve">the </w:t>
      </w:r>
      <w:r w:rsidR="2455B5A7" w:rsidRPr="00C020C2">
        <w:rPr>
          <w:color w:val="000000" w:themeColor="text1"/>
        </w:rPr>
        <w:t xml:space="preserve">total tech industry) via </w:t>
      </w:r>
      <w:r w:rsidR="0B64764E" w:rsidRPr="00C020C2">
        <w:rPr>
          <w:color w:val="000000" w:themeColor="text1"/>
        </w:rPr>
        <w:t xml:space="preserve">the </w:t>
      </w:r>
      <w:r w:rsidR="2455B5A7" w:rsidRPr="00C020C2">
        <w:rPr>
          <w:color w:val="000000" w:themeColor="text1"/>
        </w:rPr>
        <w:t xml:space="preserve">annual industry assessment report: </w:t>
      </w:r>
      <w:hyperlink r:id="rId34">
        <w:r w:rsidR="2455B5A7" w:rsidRPr="00C020C2">
          <w:rPr>
            <w:rStyle w:val="Hyperlink"/>
          </w:rPr>
          <w:t>Greening Digital Companies</w:t>
        </w:r>
      </w:hyperlink>
      <w:r w:rsidR="2455B5A7" w:rsidRPr="00C020C2">
        <w:rPr>
          <w:color w:val="000000" w:themeColor="text1"/>
        </w:rPr>
        <w:t>. Data and information on their commitment</w:t>
      </w:r>
      <w:r w:rsidRPr="00C020C2">
        <w:rPr>
          <w:color w:val="000000" w:themeColor="text1"/>
        </w:rPr>
        <w:t>s</w:t>
      </w:r>
      <w:r w:rsidR="2455B5A7" w:rsidRPr="00C020C2">
        <w:rPr>
          <w:color w:val="000000" w:themeColor="text1"/>
        </w:rPr>
        <w:t xml:space="preserve"> are collected directly from these companies. See also the key </w:t>
      </w:r>
      <w:hyperlink r:id="rId35">
        <w:r w:rsidR="2455B5A7" w:rsidRPr="00C020C2">
          <w:rPr>
            <w:rStyle w:val="Hyperlink"/>
          </w:rPr>
          <w:t>highlights</w:t>
        </w:r>
      </w:hyperlink>
      <w:r w:rsidR="2455B5A7" w:rsidRPr="00C020C2">
        <w:rPr>
          <w:color w:val="000000" w:themeColor="text1"/>
        </w:rPr>
        <w:t xml:space="preserve"> from this report. The 2023 report </w:t>
      </w:r>
      <w:r w:rsidR="443AB16A" w:rsidRPr="00C020C2">
        <w:rPr>
          <w:color w:val="000000" w:themeColor="text1"/>
        </w:rPr>
        <w:t xml:space="preserve">is planned to </w:t>
      </w:r>
      <w:r w:rsidR="2455B5A7" w:rsidRPr="00C020C2">
        <w:rPr>
          <w:color w:val="000000" w:themeColor="text1"/>
        </w:rPr>
        <w:t xml:space="preserve">be published in July. </w:t>
      </w:r>
    </w:p>
    <w:p w14:paraId="58D4289F" w14:textId="6E98B423" w:rsidR="00176D1E" w:rsidRPr="00C020C2" w:rsidRDefault="30075680" w:rsidP="00DE38D4">
      <w:pPr>
        <w:jc w:val="both"/>
        <w:rPr>
          <w:color w:val="000000" w:themeColor="text1"/>
        </w:rPr>
      </w:pPr>
      <w:r w:rsidRPr="00C020C2">
        <w:rPr>
          <w:color w:val="000000" w:themeColor="text1"/>
        </w:rPr>
        <w:t>In relation to the T</w:t>
      </w:r>
      <w:r w:rsidR="71313977" w:rsidRPr="00C020C2">
        <w:rPr>
          <w:color w:val="000000" w:themeColor="text1"/>
        </w:rPr>
        <w:t xml:space="preserve">arget </w:t>
      </w:r>
      <w:r w:rsidRPr="00C020C2">
        <w:rPr>
          <w:color w:val="000000" w:themeColor="text1"/>
        </w:rPr>
        <w:t xml:space="preserve">on </w:t>
      </w:r>
      <w:r w:rsidRPr="00C020C2">
        <w:rPr>
          <w:color w:val="000000" w:themeColor="text1"/>
          <w:u w:val="single"/>
        </w:rPr>
        <w:t>cybersecurity</w:t>
      </w:r>
      <w:r w:rsidRPr="00C020C2">
        <w:rPr>
          <w:color w:val="000000" w:themeColor="text1"/>
        </w:rPr>
        <w:t xml:space="preserve"> </w:t>
      </w:r>
      <w:r w:rsidR="0AFB2EB7" w:rsidRPr="00C020C2">
        <w:rPr>
          <w:color w:val="000000" w:themeColor="text1"/>
        </w:rPr>
        <w:t xml:space="preserve">(“improve cybersecurity preparedness of countries, with key capabilities: presence of strategy, national computer incident/emergency response teams and legislation”), </w:t>
      </w:r>
      <w:r w:rsidR="4C1B5DF9" w:rsidRPr="00C020C2">
        <w:rPr>
          <w:color w:val="000000" w:themeColor="text1"/>
        </w:rPr>
        <w:t>the percentage of countries having CIRTs/CERTs has increased from abou</w:t>
      </w:r>
      <w:r w:rsidR="18E528BB" w:rsidRPr="00C020C2">
        <w:rPr>
          <w:color w:val="000000" w:themeColor="text1"/>
        </w:rPr>
        <w:t>t</w:t>
      </w:r>
      <w:r w:rsidR="4C1B5DF9" w:rsidRPr="00C020C2">
        <w:rPr>
          <w:color w:val="000000" w:themeColor="text1"/>
        </w:rPr>
        <w:t xml:space="preserve"> </w:t>
      </w:r>
      <w:r w:rsidR="18E528BB" w:rsidRPr="00C020C2">
        <w:rPr>
          <w:color w:val="000000" w:themeColor="text1"/>
        </w:rPr>
        <w:t>5</w:t>
      </w:r>
      <w:r w:rsidR="4C1B5DF9" w:rsidRPr="00C020C2">
        <w:rPr>
          <w:color w:val="000000" w:themeColor="text1"/>
        </w:rPr>
        <w:t>5</w:t>
      </w:r>
      <w:r w:rsidR="71313977" w:rsidRPr="00C020C2">
        <w:rPr>
          <w:color w:val="000000" w:themeColor="text1"/>
        </w:rPr>
        <w:t xml:space="preserve"> per cent </w:t>
      </w:r>
      <w:r w:rsidR="4C1B5DF9" w:rsidRPr="00C020C2">
        <w:rPr>
          <w:color w:val="000000" w:themeColor="text1"/>
        </w:rPr>
        <w:t xml:space="preserve">in 2018 to </w:t>
      </w:r>
      <w:r w:rsidR="18E528BB" w:rsidRPr="00C020C2">
        <w:rPr>
          <w:color w:val="000000" w:themeColor="text1"/>
        </w:rPr>
        <w:t>65</w:t>
      </w:r>
      <w:r w:rsidR="71313977" w:rsidRPr="00C020C2">
        <w:rPr>
          <w:color w:val="000000" w:themeColor="text1"/>
        </w:rPr>
        <w:t xml:space="preserve"> per cent </w:t>
      </w:r>
      <w:r w:rsidR="18E528BB" w:rsidRPr="00C020C2">
        <w:rPr>
          <w:color w:val="000000" w:themeColor="text1"/>
        </w:rPr>
        <w:t xml:space="preserve">in 2022. </w:t>
      </w:r>
    </w:p>
    <w:p w14:paraId="2268394C" w14:textId="10B10BCE" w:rsidR="00176D1E" w:rsidRPr="00C020C2" w:rsidRDefault="478C21D4" w:rsidP="00C20AFC">
      <w:pPr>
        <w:jc w:val="both"/>
        <w:rPr>
          <w:color w:val="000000" w:themeColor="text1"/>
        </w:rPr>
      </w:pPr>
      <w:r w:rsidRPr="00C020C2">
        <w:rPr>
          <w:color w:val="000000" w:themeColor="text1"/>
        </w:rPr>
        <w:t xml:space="preserve">Regarding the number of countries having a National Emergency Telecommunication Plan as part of their national and local </w:t>
      </w:r>
      <w:r w:rsidRPr="00C020C2">
        <w:rPr>
          <w:color w:val="000000" w:themeColor="text1"/>
          <w:u w:val="single"/>
        </w:rPr>
        <w:t>disaster risk reduction strategies</w:t>
      </w:r>
      <w:r w:rsidRPr="00C020C2">
        <w:rPr>
          <w:color w:val="000000" w:themeColor="text1"/>
        </w:rPr>
        <w:t xml:space="preserve">, data </w:t>
      </w:r>
      <w:r w:rsidR="00E2EE8B" w:rsidRPr="00C020C2">
        <w:rPr>
          <w:color w:val="000000" w:themeColor="text1"/>
        </w:rPr>
        <w:t xml:space="preserve">will </w:t>
      </w:r>
      <w:r w:rsidR="33DBA451" w:rsidRPr="00C020C2">
        <w:rPr>
          <w:color w:val="000000" w:themeColor="text1"/>
        </w:rPr>
        <w:t>be available soon</w:t>
      </w:r>
      <w:r w:rsidR="71313977" w:rsidRPr="00C020C2">
        <w:rPr>
          <w:color w:val="000000" w:themeColor="text1"/>
        </w:rPr>
        <w:t>. However</w:t>
      </w:r>
      <w:r w:rsidR="397DD0A4" w:rsidRPr="00C020C2">
        <w:rPr>
          <w:color w:val="000000" w:themeColor="text1"/>
        </w:rPr>
        <w:t>,</w:t>
      </w:r>
      <w:r w:rsidR="71313977" w:rsidRPr="00C020C2">
        <w:rPr>
          <w:color w:val="000000" w:themeColor="text1"/>
        </w:rPr>
        <w:t xml:space="preserve"> </w:t>
      </w:r>
      <w:r w:rsidR="33DBA451" w:rsidRPr="00C020C2">
        <w:rPr>
          <w:color w:val="000000" w:themeColor="text1"/>
        </w:rPr>
        <w:t xml:space="preserve">the available baseline (2020) shows that only 25 </w:t>
      </w:r>
      <w:r w:rsidR="246BB05C" w:rsidRPr="00C020C2">
        <w:rPr>
          <w:color w:val="000000" w:themeColor="text1"/>
        </w:rPr>
        <w:t xml:space="preserve">countries </w:t>
      </w:r>
      <w:r w:rsidR="33DBA451" w:rsidRPr="00C020C2">
        <w:rPr>
          <w:color w:val="000000" w:themeColor="text1"/>
        </w:rPr>
        <w:t xml:space="preserve">reported having </w:t>
      </w:r>
      <w:r w:rsidR="65D06D60" w:rsidRPr="00C020C2">
        <w:rPr>
          <w:color w:val="000000" w:themeColor="text1"/>
        </w:rPr>
        <w:t xml:space="preserve">such </w:t>
      </w:r>
      <w:r w:rsidR="33DBA451" w:rsidRPr="00C020C2">
        <w:rPr>
          <w:color w:val="000000" w:themeColor="text1"/>
        </w:rPr>
        <w:t xml:space="preserve">a </w:t>
      </w:r>
      <w:r w:rsidR="65D06D60" w:rsidRPr="00C020C2">
        <w:rPr>
          <w:color w:val="000000" w:themeColor="text1"/>
        </w:rPr>
        <w:t xml:space="preserve">plan </w:t>
      </w:r>
      <w:r w:rsidR="33DBA451" w:rsidRPr="00C020C2">
        <w:rPr>
          <w:color w:val="000000" w:themeColor="text1"/>
        </w:rPr>
        <w:t xml:space="preserve">that year, </w:t>
      </w:r>
      <w:r w:rsidR="0A17DDAA" w:rsidRPr="00C020C2">
        <w:rPr>
          <w:color w:val="000000" w:themeColor="text1"/>
        </w:rPr>
        <w:t xml:space="preserve">suggesting that </w:t>
      </w:r>
      <w:r w:rsidR="33DBA451" w:rsidRPr="00C020C2">
        <w:rPr>
          <w:color w:val="000000" w:themeColor="text1"/>
        </w:rPr>
        <w:t xml:space="preserve">this Target </w:t>
      </w:r>
      <w:r w:rsidR="00C20AFC" w:rsidRPr="00C020C2">
        <w:rPr>
          <w:color w:val="000000" w:themeColor="text1"/>
        </w:rPr>
        <w:t xml:space="preserve">(“all countries should have a National Emergency Telecommunication Plan as part of their national and local disaster risk reduction strategies”) </w:t>
      </w:r>
      <w:r w:rsidR="0A17DDAA" w:rsidRPr="00C020C2">
        <w:rPr>
          <w:color w:val="000000" w:themeColor="text1"/>
        </w:rPr>
        <w:t xml:space="preserve">may </w:t>
      </w:r>
      <w:r w:rsidR="71313977" w:rsidRPr="00C020C2">
        <w:rPr>
          <w:color w:val="000000" w:themeColor="text1"/>
        </w:rPr>
        <w:t xml:space="preserve">not </w:t>
      </w:r>
      <w:r w:rsidR="0A17DDAA" w:rsidRPr="00C020C2">
        <w:rPr>
          <w:color w:val="000000" w:themeColor="text1"/>
        </w:rPr>
        <w:t>be</w:t>
      </w:r>
      <w:r w:rsidR="33DBA451" w:rsidRPr="00C020C2">
        <w:rPr>
          <w:color w:val="000000" w:themeColor="text1"/>
        </w:rPr>
        <w:t xml:space="preserve"> </w:t>
      </w:r>
      <w:r w:rsidR="71313977" w:rsidRPr="00C020C2">
        <w:rPr>
          <w:color w:val="000000" w:themeColor="text1"/>
        </w:rPr>
        <w:t>on</w:t>
      </w:r>
      <w:r w:rsidR="33DBA451" w:rsidRPr="00C020C2">
        <w:rPr>
          <w:color w:val="000000" w:themeColor="text1"/>
        </w:rPr>
        <w:t xml:space="preserve"> </w:t>
      </w:r>
      <w:r w:rsidR="6AA0F1A7" w:rsidRPr="00C020C2">
        <w:rPr>
          <w:color w:val="000000" w:themeColor="text1"/>
        </w:rPr>
        <w:t>t</w:t>
      </w:r>
      <w:r w:rsidR="33DBA451" w:rsidRPr="00C020C2">
        <w:rPr>
          <w:color w:val="000000" w:themeColor="text1"/>
        </w:rPr>
        <w:t>rack.</w:t>
      </w:r>
    </w:p>
    <w:p w14:paraId="09A9422C" w14:textId="4F5ED343" w:rsidR="002B38AA" w:rsidRPr="00C020C2" w:rsidRDefault="002B38AA" w:rsidP="00DE38D4">
      <w:pPr>
        <w:jc w:val="both"/>
      </w:pPr>
      <w:r w:rsidRPr="00C020C2">
        <w:rPr>
          <w:b/>
        </w:rPr>
        <w:t>Innovation</w:t>
      </w:r>
    </w:p>
    <w:p w14:paraId="3D5C55B8" w14:textId="0A1E167D" w:rsidR="002B38AA" w:rsidRPr="00C020C2" w:rsidRDefault="6E7B03DA" w:rsidP="00DE38D4">
      <w:pPr>
        <w:jc w:val="both"/>
        <w:rPr>
          <w:rFonts w:eastAsia="Calibri"/>
        </w:rPr>
      </w:pPr>
      <w:r w:rsidRPr="00C020C2">
        <w:rPr>
          <w:rFonts w:eastAsia="Calibri"/>
        </w:rPr>
        <w:t>The 2023 Ta</w:t>
      </w:r>
      <w:r w:rsidR="51E1E712" w:rsidRPr="00C020C2">
        <w:rPr>
          <w:rFonts w:eastAsia="Calibri"/>
        </w:rPr>
        <w:t>r</w:t>
      </w:r>
      <w:r w:rsidRPr="00C020C2">
        <w:rPr>
          <w:rFonts w:eastAsia="Calibri"/>
        </w:rPr>
        <w:t>get assess</w:t>
      </w:r>
      <w:r w:rsidR="30075680" w:rsidRPr="00C020C2">
        <w:rPr>
          <w:rFonts w:eastAsia="Calibri"/>
        </w:rPr>
        <w:t>ing</w:t>
      </w:r>
      <w:r w:rsidRPr="00C020C2">
        <w:rPr>
          <w:rFonts w:eastAsia="Calibri"/>
        </w:rPr>
        <w:t xml:space="preserve"> progress </w:t>
      </w:r>
      <w:r w:rsidR="3D5438E9" w:rsidRPr="00C020C2">
        <w:rPr>
          <w:rFonts w:eastAsia="Calibri"/>
        </w:rPr>
        <w:t>to</w:t>
      </w:r>
      <w:r w:rsidRPr="00C020C2">
        <w:rPr>
          <w:rFonts w:eastAsia="Calibri"/>
        </w:rPr>
        <w:t>ward this Goal reads “</w:t>
      </w:r>
      <w:r w:rsidR="3D5438E9" w:rsidRPr="00C020C2">
        <w:rPr>
          <w:rFonts w:eastAsia="Calibri"/>
        </w:rPr>
        <w:t>All</w:t>
      </w:r>
      <w:r w:rsidRPr="00C020C2">
        <w:rPr>
          <w:rFonts w:eastAsia="Calibri"/>
        </w:rPr>
        <w:t xml:space="preserve"> </w:t>
      </w:r>
      <w:r w:rsidR="3D5438E9" w:rsidRPr="00C020C2">
        <w:rPr>
          <w:rFonts w:eastAsia="Calibri"/>
        </w:rPr>
        <w:t>c</w:t>
      </w:r>
      <w:r w:rsidRPr="00C020C2">
        <w:rPr>
          <w:rFonts w:eastAsia="Calibri"/>
        </w:rPr>
        <w:t>ountries</w:t>
      </w:r>
      <w:r w:rsidR="3872334F" w:rsidRPr="00C020C2">
        <w:rPr>
          <w:rFonts w:eastAsia="Calibri"/>
        </w:rPr>
        <w:t xml:space="preserve"> should</w:t>
      </w:r>
      <w:r w:rsidRPr="00C020C2">
        <w:rPr>
          <w:rFonts w:eastAsia="Calibri"/>
        </w:rPr>
        <w:t xml:space="preserve"> hav</w:t>
      </w:r>
      <w:r w:rsidR="3D5438E9" w:rsidRPr="00C020C2">
        <w:rPr>
          <w:rFonts w:eastAsia="Calibri"/>
        </w:rPr>
        <w:t>e</w:t>
      </w:r>
      <w:r w:rsidRPr="00C020C2">
        <w:rPr>
          <w:rFonts w:eastAsia="Calibri"/>
        </w:rPr>
        <w:t xml:space="preserve"> policies/strategies fostering </w:t>
      </w:r>
      <w:bookmarkStart w:id="16" w:name="_Hlk132102230"/>
      <w:r w:rsidRPr="00C020C2">
        <w:rPr>
          <w:rFonts w:eastAsia="Calibri"/>
        </w:rPr>
        <w:t xml:space="preserve">telecommunication/ICT-centric </w:t>
      </w:r>
      <w:bookmarkEnd w:id="16"/>
      <w:r w:rsidRPr="00C020C2">
        <w:rPr>
          <w:rFonts w:eastAsia="Calibri"/>
        </w:rPr>
        <w:t>innovation”</w:t>
      </w:r>
      <w:r w:rsidR="3D5438E9" w:rsidRPr="00C020C2">
        <w:rPr>
          <w:rFonts w:eastAsia="Calibri"/>
        </w:rPr>
        <w:t xml:space="preserve">. The actual data collected refers to the </w:t>
      </w:r>
      <w:r w:rsidR="53F7A1BA" w:rsidRPr="00C020C2">
        <w:rPr>
          <w:rFonts w:eastAsia="Calibri"/>
        </w:rPr>
        <w:t>“</w:t>
      </w:r>
      <w:r w:rsidR="3D5438E9" w:rsidRPr="00C020C2">
        <w:rPr>
          <w:rFonts w:eastAsia="Calibri"/>
        </w:rPr>
        <w:t xml:space="preserve">Number of Countries having policies/strategies fostering innovation” (not </w:t>
      </w:r>
      <w:r w:rsidR="3872334F" w:rsidRPr="00C020C2">
        <w:rPr>
          <w:rFonts w:eastAsia="Calibri"/>
        </w:rPr>
        <w:t xml:space="preserve">specifically “telecommunication/ICT-centric”). With this caveat, </w:t>
      </w:r>
      <w:r w:rsidR="30075680" w:rsidRPr="00C020C2">
        <w:rPr>
          <w:rFonts w:eastAsia="Calibri"/>
        </w:rPr>
        <w:t xml:space="preserve">the number of countries </w:t>
      </w:r>
      <w:r w:rsidR="4E1BB3A2" w:rsidRPr="00C020C2">
        <w:rPr>
          <w:rFonts w:eastAsia="Calibri"/>
        </w:rPr>
        <w:t xml:space="preserve">has increased from 66 countries </w:t>
      </w:r>
      <w:r w:rsidR="53F7A1BA" w:rsidRPr="00C020C2">
        <w:rPr>
          <w:rFonts w:eastAsia="Calibri"/>
        </w:rPr>
        <w:t>i</w:t>
      </w:r>
      <w:r w:rsidR="4E1BB3A2" w:rsidRPr="00C020C2">
        <w:rPr>
          <w:rFonts w:eastAsia="Calibri"/>
        </w:rPr>
        <w:t>n 2016 to 9</w:t>
      </w:r>
      <w:r w:rsidR="6DD3D1D8" w:rsidRPr="00C020C2">
        <w:rPr>
          <w:rFonts w:eastAsia="Calibri"/>
        </w:rPr>
        <w:t>3</w:t>
      </w:r>
      <w:r w:rsidR="4E1BB3A2" w:rsidRPr="00C020C2">
        <w:rPr>
          <w:rFonts w:eastAsia="Calibri"/>
        </w:rPr>
        <w:t xml:space="preserve"> in 2022</w:t>
      </w:r>
      <w:r w:rsidR="53F7A1BA" w:rsidRPr="00C020C2">
        <w:rPr>
          <w:rFonts w:eastAsia="Calibri"/>
        </w:rPr>
        <w:t>,</w:t>
      </w:r>
      <w:r w:rsidR="6DD3D1D8" w:rsidRPr="00C020C2">
        <w:rPr>
          <w:rFonts w:eastAsia="Calibri"/>
        </w:rPr>
        <w:t xml:space="preserve"> </w:t>
      </w:r>
      <w:r w:rsidR="1028107C" w:rsidRPr="00C020C2">
        <w:rPr>
          <w:rFonts w:eastAsia="Calibri"/>
        </w:rPr>
        <w:t xml:space="preserve">with still a substantial way to go to reach </w:t>
      </w:r>
      <w:r w:rsidR="6DD3D1D8" w:rsidRPr="00C020C2">
        <w:rPr>
          <w:rFonts w:eastAsia="Calibri"/>
        </w:rPr>
        <w:t xml:space="preserve">“all” </w:t>
      </w:r>
      <w:r w:rsidR="4DCD7673" w:rsidRPr="00C020C2">
        <w:rPr>
          <w:rFonts w:eastAsia="Calibri"/>
        </w:rPr>
        <w:t>countries</w:t>
      </w:r>
      <w:r w:rsidR="6DD3D1D8" w:rsidRPr="00C020C2">
        <w:rPr>
          <w:rFonts w:eastAsia="Calibri"/>
        </w:rPr>
        <w:t>.</w:t>
      </w:r>
      <w:r w:rsidR="16AAC685" w:rsidRPr="00C020C2">
        <w:rPr>
          <w:rFonts w:eastAsia="Calibri"/>
        </w:rPr>
        <w:t xml:space="preserve"> </w:t>
      </w:r>
    </w:p>
    <w:p w14:paraId="4E773674" w14:textId="77777777" w:rsidR="00D91F4C" w:rsidRPr="00C020C2" w:rsidRDefault="002B38AA" w:rsidP="00DE38D4">
      <w:pPr>
        <w:jc w:val="both"/>
        <w:rPr>
          <w:rFonts w:eastAsiaTheme="minorEastAsia"/>
        </w:rPr>
      </w:pPr>
      <w:r w:rsidRPr="00C020C2">
        <w:rPr>
          <w:rFonts w:eastAsiaTheme="minorEastAsia"/>
          <w:b/>
          <w:bCs/>
        </w:rPr>
        <w:t>Partnership</w:t>
      </w:r>
    </w:p>
    <w:p w14:paraId="1A51557A" w14:textId="464D749A" w:rsidR="002B38AA" w:rsidRPr="00C020C2" w:rsidRDefault="002B38AA" w:rsidP="00DE38D4">
      <w:pPr>
        <w:jc w:val="both"/>
        <w:rPr>
          <w:rFonts w:eastAsiaTheme="minorEastAsia"/>
        </w:rPr>
      </w:pPr>
      <w:r w:rsidRPr="00C020C2">
        <w:rPr>
          <w:rFonts w:eastAsiaTheme="minorEastAsia"/>
        </w:rPr>
        <w:t>As a proxy to assess the “increased effective partnerships with stakeholders and cooperation with other organization</w:t>
      </w:r>
      <w:r w:rsidR="00C75F26" w:rsidRPr="00C020C2">
        <w:rPr>
          <w:rFonts w:eastAsiaTheme="minorEastAsia"/>
        </w:rPr>
        <w:t>s</w:t>
      </w:r>
      <w:r w:rsidRPr="00C020C2">
        <w:rPr>
          <w:rFonts w:eastAsiaTheme="minorEastAsia"/>
        </w:rPr>
        <w:t xml:space="preserve"> and entities in the telecommunication/ICT environment” we have been using a qualitative measurement from </w:t>
      </w:r>
      <w:r w:rsidR="00C75F26" w:rsidRPr="00C020C2">
        <w:rPr>
          <w:rFonts w:eastAsiaTheme="minorEastAsia"/>
        </w:rPr>
        <w:t xml:space="preserve">ITU’s </w:t>
      </w:r>
      <w:r w:rsidRPr="00C020C2">
        <w:rPr>
          <w:rFonts w:eastAsiaTheme="minorEastAsia"/>
        </w:rPr>
        <w:t>annual membership survey</w:t>
      </w:r>
      <w:r w:rsidR="00E82456" w:rsidRPr="00C020C2">
        <w:rPr>
          <w:rFonts w:eastAsiaTheme="minorEastAsia"/>
        </w:rPr>
        <w:t xml:space="preserve">. Two questions have been added since 2019: </w:t>
      </w:r>
      <w:r w:rsidR="00CD682E" w:rsidRPr="00C020C2">
        <w:rPr>
          <w:rFonts w:eastAsiaTheme="minorEastAsia"/>
        </w:rPr>
        <w:t xml:space="preserve">1) </w:t>
      </w:r>
      <w:r w:rsidR="00D91F4C" w:rsidRPr="00C020C2">
        <w:rPr>
          <w:rFonts w:eastAsiaTheme="minorEastAsia"/>
        </w:rPr>
        <w:t>“</w:t>
      </w:r>
      <w:r w:rsidR="00AC527C" w:rsidRPr="00C020C2">
        <w:rPr>
          <w:rFonts w:eastAsiaTheme="minorEastAsia"/>
        </w:rPr>
        <w:t>Is y</w:t>
      </w:r>
      <w:r w:rsidR="00E82456" w:rsidRPr="00C020C2">
        <w:rPr>
          <w:rFonts w:eastAsiaTheme="minorEastAsia"/>
        </w:rPr>
        <w:t>our organi</w:t>
      </w:r>
      <w:r w:rsidR="00AC527C" w:rsidRPr="00C020C2">
        <w:rPr>
          <w:rFonts w:eastAsiaTheme="minorEastAsia"/>
        </w:rPr>
        <w:t>z</w:t>
      </w:r>
      <w:r w:rsidR="00E82456" w:rsidRPr="00C020C2">
        <w:rPr>
          <w:rFonts w:eastAsiaTheme="minorEastAsia"/>
        </w:rPr>
        <w:t>ation</w:t>
      </w:r>
      <w:r w:rsidR="00AC527C" w:rsidRPr="00C020C2">
        <w:rPr>
          <w:rFonts w:eastAsiaTheme="minorEastAsia"/>
        </w:rPr>
        <w:t xml:space="preserve"> </w:t>
      </w:r>
      <w:r w:rsidR="00E82456" w:rsidRPr="00C020C2">
        <w:rPr>
          <w:rFonts w:eastAsiaTheme="minorEastAsia"/>
        </w:rPr>
        <w:t>collaborating with other ICT stakeholders more than in previous years?</w:t>
      </w:r>
      <w:r w:rsidR="00D91F4C" w:rsidRPr="00C020C2">
        <w:rPr>
          <w:rFonts w:eastAsiaTheme="minorEastAsia"/>
        </w:rPr>
        <w:t>”</w:t>
      </w:r>
      <w:r w:rsidR="00CD682E" w:rsidRPr="00C020C2">
        <w:rPr>
          <w:rFonts w:eastAsiaTheme="minorEastAsia"/>
        </w:rPr>
        <w:t xml:space="preserve"> and 2) </w:t>
      </w:r>
      <w:r w:rsidR="00D91F4C" w:rsidRPr="00C020C2">
        <w:rPr>
          <w:rFonts w:eastAsiaTheme="minorEastAsia"/>
        </w:rPr>
        <w:t>“</w:t>
      </w:r>
      <w:r w:rsidR="00E03E42" w:rsidRPr="00C020C2">
        <w:rPr>
          <w:rFonts w:eastAsiaTheme="minorEastAsia"/>
        </w:rPr>
        <w:t>Is your organization</w:t>
      </w:r>
      <w:r w:rsidR="00CD682E" w:rsidRPr="00C020C2">
        <w:rPr>
          <w:rFonts w:eastAsiaTheme="minorEastAsia"/>
        </w:rPr>
        <w:t xml:space="preserve"> benefiting from increased synergies by working with others</w:t>
      </w:r>
      <w:r w:rsidR="00E03E42" w:rsidRPr="00C020C2">
        <w:rPr>
          <w:rFonts w:eastAsiaTheme="minorEastAsia"/>
        </w:rPr>
        <w:t>?</w:t>
      </w:r>
      <w:r w:rsidR="00D91F4C" w:rsidRPr="00C020C2">
        <w:rPr>
          <w:rFonts w:eastAsiaTheme="minorEastAsia"/>
        </w:rPr>
        <w:t>”</w:t>
      </w:r>
      <w:r w:rsidR="00E03E42" w:rsidRPr="00C020C2">
        <w:rPr>
          <w:rFonts w:eastAsiaTheme="minorEastAsia"/>
        </w:rPr>
        <w:t xml:space="preserve"> </w:t>
      </w:r>
    </w:p>
    <w:p w14:paraId="52F592D8" w14:textId="3172A01E" w:rsidR="00C86275" w:rsidRPr="00C020C2" w:rsidRDefault="004D62FC" w:rsidP="00DE38D4">
      <w:pPr>
        <w:jc w:val="both"/>
      </w:pPr>
      <w:r w:rsidRPr="00C020C2">
        <w:t xml:space="preserve">Results from the survey suggest that </w:t>
      </w:r>
      <w:r w:rsidR="00D91F4C" w:rsidRPr="00C020C2">
        <w:t xml:space="preserve">members’ </w:t>
      </w:r>
      <w:r w:rsidRPr="00C020C2">
        <w:t>perception o</w:t>
      </w:r>
      <w:r w:rsidR="001F23AD" w:rsidRPr="00C020C2">
        <w:t>f</w:t>
      </w:r>
      <w:r w:rsidRPr="00C020C2">
        <w:t xml:space="preserve"> the </w:t>
      </w:r>
      <w:r w:rsidR="00CC6B81" w:rsidRPr="00C020C2">
        <w:t>importance of partnership/collaboration is high and has increased since 2019.</w:t>
      </w:r>
      <w:r w:rsidR="00DC0F60" w:rsidRPr="00C020C2">
        <w:t xml:space="preserve"> Indeed, in 2019</w:t>
      </w:r>
      <w:r w:rsidR="00D91F4C" w:rsidRPr="00C020C2">
        <w:t>,</w:t>
      </w:r>
      <w:r w:rsidR="00DC0F60" w:rsidRPr="00C020C2">
        <w:t xml:space="preserve"> 5</w:t>
      </w:r>
      <w:r w:rsidR="00EB0B3A" w:rsidRPr="00C020C2">
        <w:t>6</w:t>
      </w:r>
      <w:r w:rsidR="00E03E42" w:rsidRPr="00C020C2">
        <w:t xml:space="preserve"> per cent </w:t>
      </w:r>
      <w:r w:rsidR="00DC0F60" w:rsidRPr="00C020C2">
        <w:t xml:space="preserve">of respondents agreed or strongly agreed </w:t>
      </w:r>
      <w:r w:rsidR="00332404" w:rsidRPr="00C020C2">
        <w:t>with the statement in question 1 (while only 4</w:t>
      </w:r>
      <w:r w:rsidR="00E03E42" w:rsidRPr="00C020C2">
        <w:t xml:space="preserve"> per cent </w:t>
      </w:r>
      <w:r w:rsidR="00332404" w:rsidRPr="00C020C2">
        <w:t>disagree or strongly disagreed with it)</w:t>
      </w:r>
      <w:r w:rsidR="00447431" w:rsidRPr="00C020C2">
        <w:t xml:space="preserve">, and in 2022 these percentages moved to </w:t>
      </w:r>
      <w:r w:rsidR="00C25A84" w:rsidRPr="00C020C2">
        <w:t>60</w:t>
      </w:r>
      <w:r w:rsidR="00E03E42" w:rsidRPr="00C020C2">
        <w:t xml:space="preserve"> per cent </w:t>
      </w:r>
      <w:r w:rsidR="00D91F4C" w:rsidRPr="00C020C2">
        <w:t xml:space="preserve">agreement </w:t>
      </w:r>
      <w:r w:rsidR="00447431" w:rsidRPr="00C020C2">
        <w:t>and 1</w:t>
      </w:r>
      <w:r w:rsidR="00E03E42" w:rsidRPr="00C020C2">
        <w:t xml:space="preserve"> per cent</w:t>
      </w:r>
      <w:r w:rsidR="00D91F4C" w:rsidRPr="00C020C2">
        <w:t xml:space="preserve"> disagreement</w:t>
      </w:r>
      <w:r w:rsidR="00E03E42" w:rsidRPr="00C020C2">
        <w:t xml:space="preserve">, </w:t>
      </w:r>
      <w:r w:rsidR="00447431" w:rsidRPr="00C020C2">
        <w:t xml:space="preserve">respectively. </w:t>
      </w:r>
      <w:r w:rsidR="00885C20" w:rsidRPr="00C020C2">
        <w:t xml:space="preserve">This </w:t>
      </w:r>
      <w:r w:rsidR="009D5CAC" w:rsidRPr="00C020C2">
        <w:t xml:space="preserve">Target </w:t>
      </w:r>
      <w:r w:rsidR="00885C20" w:rsidRPr="00C020C2">
        <w:t xml:space="preserve">is therefore on track </w:t>
      </w:r>
      <w:r w:rsidR="00885C20" w:rsidRPr="00C020C2">
        <w:lastRenderedPageBreak/>
        <w:t>for achievement by 2023.</w:t>
      </w:r>
      <w:r w:rsidR="00EB7ABA" w:rsidRPr="00C020C2">
        <w:t xml:space="preserve"> For question 2, percentages were </w:t>
      </w:r>
      <w:r w:rsidR="00356DAD" w:rsidRPr="00C020C2">
        <w:t>70</w:t>
      </w:r>
      <w:r w:rsidR="00E03E42" w:rsidRPr="00C020C2">
        <w:t xml:space="preserve"> per cent </w:t>
      </w:r>
      <w:r w:rsidR="00356DAD" w:rsidRPr="00C020C2">
        <w:t>and 2</w:t>
      </w:r>
      <w:r w:rsidR="00E03E42" w:rsidRPr="00C020C2">
        <w:t xml:space="preserve"> per cent </w:t>
      </w:r>
      <w:r w:rsidR="00356DAD" w:rsidRPr="00C020C2">
        <w:t>in 2019, and 72</w:t>
      </w:r>
      <w:r w:rsidR="00E03E42" w:rsidRPr="00C020C2">
        <w:t xml:space="preserve"> per cent </w:t>
      </w:r>
      <w:r w:rsidR="00356DAD" w:rsidRPr="00C020C2">
        <w:t>and 1</w:t>
      </w:r>
      <w:r w:rsidR="00E03E42" w:rsidRPr="00C020C2">
        <w:t xml:space="preserve"> per cent </w:t>
      </w:r>
      <w:r w:rsidR="00356DAD" w:rsidRPr="00C020C2">
        <w:t>in 2022.</w:t>
      </w:r>
    </w:p>
    <w:p w14:paraId="3330C2E8" w14:textId="20F19944" w:rsidR="002B38AA" w:rsidRPr="00C020C2" w:rsidRDefault="00D67AD7" w:rsidP="00EE21B1">
      <w:pPr>
        <w:spacing w:before="240" w:after="120"/>
        <w:rPr>
          <w:b/>
          <w:bCs/>
        </w:rPr>
      </w:pPr>
      <w:r w:rsidRPr="00C020C2">
        <w:rPr>
          <w:b/>
          <w:bCs/>
        </w:rPr>
        <w:t>Table 1</w:t>
      </w:r>
      <w:r w:rsidRPr="00C020C2">
        <w:rPr>
          <w:b/>
          <w:bCs/>
        </w:rPr>
        <w:tab/>
      </w:r>
      <w:r w:rsidR="002B38AA" w:rsidRPr="00C020C2">
        <w:rPr>
          <w:b/>
          <w:bCs/>
        </w:rPr>
        <w:t>Status of achievement of the ITU Strategic Targets</w:t>
      </w:r>
    </w:p>
    <w:tbl>
      <w:tblPr>
        <w:tblStyle w:val="ListTable3-Accent11"/>
        <w:tblW w:w="10207" w:type="dxa"/>
        <w:tblInd w:w="-431" w:type="dxa"/>
        <w:tblLayout w:type="fixed"/>
        <w:tblLook w:val="0420" w:firstRow="1" w:lastRow="0" w:firstColumn="0" w:lastColumn="0" w:noHBand="0" w:noVBand="1"/>
      </w:tblPr>
      <w:tblGrid>
        <w:gridCol w:w="852"/>
        <w:gridCol w:w="7512"/>
        <w:gridCol w:w="567"/>
        <w:gridCol w:w="1276"/>
      </w:tblGrid>
      <w:tr w:rsidR="002B38AA" w:rsidRPr="00C020C2" w14:paraId="1D3DBE59" w14:textId="77777777" w:rsidTr="57480088">
        <w:trPr>
          <w:cnfStyle w:val="100000000000" w:firstRow="1" w:lastRow="0" w:firstColumn="0" w:lastColumn="0" w:oddVBand="0" w:evenVBand="0" w:oddHBand="0" w:evenHBand="0" w:firstRowFirstColumn="0" w:firstRowLastColumn="0" w:lastRowFirstColumn="0" w:lastRowLastColumn="0"/>
          <w:trHeight w:val="20"/>
        </w:trPr>
        <w:tc>
          <w:tcPr>
            <w:tcW w:w="852" w:type="dxa"/>
          </w:tcPr>
          <w:p w14:paraId="70B20D1A" w14:textId="77777777" w:rsidR="002B38AA" w:rsidRPr="00C020C2" w:rsidRDefault="002B38AA" w:rsidP="00D14FE7">
            <w:pPr>
              <w:contextualSpacing/>
              <w:rPr>
                <w:rFonts w:eastAsia="Times New Roman"/>
                <w:b w:val="0"/>
                <w:bCs w:val="0"/>
                <w:kern w:val="24"/>
                <w:sz w:val="18"/>
                <w:szCs w:val="18"/>
                <w:lang w:val="en-US" w:eastAsia="en-GB"/>
              </w:rPr>
            </w:pPr>
            <w:r w:rsidRPr="00C020C2">
              <w:rPr>
                <w:rFonts w:eastAsia="Times New Roman"/>
                <w:b w:val="0"/>
                <w:bCs w:val="0"/>
                <w:kern w:val="24"/>
                <w:sz w:val="18"/>
                <w:szCs w:val="18"/>
                <w:lang w:val="en-US" w:eastAsia="en-GB"/>
              </w:rPr>
              <w:t xml:space="preserve">Goal </w:t>
            </w:r>
          </w:p>
        </w:tc>
        <w:tc>
          <w:tcPr>
            <w:tcW w:w="7512" w:type="dxa"/>
            <w:hideMark/>
          </w:tcPr>
          <w:p w14:paraId="79ADA1F1"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kern w:val="24"/>
                <w:sz w:val="18"/>
                <w:szCs w:val="18"/>
                <w:lang w:val="en-US" w:eastAsia="en-GB"/>
              </w:rPr>
              <w:t>TARGET, By 2023:</w:t>
            </w:r>
          </w:p>
        </w:tc>
        <w:tc>
          <w:tcPr>
            <w:tcW w:w="1843" w:type="dxa"/>
            <w:gridSpan w:val="2"/>
          </w:tcPr>
          <w:p w14:paraId="152A925D" w14:textId="77777777" w:rsidR="002B38AA" w:rsidRPr="00C020C2" w:rsidRDefault="002B38AA" w:rsidP="00D14FE7">
            <w:pPr>
              <w:contextualSpacing/>
              <w:rPr>
                <w:rFonts w:eastAsia="Times New Roman"/>
                <w:kern w:val="24"/>
                <w:sz w:val="18"/>
                <w:szCs w:val="18"/>
                <w:lang w:val="en-US" w:eastAsia="en-GB"/>
              </w:rPr>
            </w:pPr>
            <w:r w:rsidRPr="00C020C2">
              <w:rPr>
                <w:rFonts w:eastAsia="Times New Roman"/>
                <w:kern w:val="24"/>
                <w:sz w:val="18"/>
                <w:szCs w:val="18"/>
                <w:lang w:val="en-US" w:eastAsia="en-GB"/>
              </w:rPr>
              <w:t>Status</w:t>
            </w:r>
          </w:p>
        </w:tc>
      </w:tr>
      <w:tr w:rsidR="002B38AA" w:rsidRPr="00C020C2" w14:paraId="49848787" w14:textId="77777777" w:rsidTr="57480088">
        <w:trPr>
          <w:cnfStyle w:val="000000100000" w:firstRow="0" w:lastRow="0" w:firstColumn="0" w:lastColumn="0" w:oddVBand="0" w:evenVBand="0" w:oddHBand="1" w:evenHBand="0" w:firstRowFirstColumn="0" w:firstRowLastColumn="0" w:lastRowFirstColumn="0" w:lastRowLastColumn="0"/>
          <w:trHeight w:val="20"/>
        </w:trPr>
        <w:tc>
          <w:tcPr>
            <w:tcW w:w="852" w:type="dxa"/>
            <w:vMerge w:val="restart"/>
          </w:tcPr>
          <w:p w14:paraId="64BC1786" w14:textId="77777777" w:rsidR="002B38AA" w:rsidRPr="00C020C2" w:rsidRDefault="002B38AA" w:rsidP="00D14FE7">
            <w:pPr>
              <w:contextualSpacing/>
              <w:jc w:val="both"/>
              <w:rPr>
                <w:rFonts w:eastAsia="Times New Roman"/>
                <w:color w:val="000000"/>
                <w:kern w:val="24"/>
                <w:sz w:val="18"/>
                <w:szCs w:val="18"/>
                <w:lang w:eastAsia="en-GB"/>
              </w:rPr>
            </w:pPr>
            <w:r w:rsidRPr="00C020C2">
              <w:rPr>
                <w:rFonts w:eastAsia="Times New Roman"/>
                <w:color w:val="000000"/>
                <w:kern w:val="24"/>
                <w:sz w:val="18"/>
                <w:szCs w:val="18"/>
                <w:lang w:eastAsia="en-GB"/>
              </w:rPr>
              <w:t>Growth</w:t>
            </w:r>
          </w:p>
        </w:tc>
        <w:tc>
          <w:tcPr>
            <w:tcW w:w="7512" w:type="dxa"/>
            <w:hideMark/>
          </w:tcPr>
          <w:p w14:paraId="1EDF5C8E"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1.1: 65% of households worldwide with access to the Internet</w:t>
            </w:r>
          </w:p>
        </w:tc>
        <w:tc>
          <w:tcPr>
            <w:tcW w:w="1843" w:type="dxa"/>
            <w:gridSpan w:val="2"/>
            <w:shd w:val="clear" w:color="auto" w:fill="92D050"/>
          </w:tcPr>
          <w:p w14:paraId="79EE6423" w14:textId="77777777"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Achieved</w:t>
            </w:r>
          </w:p>
        </w:tc>
      </w:tr>
      <w:tr w:rsidR="002B38AA" w:rsidRPr="00C020C2" w14:paraId="6B5EFD68" w14:textId="77777777" w:rsidTr="57480088">
        <w:trPr>
          <w:trHeight w:val="20"/>
        </w:trPr>
        <w:tc>
          <w:tcPr>
            <w:tcW w:w="852" w:type="dxa"/>
            <w:vMerge/>
          </w:tcPr>
          <w:p w14:paraId="7C5026C6"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29EC66E1"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1.2: 70% of individuals worldwide will be using the Internet</w:t>
            </w:r>
          </w:p>
        </w:tc>
        <w:tc>
          <w:tcPr>
            <w:tcW w:w="1843" w:type="dxa"/>
            <w:gridSpan w:val="2"/>
            <w:shd w:val="clear" w:color="auto" w:fill="C6D9F1" w:themeFill="text2" w:themeFillTint="33"/>
          </w:tcPr>
          <w:p w14:paraId="6D337D68" w14:textId="77777777" w:rsidR="002B38AA" w:rsidRPr="00C020C2" w:rsidRDefault="002B38AA" w:rsidP="00D14FE7">
            <w:pPr>
              <w:contextualSpacing/>
              <w:jc w:val="center"/>
              <w:rPr>
                <w:rFonts w:eastAsia="Times New Roman"/>
                <w:color w:val="000000"/>
                <w:kern w:val="24"/>
                <w:sz w:val="16"/>
                <w:szCs w:val="16"/>
                <w:lang w:eastAsia="en-GB"/>
              </w:rPr>
            </w:pPr>
            <w:r w:rsidRPr="00C020C2">
              <w:rPr>
                <w:rFonts w:eastAsia="Times New Roman"/>
                <w:b/>
                <w:bCs/>
                <w:color w:val="000000"/>
                <w:kern w:val="24"/>
                <w:sz w:val="16"/>
                <w:szCs w:val="16"/>
                <w:lang w:eastAsia="en-GB"/>
              </w:rPr>
              <w:t>On track</w:t>
            </w:r>
          </w:p>
        </w:tc>
      </w:tr>
      <w:tr w:rsidR="002B38AA" w:rsidRPr="00C020C2" w14:paraId="68A73DFA" w14:textId="77777777" w:rsidTr="57480088">
        <w:trPr>
          <w:cnfStyle w:val="000000100000" w:firstRow="0" w:lastRow="0" w:firstColumn="0" w:lastColumn="0" w:oddVBand="0" w:evenVBand="0" w:oddHBand="1" w:evenHBand="0" w:firstRowFirstColumn="0" w:firstRowLastColumn="0" w:lastRowFirstColumn="0" w:lastRowLastColumn="0"/>
          <w:trHeight w:val="20"/>
        </w:trPr>
        <w:tc>
          <w:tcPr>
            <w:tcW w:w="852" w:type="dxa"/>
            <w:vMerge/>
          </w:tcPr>
          <w:p w14:paraId="362C7E16"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63EDDCD8"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1.3: Internet access should be 25% more affordable (baseline year 2017)</w:t>
            </w:r>
          </w:p>
        </w:tc>
        <w:tc>
          <w:tcPr>
            <w:tcW w:w="1843" w:type="dxa"/>
            <w:gridSpan w:val="2"/>
            <w:shd w:val="clear" w:color="auto" w:fill="C6D9F1" w:themeFill="text2" w:themeFillTint="33"/>
          </w:tcPr>
          <w:p w14:paraId="373E35EB" w14:textId="77777777"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On track</w:t>
            </w:r>
          </w:p>
        </w:tc>
      </w:tr>
      <w:tr w:rsidR="002B38AA" w:rsidRPr="00C020C2" w14:paraId="5721E106" w14:textId="77777777" w:rsidTr="57480088">
        <w:trPr>
          <w:trHeight w:val="20"/>
        </w:trPr>
        <w:tc>
          <w:tcPr>
            <w:tcW w:w="852" w:type="dxa"/>
            <w:vMerge/>
          </w:tcPr>
          <w:p w14:paraId="73019634"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1EEC48CC"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1.4: all countries adopt a digital agenda/strategy</w:t>
            </w:r>
          </w:p>
        </w:tc>
        <w:tc>
          <w:tcPr>
            <w:tcW w:w="1843" w:type="dxa"/>
            <w:gridSpan w:val="2"/>
            <w:shd w:val="clear" w:color="auto" w:fill="C6D9F1" w:themeFill="text2" w:themeFillTint="33"/>
          </w:tcPr>
          <w:p w14:paraId="69B16FFB" w14:textId="77777777"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On track</w:t>
            </w:r>
          </w:p>
        </w:tc>
      </w:tr>
      <w:tr w:rsidR="002B38AA" w:rsidRPr="00C020C2" w14:paraId="21D4EDE1" w14:textId="77777777" w:rsidTr="57480088">
        <w:trPr>
          <w:cnfStyle w:val="000000100000" w:firstRow="0" w:lastRow="0" w:firstColumn="0" w:lastColumn="0" w:oddVBand="0" w:evenVBand="0" w:oddHBand="1" w:evenHBand="0" w:firstRowFirstColumn="0" w:firstRowLastColumn="0" w:lastRowFirstColumn="0" w:lastRowLastColumn="0"/>
          <w:trHeight w:val="20"/>
        </w:trPr>
        <w:tc>
          <w:tcPr>
            <w:tcW w:w="852" w:type="dxa"/>
            <w:vMerge/>
          </w:tcPr>
          <w:p w14:paraId="49C29226"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486D9605"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1.5: increase the number of broadband subscriptions by 50%</w:t>
            </w:r>
          </w:p>
        </w:tc>
        <w:tc>
          <w:tcPr>
            <w:tcW w:w="1843" w:type="dxa"/>
            <w:gridSpan w:val="2"/>
            <w:shd w:val="clear" w:color="auto" w:fill="C6D9F1" w:themeFill="text2" w:themeFillTint="33"/>
          </w:tcPr>
          <w:p w14:paraId="2F210BF8" w14:textId="77777777"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On track</w:t>
            </w:r>
          </w:p>
        </w:tc>
      </w:tr>
      <w:tr w:rsidR="002B38AA" w:rsidRPr="00C020C2" w14:paraId="6A3D81BE" w14:textId="77777777" w:rsidTr="57480088">
        <w:trPr>
          <w:trHeight w:val="20"/>
        </w:trPr>
        <w:tc>
          <w:tcPr>
            <w:tcW w:w="852" w:type="dxa"/>
            <w:vMerge/>
          </w:tcPr>
          <w:p w14:paraId="00B6A0D7"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7945123F"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1.6: 40% of countries to have more than half of broadband subscriptions more than 10 Mbit/s</w:t>
            </w:r>
          </w:p>
        </w:tc>
        <w:tc>
          <w:tcPr>
            <w:tcW w:w="1843" w:type="dxa"/>
            <w:gridSpan w:val="2"/>
            <w:shd w:val="clear" w:color="auto" w:fill="C6D9F1" w:themeFill="text2" w:themeFillTint="33"/>
          </w:tcPr>
          <w:p w14:paraId="69D9F94A" w14:textId="77777777"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On track</w:t>
            </w:r>
          </w:p>
        </w:tc>
      </w:tr>
      <w:tr w:rsidR="002B38AA" w:rsidRPr="00C020C2" w14:paraId="2AFC6DBD" w14:textId="77777777" w:rsidTr="57480088">
        <w:trPr>
          <w:cnfStyle w:val="000000100000" w:firstRow="0" w:lastRow="0" w:firstColumn="0" w:lastColumn="0" w:oddVBand="0" w:evenVBand="0" w:oddHBand="1" w:evenHBand="0" w:firstRowFirstColumn="0" w:firstRowLastColumn="0" w:lastRowFirstColumn="0" w:lastRowLastColumn="0"/>
          <w:trHeight w:val="20"/>
        </w:trPr>
        <w:tc>
          <w:tcPr>
            <w:tcW w:w="852" w:type="dxa"/>
            <w:vMerge/>
          </w:tcPr>
          <w:p w14:paraId="54A74B83"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3108B33D"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1.7: 40% of the population should be interacting with government services online</w:t>
            </w:r>
          </w:p>
        </w:tc>
        <w:tc>
          <w:tcPr>
            <w:tcW w:w="1843" w:type="dxa"/>
            <w:gridSpan w:val="2"/>
            <w:shd w:val="clear" w:color="auto" w:fill="FFFFFF" w:themeFill="background1"/>
          </w:tcPr>
          <w:p w14:paraId="35D0EC0D" w14:textId="77777777"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Not enough data</w:t>
            </w:r>
          </w:p>
        </w:tc>
      </w:tr>
      <w:tr w:rsidR="002B38AA" w:rsidRPr="00C020C2" w14:paraId="68848E28" w14:textId="77777777" w:rsidTr="57480088">
        <w:trPr>
          <w:trHeight w:val="20"/>
        </w:trPr>
        <w:tc>
          <w:tcPr>
            <w:tcW w:w="852" w:type="dxa"/>
            <w:vMerge w:val="restart"/>
          </w:tcPr>
          <w:p w14:paraId="310ABC49" w14:textId="4C69E76C" w:rsidR="002B38AA" w:rsidRPr="00C020C2" w:rsidRDefault="002B38AA" w:rsidP="00D14FE7">
            <w:pPr>
              <w:contextualSpacing/>
              <w:rPr>
                <w:rFonts w:eastAsia="Times New Roman"/>
                <w:color w:val="000000"/>
                <w:kern w:val="24"/>
                <w:sz w:val="18"/>
                <w:szCs w:val="18"/>
                <w:lang w:eastAsia="en-GB"/>
              </w:rPr>
            </w:pPr>
            <w:r w:rsidRPr="00C020C2">
              <w:rPr>
                <w:rFonts w:eastAsia="Times New Roman"/>
                <w:color w:val="000000"/>
                <w:kern w:val="24"/>
                <w:sz w:val="18"/>
                <w:szCs w:val="18"/>
                <w:lang w:eastAsia="en-GB"/>
              </w:rPr>
              <w:t>Inclusive</w:t>
            </w:r>
            <w:r w:rsidR="002B60EA" w:rsidRPr="00C020C2">
              <w:rPr>
                <w:rFonts w:eastAsia="Times New Roman"/>
                <w:color w:val="000000"/>
                <w:kern w:val="24"/>
                <w:sz w:val="18"/>
                <w:szCs w:val="18"/>
                <w:lang w:eastAsia="en-GB"/>
              </w:rPr>
              <w:t>-</w:t>
            </w:r>
            <w:r w:rsidRPr="00C020C2">
              <w:rPr>
                <w:rFonts w:eastAsia="Times New Roman"/>
                <w:color w:val="000000"/>
                <w:kern w:val="24"/>
                <w:sz w:val="18"/>
                <w:szCs w:val="18"/>
                <w:lang w:eastAsia="en-GB"/>
              </w:rPr>
              <w:t>ness</w:t>
            </w:r>
          </w:p>
        </w:tc>
        <w:tc>
          <w:tcPr>
            <w:tcW w:w="7512" w:type="dxa"/>
            <w:hideMark/>
          </w:tcPr>
          <w:p w14:paraId="03E60115"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2.1: in the developing world, 60% of households should have access to the Internet</w:t>
            </w:r>
          </w:p>
        </w:tc>
        <w:tc>
          <w:tcPr>
            <w:tcW w:w="1843" w:type="dxa"/>
            <w:gridSpan w:val="2"/>
            <w:shd w:val="clear" w:color="auto" w:fill="92D050"/>
          </w:tcPr>
          <w:p w14:paraId="29C43DD3" w14:textId="77777777"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Achieved</w:t>
            </w:r>
          </w:p>
        </w:tc>
      </w:tr>
      <w:tr w:rsidR="002B38AA" w:rsidRPr="00C020C2" w14:paraId="623CCB5D" w14:textId="77777777" w:rsidTr="57480088">
        <w:trPr>
          <w:cnfStyle w:val="000000100000" w:firstRow="0" w:lastRow="0" w:firstColumn="0" w:lastColumn="0" w:oddVBand="0" w:evenVBand="0" w:oddHBand="1" w:evenHBand="0" w:firstRowFirstColumn="0" w:firstRowLastColumn="0" w:lastRowFirstColumn="0" w:lastRowLastColumn="0"/>
          <w:trHeight w:val="20"/>
        </w:trPr>
        <w:tc>
          <w:tcPr>
            <w:tcW w:w="852" w:type="dxa"/>
            <w:vMerge/>
          </w:tcPr>
          <w:p w14:paraId="404E91D0"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213CA704"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2.2: in the least developed countries, 30% of households should have access to the Internet</w:t>
            </w:r>
          </w:p>
        </w:tc>
        <w:tc>
          <w:tcPr>
            <w:tcW w:w="1843" w:type="dxa"/>
            <w:gridSpan w:val="2"/>
            <w:shd w:val="clear" w:color="auto" w:fill="F79646" w:themeFill="accent6"/>
          </w:tcPr>
          <w:p w14:paraId="2EDFFEC0" w14:textId="157566CC" w:rsidR="002B38AA" w:rsidRPr="00C020C2" w:rsidRDefault="002B38AA">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O</w:t>
            </w:r>
            <w:r w:rsidR="002B60EA" w:rsidRPr="00C020C2">
              <w:rPr>
                <w:rFonts w:eastAsia="Times New Roman"/>
                <w:b/>
                <w:bCs/>
                <w:color w:val="000000"/>
                <w:kern w:val="24"/>
                <w:sz w:val="16"/>
                <w:szCs w:val="16"/>
                <w:lang w:eastAsia="en-GB"/>
              </w:rPr>
              <w:t xml:space="preserve">ff </w:t>
            </w:r>
            <w:r w:rsidRPr="00C020C2">
              <w:rPr>
                <w:rFonts w:eastAsia="Times New Roman"/>
                <w:b/>
                <w:bCs/>
                <w:color w:val="000000"/>
                <w:kern w:val="24"/>
                <w:sz w:val="16"/>
                <w:szCs w:val="16"/>
                <w:lang w:eastAsia="en-GB"/>
              </w:rPr>
              <w:t>track</w:t>
            </w:r>
          </w:p>
        </w:tc>
      </w:tr>
      <w:tr w:rsidR="002B38AA" w:rsidRPr="00C020C2" w14:paraId="6AE50CD3" w14:textId="77777777" w:rsidTr="57480088">
        <w:trPr>
          <w:trHeight w:val="20"/>
        </w:trPr>
        <w:tc>
          <w:tcPr>
            <w:tcW w:w="852" w:type="dxa"/>
            <w:vMerge/>
          </w:tcPr>
          <w:p w14:paraId="515290CA"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678985B3"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2.3: in the developing world, 60% of individuals will be using the Internet</w:t>
            </w:r>
          </w:p>
        </w:tc>
        <w:tc>
          <w:tcPr>
            <w:tcW w:w="1843" w:type="dxa"/>
            <w:gridSpan w:val="2"/>
            <w:shd w:val="clear" w:color="auto" w:fill="C6D9F1" w:themeFill="text2" w:themeFillTint="33"/>
          </w:tcPr>
          <w:p w14:paraId="21DB0895" w14:textId="77777777" w:rsidR="002B38AA" w:rsidRPr="00C020C2" w:rsidRDefault="002B38AA" w:rsidP="00D14FE7">
            <w:pPr>
              <w:contextualSpacing/>
              <w:jc w:val="center"/>
              <w:rPr>
                <w:rFonts w:eastAsia="Times New Roman"/>
                <w:color w:val="000000"/>
                <w:kern w:val="24"/>
                <w:sz w:val="16"/>
                <w:szCs w:val="16"/>
                <w:lang w:eastAsia="en-GB"/>
              </w:rPr>
            </w:pPr>
            <w:r w:rsidRPr="00C020C2">
              <w:rPr>
                <w:rFonts w:eastAsia="Times New Roman"/>
                <w:b/>
                <w:bCs/>
                <w:color w:val="000000"/>
                <w:kern w:val="24"/>
                <w:sz w:val="16"/>
                <w:szCs w:val="16"/>
                <w:lang w:eastAsia="en-GB"/>
              </w:rPr>
              <w:t>On track</w:t>
            </w:r>
          </w:p>
        </w:tc>
      </w:tr>
      <w:tr w:rsidR="002B38AA" w:rsidRPr="00C020C2" w14:paraId="638E4305" w14:textId="77777777" w:rsidTr="57480088">
        <w:trPr>
          <w:cnfStyle w:val="000000100000" w:firstRow="0" w:lastRow="0" w:firstColumn="0" w:lastColumn="0" w:oddVBand="0" w:evenVBand="0" w:oddHBand="1" w:evenHBand="0" w:firstRowFirstColumn="0" w:firstRowLastColumn="0" w:lastRowFirstColumn="0" w:lastRowLastColumn="0"/>
          <w:trHeight w:val="20"/>
        </w:trPr>
        <w:tc>
          <w:tcPr>
            <w:tcW w:w="852" w:type="dxa"/>
            <w:vMerge/>
          </w:tcPr>
          <w:p w14:paraId="7029EC8A"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13646DEF"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2.4: in the least developed countries, 30% of individuals will be using the Internet</w:t>
            </w:r>
          </w:p>
        </w:tc>
        <w:tc>
          <w:tcPr>
            <w:tcW w:w="1843" w:type="dxa"/>
            <w:gridSpan w:val="2"/>
            <w:shd w:val="clear" w:color="auto" w:fill="92D050"/>
          </w:tcPr>
          <w:p w14:paraId="0EDA30C9" w14:textId="66CF0131" w:rsidR="002B38AA" w:rsidRPr="00C020C2" w:rsidRDefault="005E0583" w:rsidP="00D14FE7">
            <w:pPr>
              <w:contextualSpacing/>
              <w:jc w:val="center"/>
              <w:rPr>
                <w:rFonts w:eastAsia="Times New Roman"/>
                <w:color w:val="000000"/>
                <w:kern w:val="24"/>
                <w:sz w:val="16"/>
                <w:szCs w:val="16"/>
                <w:lang w:eastAsia="en-GB"/>
              </w:rPr>
            </w:pPr>
            <w:r w:rsidRPr="00C020C2">
              <w:rPr>
                <w:rFonts w:eastAsia="Times New Roman"/>
                <w:b/>
                <w:bCs/>
                <w:color w:val="000000"/>
                <w:kern w:val="24"/>
                <w:sz w:val="16"/>
                <w:szCs w:val="16"/>
                <w:lang w:eastAsia="en-GB"/>
              </w:rPr>
              <w:t>Achieved</w:t>
            </w:r>
          </w:p>
        </w:tc>
      </w:tr>
      <w:tr w:rsidR="002B38AA" w:rsidRPr="00C020C2" w14:paraId="49FF94F7" w14:textId="77777777" w:rsidTr="57480088">
        <w:trPr>
          <w:trHeight w:val="20"/>
        </w:trPr>
        <w:tc>
          <w:tcPr>
            <w:tcW w:w="852" w:type="dxa"/>
            <w:vMerge/>
          </w:tcPr>
          <w:p w14:paraId="63ADF2E7"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234C6AD3"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2.5: the affordability gap between developed and developing countries should be reduced by 25% (bs. 2017)</w:t>
            </w:r>
          </w:p>
        </w:tc>
        <w:tc>
          <w:tcPr>
            <w:tcW w:w="1843" w:type="dxa"/>
            <w:gridSpan w:val="2"/>
            <w:shd w:val="clear" w:color="auto" w:fill="C6D9F1" w:themeFill="text2" w:themeFillTint="33"/>
          </w:tcPr>
          <w:p w14:paraId="45AAF180" w14:textId="77777777"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On track</w:t>
            </w:r>
          </w:p>
        </w:tc>
      </w:tr>
      <w:tr w:rsidR="002B38AA" w:rsidRPr="00C020C2" w14:paraId="3C4F06E1" w14:textId="77777777" w:rsidTr="57480088">
        <w:trPr>
          <w:cnfStyle w:val="000000100000" w:firstRow="0" w:lastRow="0" w:firstColumn="0" w:lastColumn="0" w:oddVBand="0" w:evenVBand="0" w:oddHBand="1" w:evenHBand="0" w:firstRowFirstColumn="0" w:firstRowLastColumn="0" w:lastRowFirstColumn="0" w:lastRowLastColumn="0"/>
          <w:trHeight w:val="20"/>
        </w:trPr>
        <w:tc>
          <w:tcPr>
            <w:tcW w:w="852" w:type="dxa"/>
            <w:vMerge/>
          </w:tcPr>
          <w:p w14:paraId="6D029CEC"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184AF7BB"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2.6: broadband services should cost no more than 3% of average monthly income in developing countries</w:t>
            </w:r>
          </w:p>
        </w:tc>
        <w:tc>
          <w:tcPr>
            <w:tcW w:w="1843" w:type="dxa"/>
            <w:gridSpan w:val="2"/>
            <w:shd w:val="clear" w:color="auto" w:fill="C6D9F1" w:themeFill="text2" w:themeFillTint="33"/>
          </w:tcPr>
          <w:p w14:paraId="0F0E8D4A" w14:textId="77777777"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On track</w:t>
            </w:r>
          </w:p>
        </w:tc>
      </w:tr>
      <w:tr w:rsidR="002B38AA" w:rsidRPr="00C020C2" w14:paraId="18379B27" w14:textId="77777777" w:rsidTr="57480088">
        <w:trPr>
          <w:trHeight w:val="20"/>
        </w:trPr>
        <w:tc>
          <w:tcPr>
            <w:tcW w:w="852" w:type="dxa"/>
            <w:vMerge/>
          </w:tcPr>
          <w:p w14:paraId="3EC7CC04"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11EA8CF9"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2.7: 96% of the world population covered by broadband services</w:t>
            </w:r>
          </w:p>
        </w:tc>
        <w:tc>
          <w:tcPr>
            <w:tcW w:w="1843" w:type="dxa"/>
            <w:gridSpan w:val="2"/>
            <w:shd w:val="clear" w:color="auto" w:fill="C6D9F1" w:themeFill="text2" w:themeFillTint="33"/>
          </w:tcPr>
          <w:p w14:paraId="6E2EE5ED" w14:textId="77777777"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On track</w:t>
            </w:r>
          </w:p>
        </w:tc>
      </w:tr>
      <w:tr w:rsidR="002B38AA" w:rsidRPr="00C020C2" w14:paraId="55345230" w14:textId="77777777" w:rsidTr="57480088">
        <w:trPr>
          <w:cnfStyle w:val="000000100000" w:firstRow="0" w:lastRow="0" w:firstColumn="0" w:lastColumn="0" w:oddVBand="0" w:evenVBand="0" w:oddHBand="1" w:evenHBand="0" w:firstRowFirstColumn="0" w:firstRowLastColumn="0" w:lastRowFirstColumn="0" w:lastRowLastColumn="0"/>
          <w:trHeight w:val="20"/>
        </w:trPr>
        <w:tc>
          <w:tcPr>
            <w:tcW w:w="852" w:type="dxa"/>
            <w:vMerge/>
          </w:tcPr>
          <w:p w14:paraId="2847E9EE"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69E6233B"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2.8: gender equality in Internet usage and mobile phone ownership should be achieved</w:t>
            </w:r>
          </w:p>
        </w:tc>
        <w:tc>
          <w:tcPr>
            <w:tcW w:w="1843" w:type="dxa"/>
            <w:gridSpan w:val="2"/>
            <w:shd w:val="clear" w:color="auto" w:fill="F79646" w:themeFill="accent6"/>
          </w:tcPr>
          <w:p w14:paraId="3CE26B1F" w14:textId="53F54B4E" w:rsidR="002B38AA" w:rsidRPr="00C020C2" w:rsidRDefault="002B38AA">
            <w:pPr>
              <w:contextualSpacing/>
              <w:jc w:val="center"/>
              <w:rPr>
                <w:rFonts w:eastAsia="Times New Roman"/>
                <w:color w:val="000000"/>
                <w:kern w:val="24"/>
                <w:sz w:val="16"/>
                <w:szCs w:val="16"/>
                <w:lang w:eastAsia="en-GB"/>
              </w:rPr>
            </w:pPr>
            <w:r w:rsidRPr="00C020C2">
              <w:rPr>
                <w:rFonts w:eastAsia="Times New Roman"/>
                <w:b/>
                <w:bCs/>
                <w:color w:val="000000"/>
                <w:kern w:val="24"/>
                <w:sz w:val="16"/>
                <w:szCs w:val="16"/>
                <w:lang w:eastAsia="en-GB"/>
              </w:rPr>
              <w:t>O</w:t>
            </w:r>
            <w:r w:rsidR="002B60EA" w:rsidRPr="00C020C2">
              <w:rPr>
                <w:rFonts w:eastAsia="Times New Roman"/>
                <w:b/>
                <w:bCs/>
                <w:color w:val="000000"/>
                <w:kern w:val="24"/>
                <w:sz w:val="16"/>
                <w:szCs w:val="16"/>
                <w:lang w:eastAsia="en-GB"/>
              </w:rPr>
              <w:t xml:space="preserve">ff </w:t>
            </w:r>
            <w:r w:rsidRPr="00C020C2">
              <w:rPr>
                <w:rFonts w:eastAsia="Times New Roman"/>
                <w:b/>
                <w:bCs/>
                <w:color w:val="000000"/>
                <w:kern w:val="24"/>
                <w:sz w:val="16"/>
                <w:szCs w:val="16"/>
                <w:lang w:eastAsia="en-GB"/>
              </w:rPr>
              <w:t>track</w:t>
            </w:r>
          </w:p>
        </w:tc>
      </w:tr>
      <w:tr w:rsidR="002B38AA" w:rsidRPr="00C020C2" w14:paraId="644BD441" w14:textId="77777777" w:rsidTr="57480088">
        <w:trPr>
          <w:trHeight w:val="20"/>
        </w:trPr>
        <w:tc>
          <w:tcPr>
            <w:tcW w:w="852" w:type="dxa"/>
            <w:vMerge/>
          </w:tcPr>
          <w:p w14:paraId="5341D1AE"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1F15DCAD"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2.9: enabling environments ensuring accessible telecommunications/ICTs for persons with disabilities should be established in all countries</w:t>
            </w:r>
          </w:p>
        </w:tc>
        <w:tc>
          <w:tcPr>
            <w:tcW w:w="1843" w:type="dxa"/>
            <w:gridSpan w:val="2"/>
            <w:shd w:val="clear" w:color="auto" w:fill="F79646" w:themeFill="accent6"/>
          </w:tcPr>
          <w:p w14:paraId="24BF91DF" w14:textId="0456D175"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O</w:t>
            </w:r>
            <w:r w:rsidR="002B60EA" w:rsidRPr="00C020C2">
              <w:rPr>
                <w:rFonts w:eastAsia="Times New Roman"/>
                <w:b/>
                <w:bCs/>
                <w:color w:val="000000"/>
                <w:kern w:val="24"/>
                <w:sz w:val="16"/>
                <w:szCs w:val="16"/>
                <w:lang w:eastAsia="en-GB"/>
              </w:rPr>
              <w:t xml:space="preserve">ff </w:t>
            </w:r>
            <w:r w:rsidRPr="00C020C2">
              <w:rPr>
                <w:rFonts w:eastAsia="Times New Roman"/>
                <w:b/>
                <w:bCs/>
                <w:color w:val="000000"/>
                <w:kern w:val="24"/>
                <w:sz w:val="16"/>
                <w:szCs w:val="16"/>
                <w:lang w:eastAsia="en-GB"/>
              </w:rPr>
              <w:t>track</w:t>
            </w:r>
          </w:p>
        </w:tc>
      </w:tr>
      <w:tr w:rsidR="002B38AA" w:rsidRPr="00C020C2" w14:paraId="6EB728EB" w14:textId="77777777" w:rsidTr="57480088">
        <w:trPr>
          <w:cnfStyle w:val="000000100000" w:firstRow="0" w:lastRow="0" w:firstColumn="0" w:lastColumn="0" w:oddVBand="0" w:evenVBand="0" w:oddHBand="1" w:evenHBand="0" w:firstRowFirstColumn="0" w:firstRowLastColumn="0" w:lastRowFirstColumn="0" w:lastRowLastColumn="0"/>
          <w:trHeight w:val="20"/>
        </w:trPr>
        <w:tc>
          <w:tcPr>
            <w:tcW w:w="852" w:type="dxa"/>
            <w:vMerge/>
          </w:tcPr>
          <w:p w14:paraId="4C1A9CF3" w14:textId="77777777" w:rsidR="002B38AA" w:rsidRPr="00C020C2" w:rsidRDefault="002B38AA" w:rsidP="00D14FE7">
            <w:pPr>
              <w:contextualSpacing/>
              <w:rPr>
                <w:rFonts w:eastAsia="Times New Roman"/>
                <w:color w:val="000000"/>
                <w:kern w:val="24"/>
                <w:sz w:val="18"/>
                <w:szCs w:val="18"/>
                <w:lang w:eastAsia="en-GB"/>
              </w:rPr>
            </w:pPr>
          </w:p>
        </w:tc>
        <w:tc>
          <w:tcPr>
            <w:tcW w:w="7512" w:type="dxa"/>
            <w:hideMark/>
          </w:tcPr>
          <w:p w14:paraId="3404003A"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2.10: improve by 40% the proportion of youth/adults with telecommunication/ICT skills</w:t>
            </w:r>
          </w:p>
        </w:tc>
        <w:tc>
          <w:tcPr>
            <w:tcW w:w="1843" w:type="dxa"/>
            <w:gridSpan w:val="2"/>
            <w:shd w:val="clear" w:color="auto" w:fill="FFFFFF" w:themeFill="background1"/>
          </w:tcPr>
          <w:p w14:paraId="188984C5" w14:textId="77777777"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Not enough data</w:t>
            </w:r>
          </w:p>
        </w:tc>
      </w:tr>
      <w:tr w:rsidR="00FE36F7" w:rsidRPr="00C020C2" w14:paraId="6797A646" w14:textId="77777777" w:rsidTr="57480088">
        <w:trPr>
          <w:trHeight w:val="477"/>
        </w:trPr>
        <w:tc>
          <w:tcPr>
            <w:tcW w:w="852" w:type="dxa"/>
            <w:vMerge w:val="restart"/>
          </w:tcPr>
          <w:p w14:paraId="03A9B7C9" w14:textId="6E464138" w:rsidR="00FE36F7" w:rsidRPr="00C020C2" w:rsidRDefault="00FE36F7" w:rsidP="00D14FE7">
            <w:pPr>
              <w:contextualSpacing/>
              <w:rPr>
                <w:rFonts w:eastAsia="Times New Roman"/>
                <w:color w:val="000000"/>
                <w:kern w:val="24"/>
                <w:sz w:val="18"/>
                <w:szCs w:val="18"/>
                <w:lang w:eastAsia="en-GB"/>
              </w:rPr>
            </w:pPr>
            <w:r w:rsidRPr="00C020C2">
              <w:rPr>
                <w:rFonts w:eastAsia="Times New Roman"/>
                <w:color w:val="000000"/>
                <w:kern w:val="24"/>
                <w:sz w:val="18"/>
                <w:szCs w:val="18"/>
                <w:lang w:eastAsia="en-GB"/>
              </w:rPr>
              <w:t>Sustain</w:t>
            </w:r>
            <w:r w:rsidR="002B60EA" w:rsidRPr="00C020C2">
              <w:rPr>
                <w:rFonts w:eastAsia="Times New Roman"/>
                <w:color w:val="000000"/>
                <w:kern w:val="24"/>
                <w:sz w:val="18"/>
                <w:szCs w:val="18"/>
                <w:lang w:eastAsia="en-GB"/>
              </w:rPr>
              <w:t>-</w:t>
            </w:r>
            <w:r w:rsidRPr="00C020C2">
              <w:rPr>
                <w:rFonts w:eastAsia="Times New Roman"/>
                <w:color w:val="000000"/>
                <w:kern w:val="24"/>
                <w:sz w:val="18"/>
                <w:szCs w:val="18"/>
                <w:lang w:eastAsia="en-GB"/>
              </w:rPr>
              <w:t>ability</w:t>
            </w:r>
          </w:p>
        </w:tc>
        <w:tc>
          <w:tcPr>
            <w:tcW w:w="7512" w:type="dxa"/>
            <w:hideMark/>
          </w:tcPr>
          <w:p w14:paraId="20FC499A" w14:textId="77777777" w:rsidR="00FE36F7" w:rsidRPr="00C020C2" w:rsidRDefault="00FE36F7"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3.2: increase the global e-waste recycling rate to 30%</w:t>
            </w:r>
          </w:p>
        </w:tc>
        <w:tc>
          <w:tcPr>
            <w:tcW w:w="567" w:type="dxa"/>
            <w:shd w:val="clear" w:color="auto" w:fill="F79646" w:themeFill="accent6"/>
          </w:tcPr>
          <w:p w14:paraId="1885667D" w14:textId="6374FF30" w:rsidR="00FE36F7" w:rsidRPr="00C020C2" w:rsidRDefault="00FE36F7">
            <w:pPr>
              <w:contextualSpacing/>
              <w:jc w:val="center"/>
              <w:rPr>
                <w:b/>
                <w:bCs/>
                <w:color w:val="000000"/>
                <w:kern w:val="24"/>
                <w:sz w:val="16"/>
                <w:szCs w:val="16"/>
                <w:lang w:eastAsia="en-GB"/>
              </w:rPr>
            </w:pPr>
            <w:r w:rsidRPr="00C020C2">
              <w:rPr>
                <w:rFonts w:eastAsia="Times New Roman"/>
                <w:b/>
                <w:bCs/>
                <w:color w:val="000000"/>
                <w:kern w:val="24"/>
                <w:sz w:val="16"/>
                <w:szCs w:val="16"/>
                <w:lang w:eastAsia="en-GB"/>
              </w:rPr>
              <w:t>O</w:t>
            </w:r>
            <w:r w:rsidR="002B60EA" w:rsidRPr="00C020C2">
              <w:rPr>
                <w:rFonts w:eastAsia="Times New Roman"/>
                <w:b/>
                <w:bCs/>
                <w:color w:val="000000"/>
                <w:kern w:val="24"/>
                <w:sz w:val="16"/>
                <w:szCs w:val="16"/>
                <w:lang w:eastAsia="en-GB"/>
              </w:rPr>
              <w:t xml:space="preserve">ff track </w:t>
            </w:r>
          </w:p>
        </w:tc>
        <w:tc>
          <w:tcPr>
            <w:tcW w:w="1276" w:type="dxa"/>
            <w:shd w:val="clear" w:color="auto" w:fill="FFFFFF" w:themeFill="background1"/>
          </w:tcPr>
          <w:p w14:paraId="09A0598A" w14:textId="0C043582" w:rsidR="00FE36F7" w:rsidRPr="00C020C2" w:rsidRDefault="00FE36F7"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Not enough data</w:t>
            </w:r>
          </w:p>
        </w:tc>
      </w:tr>
      <w:tr w:rsidR="005724DE" w:rsidRPr="00C020C2" w14:paraId="5A31C19D" w14:textId="77777777" w:rsidTr="57480088">
        <w:trPr>
          <w:cnfStyle w:val="000000100000" w:firstRow="0" w:lastRow="0" w:firstColumn="0" w:lastColumn="0" w:oddVBand="0" w:evenVBand="0" w:oddHBand="1" w:evenHBand="0" w:firstRowFirstColumn="0" w:firstRowLastColumn="0" w:lastRowFirstColumn="0" w:lastRowLastColumn="0"/>
          <w:trHeight w:val="20"/>
        </w:trPr>
        <w:tc>
          <w:tcPr>
            <w:tcW w:w="852" w:type="dxa"/>
            <w:vMerge/>
          </w:tcPr>
          <w:p w14:paraId="3FD2AC89" w14:textId="77777777" w:rsidR="005724DE" w:rsidRPr="00C020C2" w:rsidRDefault="005724DE" w:rsidP="00D14FE7">
            <w:pPr>
              <w:contextualSpacing/>
              <w:rPr>
                <w:rFonts w:eastAsia="Times New Roman"/>
                <w:color w:val="000000"/>
                <w:kern w:val="24"/>
                <w:sz w:val="18"/>
                <w:szCs w:val="18"/>
                <w:lang w:eastAsia="en-GB"/>
              </w:rPr>
            </w:pPr>
          </w:p>
        </w:tc>
        <w:tc>
          <w:tcPr>
            <w:tcW w:w="7512" w:type="dxa"/>
            <w:hideMark/>
          </w:tcPr>
          <w:p w14:paraId="1031ED32" w14:textId="570F6822" w:rsidR="005724DE" w:rsidRPr="00C020C2" w:rsidRDefault="005724DE"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 xml:space="preserve">Target 3.1: </w:t>
            </w:r>
            <w:bookmarkStart w:id="17" w:name="_Hlk132101399"/>
            <w:r w:rsidRPr="00C020C2">
              <w:rPr>
                <w:rFonts w:eastAsia="Times New Roman"/>
                <w:color w:val="000000"/>
                <w:kern w:val="24"/>
                <w:sz w:val="18"/>
                <w:szCs w:val="18"/>
                <w:lang w:eastAsia="en-GB"/>
              </w:rPr>
              <w:t>improve cybersecurity preparedness of countries, with key capabilities: presence of strategy, national computer incident/emergency response teams and legislation</w:t>
            </w:r>
            <w:bookmarkEnd w:id="17"/>
          </w:p>
        </w:tc>
        <w:tc>
          <w:tcPr>
            <w:tcW w:w="1843" w:type="dxa"/>
            <w:gridSpan w:val="2"/>
            <w:shd w:val="clear" w:color="auto" w:fill="C6D9F1" w:themeFill="text2" w:themeFillTint="33"/>
          </w:tcPr>
          <w:p w14:paraId="66656071" w14:textId="77777777" w:rsidR="005724DE" w:rsidRPr="00C020C2" w:rsidRDefault="005724DE"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On track</w:t>
            </w:r>
          </w:p>
        </w:tc>
      </w:tr>
      <w:tr w:rsidR="005724DE" w:rsidRPr="00C020C2" w14:paraId="37A88CC2" w14:textId="77777777" w:rsidTr="57480088">
        <w:trPr>
          <w:trHeight w:val="20"/>
        </w:trPr>
        <w:tc>
          <w:tcPr>
            <w:tcW w:w="852" w:type="dxa"/>
            <w:vMerge/>
          </w:tcPr>
          <w:p w14:paraId="41DD99D3" w14:textId="77777777" w:rsidR="005724DE" w:rsidRPr="00C020C2" w:rsidRDefault="005724DE" w:rsidP="00D14FE7">
            <w:pPr>
              <w:contextualSpacing/>
              <w:rPr>
                <w:rFonts w:eastAsia="Times New Roman"/>
                <w:color w:val="000000"/>
                <w:kern w:val="24"/>
                <w:sz w:val="18"/>
                <w:szCs w:val="18"/>
                <w:lang w:eastAsia="en-GB"/>
              </w:rPr>
            </w:pPr>
          </w:p>
        </w:tc>
        <w:tc>
          <w:tcPr>
            <w:tcW w:w="7512" w:type="dxa"/>
            <w:hideMark/>
          </w:tcPr>
          <w:p w14:paraId="6D62FBCE" w14:textId="010E191D" w:rsidR="005724DE" w:rsidRPr="00C020C2" w:rsidRDefault="005724DE"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3.3: raise the percentage of countries with an e-waste policy, legislation or regulation to 50</w:t>
            </w:r>
            <w:r w:rsidR="001F69A7" w:rsidRPr="00C020C2">
              <w:rPr>
                <w:rFonts w:eastAsia="Times New Roman"/>
                <w:color w:val="000000"/>
                <w:kern w:val="24"/>
                <w:sz w:val="18"/>
                <w:szCs w:val="18"/>
                <w:lang w:eastAsia="en-GB"/>
              </w:rPr>
              <w:t>%</w:t>
            </w:r>
          </w:p>
        </w:tc>
        <w:tc>
          <w:tcPr>
            <w:tcW w:w="1843" w:type="dxa"/>
            <w:gridSpan w:val="2"/>
            <w:shd w:val="clear" w:color="auto" w:fill="92D050"/>
          </w:tcPr>
          <w:p w14:paraId="09630AF8" w14:textId="45DEDBBE" w:rsidR="005724DE" w:rsidRPr="00C020C2" w:rsidRDefault="005724DE"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Achieved</w:t>
            </w:r>
          </w:p>
        </w:tc>
      </w:tr>
      <w:tr w:rsidR="00FE36F7" w:rsidRPr="00C020C2" w14:paraId="560C43D6" w14:textId="77777777" w:rsidTr="57480088">
        <w:trPr>
          <w:cnfStyle w:val="000000100000" w:firstRow="0" w:lastRow="0" w:firstColumn="0" w:lastColumn="0" w:oddVBand="0" w:evenVBand="0" w:oddHBand="1" w:evenHBand="0" w:firstRowFirstColumn="0" w:firstRowLastColumn="0" w:lastRowFirstColumn="0" w:lastRowLastColumn="0"/>
          <w:trHeight w:val="497"/>
        </w:trPr>
        <w:tc>
          <w:tcPr>
            <w:tcW w:w="852" w:type="dxa"/>
            <w:vMerge/>
          </w:tcPr>
          <w:p w14:paraId="582CBEF3" w14:textId="77777777" w:rsidR="00FE36F7" w:rsidRPr="00C020C2" w:rsidRDefault="00FE36F7" w:rsidP="00D14FE7">
            <w:pPr>
              <w:contextualSpacing/>
              <w:rPr>
                <w:rFonts w:eastAsia="Times New Roman"/>
                <w:color w:val="000000"/>
                <w:kern w:val="24"/>
                <w:sz w:val="18"/>
                <w:szCs w:val="18"/>
                <w:lang w:eastAsia="en-GB"/>
              </w:rPr>
            </w:pPr>
          </w:p>
        </w:tc>
        <w:tc>
          <w:tcPr>
            <w:tcW w:w="7512" w:type="dxa"/>
            <w:hideMark/>
          </w:tcPr>
          <w:p w14:paraId="47A64D43" w14:textId="77777777" w:rsidR="00FE36F7" w:rsidRPr="00C020C2" w:rsidRDefault="00FE36F7"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3.5: all countries should have a National Emergency Telecommunication Plan as part of their national and local disaster risk reduction strategies</w:t>
            </w:r>
          </w:p>
        </w:tc>
        <w:tc>
          <w:tcPr>
            <w:tcW w:w="567" w:type="dxa"/>
            <w:shd w:val="clear" w:color="auto" w:fill="F79646" w:themeFill="accent6"/>
          </w:tcPr>
          <w:p w14:paraId="4862C311" w14:textId="1A6EBAF1" w:rsidR="00FE36F7" w:rsidRPr="00C020C2" w:rsidRDefault="00FE36F7" w:rsidP="00D14FE7">
            <w:pPr>
              <w:contextualSpacing/>
              <w:jc w:val="center"/>
              <w:rPr>
                <w:b/>
                <w:bCs/>
                <w:color w:val="000000"/>
                <w:kern w:val="24"/>
                <w:sz w:val="16"/>
                <w:szCs w:val="16"/>
                <w:lang w:eastAsia="en-GB"/>
              </w:rPr>
            </w:pPr>
            <w:r w:rsidRPr="00C020C2">
              <w:rPr>
                <w:rFonts w:eastAsia="Times New Roman"/>
                <w:b/>
                <w:bCs/>
                <w:color w:val="000000"/>
                <w:kern w:val="24"/>
                <w:sz w:val="16"/>
                <w:szCs w:val="16"/>
                <w:lang w:eastAsia="en-GB"/>
              </w:rPr>
              <w:t>O</w:t>
            </w:r>
            <w:r w:rsidR="002B60EA" w:rsidRPr="00C020C2">
              <w:rPr>
                <w:rFonts w:eastAsia="Times New Roman"/>
                <w:b/>
                <w:bCs/>
                <w:color w:val="000000"/>
                <w:kern w:val="24"/>
                <w:sz w:val="16"/>
                <w:szCs w:val="16"/>
                <w:lang w:eastAsia="en-GB"/>
              </w:rPr>
              <w:t>f</w:t>
            </w:r>
            <w:r w:rsidRPr="00C020C2">
              <w:rPr>
                <w:rFonts w:eastAsia="Times New Roman"/>
                <w:b/>
                <w:bCs/>
                <w:color w:val="000000"/>
                <w:kern w:val="24"/>
                <w:sz w:val="16"/>
                <w:szCs w:val="16"/>
                <w:lang w:eastAsia="en-GB"/>
              </w:rPr>
              <w:t>f track</w:t>
            </w:r>
          </w:p>
        </w:tc>
        <w:tc>
          <w:tcPr>
            <w:tcW w:w="1276" w:type="dxa"/>
            <w:shd w:val="clear" w:color="auto" w:fill="FFFFFF" w:themeFill="background1"/>
          </w:tcPr>
          <w:p w14:paraId="51EEED23" w14:textId="0E0A9E2C" w:rsidR="00FE36F7" w:rsidRPr="00C020C2" w:rsidRDefault="00FE36F7"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Not enough data</w:t>
            </w:r>
          </w:p>
        </w:tc>
      </w:tr>
      <w:tr w:rsidR="005724DE" w:rsidRPr="00C020C2" w14:paraId="62462BA9" w14:textId="77777777" w:rsidTr="57480088">
        <w:trPr>
          <w:trHeight w:val="20"/>
        </w:trPr>
        <w:tc>
          <w:tcPr>
            <w:tcW w:w="852" w:type="dxa"/>
            <w:vMerge/>
          </w:tcPr>
          <w:p w14:paraId="2F9346B4" w14:textId="77777777" w:rsidR="005724DE" w:rsidRPr="00C020C2" w:rsidRDefault="005724DE" w:rsidP="00D14FE7">
            <w:pPr>
              <w:contextualSpacing/>
              <w:rPr>
                <w:rFonts w:eastAsia="Times New Roman"/>
                <w:color w:val="000000"/>
                <w:kern w:val="24"/>
                <w:sz w:val="18"/>
                <w:szCs w:val="18"/>
                <w:lang w:eastAsia="en-GB"/>
              </w:rPr>
            </w:pPr>
          </w:p>
        </w:tc>
        <w:tc>
          <w:tcPr>
            <w:tcW w:w="7512" w:type="dxa"/>
            <w:hideMark/>
          </w:tcPr>
          <w:p w14:paraId="400C38B0" w14:textId="1A89C32E" w:rsidR="005724DE" w:rsidRPr="00C020C2" w:rsidRDefault="6DBD551D"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 xml:space="preserve">Target 3.4: </w:t>
            </w:r>
            <w:bookmarkStart w:id="18" w:name="_Hlk132099578"/>
            <w:r w:rsidRPr="00C020C2">
              <w:rPr>
                <w:rFonts w:eastAsia="Times New Roman"/>
                <w:color w:val="000000"/>
                <w:kern w:val="24"/>
                <w:sz w:val="18"/>
                <w:szCs w:val="18"/>
                <w:lang w:eastAsia="en-GB"/>
              </w:rPr>
              <w:t xml:space="preserve">net telecommunication/ICT-enabled Greenhouse Gas abatement </w:t>
            </w:r>
            <w:bookmarkEnd w:id="18"/>
            <w:r w:rsidRPr="00C020C2">
              <w:rPr>
                <w:rFonts w:eastAsia="Times New Roman"/>
                <w:color w:val="000000"/>
                <w:kern w:val="24"/>
                <w:sz w:val="18"/>
                <w:szCs w:val="18"/>
                <w:lang w:eastAsia="en-GB"/>
              </w:rPr>
              <w:t>should have increased by 30% (</w:t>
            </w:r>
            <w:r w:rsidR="65829CD3" w:rsidRPr="00C020C2">
              <w:rPr>
                <w:rFonts w:eastAsia="Times New Roman"/>
                <w:color w:val="000000"/>
                <w:kern w:val="24"/>
                <w:sz w:val="18"/>
                <w:szCs w:val="18"/>
                <w:lang w:eastAsia="en-GB"/>
              </w:rPr>
              <w:t>since</w:t>
            </w:r>
            <w:r w:rsidRPr="00C020C2">
              <w:rPr>
                <w:rFonts w:eastAsia="Times New Roman"/>
                <w:color w:val="000000"/>
                <w:kern w:val="24"/>
                <w:sz w:val="18"/>
                <w:szCs w:val="18"/>
                <w:lang w:eastAsia="en-GB"/>
              </w:rPr>
              <w:t xml:space="preserve"> 2010)</w:t>
            </w:r>
          </w:p>
        </w:tc>
        <w:tc>
          <w:tcPr>
            <w:tcW w:w="1843" w:type="dxa"/>
            <w:gridSpan w:val="2"/>
            <w:shd w:val="clear" w:color="auto" w:fill="FFFFFF" w:themeFill="background1"/>
          </w:tcPr>
          <w:p w14:paraId="2FE794DA" w14:textId="77777777" w:rsidR="005724DE" w:rsidRPr="00C020C2" w:rsidRDefault="005724DE"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Not measured yet</w:t>
            </w:r>
          </w:p>
        </w:tc>
      </w:tr>
      <w:tr w:rsidR="006105B0" w:rsidRPr="00C020C2" w14:paraId="7A6EC565" w14:textId="77777777" w:rsidTr="57480088">
        <w:trPr>
          <w:cnfStyle w:val="000000100000" w:firstRow="0" w:lastRow="0" w:firstColumn="0" w:lastColumn="0" w:oddVBand="0" w:evenVBand="0" w:oddHBand="1" w:evenHBand="0" w:firstRowFirstColumn="0" w:firstRowLastColumn="0" w:lastRowFirstColumn="0" w:lastRowLastColumn="0"/>
          <w:trHeight w:val="20"/>
        </w:trPr>
        <w:tc>
          <w:tcPr>
            <w:tcW w:w="852" w:type="dxa"/>
          </w:tcPr>
          <w:p w14:paraId="3905E2A3" w14:textId="5441CD32" w:rsidR="006105B0" w:rsidRPr="00C020C2" w:rsidRDefault="006105B0" w:rsidP="00D14FE7">
            <w:pPr>
              <w:contextualSpacing/>
              <w:rPr>
                <w:rFonts w:eastAsia="Times New Roman"/>
                <w:color w:val="000000"/>
                <w:kern w:val="24"/>
                <w:sz w:val="18"/>
                <w:szCs w:val="18"/>
                <w:lang w:eastAsia="en-GB"/>
              </w:rPr>
            </w:pPr>
            <w:r w:rsidRPr="00C020C2">
              <w:rPr>
                <w:rFonts w:eastAsia="Times New Roman"/>
                <w:color w:val="000000"/>
                <w:kern w:val="24"/>
                <w:sz w:val="18"/>
                <w:szCs w:val="18"/>
                <w:lang w:eastAsia="en-GB"/>
              </w:rPr>
              <w:t>Innova-</w:t>
            </w:r>
            <w:proofErr w:type="spellStart"/>
            <w:r w:rsidRPr="00C020C2">
              <w:rPr>
                <w:rFonts w:eastAsia="Times New Roman"/>
                <w:color w:val="000000"/>
                <w:kern w:val="24"/>
                <w:sz w:val="18"/>
                <w:szCs w:val="18"/>
                <w:lang w:eastAsia="en-GB"/>
              </w:rPr>
              <w:t>tion</w:t>
            </w:r>
            <w:proofErr w:type="spellEnd"/>
          </w:p>
        </w:tc>
        <w:tc>
          <w:tcPr>
            <w:tcW w:w="7512" w:type="dxa"/>
            <w:hideMark/>
          </w:tcPr>
          <w:p w14:paraId="31D464CD" w14:textId="77777777" w:rsidR="006105B0" w:rsidRPr="00C020C2" w:rsidRDefault="006105B0"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4.1: all countries should have policies/strategies fostering telecommunication/ICT-centric innovation</w:t>
            </w:r>
          </w:p>
        </w:tc>
        <w:tc>
          <w:tcPr>
            <w:tcW w:w="567" w:type="dxa"/>
            <w:shd w:val="clear" w:color="auto" w:fill="F79646" w:themeFill="accent6"/>
          </w:tcPr>
          <w:p w14:paraId="184DC4AF" w14:textId="2506759C" w:rsidR="006105B0" w:rsidRPr="00C020C2" w:rsidRDefault="006105B0">
            <w:pPr>
              <w:contextualSpacing/>
              <w:jc w:val="center"/>
              <w:rPr>
                <w:b/>
                <w:bCs/>
                <w:color w:val="000000"/>
                <w:kern w:val="24"/>
                <w:sz w:val="16"/>
                <w:szCs w:val="16"/>
                <w:lang w:eastAsia="en-GB"/>
              </w:rPr>
            </w:pPr>
            <w:r w:rsidRPr="00C020C2">
              <w:rPr>
                <w:rFonts w:eastAsia="Times New Roman"/>
                <w:b/>
                <w:bCs/>
                <w:color w:val="000000"/>
                <w:kern w:val="24"/>
                <w:sz w:val="16"/>
                <w:szCs w:val="16"/>
                <w:lang w:eastAsia="en-GB"/>
              </w:rPr>
              <w:t>Off track</w:t>
            </w:r>
          </w:p>
        </w:tc>
        <w:tc>
          <w:tcPr>
            <w:tcW w:w="1276" w:type="dxa"/>
            <w:shd w:val="clear" w:color="auto" w:fill="auto"/>
          </w:tcPr>
          <w:p w14:paraId="3C2BE14B" w14:textId="643BA27E" w:rsidR="006105B0" w:rsidRPr="00C020C2" w:rsidRDefault="006105B0">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Not enough data</w:t>
            </w:r>
          </w:p>
        </w:tc>
      </w:tr>
      <w:tr w:rsidR="002B38AA" w:rsidRPr="00C020C2" w14:paraId="134C3E1F" w14:textId="77777777" w:rsidTr="57480088">
        <w:trPr>
          <w:trHeight w:val="20"/>
        </w:trPr>
        <w:tc>
          <w:tcPr>
            <w:tcW w:w="852" w:type="dxa"/>
          </w:tcPr>
          <w:p w14:paraId="0697BB04" w14:textId="14E62DFA" w:rsidR="002B38AA" w:rsidRPr="00C020C2" w:rsidRDefault="002B38AA" w:rsidP="00D14FE7">
            <w:pPr>
              <w:contextualSpacing/>
              <w:rPr>
                <w:rFonts w:eastAsia="Times New Roman"/>
                <w:color w:val="000000"/>
                <w:kern w:val="24"/>
                <w:sz w:val="18"/>
                <w:szCs w:val="18"/>
                <w:lang w:eastAsia="en-GB"/>
              </w:rPr>
            </w:pPr>
            <w:r w:rsidRPr="00C020C2">
              <w:rPr>
                <w:rFonts w:eastAsia="Times New Roman"/>
                <w:color w:val="000000"/>
                <w:kern w:val="24"/>
                <w:sz w:val="18"/>
                <w:szCs w:val="18"/>
                <w:lang w:eastAsia="en-GB"/>
              </w:rPr>
              <w:t>Partner</w:t>
            </w:r>
            <w:r w:rsidR="001F69A7" w:rsidRPr="00C020C2">
              <w:rPr>
                <w:rFonts w:eastAsia="Times New Roman"/>
                <w:color w:val="000000"/>
                <w:kern w:val="24"/>
                <w:sz w:val="18"/>
                <w:szCs w:val="18"/>
                <w:lang w:eastAsia="en-GB"/>
              </w:rPr>
              <w:t>-</w:t>
            </w:r>
            <w:r w:rsidRPr="00C020C2">
              <w:rPr>
                <w:rFonts w:eastAsia="Times New Roman"/>
                <w:color w:val="000000"/>
                <w:kern w:val="24"/>
                <w:sz w:val="18"/>
                <w:szCs w:val="18"/>
                <w:lang w:eastAsia="en-GB"/>
              </w:rPr>
              <w:t>ship</w:t>
            </w:r>
          </w:p>
        </w:tc>
        <w:tc>
          <w:tcPr>
            <w:tcW w:w="7512" w:type="dxa"/>
            <w:hideMark/>
          </w:tcPr>
          <w:p w14:paraId="05EE3DBB" w14:textId="77777777" w:rsidR="002B38AA" w:rsidRPr="00C020C2" w:rsidRDefault="002B38AA" w:rsidP="00D14FE7">
            <w:pPr>
              <w:contextualSpacing/>
              <w:rPr>
                <w:rFonts w:ascii="Arial" w:eastAsia="Times New Roman" w:hAnsi="Arial" w:cs="Arial"/>
                <w:sz w:val="18"/>
                <w:szCs w:val="18"/>
                <w:lang w:eastAsia="en-GB"/>
              </w:rPr>
            </w:pPr>
            <w:r w:rsidRPr="00C020C2">
              <w:rPr>
                <w:rFonts w:eastAsia="Times New Roman"/>
                <w:color w:val="000000"/>
                <w:kern w:val="24"/>
                <w:sz w:val="18"/>
                <w:szCs w:val="18"/>
                <w:lang w:eastAsia="en-GB"/>
              </w:rPr>
              <w:t>Target 5.1: increased effective partnerships with stakeholders and cooperation with other organization and entities in the telecommunication/ICT environment</w:t>
            </w:r>
          </w:p>
        </w:tc>
        <w:tc>
          <w:tcPr>
            <w:tcW w:w="1843" w:type="dxa"/>
            <w:gridSpan w:val="2"/>
            <w:shd w:val="clear" w:color="auto" w:fill="C6D9F1" w:themeFill="text2" w:themeFillTint="33"/>
          </w:tcPr>
          <w:p w14:paraId="1FC2E808" w14:textId="77777777" w:rsidR="002B38AA" w:rsidRPr="00C020C2" w:rsidRDefault="002B38AA" w:rsidP="00D14FE7">
            <w:pPr>
              <w:contextualSpacing/>
              <w:jc w:val="center"/>
              <w:rPr>
                <w:rFonts w:eastAsia="Times New Roman"/>
                <w:b/>
                <w:bCs/>
                <w:color w:val="000000"/>
                <w:kern w:val="24"/>
                <w:sz w:val="16"/>
                <w:szCs w:val="16"/>
                <w:lang w:eastAsia="en-GB"/>
              </w:rPr>
            </w:pPr>
            <w:r w:rsidRPr="00C020C2">
              <w:rPr>
                <w:rFonts w:eastAsia="Times New Roman"/>
                <w:b/>
                <w:bCs/>
                <w:color w:val="000000"/>
                <w:kern w:val="24"/>
                <w:sz w:val="16"/>
                <w:szCs w:val="16"/>
                <w:lang w:eastAsia="en-GB"/>
              </w:rPr>
              <w:t>On track</w:t>
            </w:r>
          </w:p>
        </w:tc>
      </w:tr>
    </w:tbl>
    <w:p w14:paraId="58709950" w14:textId="547355B0" w:rsidR="007E3F9E" w:rsidRPr="00C020C2" w:rsidRDefault="7DDC02AF" w:rsidP="00EE21B1">
      <w:pPr>
        <w:spacing w:after="120"/>
        <w:jc w:val="both"/>
        <w:rPr>
          <w:lang w:val="en-US"/>
        </w:rPr>
      </w:pPr>
      <w:r w:rsidRPr="00C020C2">
        <w:t>The newly adopted S</w:t>
      </w:r>
      <w:r w:rsidR="32C903A0" w:rsidRPr="00C020C2">
        <w:t xml:space="preserve">trategic </w:t>
      </w:r>
      <w:r w:rsidRPr="00C020C2">
        <w:t>P</w:t>
      </w:r>
      <w:r w:rsidR="5F8B26BA" w:rsidRPr="00C020C2">
        <w:t>lan</w:t>
      </w:r>
      <w:r w:rsidRPr="00C020C2">
        <w:t xml:space="preserve"> 2024-2027 </w:t>
      </w:r>
      <w:r w:rsidR="2115C1C5" w:rsidRPr="00C020C2">
        <w:t>takes</w:t>
      </w:r>
      <w:r w:rsidRPr="00C020C2">
        <w:t xml:space="preserve"> these results </w:t>
      </w:r>
      <w:r w:rsidR="2115C1C5" w:rsidRPr="00C020C2">
        <w:t xml:space="preserve">into account </w:t>
      </w:r>
      <w:r w:rsidRPr="00C020C2">
        <w:t xml:space="preserve">when defining the new Goals and 2027 Targets. </w:t>
      </w:r>
      <w:r w:rsidR="3ACAB706" w:rsidRPr="00C020C2">
        <w:t>Based on</w:t>
      </w:r>
      <w:r w:rsidRPr="00C020C2">
        <w:t xml:space="preserve"> the narrative</w:t>
      </w:r>
      <w:r w:rsidR="0AFBF982" w:rsidRPr="00C020C2">
        <w:t>s</w:t>
      </w:r>
      <w:r w:rsidRPr="00C020C2">
        <w:t xml:space="preserve"> </w:t>
      </w:r>
      <w:r w:rsidR="0AFBF982" w:rsidRPr="00C020C2">
        <w:t>above</w:t>
      </w:r>
      <w:r w:rsidR="3633BDA8" w:rsidRPr="00C020C2">
        <w:t xml:space="preserve"> however</w:t>
      </w:r>
      <w:r w:rsidR="3ACAB706" w:rsidRPr="00C020C2">
        <w:t>,</w:t>
      </w:r>
      <w:r w:rsidRPr="00C020C2">
        <w:t xml:space="preserve"> </w:t>
      </w:r>
      <w:r w:rsidR="3281EB5F" w:rsidRPr="00C020C2">
        <w:t xml:space="preserve">world </w:t>
      </w:r>
      <w:r w:rsidRPr="00C020C2">
        <w:t>averages may not be enough to assess the situation</w:t>
      </w:r>
      <w:r w:rsidR="3ACAB706" w:rsidRPr="00C020C2">
        <w:t xml:space="preserve"> </w:t>
      </w:r>
      <w:r w:rsidR="3633BDA8" w:rsidRPr="00C020C2">
        <w:t xml:space="preserve">accurately </w:t>
      </w:r>
      <w:r w:rsidR="3ACAB706" w:rsidRPr="00C020C2">
        <w:t>in many cases. T</w:t>
      </w:r>
      <w:r w:rsidRPr="00C020C2">
        <w:t xml:space="preserve">hey may </w:t>
      </w:r>
      <w:r w:rsidR="3ACAB706" w:rsidRPr="00C020C2">
        <w:t xml:space="preserve">appear </w:t>
      </w:r>
      <w:r w:rsidRPr="00C020C2">
        <w:t xml:space="preserve">on track for achievement </w:t>
      </w:r>
      <w:r w:rsidR="3ACAB706" w:rsidRPr="00C020C2">
        <w:t>globally</w:t>
      </w:r>
      <w:r w:rsidRPr="00C020C2">
        <w:t xml:space="preserve">, but </w:t>
      </w:r>
      <w:r w:rsidR="3ACAB706" w:rsidRPr="00C020C2">
        <w:t xml:space="preserve">closer analysis of </w:t>
      </w:r>
      <w:r w:rsidRPr="00C020C2">
        <w:t xml:space="preserve">LDCs or </w:t>
      </w:r>
      <w:r w:rsidR="3ACAB706" w:rsidRPr="00C020C2">
        <w:t xml:space="preserve">a specific focus on </w:t>
      </w:r>
      <w:r w:rsidRPr="00C020C2">
        <w:t xml:space="preserve">women and girls </w:t>
      </w:r>
      <w:r w:rsidR="3ACAB706" w:rsidRPr="00C020C2">
        <w:t xml:space="preserve">will reveal that </w:t>
      </w:r>
      <w:r w:rsidR="3633BDA8" w:rsidRPr="00C020C2">
        <w:t xml:space="preserve">in reality </w:t>
      </w:r>
      <w:r w:rsidRPr="00C020C2">
        <w:t xml:space="preserve">the situation is </w:t>
      </w:r>
      <w:r w:rsidRPr="00C020C2">
        <w:rPr>
          <w:u w:val="single"/>
        </w:rPr>
        <w:t>not</w:t>
      </w:r>
      <w:r w:rsidR="04DF4DDA" w:rsidRPr="00C020C2">
        <w:rPr>
          <w:u w:val="single"/>
        </w:rPr>
        <w:t xml:space="preserve"> sufficiently</w:t>
      </w:r>
      <w:r w:rsidRPr="00C020C2">
        <w:t xml:space="preserve"> improving. </w:t>
      </w:r>
      <w:r w:rsidR="3ACAB706" w:rsidRPr="00C020C2">
        <w:t>T</w:t>
      </w:r>
      <w:r w:rsidRPr="00C020C2">
        <w:t xml:space="preserve">he </w:t>
      </w:r>
      <w:r w:rsidR="35847B48" w:rsidRPr="00C020C2">
        <w:t xml:space="preserve">appropriate assessment of </w:t>
      </w:r>
      <w:r w:rsidRPr="00C020C2">
        <w:t xml:space="preserve">new 2027 Targets </w:t>
      </w:r>
      <w:r w:rsidR="3ACAB706" w:rsidRPr="00C020C2">
        <w:t xml:space="preserve">will </w:t>
      </w:r>
      <w:r w:rsidRPr="00C020C2">
        <w:t>often require that data be broken</w:t>
      </w:r>
      <w:r w:rsidR="3281EB5F" w:rsidRPr="00C020C2">
        <w:t xml:space="preserve"> </w:t>
      </w:r>
      <w:r w:rsidRPr="00C020C2">
        <w:t>down by level of development and/or disaggregated by gender, age, location, etc.</w:t>
      </w:r>
    </w:p>
    <w:p w14:paraId="26FD7513" w14:textId="01059B93" w:rsidR="00D1770E" w:rsidRPr="00C020C2" w:rsidRDefault="0011467A" w:rsidP="00B77967">
      <w:pPr>
        <w:pStyle w:val="Heading1"/>
        <w:numPr>
          <w:ilvl w:val="0"/>
          <w:numId w:val="13"/>
        </w:numPr>
        <w:spacing w:before="240" w:after="120"/>
        <w:ind w:left="567" w:hanging="567"/>
      </w:pPr>
      <w:bookmarkStart w:id="19" w:name="_Toc137211289"/>
      <w:r w:rsidRPr="00C020C2">
        <w:t>Key themes of work</w:t>
      </w:r>
      <w:bookmarkStart w:id="20" w:name="_Toc37860456"/>
      <w:bookmarkStart w:id="21" w:name="_Toc37861217"/>
      <w:bookmarkStart w:id="22" w:name="_Toc37943336"/>
      <w:bookmarkEnd w:id="10"/>
      <w:bookmarkEnd w:id="11"/>
      <w:bookmarkEnd w:id="12"/>
      <w:bookmarkEnd w:id="19"/>
      <w:r w:rsidR="00AE657C" w:rsidRPr="00C020C2">
        <w:t xml:space="preserve"> </w:t>
      </w:r>
    </w:p>
    <w:p w14:paraId="5DDE233F" w14:textId="1D201450" w:rsidR="0011467A" w:rsidRPr="00C020C2" w:rsidRDefault="002B38AA" w:rsidP="00EE21B1">
      <w:pPr>
        <w:pStyle w:val="Heading2"/>
        <w:tabs>
          <w:tab w:val="clear" w:pos="567"/>
          <w:tab w:val="left" w:pos="142"/>
        </w:tabs>
        <w:spacing w:before="240" w:after="120"/>
        <w:rPr>
          <w:szCs w:val="24"/>
          <w:lang w:eastAsia="en-GB"/>
        </w:rPr>
      </w:pPr>
      <w:bookmarkStart w:id="23" w:name="_Toc137211290"/>
      <w:r w:rsidRPr="00C020C2">
        <w:rPr>
          <w:szCs w:val="24"/>
          <w:lang w:eastAsia="en-GB"/>
        </w:rPr>
        <w:t>4</w:t>
      </w:r>
      <w:r w:rsidR="00586FD9" w:rsidRPr="00C020C2">
        <w:rPr>
          <w:szCs w:val="24"/>
          <w:lang w:eastAsia="en-GB"/>
        </w:rPr>
        <w:t>.</w:t>
      </w:r>
      <w:r w:rsidRPr="00C020C2">
        <w:rPr>
          <w:szCs w:val="24"/>
          <w:lang w:eastAsia="en-GB"/>
        </w:rPr>
        <w:t>1</w:t>
      </w:r>
      <w:r w:rsidR="006041B2" w:rsidRPr="00C020C2">
        <w:rPr>
          <w:szCs w:val="24"/>
          <w:lang w:eastAsia="en-GB"/>
        </w:rPr>
        <w:tab/>
      </w:r>
      <w:r w:rsidR="0011467A" w:rsidRPr="00C020C2">
        <w:rPr>
          <w:szCs w:val="24"/>
          <w:lang w:eastAsia="en-GB"/>
        </w:rPr>
        <w:t>Spectrum/orbit regulation and management</w:t>
      </w:r>
      <w:bookmarkEnd w:id="20"/>
      <w:bookmarkEnd w:id="21"/>
      <w:bookmarkEnd w:id="22"/>
      <w:bookmarkEnd w:id="23"/>
    </w:p>
    <w:p w14:paraId="2DFB2252" w14:textId="03007F07" w:rsidR="0011467A" w:rsidRPr="00C020C2" w:rsidRDefault="0011467A" w:rsidP="00EE21B1">
      <w:pPr>
        <w:spacing w:after="120"/>
        <w:jc w:val="both"/>
        <w:rPr>
          <w:rFonts w:eastAsia="Calibri"/>
          <w:szCs w:val="24"/>
        </w:rPr>
      </w:pPr>
      <w:r w:rsidRPr="00C020C2">
        <w:rPr>
          <w:rFonts w:eastAsia="Calibri"/>
          <w:szCs w:val="24"/>
        </w:rPr>
        <w:t xml:space="preserve">The Second </w:t>
      </w:r>
      <w:r w:rsidR="00DE34C3" w:rsidRPr="00C020C2">
        <w:rPr>
          <w:rFonts w:eastAsia="Calibri"/>
          <w:szCs w:val="24"/>
        </w:rPr>
        <w:t xml:space="preserve">Session </w:t>
      </w:r>
      <w:r w:rsidRPr="00C020C2">
        <w:rPr>
          <w:rFonts w:eastAsia="Calibri"/>
          <w:szCs w:val="24"/>
        </w:rPr>
        <w:t>of the Conference Preparatory Meeting 2023 (CPM23-2) prepared a consolidated report support</w:t>
      </w:r>
      <w:r w:rsidR="0072561F" w:rsidRPr="00C020C2">
        <w:rPr>
          <w:rFonts w:eastAsia="Calibri"/>
          <w:szCs w:val="24"/>
        </w:rPr>
        <w:t>ing</w:t>
      </w:r>
      <w:r w:rsidRPr="00C020C2">
        <w:rPr>
          <w:rFonts w:eastAsia="Calibri"/>
          <w:szCs w:val="24"/>
        </w:rPr>
        <w:t xml:space="preserve"> the work of World Radiocommunication Conference 2023 (WRC-23) </w:t>
      </w:r>
      <w:r w:rsidR="0072561F" w:rsidRPr="00C020C2">
        <w:rPr>
          <w:rFonts w:eastAsia="Calibri"/>
          <w:szCs w:val="24"/>
        </w:rPr>
        <w:t xml:space="preserve">and </w:t>
      </w:r>
      <w:r w:rsidRPr="00C020C2">
        <w:rPr>
          <w:rFonts w:eastAsia="Calibri"/>
          <w:szCs w:val="24"/>
        </w:rPr>
        <w:t xml:space="preserve">based on: </w:t>
      </w:r>
    </w:p>
    <w:p w14:paraId="166075FD" w14:textId="2E9EE671" w:rsidR="0011467A" w:rsidRPr="00C020C2" w:rsidRDefault="009D5CAC" w:rsidP="00EE21B1">
      <w:pPr>
        <w:pStyle w:val="ListParagraph"/>
        <w:numPr>
          <w:ilvl w:val="0"/>
          <w:numId w:val="9"/>
        </w:numPr>
        <w:spacing w:after="120"/>
        <w:ind w:left="714" w:hanging="357"/>
        <w:contextualSpacing/>
        <w:jc w:val="both"/>
        <w:rPr>
          <w:rFonts w:eastAsia="Calibri"/>
          <w:sz w:val="24"/>
          <w:szCs w:val="24"/>
        </w:rPr>
      </w:pPr>
      <w:r w:rsidRPr="00C020C2">
        <w:rPr>
          <w:rFonts w:eastAsia="Calibri" w:cs="Calibri"/>
          <w:sz w:val="24"/>
          <w:szCs w:val="24"/>
        </w:rPr>
        <w:t>P</w:t>
      </w:r>
      <w:r w:rsidR="0011467A" w:rsidRPr="00C020C2">
        <w:rPr>
          <w:rFonts w:eastAsia="Calibri" w:cs="Calibri"/>
          <w:sz w:val="24"/>
          <w:szCs w:val="24"/>
        </w:rPr>
        <w:t xml:space="preserve">resentation, discussion, rationalization, and updating of material from responsible groups, addressing WRC-23 agenda items, while </w:t>
      </w:r>
      <w:proofErr w:type="gramStart"/>
      <w:r w:rsidR="0011467A" w:rsidRPr="00C020C2">
        <w:rPr>
          <w:rFonts w:eastAsia="Calibri" w:cs="Calibri"/>
          <w:sz w:val="24"/>
          <w:szCs w:val="24"/>
        </w:rPr>
        <w:t>taking into account</w:t>
      </w:r>
      <w:proofErr w:type="gramEnd"/>
      <w:r w:rsidR="0011467A" w:rsidRPr="00C020C2">
        <w:rPr>
          <w:rFonts w:eastAsia="Calibri" w:cs="Calibri"/>
          <w:sz w:val="24"/>
          <w:szCs w:val="24"/>
        </w:rPr>
        <w:t xml:space="preserve"> contributions </w:t>
      </w:r>
      <w:r w:rsidR="0011467A" w:rsidRPr="00C020C2">
        <w:rPr>
          <w:rFonts w:eastAsia="Calibri" w:cs="Calibri"/>
          <w:sz w:val="24"/>
          <w:szCs w:val="24"/>
        </w:rPr>
        <w:lastRenderedPageBreak/>
        <w:t xml:space="preserve">from ITU Member States and Radiocommunication Sector Members </w:t>
      </w:r>
      <w:r w:rsidR="005755FC" w:rsidRPr="00C020C2">
        <w:rPr>
          <w:rFonts w:eastAsia="Calibri" w:cs="Calibri"/>
          <w:sz w:val="24"/>
          <w:szCs w:val="24"/>
        </w:rPr>
        <w:t xml:space="preserve">relating to </w:t>
      </w:r>
      <w:r w:rsidR="0011467A" w:rsidRPr="00C020C2">
        <w:rPr>
          <w:rFonts w:eastAsia="Calibri" w:cs="Calibri"/>
          <w:sz w:val="24"/>
          <w:szCs w:val="24"/>
        </w:rPr>
        <w:t xml:space="preserve">the regulatory, technical, operational and procedural matters to be considered by the conference. </w:t>
      </w:r>
    </w:p>
    <w:p w14:paraId="1467DC70" w14:textId="7C0FA467" w:rsidR="0011467A" w:rsidRPr="00C020C2" w:rsidRDefault="009D5CAC" w:rsidP="00EE21B1">
      <w:pPr>
        <w:pStyle w:val="ListParagraph"/>
        <w:numPr>
          <w:ilvl w:val="0"/>
          <w:numId w:val="9"/>
        </w:numPr>
        <w:spacing w:after="120"/>
        <w:ind w:left="714" w:hanging="357"/>
        <w:contextualSpacing/>
        <w:jc w:val="both"/>
        <w:rPr>
          <w:rFonts w:eastAsia="Calibri"/>
          <w:sz w:val="24"/>
          <w:szCs w:val="24"/>
        </w:rPr>
      </w:pPr>
      <w:r w:rsidRPr="00C020C2">
        <w:rPr>
          <w:rFonts w:eastAsia="Calibri" w:cs="Calibri"/>
          <w:sz w:val="24"/>
          <w:szCs w:val="24"/>
        </w:rPr>
        <w:t>I</w:t>
      </w:r>
      <w:r w:rsidR="0011467A" w:rsidRPr="00C020C2">
        <w:rPr>
          <w:rFonts w:eastAsia="Calibri" w:cs="Calibri"/>
          <w:sz w:val="24"/>
          <w:szCs w:val="24"/>
        </w:rPr>
        <w:t>nclusion, to the extent practicable, of reconciled differences in approaches as contained in the source material</w:t>
      </w:r>
      <w:r w:rsidR="005755FC" w:rsidRPr="00C020C2">
        <w:rPr>
          <w:rFonts w:eastAsia="Calibri" w:cs="Calibri"/>
          <w:sz w:val="24"/>
          <w:szCs w:val="24"/>
        </w:rPr>
        <w:t xml:space="preserve"> </w:t>
      </w:r>
      <w:r w:rsidR="0011467A" w:rsidRPr="00C020C2">
        <w:rPr>
          <w:rFonts w:eastAsia="Calibri" w:cs="Calibri"/>
          <w:sz w:val="24"/>
          <w:szCs w:val="24"/>
        </w:rPr>
        <w:t>or</w:t>
      </w:r>
      <w:r w:rsidR="005755FC" w:rsidRPr="00C020C2">
        <w:rPr>
          <w:rFonts w:eastAsia="Calibri" w:cs="Calibri"/>
          <w:sz w:val="24"/>
          <w:szCs w:val="24"/>
        </w:rPr>
        <w:t xml:space="preserve"> – </w:t>
      </w:r>
      <w:r w:rsidR="0011467A" w:rsidRPr="00C020C2">
        <w:rPr>
          <w:rFonts w:eastAsia="Calibri" w:cs="Calibri"/>
          <w:sz w:val="24"/>
          <w:szCs w:val="24"/>
        </w:rPr>
        <w:t>in the case where all efforts to reconcile differences have been exhausted</w:t>
      </w:r>
      <w:r w:rsidR="005755FC" w:rsidRPr="00C020C2">
        <w:rPr>
          <w:rFonts w:eastAsia="Calibri" w:cs="Calibri"/>
          <w:sz w:val="24"/>
          <w:szCs w:val="24"/>
        </w:rPr>
        <w:t xml:space="preserve"> – al</w:t>
      </w:r>
      <w:r w:rsidR="0011467A" w:rsidRPr="00C020C2">
        <w:rPr>
          <w:rFonts w:eastAsia="Calibri" w:cs="Calibri"/>
          <w:sz w:val="24"/>
          <w:szCs w:val="24"/>
        </w:rPr>
        <w:t>ternative approaches with justifications were included.</w:t>
      </w:r>
    </w:p>
    <w:p w14:paraId="5CA1D6AC" w14:textId="58684461" w:rsidR="0011467A" w:rsidRPr="00C020C2" w:rsidRDefault="0011467A" w:rsidP="00EE21B1">
      <w:pPr>
        <w:spacing w:after="120"/>
        <w:jc w:val="both"/>
        <w:rPr>
          <w:rFonts w:eastAsia="Calibri"/>
          <w:b/>
          <w:bCs/>
        </w:rPr>
      </w:pPr>
      <w:r w:rsidRPr="00C020C2">
        <w:rPr>
          <w:rFonts w:eastAsia="Calibri"/>
          <w:b/>
          <w:bCs/>
        </w:rPr>
        <w:t>Results of the processing of space notices and other related activities</w:t>
      </w:r>
    </w:p>
    <w:tbl>
      <w:tblPr>
        <w:tblStyle w:val="ListTable3-Accent11"/>
        <w:tblW w:w="0" w:type="auto"/>
        <w:tblLayout w:type="fixed"/>
        <w:tblLook w:val="04A0" w:firstRow="1" w:lastRow="0" w:firstColumn="1" w:lastColumn="0" w:noHBand="0" w:noVBand="1"/>
      </w:tblPr>
      <w:tblGrid>
        <w:gridCol w:w="3960"/>
        <w:gridCol w:w="810"/>
        <w:gridCol w:w="765"/>
        <w:gridCol w:w="945"/>
        <w:gridCol w:w="1080"/>
        <w:gridCol w:w="1395"/>
      </w:tblGrid>
      <w:tr w:rsidR="0011467A" w:rsidRPr="00C020C2" w14:paraId="6B7F78EF" w14:textId="77777777" w:rsidTr="008C4F8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960" w:type="dxa"/>
          </w:tcPr>
          <w:p w14:paraId="47B56D16" w14:textId="77777777" w:rsidR="0011467A" w:rsidRPr="00C020C2" w:rsidRDefault="0011467A" w:rsidP="008A31FD">
            <w:pPr>
              <w:rPr>
                <w:rFonts w:eastAsia="Calibri"/>
                <w:sz w:val="20"/>
                <w:szCs w:val="18"/>
              </w:rPr>
            </w:pPr>
          </w:p>
        </w:tc>
        <w:tc>
          <w:tcPr>
            <w:tcW w:w="810" w:type="dxa"/>
          </w:tcPr>
          <w:p w14:paraId="1626AE5A" w14:textId="77777777" w:rsidR="0011467A" w:rsidRPr="00C020C2" w:rsidRDefault="0011467A" w:rsidP="008A31FD">
            <w:pPr>
              <w:cnfStyle w:val="100000000000" w:firstRow="1" w:lastRow="0" w:firstColumn="0" w:lastColumn="0" w:oddVBand="0" w:evenVBand="0" w:oddHBand="0" w:evenHBand="0" w:firstRowFirstColumn="0" w:firstRowLastColumn="0" w:lastRowFirstColumn="0" w:lastRowLastColumn="0"/>
              <w:rPr>
                <w:rFonts w:eastAsia="Calibri"/>
                <w:sz w:val="20"/>
                <w:szCs w:val="18"/>
              </w:rPr>
            </w:pPr>
            <w:r w:rsidRPr="00C020C2">
              <w:rPr>
                <w:rFonts w:eastAsia="Calibri"/>
                <w:sz w:val="20"/>
                <w:szCs w:val="18"/>
              </w:rPr>
              <w:t>2019</w:t>
            </w:r>
          </w:p>
        </w:tc>
        <w:tc>
          <w:tcPr>
            <w:tcW w:w="765" w:type="dxa"/>
          </w:tcPr>
          <w:p w14:paraId="64FB5F80" w14:textId="77777777" w:rsidR="0011467A" w:rsidRPr="00C020C2" w:rsidRDefault="0011467A" w:rsidP="008A31FD">
            <w:pPr>
              <w:cnfStyle w:val="100000000000" w:firstRow="1" w:lastRow="0" w:firstColumn="0" w:lastColumn="0" w:oddVBand="0" w:evenVBand="0" w:oddHBand="0" w:evenHBand="0" w:firstRowFirstColumn="0" w:firstRowLastColumn="0" w:lastRowFirstColumn="0" w:lastRowLastColumn="0"/>
              <w:rPr>
                <w:rFonts w:eastAsia="Calibri"/>
                <w:sz w:val="20"/>
                <w:szCs w:val="18"/>
              </w:rPr>
            </w:pPr>
            <w:r w:rsidRPr="00C020C2">
              <w:rPr>
                <w:rFonts w:eastAsia="Calibri"/>
                <w:sz w:val="20"/>
                <w:szCs w:val="18"/>
              </w:rPr>
              <w:t>2020</w:t>
            </w:r>
          </w:p>
        </w:tc>
        <w:tc>
          <w:tcPr>
            <w:tcW w:w="945" w:type="dxa"/>
          </w:tcPr>
          <w:p w14:paraId="1A8BA32B" w14:textId="77777777" w:rsidR="0011467A" w:rsidRPr="00C020C2" w:rsidRDefault="0011467A" w:rsidP="008A31FD">
            <w:pPr>
              <w:cnfStyle w:val="100000000000" w:firstRow="1" w:lastRow="0" w:firstColumn="0" w:lastColumn="0" w:oddVBand="0" w:evenVBand="0" w:oddHBand="0" w:evenHBand="0" w:firstRowFirstColumn="0" w:firstRowLastColumn="0" w:lastRowFirstColumn="0" w:lastRowLastColumn="0"/>
              <w:rPr>
                <w:rFonts w:eastAsia="Calibri"/>
                <w:sz w:val="20"/>
                <w:szCs w:val="18"/>
              </w:rPr>
            </w:pPr>
            <w:r w:rsidRPr="00C020C2">
              <w:rPr>
                <w:rFonts w:eastAsia="Calibri"/>
                <w:sz w:val="20"/>
                <w:szCs w:val="18"/>
              </w:rPr>
              <w:t xml:space="preserve">2021 </w:t>
            </w:r>
          </w:p>
        </w:tc>
        <w:tc>
          <w:tcPr>
            <w:tcW w:w="1080" w:type="dxa"/>
          </w:tcPr>
          <w:p w14:paraId="79FF7126" w14:textId="77777777" w:rsidR="0011467A" w:rsidRPr="00C020C2" w:rsidRDefault="0011467A" w:rsidP="008A31FD">
            <w:pPr>
              <w:cnfStyle w:val="100000000000" w:firstRow="1" w:lastRow="0" w:firstColumn="0" w:lastColumn="0" w:oddVBand="0" w:evenVBand="0" w:oddHBand="0" w:evenHBand="0" w:firstRowFirstColumn="0" w:firstRowLastColumn="0" w:lastRowFirstColumn="0" w:lastRowLastColumn="0"/>
              <w:rPr>
                <w:rFonts w:eastAsia="Calibri"/>
                <w:sz w:val="20"/>
                <w:szCs w:val="18"/>
              </w:rPr>
            </w:pPr>
            <w:r w:rsidRPr="00C020C2">
              <w:rPr>
                <w:rFonts w:eastAsia="Calibri"/>
                <w:sz w:val="20"/>
                <w:szCs w:val="18"/>
              </w:rPr>
              <w:t>2022</w:t>
            </w:r>
          </w:p>
        </w:tc>
        <w:tc>
          <w:tcPr>
            <w:tcW w:w="1395" w:type="dxa"/>
          </w:tcPr>
          <w:p w14:paraId="57A4B86A" w14:textId="77777777" w:rsidR="0011467A" w:rsidRPr="00C020C2" w:rsidRDefault="0011467A" w:rsidP="008A31FD">
            <w:pPr>
              <w:cnfStyle w:val="100000000000" w:firstRow="1" w:lastRow="0" w:firstColumn="0" w:lastColumn="0" w:oddVBand="0" w:evenVBand="0" w:oddHBand="0" w:evenHBand="0" w:firstRowFirstColumn="0" w:firstRowLastColumn="0" w:lastRowFirstColumn="0" w:lastRowLastColumn="0"/>
              <w:rPr>
                <w:rFonts w:eastAsia="Calibri"/>
                <w:sz w:val="20"/>
                <w:szCs w:val="18"/>
              </w:rPr>
            </w:pPr>
            <w:r w:rsidRPr="00C020C2">
              <w:rPr>
                <w:rFonts w:eastAsia="Calibri"/>
                <w:sz w:val="20"/>
                <w:szCs w:val="18"/>
              </w:rPr>
              <w:t>Total</w:t>
            </w:r>
          </w:p>
          <w:p w14:paraId="65438CDA" w14:textId="77777777" w:rsidR="0011467A" w:rsidRPr="00C020C2" w:rsidRDefault="0011467A" w:rsidP="008A31FD">
            <w:pPr>
              <w:cnfStyle w:val="100000000000" w:firstRow="1" w:lastRow="0" w:firstColumn="0" w:lastColumn="0" w:oddVBand="0" w:evenVBand="0" w:oddHBand="0" w:evenHBand="0" w:firstRowFirstColumn="0" w:firstRowLastColumn="0" w:lastRowFirstColumn="0" w:lastRowLastColumn="0"/>
              <w:rPr>
                <w:rFonts w:eastAsia="Calibri"/>
                <w:sz w:val="20"/>
                <w:szCs w:val="18"/>
              </w:rPr>
            </w:pPr>
            <w:r w:rsidRPr="00C020C2">
              <w:rPr>
                <w:rFonts w:eastAsia="Calibri"/>
                <w:sz w:val="20"/>
                <w:szCs w:val="18"/>
              </w:rPr>
              <w:t>2019-2022</w:t>
            </w:r>
          </w:p>
        </w:tc>
      </w:tr>
      <w:tr w:rsidR="0011467A" w:rsidRPr="00C020C2" w14:paraId="2F0A116A" w14:textId="77777777" w:rsidTr="008C4F81">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3960" w:type="dxa"/>
          </w:tcPr>
          <w:p w14:paraId="144F5EB0" w14:textId="77777777" w:rsidR="0011467A" w:rsidRPr="00C020C2" w:rsidRDefault="0011467A" w:rsidP="008A31FD">
            <w:pPr>
              <w:rPr>
                <w:rFonts w:eastAsia="Calibri"/>
                <w:b w:val="0"/>
                <w:bCs w:val="0"/>
                <w:sz w:val="20"/>
                <w:szCs w:val="18"/>
              </w:rPr>
            </w:pPr>
            <w:r w:rsidRPr="00C020C2">
              <w:rPr>
                <w:rFonts w:eastAsia="Calibri"/>
                <w:b w:val="0"/>
                <w:bCs w:val="0"/>
                <w:sz w:val="20"/>
                <w:szCs w:val="18"/>
              </w:rPr>
              <w:t xml:space="preserve">Coordination and notification requests </w:t>
            </w:r>
          </w:p>
        </w:tc>
        <w:tc>
          <w:tcPr>
            <w:tcW w:w="810" w:type="dxa"/>
          </w:tcPr>
          <w:p w14:paraId="43F05523"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18"/>
              </w:rPr>
            </w:pPr>
            <w:r w:rsidRPr="00C020C2">
              <w:rPr>
                <w:rFonts w:eastAsia="Calibri"/>
                <w:sz w:val="20"/>
                <w:szCs w:val="18"/>
              </w:rPr>
              <w:t>1 174</w:t>
            </w:r>
          </w:p>
        </w:tc>
        <w:tc>
          <w:tcPr>
            <w:tcW w:w="765" w:type="dxa"/>
          </w:tcPr>
          <w:p w14:paraId="75FEF953"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18"/>
              </w:rPr>
            </w:pPr>
            <w:r w:rsidRPr="00C020C2">
              <w:rPr>
                <w:rFonts w:eastAsia="Calibri"/>
                <w:sz w:val="20"/>
                <w:szCs w:val="18"/>
              </w:rPr>
              <w:t>886</w:t>
            </w:r>
          </w:p>
        </w:tc>
        <w:tc>
          <w:tcPr>
            <w:tcW w:w="945" w:type="dxa"/>
          </w:tcPr>
          <w:p w14:paraId="51AFEEA5"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18"/>
              </w:rPr>
            </w:pPr>
            <w:r w:rsidRPr="00C020C2">
              <w:rPr>
                <w:rFonts w:eastAsia="Calibri"/>
                <w:sz w:val="20"/>
                <w:szCs w:val="18"/>
              </w:rPr>
              <w:t xml:space="preserve">1 141 </w:t>
            </w:r>
          </w:p>
        </w:tc>
        <w:tc>
          <w:tcPr>
            <w:tcW w:w="1080" w:type="dxa"/>
          </w:tcPr>
          <w:p w14:paraId="656315C4"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18"/>
              </w:rPr>
            </w:pPr>
            <w:r w:rsidRPr="00C020C2">
              <w:rPr>
                <w:rFonts w:eastAsia="Calibri"/>
                <w:sz w:val="20"/>
                <w:szCs w:val="18"/>
              </w:rPr>
              <w:t xml:space="preserve"> 1 208</w:t>
            </w:r>
          </w:p>
        </w:tc>
        <w:tc>
          <w:tcPr>
            <w:tcW w:w="1395" w:type="dxa"/>
          </w:tcPr>
          <w:p w14:paraId="2546FAA3"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18"/>
              </w:rPr>
            </w:pPr>
            <w:r w:rsidRPr="00C020C2">
              <w:rPr>
                <w:rFonts w:eastAsia="Calibri"/>
                <w:sz w:val="20"/>
                <w:szCs w:val="18"/>
              </w:rPr>
              <w:t>4 409</w:t>
            </w:r>
          </w:p>
        </w:tc>
      </w:tr>
      <w:tr w:rsidR="0011467A" w:rsidRPr="00C020C2" w14:paraId="3040A766" w14:textId="77777777" w:rsidTr="008C4F81">
        <w:trPr>
          <w:trHeight w:val="699"/>
        </w:trPr>
        <w:tc>
          <w:tcPr>
            <w:cnfStyle w:val="001000000000" w:firstRow="0" w:lastRow="0" w:firstColumn="1" w:lastColumn="0" w:oddVBand="0" w:evenVBand="0" w:oddHBand="0" w:evenHBand="0" w:firstRowFirstColumn="0" w:firstRowLastColumn="0" w:lastRowFirstColumn="0" w:lastRowLastColumn="0"/>
            <w:tcW w:w="3960" w:type="dxa"/>
          </w:tcPr>
          <w:p w14:paraId="304ACCF3" w14:textId="77777777" w:rsidR="0011467A" w:rsidRPr="00C020C2" w:rsidRDefault="0011467A" w:rsidP="008A31FD">
            <w:pPr>
              <w:rPr>
                <w:rFonts w:eastAsia="Calibri"/>
                <w:b w:val="0"/>
                <w:bCs w:val="0"/>
                <w:sz w:val="20"/>
                <w:szCs w:val="18"/>
              </w:rPr>
            </w:pPr>
            <w:r w:rsidRPr="00C020C2">
              <w:rPr>
                <w:rFonts w:eastAsia="Calibri"/>
                <w:b w:val="0"/>
                <w:bCs w:val="0"/>
                <w:sz w:val="20"/>
                <w:szCs w:val="18"/>
              </w:rPr>
              <w:t xml:space="preserve">Requests for broadcasting-satellite and associated feeder links Plans </w:t>
            </w:r>
          </w:p>
        </w:tc>
        <w:tc>
          <w:tcPr>
            <w:tcW w:w="810" w:type="dxa"/>
          </w:tcPr>
          <w:p w14:paraId="40A55E05"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18"/>
              </w:rPr>
            </w:pPr>
            <w:r w:rsidRPr="00C020C2">
              <w:rPr>
                <w:rFonts w:eastAsia="Calibri"/>
                <w:sz w:val="20"/>
                <w:szCs w:val="18"/>
              </w:rPr>
              <w:t>73</w:t>
            </w:r>
          </w:p>
        </w:tc>
        <w:tc>
          <w:tcPr>
            <w:tcW w:w="765" w:type="dxa"/>
          </w:tcPr>
          <w:p w14:paraId="2314B432"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18"/>
              </w:rPr>
            </w:pPr>
            <w:r w:rsidRPr="00C020C2">
              <w:rPr>
                <w:rFonts w:eastAsia="Calibri"/>
                <w:sz w:val="20"/>
                <w:szCs w:val="18"/>
              </w:rPr>
              <w:t>186*</w:t>
            </w:r>
          </w:p>
        </w:tc>
        <w:tc>
          <w:tcPr>
            <w:tcW w:w="945" w:type="dxa"/>
          </w:tcPr>
          <w:p w14:paraId="6C51957D"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18"/>
              </w:rPr>
            </w:pPr>
            <w:r w:rsidRPr="00C020C2">
              <w:rPr>
                <w:rFonts w:eastAsia="Calibri"/>
                <w:sz w:val="20"/>
                <w:szCs w:val="18"/>
              </w:rPr>
              <w:t xml:space="preserve"> 69</w:t>
            </w:r>
          </w:p>
        </w:tc>
        <w:tc>
          <w:tcPr>
            <w:tcW w:w="1080" w:type="dxa"/>
          </w:tcPr>
          <w:p w14:paraId="10E0C683"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18"/>
              </w:rPr>
            </w:pPr>
            <w:r w:rsidRPr="00C020C2">
              <w:rPr>
                <w:rFonts w:eastAsia="Calibri"/>
                <w:sz w:val="20"/>
                <w:szCs w:val="18"/>
              </w:rPr>
              <w:t xml:space="preserve"> 65</w:t>
            </w:r>
          </w:p>
        </w:tc>
        <w:tc>
          <w:tcPr>
            <w:tcW w:w="1395" w:type="dxa"/>
          </w:tcPr>
          <w:p w14:paraId="1A2C4ADC"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18"/>
              </w:rPr>
            </w:pPr>
            <w:r w:rsidRPr="00C020C2">
              <w:rPr>
                <w:rFonts w:eastAsia="Calibri"/>
                <w:sz w:val="20"/>
                <w:szCs w:val="18"/>
              </w:rPr>
              <w:t>393</w:t>
            </w:r>
          </w:p>
        </w:tc>
      </w:tr>
      <w:tr w:rsidR="0011467A" w:rsidRPr="00C020C2" w14:paraId="03D5714F" w14:textId="77777777" w:rsidTr="008C4F81">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960" w:type="dxa"/>
          </w:tcPr>
          <w:p w14:paraId="3B62C6DA" w14:textId="77777777" w:rsidR="0011467A" w:rsidRPr="00C020C2" w:rsidRDefault="0011467A" w:rsidP="008A31FD">
            <w:pPr>
              <w:rPr>
                <w:rFonts w:eastAsia="Calibri"/>
                <w:b w:val="0"/>
                <w:bCs w:val="0"/>
                <w:sz w:val="20"/>
                <w:szCs w:val="18"/>
              </w:rPr>
            </w:pPr>
            <w:r w:rsidRPr="00C020C2">
              <w:rPr>
                <w:rFonts w:eastAsia="Calibri"/>
                <w:b w:val="0"/>
                <w:bCs w:val="0"/>
                <w:sz w:val="20"/>
                <w:szCs w:val="18"/>
              </w:rPr>
              <w:t xml:space="preserve">Requests for fixed-satellite service Plan </w:t>
            </w:r>
          </w:p>
        </w:tc>
        <w:tc>
          <w:tcPr>
            <w:tcW w:w="810" w:type="dxa"/>
          </w:tcPr>
          <w:p w14:paraId="57736805"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18"/>
              </w:rPr>
            </w:pPr>
            <w:r w:rsidRPr="00C020C2">
              <w:rPr>
                <w:rFonts w:eastAsia="Calibri"/>
                <w:sz w:val="20"/>
                <w:szCs w:val="18"/>
              </w:rPr>
              <w:t>51</w:t>
            </w:r>
          </w:p>
        </w:tc>
        <w:tc>
          <w:tcPr>
            <w:tcW w:w="765" w:type="dxa"/>
          </w:tcPr>
          <w:p w14:paraId="016A64F5"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18"/>
              </w:rPr>
            </w:pPr>
            <w:r w:rsidRPr="00C020C2">
              <w:rPr>
                <w:rFonts w:eastAsia="Calibri"/>
                <w:sz w:val="20"/>
                <w:szCs w:val="18"/>
              </w:rPr>
              <w:t>27**</w:t>
            </w:r>
          </w:p>
        </w:tc>
        <w:tc>
          <w:tcPr>
            <w:tcW w:w="945" w:type="dxa"/>
          </w:tcPr>
          <w:p w14:paraId="69AFB603"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18"/>
              </w:rPr>
            </w:pPr>
            <w:r w:rsidRPr="00C020C2">
              <w:rPr>
                <w:rFonts w:eastAsia="Calibri"/>
                <w:sz w:val="20"/>
                <w:szCs w:val="18"/>
              </w:rPr>
              <w:t xml:space="preserve"> 71</w:t>
            </w:r>
          </w:p>
        </w:tc>
        <w:tc>
          <w:tcPr>
            <w:tcW w:w="1080" w:type="dxa"/>
          </w:tcPr>
          <w:p w14:paraId="14E674F9"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18"/>
              </w:rPr>
            </w:pPr>
            <w:r w:rsidRPr="00C020C2">
              <w:rPr>
                <w:rFonts w:eastAsia="Calibri"/>
                <w:sz w:val="20"/>
                <w:szCs w:val="18"/>
              </w:rPr>
              <w:t xml:space="preserve"> 77</w:t>
            </w:r>
          </w:p>
        </w:tc>
        <w:tc>
          <w:tcPr>
            <w:tcW w:w="1395" w:type="dxa"/>
          </w:tcPr>
          <w:p w14:paraId="68223844"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18"/>
              </w:rPr>
            </w:pPr>
            <w:r w:rsidRPr="00C020C2">
              <w:rPr>
                <w:rFonts w:eastAsia="Calibri"/>
                <w:sz w:val="20"/>
                <w:szCs w:val="18"/>
              </w:rPr>
              <w:t>226</w:t>
            </w:r>
          </w:p>
        </w:tc>
      </w:tr>
    </w:tbl>
    <w:p w14:paraId="2E6886B1" w14:textId="7F22ECB0" w:rsidR="0011467A" w:rsidRPr="00C020C2" w:rsidRDefault="0011467A" w:rsidP="00EE21B1">
      <w:pPr>
        <w:contextualSpacing/>
        <w:jc w:val="both"/>
        <w:rPr>
          <w:rFonts w:eastAsia="Calibri"/>
          <w:sz w:val="20"/>
        </w:rPr>
      </w:pPr>
      <w:r w:rsidRPr="00C020C2">
        <w:rPr>
          <w:rFonts w:eastAsia="Calibri"/>
          <w:sz w:val="20"/>
        </w:rPr>
        <w:t xml:space="preserve">* </w:t>
      </w:r>
      <w:r w:rsidR="00876E62" w:rsidRPr="00C020C2">
        <w:rPr>
          <w:rFonts w:eastAsia="Calibri"/>
          <w:sz w:val="20"/>
        </w:rPr>
        <w:t xml:space="preserve">Including </w:t>
      </w:r>
      <w:r w:rsidRPr="00C020C2">
        <w:rPr>
          <w:rFonts w:eastAsia="Calibri"/>
          <w:sz w:val="20"/>
        </w:rPr>
        <w:t>90 requests pursuant to Resolution 559 (WRC-19)</w:t>
      </w:r>
      <w:r w:rsidR="00876E62" w:rsidRPr="00C020C2">
        <w:rPr>
          <w:rFonts w:eastAsia="Calibri"/>
          <w:sz w:val="20"/>
        </w:rPr>
        <w:t>.</w:t>
      </w:r>
    </w:p>
    <w:p w14:paraId="649F7842" w14:textId="1234BB24" w:rsidR="0011467A" w:rsidRPr="00C020C2" w:rsidRDefault="0011467A" w:rsidP="00EE21B1">
      <w:pPr>
        <w:contextualSpacing/>
        <w:jc w:val="both"/>
        <w:rPr>
          <w:rFonts w:eastAsia="Calibri"/>
          <w:sz w:val="20"/>
        </w:rPr>
      </w:pPr>
      <w:r w:rsidRPr="00C020C2">
        <w:rPr>
          <w:rFonts w:eastAsia="Calibri"/>
          <w:sz w:val="20"/>
        </w:rPr>
        <w:t xml:space="preserve">** Following receipt of submissions under Article 7 of Appendix 30B, the processing of other submissions has been postponed in application of </w:t>
      </w:r>
      <w:r w:rsidRPr="00C020C2">
        <w:rPr>
          <w:rFonts w:ascii="Times New Roman" w:hAnsi="Times New Roman"/>
          <w:sz w:val="20"/>
        </w:rPr>
        <w:t>§</w:t>
      </w:r>
      <w:r w:rsidRPr="00C020C2">
        <w:rPr>
          <w:rFonts w:eastAsia="Calibri"/>
          <w:sz w:val="20"/>
        </w:rPr>
        <w:t xml:space="preserve"> 7.3 of this Article.</w:t>
      </w:r>
    </w:p>
    <w:p w14:paraId="1A74A021" w14:textId="6DDA81CC" w:rsidR="0011467A" w:rsidRPr="00C020C2" w:rsidRDefault="0011467A" w:rsidP="002A7955">
      <w:pPr>
        <w:spacing w:after="120"/>
        <w:jc w:val="both"/>
        <w:rPr>
          <w:rFonts w:eastAsia="Calibri"/>
          <w:b/>
          <w:bCs/>
        </w:rPr>
      </w:pPr>
      <w:r w:rsidRPr="00C020C2">
        <w:rPr>
          <w:rFonts w:eastAsia="Calibri"/>
          <w:b/>
          <w:bCs/>
        </w:rPr>
        <w:t xml:space="preserve">Terrestrial notices </w:t>
      </w:r>
    </w:p>
    <w:tbl>
      <w:tblPr>
        <w:tblStyle w:val="ListTable3-Accent11"/>
        <w:tblW w:w="0" w:type="auto"/>
        <w:tblLayout w:type="fixed"/>
        <w:tblLook w:val="04A0" w:firstRow="1" w:lastRow="0" w:firstColumn="1" w:lastColumn="0" w:noHBand="0" w:noVBand="1"/>
      </w:tblPr>
      <w:tblGrid>
        <w:gridCol w:w="3225"/>
        <w:gridCol w:w="1110"/>
        <w:gridCol w:w="1035"/>
        <w:gridCol w:w="990"/>
        <w:gridCol w:w="1125"/>
        <w:gridCol w:w="1425"/>
      </w:tblGrid>
      <w:tr w:rsidR="0011467A" w:rsidRPr="00C020C2" w14:paraId="5B179D41" w14:textId="77777777" w:rsidTr="008C4F8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225" w:type="dxa"/>
          </w:tcPr>
          <w:p w14:paraId="072FE024" w14:textId="77777777" w:rsidR="0011467A" w:rsidRPr="00C020C2" w:rsidRDefault="0011467A" w:rsidP="008A31FD">
            <w:pPr>
              <w:rPr>
                <w:rFonts w:eastAsia="Calibri"/>
                <w:sz w:val="20"/>
                <w:szCs w:val="20"/>
              </w:rPr>
            </w:pPr>
            <w:r w:rsidRPr="00C020C2">
              <w:rPr>
                <w:rFonts w:eastAsia="Calibri"/>
                <w:sz w:val="20"/>
                <w:szCs w:val="20"/>
              </w:rPr>
              <w:t xml:space="preserve"> </w:t>
            </w:r>
          </w:p>
        </w:tc>
        <w:tc>
          <w:tcPr>
            <w:tcW w:w="1110" w:type="dxa"/>
          </w:tcPr>
          <w:p w14:paraId="52B689DD" w14:textId="77777777" w:rsidR="0011467A" w:rsidRPr="00C020C2" w:rsidRDefault="0011467A" w:rsidP="008A31FD">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 xml:space="preserve">2019 </w:t>
            </w:r>
          </w:p>
        </w:tc>
        <w:tc>
          <w:tcPr>
            <w:tcW w:w="1035" w:type="dxa"/>
          </w:tcPr>
          <w:p w14:paraId="3FD3B362" w14:textId="77777777" w:rsidR="0011467A" w:rsidRPr="00C020C2" w:rsidRDefault="0011467A" w:rsidP="008A31FD">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 xml:space="preserve">2020 </w:t>
            </w:r>
          </w:p>
        </w:tc>
        <w:tc>
          <w:tcPr>
            <w:tcW w:w="990" w:type="dxa"/>
          </w:tcPr>
          <w:p w14:paraId="3795971C" w14:textId="77777777" w:rsidR="0011467A" w:rsidRPr="00C020C2" w:rsidRDefault="0011467A" w:rsidP="008A31FD">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2021</w:t>
            </w:r>
          </w:p>
        </w:tc>
        <w:tc>
          <w:tcPr>
            <w:tcW w:w="1125" w:type="dxa"/>
          </w:tcPr>
          <w:p w14:paraId="00D2E538" w14:textId="77777777" w:rsidR="0011467A" w:rsidRPr="00C020C2" w:rsidRDefault="0011467A" w:rsidP="008A31FD">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2022</w:t>
            </w:r>
          </w:p>
        </w:tc>
        <w:tc>
          <w:tcPr>
            <w:tcW w:w="1425" w:type="dxa"/>
          </w:tcPr>
          <w:p w14:paraId="35B032DE" w14:textId="77777777" w:rsidR="0011467A" w:rsidRPr="00C020C2" w:rsidRDefault="0011467A" w:rsidP="008A31FD">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Total</w:t>
            </w:r>
          </w:p>
          <w:p w14:paraId="439C37DB" w14:textId="77777777" w:rsidR="0011467A" w:rsidRPr="00C020C2" w:rsidRDefault="0011467A" w:rsidP="008A31FD">
            <w:pPr>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 xml:space="preserve">2019 – 2022 </w:t>
            </w:r>
          </w:p>
        </w:tc>
      </w:tr>
      <w:tr w:rsidR="0011467A" w:rsidRPr="00C020C2" w14:paraId="51084F0B" w14:textId="77777777" w:rsidTr="008C4F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5" w:type="dxa"/>
          </w:tcPr>
          <w:p w14:paraId="33F8B881" w14:textId="77777777" w:rsidR="0011467A" w:rsidRPr="00C020C2" w:rsidRDefault="0011467A" w:rsidP="008A31FD">
            <w:pPr>
              <w:rPr>
                <w:rFonts w:eastAsia="Calibri"/>
                <w:b w:val="0"/>
                <w:bCs w:val="0"/>
                <w:sz w:val="20"/>
                <w:szCs w:val="20"/>
              </w:rPr>
            </w:pPr>
            <w:r w:rsidRPr="00C020C2">
              <w:rPr>
                <w:rFonts w:eastAsia="Calibri"/>
                <w:b w:val="0"/>
                <w:bCs w:val="0"/>
                <w:sz w:val="20"/>
                <w:szCs w:val="20"/>
              </w:rPr>
              <w:t xml:space="preserve">Notices recorded in the MIFR/Plans </w:t>
            </w:r>
          </w:p>
        </w:tc>
        <w:tc>
          <w:tcPr>
            <w:tcW w:w="1110" w:type="dxa"/>
          </w:tcPr>
          <w:p w14:paraId="67CB0A4C"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 xml:space="preserve">81 602/ 3 690 </w:t>
            </w:r>
          </w:p>
        </w:tc>
        <w:tc>
          <w:tcPr>
            <w:tcW w:w="1035" w:type="dxa"/>
          </w:tcPr>
          <w:p w14:paraId="7356F2DA"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 xml:space="preserve">252 555/5 355 </w:t>
            </w:r>
          </w:p>
        </w:tc>
        <w:tc>
          <w:tcPr>
            <w:tcW w:w="990" w:type="dxa"/>
          </w:tcPr>
          <w:p w14:paraId="69AF8EF4"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83 592</w:t>
            </w:r>
            <w:proofErr w:type="gramStart"/>
            <w:r w:rsidRPr="00C020C2">
              <w:rPr>
                <w:rFonts w:eastAsia="Calibri"/>
                <w:sz w:val="20"/>
                <w:szCs w:val="20"/>
              </w:rPr>
              <w:t>/  3</w:t>
            </w:r>
            <w:proofErr w:type="gramEnd"/>
            <w:r w:rsidRPr="00C020C2">
              <w:rPr>
                <w:rFonts w:eastAsia="Calibri"/>
                <w:sz w:val="20"/>
                <w:szCs w:val="20"/>
              </w:rPr>
              <w:t xml:space="preserve"> 824</w:t>
            </w:r>
          </w:p>
        </w:tc>
        <w:tc>
          <w:tcPr>
            <w:tcW w:w="1125" w:type="dxa"/>
          </w:tcPr>
          <w:p w14:paraId="0F0C06ED"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63 893/</w:t>
            </w:r>
          </w:p>
        </w:tc>
        <w:tc>
          <w:tcPr>
            <w:tcW w:w="1425" w:type="dxa"/>
          </w:tcPr>
          <w:p w14:paraId="5B72753B"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 xml:space="preserve">481 462/ </w:t>
            </w:r>
          </w:p>
        </w:tc>
      </w:tr>
      <w:tr w:rsidR="0011467A" w:rsidRPr="00C020C2" w14:paraId="5353211A" w14:textId="77777777" w:rsidTr="008C4F81">
        <w:trPr>
          <w:trHeight w:val="300"/>
        </w:trPr>
        <w:tc>
          <w:tcPr>
            <w:cnfStyle w:val="001000000000" w:firstRow="0" w:lastRow="0" w:firstColumn="1" w:lastColumn="0" w:oddVBand="0" w:evenVBand="0" w:oddHBand="0" w:evenHBand="0" w:firstRowFirstColumn="0" w:firstRowLastColumn="0" w:lastRowFirstColumn="0" w:lastRowLastColumn="0"/>
            <w:tcW w:w="3225" w:type="dxa"/>
          </w:tcPr>
          <w:p w14:paraId="46CD4771" w14:textId="77777777" w:rsidR="0011467A" w:rsidRPr="00C020C2" w:rsidRDefault="0011467A" w:rsidP="008A31FD">
            <w:pPr>
              <w:rPr>
                <w:rFonts w:eastAsia="Calibri"/>
                <w:b w:val="0"/>
                <w:bCs w:val="0"/>
                <w:sz w:val="20"/>
                <w:szCs w:val="20"/>
              </w:rPr>
            </w:pPr>
            <w:r w:rsidRPr="00C020C2">
              <w:rPr>
                <w:rFonts w:eastAsia="Calibri"/>
                <w:b w:val="0"/>
                <w:bCs w:val="0"/>
                <w:sz w:val="20"/>
                <w:szCs w:val="20"/>
              </w:rPr>
              <w:t xml:space="preserve">Review of findings for terrestrial stations recorded in the MIFR </w:t>
            </w:r>
          </w:p>
        </w:tc>
        <w:tc>
          <w:tcPr>
            <w:tcW w:w="1110" w:type="dxa"/>
          </w:tcPr>
          <w:p w14:paraId="4C3A89D9"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 xml:space="preserve">164 </w:t>
            </w:r>
          </w:p>
        </w:tc>
        <w:tc>
          <w:tcPr>
            <w:tcW w:w="1035" w:type="dxa"/>
          </w:tcPr>
          <w:p w14:paraId="7CC734D4"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5 221</w:t>
            </w:r>
          </w:p>
        </w:tc>
        <w:tc>
          <w:tcPr>
            <w:tcW w:w="990" w:type="dxa"/>
          </w:tcPr>
          <w:p w14:paraId="0142918B"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51 468</w:t>
            </w:r>
          </w:p>
          <w:p w14:paraId="71D643F4"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 xml:space="preserve"> </w:t>
            </w:r>
          </w:p>
        </w:tc>
        <w:tc>
          <w:tcPr>
            <w:tcW w:w="1125" w:type="dxa"/>
          </w:tcPr>
          <w:p w14:paraId="43F9EC44"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 xml:space="preserve"> </w:t>
            </w:r>
          </w:p>
        </w:tc>
        <w:tc>
          <w:tcPr>
            <w:tcW w:w="1425" w:type="dxa"/>
          </w:tcPr>
          <w:p w14:paraId="65E9BF0C"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57 097</w:t>
            </w:r>
          </w:p>
        </w:tc>
      </w:tr>
      <w:tr w:rsidR="0011467A" w:rsidRPr="00C020C2" w14:paraId="792BF9D6" w14:textId="77777777" w:rsidTr="008C4F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5" w:type="dxa"/>
          </w:tcPr>
          <w:p w14:paraId="3729B1F2" w14:textId="77777777" w:rsidR="0011467A" w:rsidRPr="00C020C2" w:rsidRDefault="0011467A" w:rsidP="008A31FD">
            <w:pPr>
              <w:rPr>
                <w:rFonts w:eastAsia="Calibri"/>
                <w:b w:val="0"/>
                <w:bCs w:val="0"/>
                <w:sz w:val="20"/>
                <w:szCs w:val="20"/>
              </w:rPr>
            </w:pPr>
            <w:r w:rsidRPr="00C020C2">
              <w:rPr>
                <w:rFonts w:eastAsia="Calibri"/>
                <w:b w:val="0"/>
                <w:bCs w:val="0"/>
                <w:sz w:val="20"/>
                <w:szCs w:val="20"/>
              </w:rPr>
              <w:t xml:space="preserve">Notifications of coast and ship stations for recording in the ITU maritime database </w:t>
            </w:r>
          </w:p>
        </w:tc>
        <w:tc>
          <w:tcPr>
            <w:tcW w:w="1110" w:type="dxa"/>
          </w:tcPr>
          <w:p w14:paraId="559C600A"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 xml:space="preserve">1982 </w:t>
            </w:r>
          </w:p>
        </w:tc>
        <w:tc>
          <w:tcPr>
            <w:tcW w:w="1035" w:type="dxa"/>
          </w:tcPr>
          <w:p w14:paraId="6B1D3247"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1 865</w:t>
            </w:r>
          </w:p>
        </w:tc>
        <w:tc>
          <w:tcPr>
            <w:tcW w:w="990" w:type="dxa"/>
          </w:tcPr>
          <w:p w14:paraId="5A1EB50B"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1918</w:t>
            </w:r>
          </w:p>
        </w:tc>
        <w:tc>
          <w:tcPr>
            <w:tcW w:w="1125" w:type="dxa"/>
          </w:tcPr>
          <w:p w14:paraId="67144C86"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 xml:space="preserve"> </w:t>
            </w:r>
          </w:p>
        </w:tc>
        <w:tc>
          <w:tcPr>
            <w:tcW w:w="1425" w:type="dxa"/>
          </w:tcPr>
          <w:p w14:paraId="10C88F3E"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8 179</w:t>
            </w:r>
          </w:p>
        </w:tc>
      </w:tr>
      <w:tr w:rsidR="0011467A" w:rsidRPr="00C020C2" w14:paraId="7323A767" w14:textId="77777777" w:rsidTr="008C4F81">
        <w:trPr>
          <w:trHeight w:val="300"/>
        </w:trPr>
        <w:tc>
          <w:tcPr>
            <w:cnfStyle w:val="001000000000" w:firstRow="0" w:lastRow="0" w:firstColumn="1" w:lastColumn="0" w:oddVBand="0" w:evenVBand="0" w:oddHBand="0" w:evenHBand="0" w:firstRowFirstColumn="0" w:firstRowLastColumn="0" w:lastRowFirstColumn="0" w:lastRowLastColumn="0"/>
            <w:tcW w:w="3225" w:type="dxa"/>
          </w:tcPr>
          <w:p w14:paraId="271C8F6A" w14:textId="77777777" w:rsidR="0011467A" w:rsidRPr="00C020C2" w:rsidRDefault="0011467A" w:rsidP="008A31FD">
            <w:pPr>
              <w:rPr>
                <w:rFonts w:eastAsia="Calibri"/>
                <w:b w:val="0"/>
                <w:bCs w:val="0"/>
                <w:sz w:val="20"/>
                <w:szCs w:val="20"/>
              </w:rPr>
            </w:pPr>
            <w:r w:rsidRPr="00C020C2">
              <w:rPr>
                <w:rFonts w:eastAsia="Calibri"/>
                <w:b w:val="0"/>
                <w:bCs w:val="0"/>
                <w:sz w:val="20"/>
                <w:szCs w:val="20"/>
              </w:rPr>
              <w:t xml:space="preserve">High-frequency broadcasting requirements </w:t>
            </w:r>
          </w:p>
        </w:tc>
        <w:tc>
          <w:tcPr>
            <w:tcW w:w="1110" w:type="dxa"/>
          </w:tcPr>
          <w:p w14:paraId="0DB694FA"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 xml:space="preserve">34 344 </w:t>
            </w:r>
          </w:p>
        </w:tc>
        <w:tc>
          <w:tcPr>
            <w:tcW w:w="1035" w:type="dxa"/>
          </w:tcPr>
          <w:p w14:paraId="307DE887"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 xml:space="preserve"> 31 738</w:t>
            </w:r>
          </w:p>
        </w:tc>
        <w:tc>
          <w:tcPr>
            <w:tcW w:w="990" w:type="dxa"/>
          </w:tcPr>
          <w:p w14:paraId="694E553D"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20 806</w:t>
            </w:r>
          </w:p>
        </w:tc>
        <w:tc>
          <w:tcPr>
            <w:tcW w:w="1125" w:type="dxa"/>
          </w:tcPr>
          <w:p w14:paraId="7D28E8F6"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11 311</w:t>
            </w:r>
          </w:p>
        </w:tc>
        <w:tc>
          <w:tcPr>
            <w:tcW w:w="1425" w:type="dxa"/>
          </w:tcPr>
          <w:p w14:paraId="257E2379"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98 199</w:t>
            </w:r>
          </w:p>
        </w:tc>
      </w:tr>
      <w:tr w:rsidR="0011467A" w:rsidRPr="00C020C2" w14:paraId="4ECFDCE5" w14:textId="77777777" w:rsidTr="008C4F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25" w:type="dxa"/>
          </w:tcPr>
          <w:p w14:paraId="39DA2171" w14:textId="77777777" w:rsidR="0011467A" w:rsidRPr="00C020C2" w:rsidRDefault="0011467A" w:rsidP="008A31FD">
            <w:pPr>
              <w:rPr>
                <w:rFonts w:eastAsia="Calibri"/>
                <w:b w:val="0"/>
                <w:bCs w:val="0"/>
                <w:sz w:val="20"/>
                <w:szCs w:val="20"/>
              </w:rPr>
            </w:pPr>
            <w:r w:rsidRPr="00C020C2">
              <w:rPr>
                <w:rFonts w:eastAsia="Calibri"/>
                <w:b w:val="0"/>
                <w:bCs w:val="0"/>
                <w:sz w:val="20"/>
                <w:szCs w:val="20"/>
              </w:rPr>
              <w:t xml:space="preserve">Monitoring observations concerning the monitoring programme at 2 850-28 000 kHz/ and 406-406.1 MHz </w:t>
            </w:r>
          </w:p>
        </w:tc>
        <w:tc>
          <w:tcPr>
            <w:tcW w:w="1110" w:type="dxa"/>
          </w:tcPr>
          <w:p w14:paraId="0041ABD2"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30 825/</w:t>
            </w:r>
          </w:p>
          <w:p w14:paraId="72693A81"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 xml:space="preserve">253 </w:t>
            </w:r>
          </w:p>
        </w:tc>
        <w:tc>
          <w:tcPr>
            <w:tcW w:w="1035" w:type="dxa"/>
          </w:tcPr>
          <w:p w14:paraId="49F64EF1"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 xml:space="preserve">25 642/ 174 </w:t>
            </w:r>
          </w:p>
        </w:tc>
        <w:tc>
          <w:tcPr>
            <w:tcW w:w="990" w:type="dxa"/>
          </w:tcPr>
          <w:p w14:paraId="093F40F5"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17 513/</w:t>
            </w:r>
            <w:r w:rsidRPr="00C020C2">
              <w:rPr>
                <w:sz w:val="20"/>
                <w:szCs w:val="20"/>
              </w:rPr>
              <w:br/>
            </w:r>
            <w:r w:rsidRPr="00C020C2">
              <w:rPr>
                <w:rFonts w:eastAsia="Calibri"/>
                <w:sz w:val="20"/>
                <w:szCs w:val="20"/>
              </w:rPr>
              <w:t xml:space="preserve"> 136</w:t>
            </w:r>
          </w:p>
        </w:tc>
        <w:tc>
          <w:tcPr>
            <w:tcW w:w="1125" w:type="dxa"/>
          </w:tcPr>
          <w:p w14:paraId="5AAB9C77"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25 530/ 407</w:t>
            </w:r>
          </w:p>
        </w:tc>
        <w:tc>
          <w:tcPr>
            <w:tcW w:w="1425" w:type="dxa"/>
          </w:tcPr>
          <w:p w14:paraId="049E7A8B" w14:textId="77777777" w:rsidR="0011467A" w:rsidRPr="00C020C2" w:rsidRDefault="0011467A" w:rsidP="008A31FD">
            <w:pP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C020C2">
              <w:rPr>
                <w:rFonts w:eastAsia="Calibri"/>
                <w:sz w:val="20"/>
                <w:szCs w:val="20"/>
              </w:rPr>
              <w:t>99 510/ 970</w:t>
            </w:r>
          </w:p>
        </w:tc>
      </w:tr>
      <w:tr w:rsidR="0011467A" w:rsidRPr="00C020C2" w14:paraId="45708E09" w14:textId="77777777" w:rsidTr="008C4F81">
        <w:trPr>
          <w:trHeight w:val="315"/>
        </w:trPr>
        <w:tc>
          <w:tcPr>
            <w:cnfStyle w:val="001000000000" w:firstRow="0" w:lastRow="0" w:firstColumn="1" w:lastColumn="0" w:oddVBand="0" w:evenVBand="0" w:oddHBand="0" w:evenHBand="0" w:firstRowFirstColumn="0" w:firstRowLastColumn="0" w:lastRowFirstColumn="0" w:lastRowLastColumn="0"/>
            <w:tcW w:w="3225" w:type="dxa"/>
          </w:tcPr>
          <w:p w14:paraId="175A1217" w14:textId="77777777" w:rsidR="0011467A" w:rsidRPr="00C020C2" w:rsidRDefault="0011467A" w:rsidP="008A31FD">
            <w:pPr>
              <w:rPr>
                <w:rFonts w:eastAsia="Calibri"/>
                <w:b w:val="0"/>
                <w:bCs w:val="0"/>
                <w:sz w:val="20"/>
                <w:szCs w:val="20"/>
              </w:rPr>
            </w:pPr>
            <w:r w:rsidRPr="00C020C2">
              <w:rPr>
                <w:rFonts w:eastAsia="Calibri"/>
                <w:b w:val="0"/>
                <w:bCs w:val="0"/>
                <w:sz w:val="20"/>
                <w:szCs w:val="20"/>
              </w:rPr>
              <w:t xml:space="preserve">Reports of harmful interference </w:t>
            </w:r>
          </w:p>
        </w:tc>
        <w:tc>
          <w:tcPr>
            <w:tcW w:w="1110" w:type="dxa"/>
          </w:tcPr>
          <w:p w14:paraId="7574A81C"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 xml:space="preserve">1 088 </w:t>
            </w:r>
          </w:p>
        </w:tc>
        <w:tc>
          <w:tcPr>
            <w:tcW w:w="1035" w:type="dxa"/>
          </w:tcPr>
          <w:p w14:paraId="17623D60"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 xml:space="preserve"> 1 165</w:t>
            </w:r>
          </w:p>
        </w:tc>
        <w:tc>
          <w:tcPr>
            <w:tcW w:w="990" w:type="dxa"/>
          </w:tcPr>
          <w:p w14:paraId="2ED94173"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1 166</w:t>
            </w:r>
          </w:p>
        </w:tc>
        <w:tc>
          <w:tcPr>
            <w:tcW w:w="1125" w:type="dxa"/>
          </w:tcPr>
          <w:p w14:paraId="5FB0ADBF"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1 007</w:t>
            </w:r>
          </w:p>
        </w:tc>
        <w:tc>
          <w:tcPr>
            <w:tcW w:w="1425" w:type="dxa"/>
          </w:tcPr>
          <w:p w14:paraId="1806517B" w14:textId="77777777" w:rsidR="0011467A" w:rsidRPr="00C020C2" w:rsidRDefault="0011467A" w:rsidP="008A31FD">
            <w:pP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C020C2">
              <w:rPr>
                <w:rFonts w:eastAsia="Calibri"/>
                <w:sz w:val="20"/>
                <w:szCs w:val="20"/>
              </w:rPr>
              <w:t>4 426</w:t>
            </w:r>
          </w:p>
        </w:tc>
      </w:tr>
    </w:tbl>
    <w:p w14:paraId="5A8A5C5C" w14:textId="649F0187" w:rsidR="0011467A" w:rsidRPr="00C020C2" w:rsidRDefault="0011467A" w:rsidP="002A7955">
      <w:pPr>
        <w:spacing w:after="120"/>
        <w:jc w:val="both"/>
        <w:rPr>
          <w:rFonts w:eastAsia="Calibri"/>
          <w:b/>
          <w:bCs/>
        </w:rPr>
      </w:pPr>
      <w:r w:rsidRPr="00C020C2">
        <w:rPr>
          <w:rFonts w:eastAsia="Calibri"/>
          <w:b/>
          <w:bCs/>
        </w:rPr>
        <w:t>Improvement of ITU-R software</w:t>
      </w:r>
    </w:p>
    <w:p w14:paraId="4892AE5D" w14:textId="69CF7B5B" w:rsidR="0011467A" w:rsidRPr="00C020C2" w:rsidRDefault="0011467A" w:rsidP="00EE21B1">
      <w:pPr>
        <w:contextualSpacing/>
        <w:jc w:val="both"/>
        <w:rPr>
          <w:rFonts w:eastAsia="Calibri"/>
        </w:rPr>
      </w:pPr>
      <w:r w:rsidRPr="00C020C2">
        <w:rPr>
          <w:rFonts w:eastAsia="Calibri"/>
        </w:rPr>
        <w:t>The Radiocommunication Bureau (BR) continues to produce software applications and databases to best facilitate the use of ITU-R outputs by ITU membership. In 2022, BR continued to update the software that enables users to query and analyse the Table of Frequency Allocations (TFA) in Article 5 of the Radio Regulation, as well as other texts including WRC resolutions, referenced ITU-R Recommendations and rules of procedure. This application extracts regional and country-specific regulations for the presentation of regional or national tables of frequency allocations.</w:t>
      </w:r>
    </w:p>
    <w:p w14:paraId="3E3810EF" w14:textId="77777777" w:rsidR="0011467A" w:rsidRPr="00C020C2" w:rsidRDefault="0011467A" w:rsidP="002A7955">
      <w:pPr>
        <w:spacing w:after="120"/>
        <w:jc w:val="both"/>
        <w:rPr>
          <w:rFonts w:eastAsia="Calibri"/>
          <w:b/>
          <w:bCs/>
        </w:rPr>
      </w:pPr>
      <w:r w:rsidRPr="00C020C2">
        <w:rPr>
          <w:rFonts w:eastAsia="Calibri"/>
          <w:b/>
          <w:bCs/>
        </w:rPr>
        <w:lastRenderedPageBreak/>
        <w:t>Progress in terrestrial services</w:t>
      </w:r>
    </w:p>
    <w:p w14:paraId="07EE70ED" w14:textId="77777777" w:rsidR="0011467A" w:rsidRPr="00C020C2" w:rsidRDefault="0011467A" w:rsidP="00EE21B1">
      <w:pPr>
        <w:pStyle w:val="ListParagraph"/>
        <w:numPr>
          <w:ilvl w:val="0"/>
          <w:numId w:val="8"/>
        </w:numPr>
        <w:contextualSpacing/>
        <w:jc w:val="both"/>
        <w:rPr>
          <w:rFonts w:eastAsia="Calibri"/>
          <w:sz w:val="24"/>
          <w:szCs w:val="24"/>
        </w:rPr>
      </w:pPr>
      <w:r w:rsidRPr="00C020C2">
        <w:rPr>
          <w:rFonts w:eastAsia="Calibri" w:cs="Calibri"/>
          <w:sz w:val="24"/>
          <w:szCs w:val="24"/>
          <w:lang w:val="en-GB"/>
        </w:rPr>
        <w:t>Development</w:t>
      </w:r>
      <w:r w:rsidRPr="00C020C2">
        <w:rPr>
          <w:rFonts w:eastAsia="Calibri" w:cs="Calibri"/>
          <w:sz w:val="24"/>
          <w:szCs w:val="24"/>
        </w:rPr>
        <w:t xml:space="preserve"> of the software and tools for processing coordination requests (RR No. 9.21) and</w:t>
      </w:r>
      <w:r w:rsidRPr="00C020C2">
        <w:rPr>
          <w:rFonts w:eastAsia="Calibri" w:cs="Calibri"/>
          <w:sz w:val="24"/>
          <w:szCs w:val="24"/>
          <w:lang w:val="en-GB"/>
        </w:rPr>
        <w:t xml:space="preserve"> HAPS notifications (validation, examination, and publication tools).</w:t>
      </w:r>
    </w:p>
    <w:p w14:paraId="616EEE3E" w14:textId="79DF2414" w:rsidR="0011467A" w:rsidRPr="00C020C2" w:rsidRDefault="001E701A" w:rsidP="00EE21B1">
      <w:pPr>
        <w:pStyle w:val="ListParagraph"/>
        <w:numPr>
          <w:ilvl w:val="0"/>
          <w:numId w:val="8"/>
        </w:numPr>
        <w:contextualSpacing/>
        <w:jc w:val="both"/>
        <w:rPr>
          <w:rFonts w:eastAsia="Calibri"/>
          <w:sz w:val="24"/>
          <w:szCs w:val="24"/>
        </w:rPr>
      </w:pPr>
      <w:r w:rsidRPr="00C020C2">
        <w:rPr>
          <w:rFonts w:eastAsia="Calibri" w:cs="Calibri"/>
          <w:sz w:val="24"/>
          <w:szCs w:val="24"/>
          <w:lang w:val="en-GB"/>
        </w:rPr>
        <w:t>M</w:t>
      </w:r>
      <w:r w:rsidR="0011467A" w:rsidRPr="00C020C2">
        <w:rPr>
          <w:rFonts w:eastAsia="Calibri" w:cs="Calibri"/>
          <w:sz w:val="24"/>
          <w:szCs w:val="24"/>
          <w:lang w:val="en-GB"/>
        </w:rPr>
        <w:t>igration of the TerRaSys database from Ingres to SQL Server.</w:t>
      </w:r>
    </w:p>
    <w:p w14:paraId="77B69890" w14:textId="77777777" w:rsidR="0011467A" w:rsidRPr="00C020C2" w:rsidRDefault="0011467A" w:rsidP="00EE21B1">
      <w:pPr>
        <w:pStyle w:val="ListParagraph"/>
        <w:numPr>
          <w:ilvl w:val="0"/>
          <w:numId w:val="8"/>
        </w:numPr>
        <w:contextualSpacing/>
        <w:jc w:val="both"/>
        <w:rPr>
          <w:rFonts w:eastAsia="Calibri"/>
          <w:sz w:val="24"/>
          <w:szCs w:val="24"/>
        </w:rPr>
      </w:pPr>
      <w:r w:rsidRPr="00C020C2">
        <w:rPr>
          <w:rFonts w:eastAsia="Calibri" w:cs="Calibri"/>
          <w:sz w:val="24"/>
          <w:szCs w:val="24"/>
          <w:lang w:val="en-GB"/>
        </w:rPr>
        <w:t xml:space="preserve">Development and enhancement of the </w:t>
      </w:r>
      <w:proofErr w:type="spellStart"/>
      <w:r w:rsidRPr="00C020C2">
        <w:rPr>
          <w:rFonts w:eastAsia="Calibri" w:cs="Calibri"/>
          <w:sz w:val="24"/>
          <w:szCs w:val="24"/>
          <w:lang w:val="en-GB"/>
        </w:rPr>
        <w:t>eTerrestrial</w:t>
      </w:r>
      <w:proofErr w:type="spellEnd"/>
      <w:r w:rsidRPr="00C020C2">
        <w:rPr>
          <w:rFonts w:eastAsia="Calibri" w:cs="Calibri"/>
          <w:sz w:val="24"/>
          <w:szCs w:val="24"/>
          <w:lang w:val="en-GB"/>
        </w:rPr>
        <w:t xml:space="preserve"> web platform, integrating </w:t>
      </w:r>
      <w:proofErr w:type="spellStart"/>
      <w:r w:rsidRPr="00C020C2">
        <w:rPr>
          <w:rFonts w:eastAsia="Calibri" w:cs="Calibri"/>
          <w:sz w:val="24"/>
          <w:szCs w:val="24"/>
          <w:lang w:val="en-GB"/>
        </w:rPr>
        <w:t>eMIFR</w:t>
      </w:r>
      <w:proofErr w:type="spellEnd"/>
      <w:r w:rsidRPr="00C020C2">
        <w:rPr>
          <w:rFonts w:eastAsia="Calibri" w:cs="Calibri"/>
          <w:sz w:val="24"/>
          <w:szCs w:val="24"/>
          <w:lang w:val="en-GB"/>
        </w:rPr>
        <w:t xml:space="preserve">, </w:t>
      </w:r>
      <w:proofErr w:type="spellStart"/>
      <w:r w:rsidRPr="00C020C2">
        <w:rPr>
          <w:rFonts w:eastAsia="Calibri" w:cs="Calibri"/>
          <w:sz w:val="24"/>
          <w:szCs w:val="24"/>
          <w:lang w:val="en-GB"/>
        </w:rPr>
        <w:t>ePropagation</w:t>
      </w:r>
      <w:proofErr w:type="spellEnd"/>
      <w:r w:rsidRPr="00C020C2">
        <w:rPr>
          <w:rFonts w:eastAsia="Calibri" w:cs="Calibri"/>
          <w:sz w:val="24"/>
          <w:szCs w:val="24"/>
          <w:lang w:val="en-GB"/>
        </w:rPr>
        <w:t xml:space="preserve">, </w:t>
      </w:r>
      <w:proofErr w:type="spellStart"/>
      <w:r w:rsidRPr="00C020C2">
        <w:rPr>
          <w:rFonts w:eastAsia="Calibri" w:cs="Calibri"/>
          <w:sz w:val="24"/>
          <w:szCs w:val="24"/>
          <w:lang w:val="en-GB"/>
        </w:rPr>
        <w:t>eValidation</w:t>
      </w:r>
      <w:proofErr w:type="spellEnd"/>
      <w:r w:rsidRPr="00C020C2">
        <w:rPr>
          <w:rFonts w:eastAsia="Calibri" w:cs="Calibri"/>
          <w:sz w:val="24"/>
          <w:szCs w:val="24"/>
          <w:lang w:val="en-GB"/>
        </w:rPr>
        <w:t xml:space="preserve"> tools for all terrestrial services and specific </w:t>
      </w:r>
      <w:proofErr w:type="spellStart"/>
      <w:r w:rsidRPr="00C020C2">
        <w:rPr>
          <w:rFonts w:eastAsia="Calibri" w:cs="Calibri"/>
          <w:sz w:val="24"/>
          <w:szCs w:val="24"/>
          <w:lang w:val="en-GB"/>
        </w:rPr>
        <w:t>eFXM</w:t>
      </w:r>
      <w:proofErr w:type="spellEnd"/>
      <w:r w:rsidRPr="00C020C2">
        <w:rPr>
          <w:rFonts w:eastAsia="Calibri" w:cs="Calibri"/>
          <w:sz w:val="24"/>
          <w:szCs w:val="24"/>
          <w:lang w:val="en-GB"/>
        </w:rPr>
        <w:t xml:space="preserve"> and </w:t>
      </w:r>
      <w:proofErr w:type="spellStart"/>
      <w:r w:rsidRPr="00C020C2">
        <w:rPr>
          <w:rFonts w:eastAsia="Calibri" w:cs="Calibri"/>
          <w:sz w:val="24"/>
          <w:szCs w:val="24"/>
          <w:lang w:val="en-GB"/>
        </w:rPr>
        <w:t>eBroadcasting</w:t>
      </w:r>
      <w:proofErr w:type="spellEnd"/>
      <w:r w:rsidRPr="00C020C2">
        <w:rPr>
          <w:rFonts w:eastAsia="Calibri" w:cs="Calibri"/>
          <w:sz w:val="24"/>
          <w:szCs w:val="24"/>
          <w:lang w:val="en-GB"/>
        </w:rPr>
        <w:t xml:space="preserve"> tools (</w:t>
      </w:r>
      <w:proofErr w:type="spellStart"/>
      <w:r w:rsidRPr="00C020C2">
        <w:rPr>
          <w:rFonts w:eastAsia="Calibri" w:cs="Calibri"/>
          <w:sz w:val="24"/>
          <w:szCs w:val="24"/>
          <w:lang w:val="en-GB"/>
        </w:rPr>
        <w:t>eQuery</w:t>
      </w:r>
      <w:proofErr w:type="spellEnd"/>
      <w:r w:rsidRPr="00C020C2">
        <w:rPr>
          <w:rFonts w:eastAsia="Calibri" w:cs="Calibri"/>
          <w:sz w:val="24"/>
          <w:szCs w:val="24"/>
          <w:lang w:val="en-GB"/>
        </w:rPr>
        <w:t xml:space="preserve">, </w:t>
      </w:r>
      <w:proofErr w:type="spellStart"/>
      <w:r w:rsidRPr="00C020C2">
        <w:rPr>
          <w:rFonts w:eastAsia="Calibri" w:cs="Calibri"/>
          <w:sz w:val="24"/>
          <w:szCs w:val="24"/>
          <w:lang w:val="en-GB"/>
        </w:rPr>
        <w:t>ePub</w:t>
      </w:r>
      <w:proofErr w:type="spellEnd"/>
      <w:r w:rsidRPr="00C020C2">
        <w:rPr>
          <w:rFonts w:eastAsia="Calibri" w:cs="Calibri"/>
          <w:sz w:val="24"/>
          <w:szCs w:val="24"/>
          <w:lang w:val="en-GB"/>
        </w:rPr>
        <w:t xml:space="preserve">, </w:t>
      </w:r>
      <w:proofErr w:type="spellStart"/>
      <w:r w:rsidRPr="00C020C2">
        <w:rPr>
          <w:rFonts w:eastAsia="Calibri" w:cs="Calibri"/>
          <w:sz w:val="24"/>
          <w:szCs w:val="24"/>
          <w:lang w:val="en-GB"/>
        </w:rPr>
        <w:t>eTools</w:t>
      </w:r>
      <w:proofErr w:type="spellEnd"/>
      <w:r w:rsidRPr="00C020C2">
        <w:rPr>
          <w:rFonts w:eastAsia="Calibri" w:cs="Calibri"/>
          <w:sz w:val="24"/>
          <w:szCs w:val="24"/>
          <w:lang w:val="en-GB"/>
        </w:rPr>
        <w:t xml:space="preserve"> and </w:t>
      </w:r>
      <w:proofErr w:type="spellStart"/>
      <w:r w:rsidRPr="00C020C2">
        <w:rPr>
          <w:rFonts w:eastAsia="Calibri" w:cs="Calibri"/>
          <w:sz w:val="24"/>
          <w:szCs w:val="24"/>
          <w:lang w:val="en-GB"/>
        </w:rPr>
        <w:t>MyAdmin</w:t>
      </w:r>
      <w:proofErr w:type="spellEnd"/>
      <w:r w:rsidRPr="00C020C2">
        <w:rPr>
          <w:rFonts w:eastAsia="Calibri" w:cs="Calibri"/>
          <w:sz w:val="24"/>
          <w:szCs w:val="24"/>
          <w:lang w:val="en-GB"/>
        </w:rPr>
        <w:t xml:space="preserve">). </w:t>
      </w:r>
    </w:p>
    <w:p w14:paraId="3307B690" w14:textId="409E2FA5" w:rsidR="0011467A" w:rsidRPr="00C020C2" w:rsidRDefault="59700F11" w:rsidP="00EE21B1">
      <w:pPr>
        <w:pStyle w:val="ListParagraph"/>
        <w:numPr>
          <w:ilvl w:val="0"/>
          <w:numId w:val="8"/>
        </w:numPr>
        <w:contextualSpacing/>
        <w:jc w:val="both"/>
        <w:rPr>
          <w:rFonts w:eastAsia="Calibri"/>
          <w:sz w:val="24"/>
          <w:szCs w:val="24"/>
        </w:rPr>
      </w:pPr>
      <w:r w:rsidRPr="00C020C2">
        <w:rPr>
          <w:rFonts w:eastAsia="Calibri" w:cs="Calibri"/>
          <w:sz w:val="24"/>
          <w:szCs w:val="24"/>
          <w:lang w:val="en-GB"/>
        </w:rPr>
        <w:t>Enhancement of the online tools for GE84</w:t>
      </w:r>
      <w:r w:rsidR="00691679" w:rsidRPr="00C020C2">
        <w:rPr>
          <w:rStyle w:val="FootnoteReference"/>
          <w:rFonts w:eastAsia="Calibri" w:cs="Calibri"/>
          <w:sz w:val="24"/>
          <w:szCs w:val="24"/>
          <w:lang w:val="en-GB"/>
        </w:rPr>
        <w:footnoteReference w:id="2"/>
      </w:r>
      <w:r w:rsidRPr="00C020C2">
        <w:rPr>
          <w:rFonts w:eastAsia="Calibri" w:cs="Calibri"/>
          <w:sz w:val="24"/>
          <w:szCs w:val="24"/>
          <w:lang w:val="en-GB"/>
        </w:rPr>
        <w:t xml:space="preserve"> (GE84 compatibility and optimization tools) to include the consideration of terrain elevation in the field strength calculations.  </w:t>
      </w:r>
    </w:p>
    <w:p w14:paraId="49F37BAB" w14:textId="19CEF17F" w:rsidR="0011467A" w:rsidRPr="00C020C2" w:rsidRDefault="0011467A" w:rsidP="00EE21B1">
      <w:pPr>
        <w:pStyle w:val="ListParagraph"/>
        <w:numPr>
          <w:ilvl w:val="0"/>
          <w:numId w:val="8"/>
        </w:numPr>
        <w:contextualSpacing/>
        <w:jc w:val="both"/>
        <w:rPr>
          <w:rFonts w:eastAsia="Calibri"/>
          <w:sz w:val="24"/>
          <w:szCs w:val="24"/>
        </w:rPr>
      </w:pPr>
      <w:r w:rsidRPr="00C020C2">
        <w:rPr>
          <w:rFonts w:eastAsia="Calibri" w:cs="Calibri"/>
          <w:sz w:val="24"/>
          <w:szCs w:val="24"/>
          <w:lang w:val="en-GB"/>
        </w:rPr>
        <w:t>Re-engineering and modernization of High Frequency Broadcasting software dealing with the application of Article 12 of the RR.</w:t>
      </w:r>
    </w:p>
    <w:p w14:paraId="1CDC224B" w14:textId="1B274C6F" w:rsidR="0011467A" w:rsidRPr="00C020C2" w:rsidRDefault="001E701A" w:rsidP="00EE21B1">
      <w:pPr>
        <w:pStyle w:val="ListParagraph"/>
        <w:numPr>
          <w:ilvl w:val="0"/>
          <w:numId w:val="8"/>
        </w:numPr>
        <w:contextualSpacing/>
        <w:jc w:val="both"/>
        <w:rPr>
          <w:rFonts w:eastAsia="Calibri"/>
          <w:sz w:val="24"/>
          <w:szCs w:val="24"/>
        </w:rPr>
      </w:pPr>
      <w:r w:rsidRPr="00C020C2">
        <w:rPr>
          <w:rFonts w:eastAsia="Calibri" w:cs="Calibri"/>
          <w:sz w:val="24"/>
          <w:szCs w:val="24"/>
          <w:lang w:val="en-GB"/>
        </w:rPr>
        <w:t xml:space="preserve">Modernization </w:t>
      </w:r>
      <w:r w:rsidR="0011467A" w:rsidRPr="00C020C2">
        <w:rPr>
          <w:rFonts w:eastAsia="Calibri" w:cs="Calibri"/>
          <w:sz w:val="24"/>
          <w:szCs w:val="24"/>
          <w:lang w:val="en-GB"/>
        </w:rPr>
        <w:t xml:space="preserve">of the Maritime Service Publications (List V, List </w:t>
      </w:r>
      <w:proofErr w:type="gramStart"/>
      <w:r w:rsidR="0011467A" w:rsidRPr="00C020C2">
        <w:rPr>
          <w:rFonts w:eastAsia="Calibri" w:cs="Calibri"/>
          <w:sz w:val="24"/>
          <w:szCs w:val="24"/>
          <w:lang w:val="en-GB"/>
        </w:rPr>
        <w:t>IV</w:t>
      </w:r>
      <w:proofErr w:type="gramEnd"/>
      <w:r w:rsidR="0011467A" w:rsidRPr="00C020C2">
        <w:rPr>
          <w:rFonts w:eastAsia="Calibri" w:cs="Calibri"/>
          <w:sz w:val="24"/>
          <w:szCs w:val="24"/>
          <w:lang w:val="en-GB"/>
        </w:rPr>
        <w:t xml:space="preserve"> and Maritime Manual) to improve the user experience</w:t>
      </w:r>
      <w:r w:rsidR="005755FC" w:rsidRPr="00C020C2">
        <w:rPr>
          <w:rFonts w:eastAsia="Calibri" w:cs="Calibri"/>
          <w:sz w:val="24"/>
          <w:szCs w:val="24"/>
          <w:lang w:val="en-GB"/>
        </w:rPr>
        <w:t>.</w:t>
      </w:r>
      <w:r w:rsidR="0011467A" w:rsidRPr="00C020C2">
        <w:rPr>
          <w:rFonts w:eastAsia="Calibri" w:cs="Calibri"/>
          <w:sz w:val="24"/>
          <w:szCs w:val="24"/>
          <w:lang w:val="en-GB"/>
        </w:rPr>
        <w:t xml:space="preserve"> The project includes the creation of the sales platform desktop and mobile applications to retrieve information and anti-counterfeit solutions.</w:t>
      </w:r>
    </w:p>
    <w:p w14:paraId="441C628D" w14:textId="271A3D0C" w:rsidR="0011467A" w:rsidRPr="00C020C2" w:rsidRDefault="0011467A" w:rsidP="00EE21B1">
      <w:pPr>
        <w:pStyle w:val="ListParagraph"/>
        <w:numPr>
          <w:ilvl w:val="0"/>
          <w:numId w:val="8"/>
        </w:numPr>
        <w:contextualSpacing/>
        <w:jc w:val="both"/>
        <w:rPr>
          <w:rFonts w:eastAsia="Calibri"/>
          <w:sz w:val="24"/>
          <w:szCs w:val="24"/>
        </w:rPr>
      </w:pPr>
      <w:r w:rsidRPr="00C020C2">
        <w:rPr>
          <w:rFonts w:eastAsia="Calibri" w:cs="Calibri"/>
          <w:sz w:val="24"/>
          <w:szCs w:val="24"/>
          <w:lang w:val="en-GB"/>
        </w:rPr>
        <w:t xml:space="preserve">Development of a new online platform HITS </w:t>
      </w:r>
      <w:r w:rsidR="00876E62" w:rsidRPr="00C020C2">
        <w:rPr>
          <w:rFonts w:eastAsia="Calibri" w:cs="Calibri"/>
          <w:sz w:val="24"/>
          <w:szCs w:val="24"/>
          <w:lang w:val="en-GB"/>
        </w:rPr>
        <w:t>–</w:t>
      </w:r>
      <w:r w:rsidRPr="00C020C2">
        <w:rPr>
          <w:rFonts w:eastAsia="Calibri" w:cs="Calibri"/>
          <w:sz w:val="24"/>
          <w:szCs w:val="24"/>
          <w:lang w:val="en-GB"/>
        </w:rPr>
        <w:t xml:space="preserve"> Harmful Interference to Terrestrial Services</w:t>
      </w:r>
      <w:r w:rsidR="00876E62" w:rsidRPr="00C020C2">
        <w:rPr>
          <w:rFonts w:eastAsia="Calibri" w:cs="Calibri"/>
          <w:sz w:val="24"/>
          <w:szCs w:val="24"/>
          <w:lang w:val="en-GB"/>
        </w:rPr>
        <w:t xml:space="preserve"> –</w:t>
      </w:r>
      <w:r w:rsidRPr="00C020C2">
        <w:rPr>
          <w:rFonts w:eastAsia="Calibri" w:cs="Calibri"/>
          <w:sz w:val="24"/>
          <w:szCs w:val="24"/>
          <w:lang w:val="en-GB"/>
        </w:rPr>
        <w:t xml:space="preserve"> for treatment of the reports of harmful interference and infringements. </w:t>
      </w:r>
    </w:p>
    <w:p w14:paraId="0BB4565D" w14:textId="61F53E89" w:rsidR="0011467A" w:rsidRPr="00C020C2" w:rsidRDefault="0011467A" w:rsidP="00EE21B1">
      <w:pPr>
        <w:pStyle w:val="ListParagraph"/>
        <w:numPr>
          <w:ilvl w:val="0"/>
          <w:numId w:val="8"/>
        </w:numPr>
        <w:contextualSpacing/>
        <w:jc w:val="both"/>
        <w:rPr>
          <w:rFonts w:eastAsia="Calibri"/>
          <w:sz w:val="24"/>
          <w:szCs w:val="24"/>
        </w:rPr>
      </w:pPr>
      <w:r w:rsidRPr="00C020C2">
        <w:rPr>
          <w:rFonts w:eastAsia="Calibri" w:cs="Calibri"/>
          <w:sz w:val="24"/>
          <w:szCs w:val="24"/>
          <w:lang w:val="en-GB"/>
        </w:rPr>
        <w:t xml:space="preserve">Re-engineering and integration of </w:t>
      </w:r>
      <w:proofErr w:type="spellStart"/>
      <w:r w:rsidRPr="00C020C2">
        <w:rPr>
          <w:rFonts w:eastAsia="Calibri" w:cs="Calibri"/>
          <w:sz w:val="24"/>
          <w:szCs w:val="24"/>
          <w:lang w:val="en-GB"/>
        </w:rPr>
        <w:t>eValidation</w:t>
      </w:r>
      <w:proofErr w:type="spellEnd"/>
      <w:r w:rsidRPr="00C020C2">
        <w:rPr>
          <w:rFonts w:eastAsia="Calibri" w:cs="Calibri"/>
          <w:sz w:val="24"/>
          <w:szCs w:val="24"/>
          <w:lang w:val="en-GB"/>
        </w:rPr>
        <w:t xml:space="preserve"> to WISFAT 2.0</w:t>
      </w:r>
      <w:r w:rsidR="001E701A" w:rsidRPr="00C020C2">
        <w:rPr>
          <w:rFonts w:eastAsia="Calibri" w:cs="Calibri"/>
          <w:sz w:val="24"/>
          <w:szCs w:val="24"/>
          <w:lang w:val="en-GB"/>
        </w:rPr>
        <w:t>.</w:t>
      </w:r>
    </w:p>
    <w:p w14:paraId="2061D9B2" w14:textId="77777777" w:rsidR="0011467A" w:rsidRPr="00C020C2" w:rsidRDefault="0011467A" w:rsidP="00EE21B1">
      <w:pPr>
        <w:contextualSpacing/>
        <w:jc w:val="both"/>
        <w:rPr>
          <w:rFonts w:eastAsia="Calibri"/>
          <w:szCs w:val="24"/>
        </w:rPr>
      </w:pPr>
      <w:r w:rsidRPr="00C020C2">
        <w:rPr>
          <w:rFonts w:eastAsia="Calibri"/>
          <w:b/>
          <w:bCs/>
          <w:szCs w:val="24"/>
        </w:rPr>
        <w:t>Progress in fulfilling the BR Space Information Systems roadmap (RAG-19, 2012)</w:t>
      </w:r>
    </w:p>
    <w:p w14:paraId="64E94612" w14:textId="186D0343" w:rsidR="0011467A" w:rsidRPr="00C020C2" w:rsidRDefault="0011467A" w:rsidP="00EE21B1">
      <w:pPr>
        <w:pStyle w:val="ListParagraph"/>
        <w:numPr>
          <w:ilvl w:val="0"/>
          <w:numId w:val="7"/>
        </w:numPr>
        <w:contextualSpacing/>
        <w:jc w:val="both"/>
        <w:rPr>
          <w:rFonts w:eastAsia="Calibri"/>
          <w:sz w:val="24"/>
          <w:szCs w:val="24"/>
        </w:rPr>
      </w:pPr>
      <w:r w:rsidRPr="00C020C2">
        <w:rPr>
          <w:rFonts w:eastAsia="Calibri" w:cs="Calibri"/>
          <w:sz w:val="24"/>
          <w:szCs w:val="24"/>
          <w:lang w:val="en-GB"/>
        </w:rPr>
        <w:t xml:space="preserve">Rewrite legacy software for technical examination: PFD, </w:t>
      </w:r>
      <w:proofErr w:type="spellStart"/>
      <w:r w:rsidRPr="00C020C2">
        <w:rPr>
          <w:rFonts w:eastAsia="Calibri" w:cs="Calibri"/>
          <w:sz w:val="24"/>
          <w:szCs w:val="24"/>
          <w:lang w:val="en-GB"/>
        </w:rPr>
        <w:t>Mspace</w:t>
      </w:r>
      <w:proofErr w:type="spellEnd"/>
      <w:r w:rsidR="001E701A" w:rsidRPr="00C020C2">
        <w:rPr>
          <w:rFonts w:eastAsia="Calibri" w:cs="Calibri"/>
          <w:sz w:val="24"/>
          <w:szCs w:val="24"/>
          <w:lang w:val="en-GB"/>
        </w:rPr>
        <w:t>.</w:t>
      </w:r>
    </w:p>
    <w:p w14:paraId="7130556D" w14:textId="1DBACA20" w:rsidR="0011467A" w:rsidRPr="00C020C2" w:rsidRDefault="0011467A" w:rsidP="00EE21B1">
      <w:pPr>
        <w:pStyle w:val="ListParagraph"/>
        <w:numPr>
          <w:ilvl w:val="0"/>
          <w:numId w:val="7"/>
        </w:numPr>
        <w:contextualSpacing/>
        <w:jc w:val="both"/>
        <w:rPr>
          <w:rFonts w:eastAsia="Calibri"/>
          <w:sz w:val="24"/>
          <w:szCs w:val="24"/>
        </w:rPr>
      </w:pPr>
      <w:r w:rsidRPr="00C020C2">
        <w:rPr>
          <w:rFonts w:eastAsia="Calibri" w:cs="Calibri"/>
          <w:sz w:val="24"/>
          <w:szCs w:val="24"/>
          <w:lang w:val="en-GB"/>
        </w:rPr>
        <w:t>Design and develop</w:t>
      </w:r>
      <w:r w:rsidR="005755FC" w:rsidRPr="00C020C2">
        <w:rPr>
          <w:rFonts w:eastAsia="Calibri" w:cs="Calibri"/>
          <w:sz w:val="24"/>
          <w:szCs w:val="24"/>
          <w:lang w:val="en-GB"/>
        </w:rPr>
        <w:t>ment of</w:t>
      </w:r>
      <w:r w:rsidRPr="00C020C2">
        <w:rPr>
          <w:rFonts w:eastAsia="Calibri" w:cs="Calibri"/>
          <w:sz w:val="24"/>
          <w:szCs w:val="24"/>
          <w:lang w:val="en-GB"/>
        </w:rPr>
        <w:t xml:space="preserve"> the BR Space Information System (BR SIS): BRSIS-Capture to replace </w:t>
      </w:r>
      <w:proofErr w:type="spellStart"/>
      <w:r w:rsidRPr="00C020C2">
        <w:rPr>
          <w:rFonts w:eastAsia="Calibri" w:cs="Calibri"/>
          <w:sz w:val="24"/>
          <w:szCs w:val="24"/>
          <w:lang w:val="en-GB"/>
        </w:rPr>
        <w:t>SpaceCap</w:t>
      </w:r>
      <w:proofErr w:type="spellEnd"/>
      <w:r w:rsidRPr="00C020C2">
        <w:rPr>
          <w:rFonts w:eastAsia="Calibri" w:cs="Calibri"/>
          <w:sz w:val="24"/>
          <w:szCs w:val="24"/>
          <w:lang w:val="en-GB"/>
        </w:rPr>
        <w:t xml:space="preserve">, migrate SNS database on Ingres to SQL Server, migrate SRS MDB to SQLite, review </w:t>
      </w:r>
      <w:proofErr w:type="spellStart"/>
      <w:r w:rsidRPr="00C020C2">
        <w:rPr>
          <w:rFonts w:eastAsia="Calibri" w:cs="Calibri"/>
          <w:sz w:val="24"/>
          <w:szCs w:val="24"/>
          <w:lang w:val="en-GB"/>
        </w:rPr>
        <w:t>SNTrack</w:t>
      </w:r>
      <w:proofErr w:type="spellEnd"/>
      <w:r w:rsidRPr="00C020C2">
        <w:rPr>
          <w:rFonts w:eastAsia="Calibri" w:cs="Calibri"/>
          <w:sz w:val="24"/>
          <w:szCs w:val="24"/>
          <w:lang w:val="en-GB"/>
        </w:rPr>
        <w:t>, review SNS Online and merge with SNL Online</w:t>
      </w:r>
      <w:r w:rsidR="001E701A" w:rsidRPr="00C020C2">
        <w:rPr>
          <w:rFonts w:eastAsia="Calibri" w:cs="Calibri"/>
          <w:sz w:val="24"/>
          <w:szCs w:val="24"/>
          <w:lang w:val="en-GB"/>
        </w:rPr>
        <w:t>.</w:t>
      </w:r>
    </w:p>
    <w:p w14:paraId="664A3320" w14:textId="77777777" w:rsidR="0011467A" w:rsidRPr="00C020C2" w:rsidRDefault="0011467A" w:rsidP="00EE21B1">
      <w:pPr>
        <w:contextualSpacing/>
        <w:jc w:val="both"/>
        <w:rPr>
          <w:rFonts w:eastAsia="Calibri"/>
          <w:szCs w:val="24"/>
        </w:rPr>
      </w:pPr>
      <w:r w:rsidRPr="00C020C2">
        <w:rPr>
          <w:rFonts w:eastAsia="Calibri"/>
          <w:b/>
          <w:bCs/>
          <w:szCs w:val="24"/>
        </w:rPr>
        <w:t>Achievements resulting from activities for space applications</w:t>
      </w:r>
    </w:p>
    <w:p w14:paraId="47984EA2" w14:textId="37373404" w:rsidR="0011467A" w:rsidRPr="00C020C2" w:rsidRDefault="0011467A" w:rsidP="00EE21B1">
      <w:pPr>
        <w:pStyle w:val="ListParagraph"/>
        <w:numPr>
          <w:ilvl w:val="0"/>
          <w:numId w:val="6"/>
        </w:numPr>
        <w:contextualSpacing/>
        <w:jc w:val="both"/>
        <w:rPr>
          <w:rFonts w:eastAsia="Calibri"/>
          <w:sz w:val="24"/>
          <w:szCs w:val="24"/>
        </w:rPr>
      </w:pPr>
      <w:r w:rsidRPr="00C020C2">
        <w:rPr>
          <w:rFonts w:eastAsia="Calibri" w:cs="Calibri"/>
          <w:sz w:val="24"/>
          <w:szCs w:val="24"/>
        </w:rPr>
        <w:t>Implementation of Resolution 907 (Rev.WRC-15): Use of modern electronic means of communication for satellite network-related administrative correspondence</w:t>
      </w:r>
      <w:r w:rsidR="001E701A" w:rsidRPr="00C020C2">
        <w:rPr>
          <w:rFonts w:eastAsia="Calibri" w:cs="Calibri"/>
          <w:sz w:val="24"/>
          <w:szCs w:val="24"/>
        </w:rPr>
        <w:t>.</w:t>
      </w:r>
      <w:r w:rsidRPr="00C020C2">
        <w:rPr>
          <w:rFonts w:eastAsia="Calibri" w:cs="Calibri"/>
          <w:sz w:val="24"/>
          <w:szCs w:val="24"/>
        </w:rPr>
        <w:t xml:space="preserve"> </w:t>
      </w:r>
    </w:p>
    <w:p w14:paraId="390D67EE" w14:textId="5BD33C77" w:rsidR="0011467A" w:rsidRPr="00C020C2" w:rsidRDefault="0011467A" w:rsidP="00EE21B1">
      <w:pPr>
        <w:pStyle w:val="ListParagraph"/>
        <w:numPr>
          <w:ilvl w:val="0"/>
          <w:numId w:val="6"/>
        </w:numPr>
        <w:contextualSpacing/>
        <w:jc w:val="both"/>
        <w:rPr>
          <w:rFonts w:eastAsia="Calibri"/>
          <w:sz w:val="24"/>
          <w:szCs w:val="24"/>
        </w:rPr>
      </w:pPr>
      <w:r w:rsidRPr="00C020C2">
        <w:rPr>
          <w:rFonts w:eastAsia="Calibri" w:cs="Calibri"/>
          <w:sz w:val="24"/>
          <w:szCs w:val="24"/>
        </w:rPr>
        <w:t xml:space="preserve">Implementation of </w:t>
      </w:r>
      <w:r w:rsidRPr="00C020C2">
        <w:rPr>
          <w:rFonts w:eastAsia="Calibri" w:cs="Calibri"/>
          <w:sz w:val="24"/>
          <w:szCs w:val="24"/>
          <w:lang w:val="en-GB"/>
        </w:rPr>
        <w:t>Resolution 908 (Rev.WRC-15): Electronic submission of satellite network filings</w:t>
      </w:r>
      <w:r w:rsidR="001E701A" w:rsidRPr="00C020C2">
        <w:rPr>
          <w:rFonts w:eastAsia="Calibri" w:cs="Calibri"/>
          <w:sz w:val="24"/>
          <w:szCs w:val="24"/>
          <w:lang w:val="en-GB"/>
        </w:rPr>
        <w:t>.</w:t>
      </w:r>
      <w:r w:rsidRPr="00C020C2">
        <w:rPr>
          <w:rFonts w:eastAsia="Calibri" w:cs="Calibri"/>
          <w:sz w:val="24"/>
          <w:szCs w:val="24"/>
        </w:rPr>
        <w:t xml:space="preserve"> </w:t>
      </w:r>
    </w:p>
    <w:p w14:paraId="5258EF73" w14:textId="51C39837" w:rsidR="0011467A" w:rsidRPr="00C020C2" w:rsidRDefault="0011467A" w:rsidP="00EE21B1">
      <w:pPr>
        <w:pStyle w:val="ListParagraph"/>
        <w:numPr>
          <w:ilvl w:val="0"/>
          <w:numId w:val="6"/>
        </w:numPr>
        <w:contextualSpacing/>
        <w:jc w:val="both"/>
        <w:rPr>
          <w:rFonts w:eastAsia="Calibri"/>
          <w:sz w:val="24"/>
          <w:szCs w:val="24"/>
        </w:rPr>
      </w:pPr>
      <w:r w:rsidRPr="00C020C2">
        <w:rPr>
          <w:rFonts w:eastAsia="Calibri" w:cs="Calibri"/>
          <w:sz w:val="24"/>
          <w:szCs w:val="24"/>
        </w:rPr>
        <w:t>Release of a tool to assist administrations in communicating to the Bureau, at notification stage, the coordination status with respect to affected administrations</w:t>
      </w:r>
      <w:r w:rsidR="001E701A" w:rsidRPr="00C020C2">
        <w:rPr>
          <w:rFonts w:eastAsia="Calibri" w:cs="Calibri"/>
          <w:sz w:val="24"/>
          <w:szCs w:val="24"/>
        </w:rPr>
        <w:t>.</w:t>
      </w:r>
      <w:r w:rsidRPr="00C020C2">
        <w:rPr>
          <w:rFonts w:eastAsia="Calibri" w:cs="Calibri"/>
          <w:sz w:val="24"/>
          <w:szCs w:val="24"/>
        </w:rPr>
        <w:t xml:space="preserve"> </w:t>
      </w:r>
    </w:p>
    <w:p w14:paraId="38E6EE63" w14:textId="57B360E7" w:rsidR="0011467A" w:rsidRPr="00C020C2" w:rsidRDefault="0011467A" w:rsidP="00EE21B1">
      <w:pPr>
        <w:pStyle w:val="ListParagraph"/>
        <w:numPr>
          <w:ilvl w:val="0"/>
          <w:numId w:val="6"/>
        </w:numPr>
        <w:contextualSpacing/>
        <w:jc w:val="both"/>
        <w:rPr>
          <w:rFonts w:eastAsia="Calibri"/>
          <w:sz w:val="24"/>
          <w:szCs w:val="24"/>
        </w:rPr>
      </w:pPr>
      <w:r w:rsidRPr="00C020C2">
        <w:rPr>
          <w:rFonts w:eastAsia="Calibri" w:cs="Calibri"/>
          <w:sz w:val="24"/>
          <w:szCs w:val="24"/>
        </w:rPr>
        <w:t>Migration of the BRIFIC (Space services) from a DVD format to an online mechanism</w:t>
      </w:r>
      <w:r w:rsidR="001E701A" w:rsidRPr="00C020C2">
        <w:rPr>
          <w:rFonts w:eastAsia="Calibri" w:cs="Calibri"/>
          <w:sz w:val="24"/>
          <w:szCs w:val="24"/>
        </w:rPr>
        <w:t>.</w:t>
      </w:r>
      <w:r w:rsidRPr="00C020C2">
        <w:rPr>
          <w:rFonts w:eastAsia="Calibri" w:cs="Calibri"/>
          <w:sz w:val="24"/>
          <w:szCs w:val="24"/>
        </w:rPr>
        <w:t xml:space="preserve"> </w:t>
      </w:r>
    </w:p>
    <w:p w14:paraId="0E541D1E" w14:textId="315D2CD2" w:rsidR="0011467A" w:rsidRPr="00C020C2" w:rsidRDefault="0011467A" w:rsidP="00EE21B1">
      <w:pPr>
        <w:pStyle w:val="ListParagraph"/>
        <w:numPr>
          <w:ilvl w:val="0"/>
          <w:numId w:val="6"/>
        </w:numPr>
        <w:contextualSpacing/>
        <w:jc w:val="both"/>
        <w:rPr>
          <w:rFonts w:eastAsia="Calibri"/>
          <w:sz w:val="24"/>
          <w:szCs w:val="24"/>
        </w:rPr>
      </w:pPr>
      <w:r w:rsidRPr="00C020C2">
        <w:rPr>
          <w:rFonts w:eastAsia="Calibri" w:cs="Calibri"/>
          <w:sz w:val="24"/>
          <w:szCs w:val="24"/>
        </w:rPr>
        <w:t xml:space="preserve">Implementation of </w:t>
      </w:r>
      <w:r w:rsidRPr="00C020C2">
        <w:rPr>
          <w:rFonts w:eastAsia="Calibri" w:cs="Calibri"/>
          <w:i/>
          <w:iCs/>
          <w:sz w:val="24"/>
          <w:szCs w:val="24"/>
        </w:rPr>
        <w:t>instructs the Director of the Radiocommunication Bureau</w:t>
      </w:r>
      <w:r w:rsidRPr="00C020C2">
        <w:rPr>
          <w:rFonts w:eastAsia="Calibri" w:cs="Calibri"/>
          <w:sz w:val="24"/>
          <w:szCs w:val="24"/>
        </w:rPr>
        <w:t xml:space="preserve"> 2) and 6) of Resolution 186 (</w:t>
      </w:r>
      <w:proofErr w:type="spellStart"/>
      <w:r w:rsidRPr="00C020C2">
        <w:rPr>
          <w:rFonts w:eastAsia="Calibri" w:cs="Calibri"/>
          <w:sz w:val="24"/>
          <w:szCs w:val="24"/>
        </w:rPr>
        <w:t>Rev.Bucharest</w:t>
      </w:r>
      <w:proofErr w:type="spellEnd"/>
      <w:r w:rsidRPr="00C020C2">
        <w:rPr>
          <w:rFonts w:eastAsia="Calibri" w:cs="Calibri"/>
          <w:sz w:val="24"/>
          <w:szCs w:val="24"/>
        </w:rPr>
        <w:t xml:space="preserve"> 2022) and the publication of  </w:t>
      </w:r>
      <w:hyperlink r:id="rId36" w:history="1">
        <w:r w:rsidRPr="00C020C2">
          <w:rPr>
            <w:rStyle w:val="Hyperlink"/>
            <w:rFonts w:eastAsia="Calibri" w:cs="Calibri"/>
            <w:sz w:val="24"/>
            <w:szCs w:val="24"/>
          </w:rPr>
          <w:t>CR/495</w:t>
        </w:r>
      </w:hyperlink>
      <w:r w:rsidRPr="00C020C2">
        <w:rPr>
          <w:rFonts w:eastAsia="Calibri" w:cs="Calibri"/>
          <w:sz w:val="24"/>
          <w:szCs w:val="24"/>
        </w:rPr>
        <w:t xml:space="preserve"> published on 26 January 2023 about </w:t>
      </w:r>
      <w:hyperlink r:id="rId37" w:history="1">
        <w:r w:rsidRPr="00C020C2">
          <w:rPr>
            <w:rStyle w:val="Hyperlink"/>
            <w:rFonts w:eastAsia="Calibri" w:cs="Calibri"/>
            <w:sz w:val="24"/>
            <w:szCs w:val="24"/>
          </w:rPr>
          <w:t>Online Information of Space Radio Monitoring Facilities</w:t>
        </w:r>
      </w:hyperlink>
      <w:r w:rsidRPr="00C020C2">
        <w:rPr>
          <w:rFonts w:eastAsia="Calibri" w:cs="Calibri"/>
          <w:sz w:val="24"/>
          <w:szCs w:val="24"/>
        </w:rPr>
        <w:t>.</w:t>
      </w:r>
      <w:r w:rsidR="005755FC" w:rsidRPr="00C020C2">
        <w:rPr>
          <w:rFonts w:eastAsia="Calibri" w:cs="Calibri"/>
          <w:sz w:val="24"/>
          <w:szCs w:val="24"/>
        </w:rPr>
        <w:t xml:space="preserve"> </w:t>
      </w:r>
    </w:p>
    <w:p w14:paraId="4BEDB082" w14:textId="5CDBCF43" w:rsidR="0011467A" w:rsidRPr="00C020C2" w:rsidRDefault="002B38AA" w:rsidP="00EE21B1">
      <w:pPr>
        <w:pStyle w:val="Heading2"/>
        <w:spacing w:before="240" w:after="120"/>
        <w:rPr>
          <w:szCs w:val="24"/>
          <w:lang w:eastAsia="en-GB"/>
        </w:rPr>
      </w:pPr>
      <w:bookmarkStart w:id="24" w:name="_Toc37860457"/>
      <w:bookmarkStart w:id="25" w:name="_Toc37861218"/>
      <w:bookmarkStart w:id="26" w:name="_Toc37943337"/>
      <w:bookmarkStart w:id="27" w:name="_Toc137211291"/>
      <w:r w:rsidRPr="00C020C2">
        <w:rPr>
          <w:szCs w:val="24"/>
          <w:lang w:eastAsia="en-GB"/>
        </w:rPr>
        <w:t>4</w:t>
      </w:r>
      <w:r w:rsidR="0011467A" w:rsidRPr="00C020C2">
        <w:rPr>
          <w:szCs w:val="24"/>
          <w:lang w:eastAsia="en-GB"/>
        </w:rPr>
        <w:t>.</w:t>
      </w:r>
      <w:r w:rsidRPr="00C020C2">
        <w:rPr>
          <w:szCs w:val="24"/>
          <w:lang w:eastAsia="en-GB"/>
        </w:rPr>
        <w:t>2</w:t>
      </w:r>
      <w:r w:rsidR="0011467A" w:rsidRPr="00C020C2">
        <w:rPr>
          <w:szCs w:val="24"/>
          <w:lang w:eastAsia="en-GB"/>
        </w:rPr>
        <w:tab/>
        <w:t>Standardization</w:t>
      </w:r>
      <w:bookmarkEnd w:id="24"/>
      <w:bookmarkEnd w:id="25"/>
      <w:bookmarkEnd w:id="26"/>
      <w:r w:rsidR="0011467A" w:rsidRPr="00C020C2">
        <w:rPr>
          <w:szCs w:val="24"/>
        </w:rPr>
        <w:t xml:space="preserve"> </w:t>
      </w:r>
      <w:r w:rsidR="0011467A" w:rsidRPr="00C020C2">
        <w:rPr>
          <w:szCs w:val="24"/>
          <w:lang w:eastAsia="en-GB"/>
        </w:rPr>
        <w:t xml:space="preserve">– foundations to shape technologies of today and </w:t>
      </w:r>
      <w:proofErr w:type="gramStart"/>
      <w:r w:rsidR="0011467A" w:rsidRPr="00C020C2">
        <w:rPr>
          <w:szCs w:val="24"/>
          <w:lang w:eastAsia="en-GB"/>
        </w:rPr>
        <w:t>tomorrow</w:t>
      </w:r>
      <w:bookmarkEnd w:id="27"/>
      <w:proofErr w:type="gramEnd"/>
    </w:p>
    <w:p w14:paraId="7899564C" w14:textId="77777777" w:rsidR="0011467A" w:rsidRPr="00C020C2" w:rsidRDefault="0011467A" w:rsidP="002A7955">
      <w:pPr>
        <w:rPr>
          <w:rFonts w:eastAsia="Calibri"/>
          <w:szCs w:val="24"/>
        </w:rPr>
      </w:pPr>
      <w:r w:rsidRPr="00C020C2">
        <w:rPr>
          <w:rFonts w:eastAsia="Calibri"/>
          <w:szCs w:val="24"/>
        </w:rPr>
        <w:t>ITU’s standardization work comprises telecommunications standards (ITU-T Recommendations) and radiocommunications standards (ITU-R Recommendations).</w:t>
      </w:r>
    </w:p>
    <w:p w14:paraId="2D90911B" w14:textId="77777777" w:rsidR="0011467A" w:rsidRPr="00C020C2" w:rsidRDefault="0011467A" w:rsidP="002A7955">
      <w:pPr>
        <w:keepNext/>
        <w:keepLines/>
        <w:ind w:left="567" w:hanging="567"/>
        <w:outlineLvl w:val="4"/>
        <w:rPr>
          <w:b/>
          <w:szCs w:val="24"/>
        </w:rPr>
      </w:pPr>
      <w:r w:rsidRPr="00C020C2">
        <w:rPr>
          <w:b/>
          <w:szCs w:val="24"/>
        </w:rPr>
        <w:lastRenderedPageBreak/>
        <w:t>ITU-T Recommendations</w:t>
      </w:r>
    </w:p>
    <w:p w14:paraId="1EB3EB92" w14:textId="5A6F6736" w:rsidR="0011467A" w:rsidRPr="00C020C2" w:rsidRDefault="59700F11" w:rsidP="002A7955">
      <w:pPr>
        <w:jc w:val="both"/>
        <w:rPr>
          <w:rFonts w:eastAsia="Calibri"/>
        </w:rPr>
      </w:pPr>
      <w:r w:rsidRPr="00C020C2">
        <w:rPr>
          <w:rFonts w:eastAsia="Calibri"/>
        </w:rPr>
        <w:t xml:space="preserve">ITU approved </w:t>
      </w:r>
      <w:hyperlink r:id="rId38">
        <w:r w:rsidRPr="00C020C2">
          <w:rPr>
            <w:rStyle w:val="Hyperlink"/>
            <w:rFonts w:eastAsia="Calibri"/>
          </w:rPr>
          <w:t>255 new and revised ITU-T Recommendations and related texts</w:t>
        </w:r>
      </w:hyperlink>
      <w:r w:rsidRPr="00C020C2">
        <w:rPr>
          <w:rFonts w:eastAsia="Calibri"/>
        </w:rPr>
        <w:t xml:space="preserve"> in the reporting period</w:t>
      </w:r>
      <w:r w:rsidR="00596A31" w:rsidRPr="00C020C2">
        <w:rPr>
          <w:rFonts w:eastAsia="Calibri"/>
        </w:rPr>
        <w:t xml:space="preserve"> (July 2022 to April 2023)</w:t>
      </w:r>
      <w:r w:rsidRPr="00C020C2">
        <w:rPr>
          <w:rFonts w:eastAsia="Calibri"/>
        </w:rPr>
        <w:t xml:space="preserve">, as of 20 March 2023. For all ITU-T Recommendations in force, see the </w:t>
      </w:r>
      <w:hyperlink r:id="rId39">
        <w:r w:rsidRPr="00C020C2">
          <w:rPr>
            <w:rStyle w:val="Hyperlink"/>
            <w:rFonts w:eastAsia="Calibri"/>
          </w:rPr>
          <w:t>catalogue of ITU-T Recommendations</w:t>
        </w:r>
      </w:hyperlink>
      <w:r w:rsidRPr="00C020C2">
        <w:rPr>
          <w:rFonts w:eastAsia="Calibri"/>
        </w:rPr>
        <w:t xml:space="preserve">. Executive summaries of ITU-T study group (SG) meetings can be found on their respective </w:t>
      </w:r>
      <w:hyperlink r:id="rId40">
        <w:r w:rsidRPr="00C020C2">
          <w:rPr>
            <w:rStyle w:val="Hyperlink"/>
            <w:rFonts w:eastAsia="Calibri"/>
          </w:rPr>
          <w:t>homepages</w:t>
        </w:r>
      </w:hyperlink>
      <w:r w:rsidRPr="00C020C2">
        <w:rPr>
          <w:rFonts w:eastAsia="Calibri"/>
        </w:rPr>
        <w:t>.</w:t>
      </w:r>
      <w:bookmarkStart w:id="28" w:name="_1.1_AI-based_mapping"/>
      <w:bookmarkEnd w:id="28"/>
      <w:r w:rsidRPr="00C020C2">
        <w:rPr>
          <w:rFonts w:eastAsia="Calibri"/>
        </w:rPr>
        <w:t xml:space="preserve"> </w:t>
      </w:r>
    </w:p>
    <w:p w14:paraId="60677E39" w14:textId="4C6CEACA" w:rsidR="0011467A" w:rsidRPr="00C020C2" w:rsidRDefault="59700F11" w:rsidP="002A7955">
      <w:pPr>
        <w:jc w:val="both"/>
        <w:rPr>
          <w:rFonts w:eastAsia="Calibri"/>
        </w:rPr>
      </w:pPr>
      <w:r w:rsidRPr="00C020C2">
        <w:rPr>
          <w:rFonts w:eastAsia="Calibri"/>
        </w:rPr>
        <w:t>More than 20 ITU-T study group meetings were held in the reporting period.</w:t>
      </w:r>
    </w:p>
    <w:p w14:paraId="1D5AEEC1" w14:textId="5D20D9E4" w:rsidR="0011467A" w:rsidRPr="00C020C2" w:rsidRDefault="00C86275" w:rsidP="002A7955">
      <w:pPr>
        <w:jc w:val="both"/>
        <w:rPr>
          <w:rFonts w:eastAsia="Calibri"/>
        </w:rPr>
      </w:pPr>
      <w:r w:rsidRPr="00C020C2">
        <w:rPr>
          <w:rFonts w:eastAsia="Calibri"/>
        </w:rPr>
        <w:t xml:space="preserve">As </w:t>
      </w:r>
      <w:r w:rsidR="006B02F7" w:rsidRPr="00C020C2">
        <w:rPr>
          <w:rFonts w:eastAsia="Calibri"/>
        </w:rPr>
        <w:t>related work, d</w:t>
      </w:r>
      <w:r w:rsidR="008C4F81" w:rsidRPr="00C020C2">
        <w:rPr>
          <w:rFonts w:eastAsia="Calibri"/>
        </w:rPr>
        <w:t>uring the 2022-2024 study period there have been a series of</w:t>
      </w:r>
      <w:r w:rsidR="0011467A" w:rsidRPr="00C020C2">
        <w:rPr>
          <w:rFonts w:eastAsia="Calibri"/>
        </w:rPr>
        <w:t xml:space="preserve"> ITU-T focus groups (FGs). Information on the activities and deliverables of each group can be found on their respective homepages. See also the </w:t>
      </w:r>
      <w:hyperlink r:id="rId41" w:history="1">
        <w:r w:rsidR="0011467A" w:rsidRPr="00C020C2">
          <w:rPr>
            <w:rStyle w:val="Hyperlink"/>
            <w:rFonts w:eastAsia="Calibri"/>
          </w:rPr>
          <w:t>ITU-T focus groups homepage</w:t>
        </w:r>
      </w:hyperlink>
      <w:r w:rsidR="0011467A" w:rsidRPr="00C020C2">
        <w:rPr>
          <w:rFonts w:eastAsia="Calibri"/>
        </w:rPr>
        <w:t>.</w:t>
      </w:r>
      <w:bookmarkStart w:id="29" w:name="_2.1_Active_groups"/>
      <w:bookmarkEnd w:id="29"/>
      <w:r w:rsidR="00B21A10" w:rsidRPr="00C020C2">
        <w:rPr>
          <w:rFonts w:eastAsia="Calibri"/>
        </w:rPr>
        <w:t xml:space="preserve"> In the corresponding sections of this report, reference to the relevant FGs is provided. Other </w:t>
      </w:r>
      <w:r w:rsidR="004B19A9" w:rsidRPr="00C020C2">
        <w:rPr>
          <w:rFonts w:eastAsia="Calibri"/>
        </w:rPr>
        <w:t xml:space="preserve">active </w:t>
      </w:r>
      <w:r w:rsidR="00B21A10" w:rsidRPr="00C020C2">
        <w:rPr>
          <w:rFonts w:eastAsia="Calibri"/>
        </w:rPr>
        <w:t>FGs are, for example, Costing models for affordable data services (FG-</w:t>
      </w:r>
      <w:proofErr w:type="spellStart"/>
      <w:r w:rsidR="00B21A10" w:rsidRPr="00C020C2">
        <w:rPr>
          <w:rFonts w:eastAsia="Calibri"/>
        </w:rPr>
        <w:t>CostingData</w:t>
      </w:r>
      <w:proofErr w:type="spellEnd"/>
      <w:r w:rsidR="00B21A10" w:rsidRPr="00C020C2">
        <w:rPr>
          <w:rFonts w:eastAsia="Calibri"/>
        </w:rPr>
        <w:t xml:space="preserve">); and </w:t>
      </w:r>
      <w:hyperlink r:id="rId42" w:history="1">
        <w:r w:rsidR="00B21A10" w:rsidRPr="00C020C2">
          <w:rPr>
            <w:rStyle w:val="Hyperlink"/>
            <w:rFonts w:eastAsia="Calibri"/>
          </w:rPr>
          <w:t>Testbeds Federations for IMT-2020 and Beyond (FG-</w:t>
        </w:r>
        <w:proofErr w:type="spellStart"/>
        <w:r w:rsidR="00B21A10" w:rsidRPr="00C020C2">
          <w:rPr>
            <w:rStyle w:val="Hyperlink"/>
            <w:rFonts w:eastAsia="Calibri"/>
          </w:rPr>
          <w:t>TBFxG</w:t>
        </w:r>
        <w:proofErr w:type="spellEnd"/>
        <w:r w:rsidR="00B21A10" w:rsidRPr="00C020C2">
          <w:rPr>
            <w:rStyle w:val="Hyperlink"/>
            <w:rFonts w:eastAsia="Calibri"/>
          </w:rPr>
          <w:t>)</w:t>
        </w:r>
      </w:hyperlink>
      <w:r w:rsidR="00B21A10" w:rsidRPr="00C020C2">
        <w:rPr>
          <w:rStyle w:val="Hyperlink"/>
          <w:rFonts w:eastAsia="Calibri"/>
        </w:rPr>
        <w:t>.</w:t>
      </w:r>
      <w:bookmarkStart w:id="30" w:name="_2.2_Concluded_groups"/>
      <w:bookmarkEnd w:id="30"/>
    </w:p>
    <w:p w14:paraId="44862879" w14:textId="77777777" w:rsidR="0011467A" w:rsidRPr="00C020C2" w:rsidRDefault="0011467A" w:rsidP="002A7955">
      <w:pPr>
        <w:keepNext/>
        <w:keepLines/>
        <w:ind w:left="567" w:hanging="567"/>
        <w:outlineLvl w:val="4"/>
        <w:rPr>
          <w:rFonts w:eastAsia="Calibri"/>
          <w:color w:val="000000"/>
        </w:rPr>
      </w:pPr>
      <w:r w:rsidRPr="00C020C2">
        <w:rPr>
          <w:b/>
          <w:bCs/>
        </w:rPr>
        <w:t>ITU-R Recommendations</w:t>
      </w:r>
    </w:p>
    <w:p w14:paraId="3D0537E1" w14:textId="6DF559EB" w:rsidR="0011467A" w:rsidRPr="00C020C2" w:rsidRDefault="001E701A" w:rsidP="002A7955">
      <w:pPr>
        <w:jc w:val="both"/>
        <w:rPr>
          <w:rStyle w:val="Hyperlink"/>
          <w:rFonts w:eastAsia="Calibri"/>
        </w:rPr>
      </w:pPr>
      <w:r w:rsidRPr="00C020C2">
        <w:rPr>
          <w:rFonts w:eastAsia="Calibri"/>
          <w:color w:val="000000" w:themeColor="text1"/>
        </w:rPr>
        <w:t xml:space="preserve">During </w:t>
      </w:r>
      <w:r w:rsidR="0011467A" w:rsidRPr="00C020C2">
        <w:rPr>
          <w:rFonts w:eastAsia="Calibri"/>
          <w:color w:val="000000" w:themeColor="text1"/>
        </w:rPr>
        <w:t>the period of July 2022 to April 2023 the ITU-R approved more than 35</w:t>
      </w:r>
      <w:r w:rsidR="0011467A" w:rsidRPr="00C020C2">
        <w:t xml:space="preserve"> </w:t>
      </w:r>
      <w:r w:rsidRPr="00C020C2">
        <w:rPr>
          <w:rFonts w:eastAsia="Calibri"/>
          <w:color w:val="000000" w:themeColor="text1"/>
        </w:rPr>
        <w:t xml:space="preserve">new </w:t>
      </w:r>
      <w:r w:rsidR="0011467A" w:rsidRPr="00C020C2">
        <w:rPr>
          <w:rFonts w:eastAsia="Calibri"/>
          <w:color w:val="000000" w:themeColor="text1"/>
        </w:rPr>
        <w:t xml:space="preserve">or revised ITU-R Recommendations, </w:t>
      </w:r>
      <w:r w:rsidR="00E4330B" w:rsidRPr="00C020C2">
        <w:rPr>
          <w:rFonts w:eastAsia="Calibri"/>
          <w:color w:val="000000" w:themeColor="text1"/>
        </w:rPr>
        <w:t>as listed below</w:t>
      </w:r>
      <w:r w:rsidR="0011467A" w:rsidRPr="00C020C2">
        <w:rPr>
          <w:rFonts w:eastAsia="Calibri"/>
          <w:color w:val="000000" w:themeColor="text1"/>
        </w:rPr>
        <w:t xml:space="preserve">. The full set of ITU-R’s recommendations is available at: </w:t>
      </w:r>
      <w:hyperlink r:id="rId43" w:history="1">
        <w:r w:rsidR="0011467A" w:rsidRPr="00C020C2">
          <w:rPr>
            <w:rStyle w:val="Hyperlink"/>
            <w:rFonts w:eastAsia="Calibri"/>
          </w:rPr>
          <w:t>https://www.itu.int/pub/R-REC</w:t>
        </w:r>
      </w:hyperlink>
      <w:r w:rsidR="0011467A" w:rsidRPr="00C020C2">
        <w:rPr>
          <w:rStyle w:val="Hyperlink"/>
          <w:rFonts w:eastAsia="Calibri"/>
        </w:rPr>
        <w:t>.</w:t>
      </w:r>
    </w:p>
    <w:p w14:paraId="3D90CAA9" w14:textId="77777777" w:rsidR="00E4330B" w:rsidRPr="00C020C2" w:rsidRDefault="00E4330B" w:rsidP="009D7F89">
      <w:pPr>
        <w:jc w:val="both"/>
        <w:rPr>
          <w:rStyle w:val="Hyperlink"/>
          <w:rFonts w:eastAsia="Calibri"/>
        </w:rPr>
      </w:pPr>
    </w:p>
    <w:tbl>
      <w:tblPr>
        <w:tblStyle w:val="ListTable3-Accent11"/>
        <w:tblW w:w="8985" w:type="dxa"/>
        <w:tblLook w:val="04A0" w:firstRow="1" w:lastRow="0" w:firstColumn="1" w:lastColumn="0" w:noHBand="0" w:noVBand="1"/>
      </w:tblPr>
      <w:tblGrid>
        <w:gridCol w:w="5379"/>
        <w:gridCol w:w="3606"/>
      </w:tblGrid>
      <w:tr w:rsidR="00E4330B" w:rsidRPr="00C020C2" w14:paraId="311B885A" w14:textId="77777777" w:rsidTr="00E4330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379" w:type="dxa"/>
            <w:hideMark/>
          </w:tcPr>
          <w:p w14:paraId="0DFDE7A0"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jc w:val="center"/>
              <w:rPr>
                <w:rFonts w:eastAsia="Calibri"/>
                <w:b w:val="0"/>
                <w:bCs w:val="0"/>
                <w:sz w:val="20"/>
              </w:rPr>
            </w:pPr>
            <w:r w:rsidRPr="00C020C2">
              <w:rPr>
                <w:rFonts w:eastAsia="Calibri"/>
                <w:sz w:val="20"/>
              </w:rPr>
              <w:t>ITU-R Working Party</w:t>
            </w:r>
          </w:p>
        </w:tc>
        <w:tc>
          <w:tcPr>
            <w:tcW w:w="3606" w:type="dxa"/>
            <w:hideMark/>
          </w:tcPr>
          <w:p w14:paraId="60AB9261"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jc w:val="center"/>
              <w:cnfStyle w:val="100000000000" w:firstRow="1" w:lastRow="0" w:firstColumn="0" w:lastColumn="0" w:oddVBand="0" w:evenVBand="0" w:oddHBand="0" w:evenHBand="0" w:firstRowFirstColumn="0" w:firstRowLastColumn="0" w:lastRowFirstColumn="0" w:lastRowLastColumn="0"/>
              <w:rPr>
                <w:rFonts w:eastAsia="Calibri"/>
                <w:b w:val="0"/>
                <w:bCs w:val="0"/>
                <w:sz w:val="20"/>
              </w:rPr>
            </w:pPr>
            <w:r w:rsidRPr="00C020C2">
              <w:rPr>
                <w:rFonts w:eastAsia="Calibri"/>
                <w:sz w:val="20"/>
              </w:rPr>
              <w:t>New or revised ITU-R Recommendations</w:t>
            </w:r>
          </w:p>
        </w:tc>
      </w:tr>
      <w:tr w:rsidR="00E4330B" w:rsidRPr="00C020C2" w14:paraId="40EC06CC" w14:textId="77777777" w:rsidTr="00E43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084ABADE"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rPr>
                <w:rFonts w:eastAsia="Calibri"/>
                <w:b w:val="0"/>
                <w:bCs w:val="0"/>
                <w:sz w:val="20"/>
              </w:rPr>
            </w:pPr>
            <w:r w:rsidRPr="00C020C2">
              <w:rPr>
                <w:rFonts w:eastAsia="Calibri"/>
                <w:b w:val="0"/>
                <w:bCs w:val="0"/>
                <w:sz w:val="20"/>
              </w:rPr>
              <w:t>WP 1A - Spectrum engineering techniques </w:t>
            </w:r>
          </w:p>
        </w:tc>
        <w:tc>
          <w:tcPr>
            <w:tcW w:w="3606" w:type="dxa"/>
            <w:hideMark/>
          </w:tcPr>
          <w:p w14:paraId="35EF85C7"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eastAsia="Calibri"/>
                <w:sz w:val="20"/>
              </w:rPr>
            </w:pPr>
            <w:r w:rsidRPr="00C020C2">
              <w:rPr>
                <w:rFonts w:eastAsia="Calibri"/>
                <w:sz w:val="20"/>
              </w:rPr>
              <w:t>SM.2151-0, SM.2152-0 </w:t>
            </w:r>
          </w:p>
        </w:tc>
      </w:tr>
      <w:tr w:rsidR="00E4330B" w:rsidRPr="00C020C2" w14:paraId="5D06276B" w14:textId="77777777" w:rsidTr="00E4330B">
        <w:trPr>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39CDA257"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rPr>
                <w:rFonts w:eastAsia="Calibri"/>
                <w:b w:val="0"/>
                <w:bCs w:val="0"/>
                <w:sz w:val="20"/>
              </w:rPr>
            </w:pPr>
            <w:r w:rsidRPr="00C020C2">
              <w:rPr>
                <w:rFonts w:eastAsia="Calibri"/>
                <w:b w:val="0"/>
                <w:bCs w:val="0"/>
                <w:sz w:val="20"/>
              </w:rPr>
              <w:t>WP 1C - Spectrum monitoring </w:t>
            </w:r>
          </w:p>
        </w:tc>
        <w:tc>
          <w:tcPr>
            <w:tcW w:w="3606" w:type="dxa"/>
            <w:hideMark/>
          </w:tcPr>
          <w:p w14:paraId="20D9C278"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eastAsia="Calibri"/>
                <w:sz w:val="20"/>
              </w:rPr>
            </w:pPr>
            <w:r w:rsidRPr="00C020C2">
              <w:rPr>
                <w:rFonts w:eastAsia="Calibri"/>
                <w:sz w:val="20"/>
              </w:rPr>
              <w:t>SM.1875-4, SM.2149-0 </w:t>
            </w:r>
          </w:p>
        </w:tc>
      </w:tr>
      <w:tr w:rsidR="00E4330B" w:rsidRPr="00C020C2" w14:paraId="60A9347D" w14:textId="77777777" w:rsidTr="00E43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50232C0E"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rPr>
                <w:rFonts w:eastAsia="Calibri"/>
                <w:b w:val="0"/>
                <w:bCs w:val="0"/>
                <w:sz w:val="20"/>
              </w:rPr>
            </w:pPr>
            <w:r w:rsidRPr="00C020C2">
              <w:rPr>
                <w:rFonts w:eastAsia="Calibri"/>
                <w:b w:val="0"/>
                <w:bCs w:val="0"/>
                <w:sz w:val="20"/>
              </w:rPr>
              <w:t>WP 3J - Propagation fundamentals </w:t>
            </w:r>
          </w:p>
        </w:tc>
        <w:tc>
          <w:tcPr>
            <w:tcW w:w="3606" w:type="dxa"/>
            <w:hideMark/>
          </w:tcPr>
          <w:p w14:paraId="705DFC69"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eastAsia="Calibri"/>
                <w:sz w:val="20"/>
              </w:rPr>
            </w:pPr>
            <w:r w:rsidRPr="00C020C2">
              <w:rPr>
                <w:rFonts w:eastAsia="Calibri"/>
                <w:sz w:val="20"/>
              </w:rPr>
              <w:t>P.581-3, P.676-13, P.841-7, P.1057-7, P.2145-0, P.2146-0, P.2148-0, </w:t>
            </w:r>
          </w:p>
        </w:tc>
      </w:tr>
      <w:tr w:rsidR="00E4330B" w:rsidRPr="00C020C2" w14:paraId="39E9FB63" w14:textId="77777777" w:rsidTr="00E4330B">
        <w:trPr>
          <w:trHeight w:val="435"/>
        </w:trPr>
        <w:tc>
          <w:tcPr>
            <w:cnfStyle w:val="001000000000" w:firstRow="0" w:lastRow="0" w:firstColumn="1" w:lastColumn="0" w:oddVBand="0" w:evenVBand="0" w:oddHBand="0" w:evenHBand="0" w:firstRowFirstColumn="0" w:firstRowLastColumn="0" w:lastRowFirstColumn="0" w:lastRowLastColumn="0"/>
            <w:tcW w:w="5379" w:type="dxa"/>
            <w:hideMark/>
          </w:tcPr>
          <w:p w14:paraId="564F926D"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rPr>
                <w:rFonts w:eastAsia="Calibri"/>
                <w:b w:val="0"/>
                <w:bCs w:val="0"/>
                <w:sz w:val="20"/>
              </w:rPr>
            </w:pPr>
            <w:r w:rsidRPr="00C020C2">
              <w:rPr>
                <w:rFonts w:eastAsia="Calibri"/>
                <w:b w:val="0"/>
                <w:bCs w:val="0"/>
                <w:sz w:val="20"/>
              </w:rPr>
              <w:t>WP 3L - Ionospheric propagation and radio noise </w:t>
            </w:r>
          </w:p>
        </w:tc>
        <w:tc>
          <w:tcPr>
            <w:tcW w:w="3606" w:type="dxa"/>
            <w:hideMark/>
          </w:tcPr>
          <w:p w14:paraId="45B13278"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eastAsia="Calibri"/>
                <w:sz w:val="20"/>
              </w:rPr>
            </w:pPr>
            <w:r w:rsidRPr="00C020C2">
              <w:rPr>
                <w:rFonts w:eastAsia="Calibri"/>
                <w:sz w:val="20"/>
              </w:rPr>
              <w:t>P.368-10, P.372-16, P.684-8 </w:t>
            </w:r>
          </w:p>
        </w:tc>
      </w:tr>
      <w:tr w:rsidR="00E4330B" w:rsidRPr="00C020C2" w14:paraId="51B205D1" w14:textId="77777777" w:rsidTr="00E43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605DDDFA"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rPr>
                <w:rFonts w:eastAsia="Calibri"/>
                <w:b w:val="0"/>
                <w:bCs w:val="0"/>
                <w:sz w:val="20"/>
              </w:rPr>
            </w:pPr>
            <w:r w:rsidRPr="00C020C2">
              <w:rPr>
                <w:rFonts w:eastAsia="Calibri"/>
                <w:b w:val="0"/>
                <w:bCs w:val="0"/>
                <w:sz w:val="20"/>
              </w:rPr>
              <w:t>WP 3M - Point-to-point and Earth-space propagation </w:t>
            </w:r>
          </w:p>
        </w:tc>
        <w:tc>
          <w:tcPr>
            <w:tcW w:w="3606" w:type="dxa"/>
            <w:hideMark/>
          </w:tcPr>
          <w:p w14:paraId="0C19B7EF"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eastAsia="Calibri"/>
                <w:sz w:val="20"/>
              </w:rPr>
            </w:pPr>
            <w:r w:rsidRPr="00C020C2">
              <w:rPr>
                <w:rFonts w:eastAsia="Calibri"/>
                <w:sz w:val="20"/>
              </w:rPr>
              <w:t>P.680-4, P.682-4, P.1622-1, P.2147-0 </w:t>
            </w:r>
          </w:p>
        </w:tc>
      </w:tr>
      <w:tr w:rsidR="00E4330B" w:rsidRPr="00C020C2" w14:paraId="2581A1BF" w14:textId="77777777" w:rsidTr="00E4330B">
        <w:trPr>
          <w:trHeight w:val="525"/>
        </w:trPr>
        <w:tc>
          <w:tcPr>
            <w:cnfStyle w:val="001000000000" w:firstRow="0" w:lastRow="0" w:firstColumn="1" w:lastColumn="0" w:oddVBand="0" w:evenVBand="0" w:oddHBand="0" w:evenHBand="0" w:firstRowFirstColumn="0" w:firstRowLastColumn="0" w:lastRowFirstColumn="0" w:lastRowLastColumn="0"/>
            <w:tcW w:w="5379" w:type="dxa"/>
            <w:hideMark/>
          </w:tcPr>
          <w:p w14:paraId="35961365"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rPr>
                <w:rFonts w:eastAsia="Calibri"/>
                <w:b w:val="0"/>
                <w:bCs w:val="0"/>
                <w:sz w:val="20"/>
              </w:rPr>
            </w:pPr>
            <w:r w:rsidRPr="00C020C2">
              <w:rPr>
                <w:rFonts w:eastAsia="Calibri"/>
                <w:b w:val="0"/>
                <w:bCs w:val="0"/>
                <w:sz w:val="20"/>
              </w:rPr>
              <w:t>WP 5A - Land mobile service above 30 MHz* (excluding IMT); wireless access in the fixed service; amateur and amateur-satellite services*including the exact frequency of 30 MHz </w:t>
            </w:r>
          </w:p>
        </w:tc>
        <w:tc>
          <w:tcPr>
            <w:tcW w:w="3606" w:type="dxa"/>
            <w:hideMark/>
          </w:tcPr>
          <w:p w14:paraId="5972D5D1"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eastAsia="Calibri"/>
                <w:sz w:val="20"/>
              </w:rPr>
            </w:pPr>
            <w:r w:rsidRPr="00C020C2">
              <w:rPr>
                <w:rFonts w:eastAsia="Calibri"/>
                <w:sz w:val="20"/>
              </w:rPr>
              <w:t>M.1732-3 </w:t>
            </w:r>
          </w:p>
        </w:tc>
      </w:tr>
      <w:tr w:rsidR="00E4330B" w:rsidRPr="00C020C2" w14:paraId="18B1D448" w14:textId="77777777" w:rsidTr="00E43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7926E8A9"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rPr>
                <w:rFonts w:eastAsia="Calibri"/>
                <w:b w:val="0"/>
                <w:bCs w:val="0"/>
                <w:sz w:val="20"/>
              </w:rPr>
            </w:pPr>
            <w:r w:rsidRPr="00C020C2">
              <w:rPr>
                <w:rFonts w:eastAsia="Calibri"/>
                <w:b w:val="0"/>
                <w:bCs w:val="0"/>
                <w:sz w:val="20"/>
              </w:rPr>
              <w:t>WP 5B - Maritime mobile service including the Global Maritime Distress and Safety System (GMDSS); aeronautical mobile service and radiodetermination service </w:t>
            </w:r>
          </w:p>
        </w:tc>
        <w:tc>
          <w:tcPr>
            <w:tcW w:w="3606" w:type="dxa"/>
            <w:hideMark/>
          </w:tcPr>
          <w:p w14:paraId="64B89826"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eastAsia="Calibri"/>
                <w:sz w:val="20"/>
              </w:rPr>
            </w:pPr>
            <w:r w:rsidRPr="00C020C2">
              <w:rPr>
                <w:rFonts w:eastAsia="Calibri"/>
                <w:sz w:val="20"/>
              </w:rPr>
              <w:t>M.1730-2, M.1849-3, M.2010-2, M.2058-1, M.2135-1,  </w:t>
            </w:r>
          </w:p>
        </w:tc>
      </w:tr>
      <w:tr w:rsidR="00E4330B" w:rsidRPr="00C020C2" w14:paraId="0BAB82EA" w14:textId="77777777" w:rsidTr="00E4330B">
        <w:trPr>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792985E6"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rPr>
                <w:rFonts w:eastAsia="Calibri"/>
                <w:b w:val="0"/>
                <w:bCs w:val="0"/>
                <w:sz w:val="20"/>
              </w:rPr>
            </w:pPr>
            <w:r w:rsidRPr="00C020C2">
              <w:rPr>
                <w:rFonts w:eastAsia="Calibri"/>
                <w:b w:val="0"/>
                <w:bCs w:val="0"/>
                <w:sz w:val="20"/>
              </w:rPr>
              <w:t>WP 5C - Fixed wireless systems; HF and other systems below 30 MHz in the fixed and land mobile services </w:t>
            </w:r>
          </w:p>
        </w:tc>
        <w:tc>
          <w:tcPr>
            <w:tcW w:w="3606" w:type="dxa"/>
            <w:hideMark/>
          </w:tcPr>
          <w:p w14:paraId="4902CE27"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eastAsia="Calibri"/>
                <w:sz w:val="20"/>
              </w:rPr>
            </w:pPr>
            <w:r w:rsidRPr="00C020C2">
              <w:rPr>
                <w:rFonts w:eastAsia="Calibri"/>
                <w:sz w:val="20"/>
              </w:rPr>
              <w:t>F.1520-4 </w:t>
            </w:r>
          </w:p>
        </w:tc>
      </w:tr>
      <w:tr w:rsidR="00E4330B" w:rsidRPr="00C020C2" w14:paraId="642925D9" w14:textId="77777777" w:rsidTr="00E43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4DCA0F31"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rPr>
                <w:rFonts w:eastAsia="Calibri"/>
                <w:b w:val="0"/>
                <w:bCs w:val="0"/>
                <w:sz w:val="20"/>
              </w:rPr>
            </w:pPr>
            <w:r w:rsidRPr="00C020C2">
              <w:rPr>
                <w:rFonts w:eastAsia="Calibri"/>
                <w:b w:val="0"/>
                <w:bCs w:val="0"/>
                <w:sz w:val="20"/>
              </w:rPr>
              <w:t>WP 6A - Terrestrial broadcasting delivery </w:t>
            </w:r>
          </w:p>
        </w:tc>
        <w:tc>
          <w:tcPr>
            <w:tcW w:w="3606" w:type="dxa"/>
            <w:hideMark/>
          </w:tcPr>
          <w:p w14:paraId="5BB5AFE1"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eastAsia="Calibri"/>
                <w:sz w:val="20"/>
              </w:rPr>
            </w:pPr>
            <w:r w:rsidRPr="00C020C2">
              <w:rPr>
                <w:rFonts w:eastAsia="Calibri"/>
                <w:sz w:val="20"/>
              </w:rPr>
              <w:t>BS.643-4, BS.1660-9, BS.2107-1, BT.2016-3 </w:t>
            </w:r>
          </w:p>
        </w:tc>
      </w:tr>
      <w:tr w:rsidR="00E4330B" w:rsidRPr="00C020C2" w14:paraId="3D9BE5F0" w14:textId="77777777" w:rsidTr="00E4330B">
        <w:trPr>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199DF13E"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rPr>
                <w:rFonts w:eastAsia="Calibri"/>
                <w:b w:val="0"/>
                <w:bCs w:val="0"/>
                <w:sz w:val="20"/>
              </w:rPr>
            </w:pPr>
            <w:r w:rsidRPr="00C020C2">
              <w:rPr>
                <w:rFonts w:eastAsia="Calibri"/>
                <w:b w:val="0"/>
                <w:bCs w:val="0"/>
                <w:sz w:val="20"/>
              </w:rPr>
              <w:t>WP 6B - Broadcast service assembly and access </w:t>
            </w:r>
          </w:p>
        </w:tc>
        <w:tc>
          <w:tcPr>
            <w:tcW w:w="3606" w:type="dxa"/>
            <w:hideMark/>
          </w:tcPr>
          <w:p w14:paraId="5B3C9138"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eastAsia="Calibri"/>
                <w:sz w:val="20"/>
              </w:rPr>
            </w:pPr>
            <w:r w:rsidRPr="00C020C2">
              <w:rPr>
                <w:rFonts w:eastAsia="Calibri"/>
                <w:sz w:val="20"/>
              </w:rPr>
              <w:t>BT.1833-4, BT.2153-0, BT.2154-0 </w:t>
            </w:r>
          </w:p>
        </w:tc>
      </w:tr>
      <w:tr w:rsidR="00E4330B" w:rsidRPr="00C020C2" w14:paraId="7ED49D52" w14:textId="77777777" w:rsidTr="00E433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20D104CD"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rPr>
                <w:rFonts w:eastAsia="Calibri"/>
                <w:b w:val="0"/>
                <w:bCs w:val="0"/>
                <w:sz w:val="20"/>
              </w:rPr>
            </w:pPr>
            <w:r w:rsidRPr="00C020C2">
              <w:rPr>
                <w:rFonts w:eastAsia="Calibri"/>
                <w:b w:val="0"/>
                <w:bCs w:val="0"/>
                <w:sz w:val="20"/>
              </w:rPr>
              <w:t>WP 6C - Programme production and quality assessment </w:t>
            </w:r>
          </w:p>
        </w:tc>
        <w:tc>
          <w:tcPr>
            <w:tcW w:w="3606" w:type="dxa"/>
            <w:hideMark/>
          </w:tcPr>
          <w:p w14:paraId="0DB1F36F"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cnfStyle w:val="000000100000" w:firstRow="0" w:lastRow="0" w:firstColumn="0" w:lastColumn="0" w:oddVBand="0" w:evenVBand="0" w:oddHBand="1" w:evenHBand="0" w:firstRowFirstColumn="0" w:firstRowLastColumn="0" w:lastRowFirstColumn="0" w:lastRowLastColumn="0"/>
              <w:rPr>
                <w:rFonts w:eastAsia="Calibri"/>
                <w:sz w:val="20"/>
              </w:rPr>
            </w:pPr>
            <w:r w:rsidRPr="00C020C2">
              <w:rPr>
                <w:rFonts w:eastAsia="Calibri"/>
                <w:sz w:val="20"/>
              </w:rPr>
              <w:t>BS.775-4 </w:t>
            </w:r>
          </w:p>
        </w:tc>
      </w:tr>
      <w:tr w:rsidR="00E4330B" w:rsidRPr="00C020C2" w14:paraId="5AE484E5" w14:textId="77777777" w:rsidTr="00E4330B">
        <w:trPr>
          <w:trHeight w:val="300"/>
        </w:trPr>
        <w:tc>
          <w:tcPr>
            <w:cnfStyle w:val="001000000000" w:firstRow="0" w:lastRow="0" w:firstColumn="1" w:lastColumn="0" w:oddVBand="0" w:evenVBand="0" w:oddHBand="0" w:evenHBand="0" w:firstRowFirstColumn="0" w:firstRowLastColumn="0" w:lastRowFirstColumn="0" w:lastRowLastColumn="0"/>
            <w:tcW w:w="5379" w:type="dxa"/>
            <w:hideMark/>
          </w:tcPr>
          <w:p w14:paraId="3DA4553D"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rPr>
                <w:rFonts w:eastAsia="Calibri"/>
                <w:b w:val="0"/>
                <w:bCs w:val="0"/>
                <w:sz w:val="20"/>
              </w:rPr>
            </w:pPr>
            <w:r w:rsidRPr="00C020C2">
              <w:rPr>
                <w:rFonts w:eastAsia="Calibri"/>
                <w:b w:val="0"/>
                <w:bCs w:val="0"/>
                <w:sz w:val="20"/>
              </w:rPr>
              <w:t>WP 7B - Space radiocommunication applications </w:t>
            </w:r>
          </w:p>
        </w:tc>
        <w:tc>
          <w:tcPr>
            <w:tcW w:w="3606" w:type="dxa"/>
            <w:hideMark/>
          </w:tcPr>
          <w:p w14:paraId="6466E823" w14:textId="77777777" w:rsidR="00E4330B" w:rsidRPr="00C020C2" w:rsidRDefault="00E4330B" w:rsidP="00D14FE7">
            <w:pPr>
              <w:tabs>
                <w:tab w:val="clear" w:pos="567"/>
                <w:tab w:val="clear" w:pos="1134"/>
                <w:tab w:val="clear" w:pos="1701"/>
                <w:tab w:val="clear" w:pos="2268"/>
                <w:tab w:val="clear" w:pos="2835"/>
              </w:tabs>
              <w:overflowPunct/>
              <w:autoSpaceDE/>
              <w:autoSpaceDN/>
              <w:adjustRightInd/>
              <w:spacing w:before="0"/>
              <w:cnfStyle w:val="000000000000" w:firstRow="0" w:lastRow="0" w:firstColumn="0" w:lastColumn="0" w:oddVBand="0" w:evenVBand="0" w:oddHBand="0" w:evenHBand="0" w:firstRowFirstColumn="0" w:firstRowLastColumn="0" w:lastRowFirstColumn="0" w:lastRowLastColumn="0"/>
              <w:rPr>
                <w:rFonts w:eastAsia="Calibri"/>
                <w:sz w:val="20"/>
              </w:rPr>
            </w:pPr>
            <w:r w:rsidRPr="00C020C2">
              <w:rPr>
                <w:rFonts w:eastAsia="Calibri"/>
                <w:sz w:val="20"/>
              </w:rPr>
              <w:t>SA.2155-0, SA.2156-0 </w:t>
            </w:r>
          </w:p>
        </w:tc>
      </w:tr>
    </w:tbl>
    <w:p w14:paraId="384921F8" w14:textId="06D5F583" w:rsidR="004F7745" w:rsidRPr="00C020C2" w:rsidRDefault="002B38AA" w:rsidP="00EE21B1">
      <w:pPr>
        <w:pStyle w:val="Heading2"/>
        <w:spacing w:before="240"/>
        <w:rPr>
          <w:lang w:eastAsia="en-GB"/>
        </w:rPr>
      </w:pPr>
      <w:bookmarkStart w:id="31" w:name="_Toc37860458"/>
      <w:bookmarkStart w:id="32" w:name="_Toc37861219"/>
      <w:bookmarkStart w:id="33" w:name="_Toc37943338"/>
      <w:bookmarkStart w:id="34" w:name="Section_1_4"/>
      <w:bookmarkStart w:id="35" w:name="_Toc137211292"/>
      <w:r w:rsidRPr="00C020C2">
        <w:rPr>
          <w:lang w:eastAsia="en-GB"/>
        </w:rPr>
        <w:t>4</w:t>
      </w:r>
      <w:r w:rsidR="0011467A" w:rsidRPr="00C020C2">
        <w:rPr>
          <w:lang w:eastAsia="en-GB"/>
        </w:rPr>
        <w:t>.</w:t>
      </w:r>
      <w:r w:rsidRPr="00C020C2">
        <w:rPr>
          <w:lang w:eastAsia="en-GB"/>
        </w:rPr>
        <w:t>3</w:t>
      </w:r>
      <w:r w:rsidR="0011467A" w:rsidRPr="00C020C2">
        <w:rPr>
          <w:lang w:eastAsia="en-GB"/>
        </w:rPr>
        <w:tab/>
        <w:t>Emerging technologies</w:t>
      </w:r>
      <w:bookmarkEnd w:id="31"/>
      <w:bookmarkEnd w:id="32"/>
      <w:bookmarkEnd w:id="33"/>
      <w:bookmarkEnd w:id="34"/>
      <w:r w:rsidR="0011467A" w:rsidRPr="00C020C2">
        <w:rPr>
          <w:lang w:eastAsia="en-GB"/>
        </w:rPr>
        <w:t xml:space="preserve"> – ITU shaping frameworks to manage their development</w:t>
      </w:r>
      <w:bookmarkEnd w:id="35"/>
    </w:p>
    <w:p w14:paraId="0DA4B239" w14:textId="00AAECC0" w:rsidR="0011467A" w:rsidRPr="00C020C2" w:rsidRDefault="0011467A" w:rsidP="00EE21B1">
      <w:pPr>
        <w:spacing w:after="120"/>
        <w:contextualSpacing/>
        <w:rPr>
          <w:rFonts w:eastAsia="Calibri"/>
          <w:b/>
        </w:rPr>
      </w:pPr>
      <w:r w:rsidRPr="00C020C2">
        <w:rPr>
          <w:rFonts w:eastAsia="Calibri"/>
          <w:b/>
        </w:rPr>
        <w:t>Artificial intelligence</w:t>
      </w:r>
    </w:p>
    <w:p w14:paraId="004A6715" w14:textId="3511C822" w:rsidR="00117411" w:rsidRPr="00C020C2" w:rsidRDefault="00117411" w:rsidP="002A7955">
      <w:pPr>
        <w:pStyle w:val="paragraph"/>
        <w:spacing w:before="120" w:beforeAutospacing="0" w:after="120" w:afterAutospacing="0"/>
        <w:jc w:val="both"/>
        <w:textAlignment w:val="baseline"/>
        <w:rPr>
          <w:rStyle w:val="normaltextrun"/>
          <w:rFonts w:asciiTheme="minorHAnsi" w:hAnsiTheme="minorHAnsi" w:cstheme="minorHAnsi"/>
        </w:rPr>
      </w:pPr>
      <w:r w:rsidRPr="00C020C2">
        <w:rPr>
          <w:rStyle w:val="normaltextrun"/>
          <w:rFonts w:asciiTheme="minorHAnsi" w:hAnsiTheme="minorHAnsi" w:cstheme="minorHAnsi"/>
        </w:rPr>
        <w:t>ITU</w:t>
      </w:r>
      <w:r w:rsidRPr="00C020C2">
        <w:rPr>
          <w:rStyle w:val="normaltextrun"/>
          <w:rFonts w:asciiTheme="minorHAnsi" w:hAnsiTheme="minorHAnsi" w:cstheme="minorHAnsi"/>
          <w:color w:val="881798"/>
          <w:sz w:val="22"/>
          <w:szCs w:val="22"/>
        </w:rPr>
        <w:t xml:space="preserve"> </w:t>
      </w:r>
      <w:r w:rsidRPr="00C020C2">
        <w:rPr>
          <w:rStyle w:val="normaltextrun"/>
          <w:rFonts w:asciiTheme="minorHAnsi" w:hAnsiTheme="minorHAnsi" w:cstheme="minorHAnsi"/>
        </w:rPr>
        <w:t>provides a global platform for all stakeholders to address the opportunities and challenges relating to the safe and inclusive development of AI technologies and applications. </w:t>
      </w:r>
    </w:p>
    <w:p w14:paraId="41613DE3" w14:textId="13E1D0A2" w:rsidR="00117411" w:rsidRPr="00C020C2" w:rsidRDefault="00C020C2" w:rsidP="002A7955">
      <w:pPr>
        <w:pStyle w:val="paragraph"/>
        <w:spacing w:before="120" w:beforeAutospacing="0" w:after="120" w:afterAutospacing="0"/>
        <w:textAlignment w:val="baseline"/>
        <w:rPr>
          <w:rStyle w:val="normaltextrun"/>
          <w:rFonts w:asciiTheme="minorHAnsi" w:hAnsiTheme="minorHAnsi" w:cstheme="minorHAnsi"/>
        </w:rPr>
      </w:pPr>
      <w:hyperlink r:id="rId44" w:tgtFrame="_blank" w:history="1">
        <w:r w:rsidR="00117411" w:rsidRPr="00C020C2">
          <w:rPr>
            <w:rStyle w:val="normaltextrun"/>
            <w:rFonts w:asciiTheme="minorHAnsi" w:hAnsiTheme="minorHAnsi" w:cstheme="minorHAnsi"/>
          </w:rPr>
          <w:t xml:space="preserve">ITU’s work </w:t>
        </w:r>
        <w:proofErr w:type="gramStart"/>
        <w:r w:rsidR="00117411" w:rsidRPr="00C020C2">
          <w:rPr>
            <w:rStyle w:val="normaltextrun"/>
            <w:rFonts w:asciiTheme="minorHAnsi" w:hAnsiTheme="minorHAnsi" w:cstheme="minorHAnsi"/>
          </w:rPr>
          <w:t>in the area of</w:t>
        </w:r>
        <w:proofErr w:type="gramEnd"/>
        <w:r w:rsidR="00117411" w:rsidRPr="00C020C2">
          <w:rPr>
            <w:rStyle w:val="normaltextrun"/>
            <w:rFonts w:asciiTheme="minorHAnsi" w:hAnsiTheme="minorHAnsi" w:cstheme="minorHAnsi"/>
          </w:rPr>
          <w:t xml:space="preserve"> AI includes</w:t>
        </w:r>
      </w:hyperlink>
      <w:r w:rsidR="0009048C" w:rsidRPr="00C020C2">
        <w:rPr>
          <w:rStyle w:val="normaltextrun"/>
          <w:rFonts w:asciiTheme="minorHAnsi" w:hAnsiTheme="minorHAnsi" w:cstheme="minorHAnsi"/>
        </w:rPr>
        <w:t>, amongst others</w:t>
      </w:r>
      <w:r w:rsidR="00117411" w:rsidRPr="00C020C2">
        <w:rPr>
          <w:rStyle w:val="normaltextrun"/>
          <w:rFonts w:asciiTheme="minorHAnsi" w:hAnsiTheme="minorHAnsi" w:cstheme="minorHAnsi"/>
        </w:rPr>
        <w:t>: </w:t>
      </w:r>
    </w:p>
    <w:p w14:paraId="605FF869" w14:textId="04784995" w:rsidR="000C08E5" w:rsidRPr="00C020C2" w:rsidRDefault="7259FE0B" w:rsidP="57480088">
      <w:pPr>
        <w:pStyle w:val="paragraph"/>
        <w:numPr>
          <w:ilvl w:val="0"/>
          <w:numId w:val="31"/>
        </w:numPr>
        <w:spacing w:before="120" w:beforeAutospacing="0" w:after="120" w:afterAutospacing="0"/>
        <w:contextualSpacing/>
        <w:jc w:val="both"/>
        <w:textAlignment w:val="baseline"/>
        <w:rPr>
          <w:rStyle w:val="normaltextrun"/>
          <w:rFonts w:asciiTheme="minorHAnsi" w:hAnsiTheme="minorHAnsi" w:cstheme="minorHAnsi"/>
          <w:lang w:eastAsia="en-US"/>
        </w:rPr>
      </w:pPr>
      <w:r w:rsidRPr="00C020C2">
        <w:rPr>
          <w:rStyle w:val="normaltextrun"/>
          <w:rFonts w:asciiTheme="minorHAnsi" w:hAnsiTheme="minorHAnsi" w:cstheme="minorHAnsi"/>
          <w:u w:val="single"/>
        </w:rPr>
        <w:t>AI in standardization</w:t>
      </w:r>
      <w:r w:rsidRPr="00C020C2">
        <w:rPr>
          <w:rStyle w:val="normaltextrun"/>
          <w:rFonts w:asciiTheme="minorHAnsi" w:hAnsiTheme="minorHAnsi" w:cstheme="minorHAnsi"/>
        </w:rPr>
        <w:t xml:space="preserve">, including the relevant </w:t>
      </w:r>
      <w:hyperlink r:id="rId45">
        <w:r w:rsidRPr="00C020C2">
          <w:rPr>
            <w:rStyle w:val="Hyperlink"/>
            <w:rFonts w:asciiTheme="minorHAnsi" w:hAnsiTheme="minorHAnsi" w:cstheme="minorHAnsi"/>
          </w:rPr>
          <w:t xml:space="preserve">ITU-T </w:t>
        </w:r>
        <w:r w:rsidR="49C055A4" w:rsidRPr="00C020C2">
          <w:rPr>
            <w:rStyle w:val="Hyperlink"/>
            <w:rFonts w:asciiTheme="minorHAnsi" w:hAnsiTheme="minorHAnsi" w:cstheme="minorHAnsi"/>
          </w:rPr>
          <w:t>focus g</w:t>
        </w:r>
        <w:r w:rsidRPr="00C020C2">
          <w:rPr>
            <w:rStyle w:val="Hyperlink"/>
            <w:rFonts w:asciiTheme="minorHAnsi" w:hAnsiTheme="minorHAnsi" w:cstheme="minorHAnsi"/>
          </w:rPr>
          <w:t>roups</w:t>
        </w:r>
      </w:hyperlink>
      <w:r w:rsidR="79B2D88B" w:rsidRPr="00C020C2">
        <w:rPr>
          <w:rStyle w:val="normaltextrun"/>
          <w:rFonts w:asciiTheme="minorHAnsi" w:hAnsiTheme="minorHAnsi" w:cstheme="minorHAnsi"/>
          <w:color w:val="881798"/>
        </w:rPr>
        <w:t xml:space="preserve"> </w:t>
      </w:r>
      <w:r w:rsidRPr="00C020C2">
        <w:rPr>
          <w:rStyle w:val="normaltextrun"/>
          <w:rFonts w:asciiTheme="minorHAnsi" w:hAnsiTheme="minorHAnsi" w:cstheme="minorHAnsi"/>
        </w:rPr>
        <w:t xml:space="preserve">(see Section </w:t>
      </w:r>
      <w:r w:rsidR="5799A4F2" w:rsidRPr="00C020C2">
        <w:rPr>
          <w:rStyle w:val="normaltextrun"/>
          <w:rFonts w:asciiTheme="minorHAnsi" w:hAnsiTheme="minorHAnsi" w:cstheme="minorHAnsi"/>
        </w:rPr>
        <w:t>4</w:t>
      </w:r>
      <w:r w:rsidRPr="00C020C2">
        <w:rPr>
          <w:rStyle w:val="normaltextrun"/>
          <w:rFonts w:asciiTheme="minorHAnsi" w:hAnsiTheme="minorHAnsi" w:cstheme="minorHAnsi"/>
        </w:rPr>
        <w:t>.</w:t>
      </w:r>
      <w:r w:rsidR="5799A4F2" w:rsidRPr="00C020C2">
        <w:rPr>
          <w:rStyle w:val="normaltextrun"/>
          <w:rFonts w:asciiTheme="minorHAnsi" w:hAnsiTheme="minorHAnsi" w:cstheme="minorHAnsi"/>
        </w:rPr>
        <w:t>2</w:t>
      </w:r>
      <w:r w:rsidRPr="00C020C2">
        <w:rPr>
          <w:rStyle w:val="normaltextrun"/>
          <w:rFonts w:asciiTheme="minorHAnsi" w:hAnsiTheme="minorHAnsi" w:cstheme="minorHAnsi"/>
        </w:rPr>
        <w:t xml:space="preserve"> for further detail). </w:t>
      </w:r>
    </w:p>
    <w:p w14:paraId="350C49CD" w14:textId="15AB9320" w:rsidR="000C08E5" w:rsidRPr="00C020C2" w:rsidRDefault="00C020C2" w:rsidP="00EE21B1">
      <w:pPr>
        <w:pStyle w:val="paragraph"/>
        <w:numPr>
          <w:ilvl w:val="0"/>
          <w:numId w:val="31"/>
        </w:numPr>
        <w:spacing w:before="120" w:beforeAutospacing="0" w:after="120" w:afterAutospacing="0"/>
        <w:contextualSpacing/>
        <w:jc w:val="both"/>
        <w:textAlignment w:val="baseline"/>
        <w:rPr>
          <w:rStyle w:val="normaltextrun"/>
          <w:rFonts w:asciiTheme="minorHAnsi" w:hAnsiTheme="minorHAnsi" w:cstheme="minorHAnsi"/>
          <w:lang w:eastAsia="en-US"/>
        </w:rPr>
      </w:pPr>
      <w:hyperlink r:id="rId46" w:history="1">
        <w:r w:rsidR="00117411" w:rsidRPr="00C020C2">
          <w:rPr>
            <w:rStyle w:val="Hyperlink"/>
            <w:rFonts w:asciiTheme="minorHAnsi" w:hAnsiTheme="minorHAnsi" w:cstheme="minorHAnsi"/>
          </w:rPr>
          <w:t>AI for Good</w:t>
        </w:r>
      </w:hyperlink>
      <w:r w:rsidR="00117411" w:rsidRPr="00C020C2">
        <w:rPr>
          <w:rStyle w:val="normaltextrun"/>
          <w:rFonts w:asciiTheme="minorHAnsi" w:hAnsiTheme="minorHAnsi" w:cstheme="minorHAnsi"/>
        </w:rPr>
        <w:t xml:space="preserve"> (see Section </w:t>
      </w:r>
      <w:r w:rsidR="00174357" w:rsidRPr="00C020C2">
        <w:rPr>
          <w:rStyle w:val="normaltextrun"/>
          <w:rFonts w:asciiTheme="minorHAnsi" w:hAnsiTheme="minorHAnsi" w:cstheme="minorHAnsi"/>
        </w:rPr>
        <w:t>4.9</w:t>
      </w:r>
      <w:r w:rsidR="00117411" w:rsidRPr="00C020C2">
        <w:rPr>
          <w:rStyle w:val="normaltextrun"/>
          <w:rFonts w:asciiTheme="minorHAnsi" w:hAnsiTheme="minorHAnsi" w:cstheme="minorHAnsi"/>
        </w:rPr>
        <w:t xml:space="preserve"> for further detail). </w:t>
      </w:r>
    </w:p>
    <w:p w14:paraId="65109BAE" w14:textId="41176B81" w:rsidR="000C08E5" w:rsidRPr="00C020C2" w:rsidRDefault="00C020C2" w:rsidP="00A84A1B">
      <w:pPr>
        <w:pStyle w:val="paragraph"/>
        <w:numPr>
          <w:ilvl w:val="0"/>
          <w:numId w:val="31"/>
        </w:numPr>
        <w:spacing w:before="120" w:beforeAutospacing="0" w:after="120" w:afterAutospacing="0"/>
        <w:contextualSpacing/>
        <w:jc w:val="both"/>
        <w:textAlignment w:val="baseline"/>
        <w:rPr>
          <w:rStyle w:val="normaltextrun"/>
          <w:rFonts w:asciiTheme="minorHAnsi" w:hAnsiTheme="minorHAnsi" w:cstheme="minorHAnsi"/>
        </w:rPr>
      </w:pPr>
      <w:r w:rsidRPr="00C020C2">
        <w:lastRenderedPageBreak/>
        <w:fldChar w:fldCharType="begin"/>
      </w:r>
      <w:r w:rsidRPr="00C020C2">
        <w:rPr>
          <w:lang w:val="fr-FR"/>
        </w:rPr>
        <w:instrText>HYPERLINK "https://www.itu.int/dms_pub/itu-s/opb/gen/S-GEN-UNACT-2022-PDF-E.pdf"</w:instrText>
      </w:r>
      <w:r w:rsidRPr="00C020C2">
        <w:fldChar w:fldCharType="separate"/>
      </w:r>
      <w:r w:rsidR="00117411" w:rsidRPr="00C020C2">
        <w:rPr>
          <w:rStyle w:val="Hyperlink"/>
          <w:rFonts w:asciiTheme="minorHAnsi" w:hAnsiTheme="minorHAnsi" w:cstheme="minorHAnsi"/>
          <w:lang w:val="fr-FR"/>
        </w:rPr>
        <w:t xml:space="preserve">UN </w:t>
      </w:r>
      <w:proofErr w:type="spellStart"/>
      <w:r w:rsidR="00117411" w:rsidRPr="00C020C2">
        <w:rPr>
          <w:rStyle w:val="Hyperlink"/>
          <w:rFonts w:asciiTheme="minorHAnsi" w:hAnsiTheme="minorHAnsi" w:cstheme="minorHAnsi"/>
          <w:lang w:val="fr-FR"/>
        </w:rPr>
        <w:t>Activities</w:t>
      </w:r>
      <w:proofErr w:type="spellEnd"/>
      <w:r w:rsidR="00117411" w:rsidRPr="00C020C2">
        <w:rPr>
          <w:rStyle w:val="Hyperlink"/>
          <w:rFonts w:asciiTheme="minorHAnsi" w:hAnsiTheme="minorHAnsi" w:cstheme="minorHAnsi"/>
          <w:lang w:val="fr-FR"/>
        </w:rPr>
        <w:t xml:space="preserve"> on AI Report</w:t>
      </w:r>
      <w:r w:rsidRPr="00C020C2">
        <w:rPr>
          <w:rStyle w:val="Hyperlink"/>
          <w:rFonts w:asciiTheme="minorHAnsi" w:hAnsiTheme="minorHAnsi" w:cstheme="minorHAnsi"/>
          <w:lang w:val="fr-FR"/>
        </w:rPr>
        <w:fldChar w:fldCharType="end"/>
      </w:r>
      <w:r w:rsidR="001E701A" w:rsidRPr="00C020C2">
        <w:rPr>
          <w:rStyle w:val="normaltextrun"/>
          <w:rFonts w:asciiTheme="minorHAnsi" w:hAnsiTheme="minorHAnsi" w:cstheme="minorHAnsi"/>
          <w:lang w:val="fr-FR"/>
        </w:rPr>
        <w:t>.</w:t>
      </w:r>
      <w:r w:rsidR="00CB6F2A" w:rsidRPr="00C020C2">
        <w:rPr>
          <w:rStyle w:val="normaltextrun"/>
          <w:rFonts w:asciiTheme="minorHAnsi" w:hAnsiTheme="minorHAnsi" w:cstheme="minorHAnsi"/>
          <w:u w:val="single"/>
          <w:lang w:val="fr-FR"/>
        </w:rPr>
        <w:t xml:space="preserve"> </w:t>
      </w:r>
      <w:r w:rsidR="00CB6F2A" w:rsidRPr="00C020C2">
        <w:rPr>
          <w:rStyle w:val="normaltextrun"/>
          <w:rFonts w:asciiTheme="minorHAnsi" w:hAnsiTheme="minorHAnsi" w:cstheme="minorHAnsi"/>
          <w:u w:val="single"/>
        </w:rPr>
        <w:t>UN High-Level Committee on Programmes (HLCP) Interagency Working Group on AI</w:t>
      </w:r>
      <w:r w:rsidR="00CB6F2A" w:rsidRPr="00C020C2">
        <w:rPr>
          <w:rStyle w:val="normaltextrun"/>
          <w:rFonts w:asciiTheme="minorHAnsi" w:hAnsiTheme="minorHAnsi" w:cstheme="minorHAnsi"/>
        </w:rPr>
        <w:t xml:space="preserve"> (</w:t>
      </w:r>
      <w:hyperlink r:id="rId47">
        <w:r w:rsidR="00CB6F2A" w:rsidRPr="00C020C2">
          <w:rPr>
            <w:rStyle w:val="Hyperlink"/>
            <w:rFonts w:asciiTheme="minorHAnsi" w:hAnsiTheme="minorHAnsi" w:cstheme="minorHAnsi"/>
          </w:rPr>
          <w:t>IAWG-AI</w:t>
        </w:r>
      </w:hyperlink>
      <w:r w:rsidR="00CB6F2A" w:rsidRPr="00C020C2">
        <w:rPr>
          <w:rStyle w:val="normaltextrun"/>
          <w:rFonts w:asciiTheme="minorHAnsi" w:hAnsiTheme="minorHAnsi" w:cstheme="minorHAnsi"/>
        </w:rPr>
        <w:t>): The IAWG-AI, established during the 40th HLCP session in October 2020 to focus on policy and programmatic coherence of AI activities, is co-led by ITU and UNESCO.</w:t>
      </w:r>
    </w:p>
    <w:p w14:paraId="3E0D10FD" w14:textId="007DA759" w:rsidR="000C08E5" w:rsidRPr="00C020C2" w:rsidRDefault="00C020C2" w:rsidP="00EE21B1">
      <w:pPr>
        <w:pStyle w:val="paragraph"/>
        <w:numPr>
          <w:ilvl w:val="0"/>
          <w:numId w:val="31"/>
        </w:numPr>
        <w:spacing w:before="120" w:beforeAutospacing="0" w:after="120" w:afterAutospacing="0"/>
        <w:contextualSpacing/>
        <w:jc w:val="both"/>
        <w:textAlignment w:val="baseline"/>
        <w:rPr>
          <w:rStyle w:val="normaltextrun"/>
          <w:rFonts w:asciiTheme="minorHAnsi" w:hAnsiTheme="minorHAnsi" w:cstheme="minorHAnsi"/>
          <w:lang w:eastAsia="en-US"/>
        </w:rPr>
      </w:pPr>
      <w:hyperlink r:id="rId48" w:history="1">
        <w:r w:rsidR="001E701A" w:rsidRPr="00C020C2">
          <w:rPr>
            <w:rStyle w:val="Hyperlink"/>
            <w:rFonts w:asciiTheme="minorHAnsi" w:hAnsiTheme="minorHAnsi" w:cstheme="minorHAnsi"/>
          </w:rPr>
          <w:t>Global Initiative on AI and Data Commons</w:t>
        </w:r>
        <w:r w:rsidR="001E701A" w:rsidRPr="00C020C2">
          <w:rPr>
            <w:rStyle w:val="Hyperlink"/>
            <w:rFonts w:asciiTheme="minorHAnsi" w:hAnsiTheme="minorHAnsi" w:cstheme="minorHAnsi"/>
            <w:color w:val="auto"/>
            <w:u w:val="none"/>
          </w:rPr>
          <w:t>.</w:t>
        </w:r>
      </w:hyperlink>
    </w:p>
    <w:p w14:paraId="7C64D572" w14:textId="3DC0BE66" w:rsidR="000C08E5" w:rsidRPr="00C020C2" w:rsidRDefault="00117411" w:rsidP="00EE21B1">
      <w:pPr>
        <w:pStyle w:val="paragraph"/>
        <w:numPr>
          <w:ilvl w:val="0"/>
          <w:numId w:val="31"/>
        </w:numPr>
        <w:spacing w:before="120" w:beforeAutospacing="0" w:after="120" w:afterAutospacing="0"/>
        <w:contextualSpacing/>
        <w:jc w:val="both"/>
        <w:textAlignment w:val="baseline"/>
        <w:rPr>
          <w:rStyle w:val="normaltextrun"/>
          <w:rFonts w:asciiTheme="minorHAnsi" w:hAnsiTheme="minorHAnsi" w:cstheme="minorHAnsi"/>
          <w:lang w:eastAsia="en-US"/>
        </w:rPr>
      </w:pPr>
      <w:r w:rsidRPr="00C020C2">
        <w:rPr>
          <w:rStyle w:val="normaltextrun"/>
          <w:rFonts w:asciiTheme="minorHAnsi" w:hAnsiTheme="minorHAnsi" w:cstheme="minorHAnsi"/>
        </w:rPr>
        <w:t>AI/ML Competitions (“Challenges”): In 2022, The ITU AI/ML Challenges were hosted in three</w:t>
      </w:r>
      <w:r w:rsidR="005149EB" w:rsidRPr="00C020C2">
        <w:rPr>
          <w:rStyle w:val="normaltextrun"/>
          <w:rFonts w:asciiTheme="minorHAnsi" w:hAnsiTheme="minorHAnsi" w:cstheme="minorHAnsi"/>
        </w:rPr>
        <w:t xml:space="preserve"> </w:t>
      </w:r>
      <w:r w:rsidRPr="00C020C2">
        <w:rPr>
          <w:rStyle w:val="normaltextrun"/>
          <w:rFonts w:asciiTheme="minorHAnsi" w:hAnsiTheme="minorHAnsi" w:cstheme="minorHAnsi"/>
        </w:rPr>
        <w:t>main themes: AI/ML in 5G Challenge</w:t>
      </w:r>
      <w:r w:rsidR="000C08E5" w:rsidRPr="00C020C2">
        <w:rPr>
          <w:rStyle w:val="normaltextrun"/>
          <w:rFonts w:asciiTheme="minorHAnsi" w:hAnsiTheme="minorHAnsi" w:cstheme="minorHAnsi"/>
        </w:rPr>
        <w:t>;</w:t>
      </w:r>
      <w:r w:rsidRPr="00C020C2">
        <w:rPr>
          <w:rStyle w:val="normaltextrun"/>
          <w:rFonts w:asciiTheme="minorHAnsi" w:hAnsiTheme="minorHAnsi" w:cstheme="minorHAnsi"/>
        </w:rPr>
        <w:t xml:space="preserve"> GeoAI Challenge</w:t>
      </w:r>
      <w:r w:rsidR="000C08E5" w:rsidRPr="00C020C2">
        <w:rPr>
          <w:rStyle w:val="normaltextrun"/>
          <w:rFonts w:asciiTheme="minorHAnsi" w:hAnsiTheme="minorHAnsi" w:cstheme="minorHAnsi"/>
        </w:rPr>
        <w:t>;</w:t>
      </w:r>
      <w:r w:rsidRPr="00C020C2">
        <w:rPr>
          <w:rStyle w:val="normaltextrun"/>
          <w:rFonts w:asciiTheme="minorHAnsi" w:hAnsiTheme="minorHAnsi" w:cstheme="minorHAnsi"/>
        </w:rPr>
        <w:t xml:space="preserve"> and tinyML Challenge. </w:t>
      </w:r>
    </w:p>
    <w:p w14:paraId="6E86F571" w14:textId="77777777" w:rsidR="0011467A" w:rsidRPr="00C020C2" w:rsidRDefault="0011467A" w:rsidP="00EE21B1">
      <w:pPr>
        <w:spacing w:after="120"/>
        <w:contextualSpacing/>
        <w:jc w:val="both"/>
        <w:rPr>
          <w:rFonts w:asciiTheme="minorHAnsi" w:eastAsia="Calibri" w:hAnsiTheme="minorHAnsi" w:cstheme="minorHAnsi"/>
        </w:rPr>
      </w:pPr>
      <w:r w:rsidRPr="00C020C2">
        <w:rPr>
          <w:rFonts w:asciiTheme="minorHAnsi" w:eastAsia="Calibri" w:hAnsiTheme="minorHAnsi" w:cstheme="minorHAnsi"/>
          <w:b/>
        </w:rPr>
        <w:t>Internet of Things</w:t>
      </w:r>
    </w:p>
    <w:p w14:paraId="4A82E636" w14:textId="7631C1C4" w:rsidR="0011467A" w:rsidRPr="00C020C2" w:rsidRDefault="59700F11" w:rsidP="57480088">
      <w:pPr>
        <w:pStyle w:val="yiv3170009829msonormal"/>
        <w:shd w:val="clear" w:color="auto" w:fill="FFFFFF" w:themeFill="background1"/>
        <w:spacing w:before="120" w:after="120" w:line="233" w:lineRule="atLeast"/>
        <w:contextualSpacing/>
        <w:jc w:val="both"/>
        <w:rPr>
          <w:rFonts w:asciiTheme="minorHAnsi" w:hAnsiTheme="minorHAnsi" w:cstheme="minorHAnsi"/>
          <w:lang w:val="en-GB"/>
        </w:rPr>
      </w:pPr>
      <w:r w:rsidRPr="00C020C2">
        <w:rPr>
          <w:rFonts w:asciiTheme="minorHAnsi" w:hAnsiTheme="minorHAnsi" w:cstheme="minorHAnsi"/>
          <w:color w:val="1D2228"/>
          <w:lang w:val="en-US"/>
        </w:rPr>
        <w:t>ITU continues the development of standards related to interoperable IoT technologies and applications</w:t>
      </w:r>
      <w:r w:rsidR="0E96783E" w:rsidRPr="00C020C2">
        <w:rPr>
          <w:rFonts w:asciiTheme="minorHAnsi" w:hAnsiTheme="minorHAnsi" w:cstheme="minorHAnsi"/>
          <w:color w:val="1D2228"/>
          <w:lang w:val="en-US"/>
        </w:rPr>
        <w:t>. This</w:t>
      </w:r>
      <w:r w:rsidRPr="00C020C2">
        <w:rPr>
          <w:rFonts w:asciiTheme="minorHAnsi" w:hAnsiTheme="minorHAnsi" w:cstheme="minorHAnsi"/>
          <w:color w:val="1D2228"/>
          <w:lang w:val="en-US"/>
        </w:rPr>
        <w:t xml:space="preserve"> includes topics relating to big data aspects of IoT and smart cities and communities (SC&amp;C) and digital transformation relevant to IoT and SC&amp;C aspects. </w:t>
      </w:r>
    </w:p>
    <w:p w14:paraId="1AC690B1" w14:textId="77777777" w:rsidR="0011467A" w:rsidRPr="00C020C2" w:rsidRDefault="0011467A" w:rsidP="00EE21B1">
      <w:pPr>
        <w:pStyle w:val="yiv3170009829msonormal"/>
        <w:shd w:val="clear" w:color="auto" w:fill="FFFFFF"/>
        <w:spacing w:before="120" w:after="120" w:line="233" w:lineRule="atLeast"/>
        <w:contextualSpacing/>
        <w:jc w:val="both"/>
        <w:rPr>
          <w:rFonts w:asciiTheme="minorHAnsi" w:hAnsiTheme="minorHAnsi" w:cstheme="minorHAnsi"/>
          <w:lang w:val="en-GB"/>
        </w:rPr>
      </w:pPr>
      <w:r w:rsidRPr="00C020C2">
        <w:rPr>
          <w:rFonts w:asciiTheme="minorHAnsi" w:hAnsiTheme="minorHAnsi" w:cstheme="minorHAnsi"/>
          <w:color w:val="1D2228"/>
          <w:lang w:val="en-US"/>
        </w:rPr>
        <w:t>See also the </w:t>
      </w:r>
      <w:r w:rsidR="00C020C2" w:rsidRPr="00C020C2">
        <w:fldChar w:fldCharType="begin"/>
      </w:r>
      <w:r w:rsidR="00C020C2" w:rsidRPr="00C020C2">
        <w:rPr>
          <w:lang w:val="en-GB"/>
        </w:rPr>
        <w:instrText>HYPERLINK "https://www.itu.int/go/tsg20"</w:instrText>
      </w:r>
      <w:r w:rsidR="00C020C2" w:rsidRPr="00C020C2">
        <w:fldChar w:fldCharType="separate"/>
      </w:r>
      <w:r w:rsidRPr="00C020C2">
        <w:rPr>
          <w:rStyle w:val="Hyperlink"/>
          <w:rFonts w:asciiTheme="minorHAnsi" w:eastAsiaTheme="majorEastAsia" w:hAnsiTheme="minorHAnsi" w:cstheme="minorHAnsi"/>
          <w:lang w:val="en-US"/>
        </w:rPr>
        <w:t>ITU-T SG20 homepage</w:t>
      </w:r>
      <w:r w:rsidR="00C020C2" w:rsidRPr="00C020C2">
        <w:rPr>
          <w:rStyle w:val="Hyperlink"/>
          <w:rFonts w:asciiTheme="minorHAnsi" w:eastAsiaTheme="majorEastAsia" w:hAnsiTheme="minorHAnsi" w:cstheme="minorHAnsi"/>
          <w:lang w:val="en-US"/>
        </w:rPr>
        <w:fldChar w:fldCharType="end"/>
      </w:r>
      <w:r w:rsidRPr="00C020C2">
        <w:rPr>
          <w:rStyle w:val="yiv3170009829msohyperlink"/>
          <w:rFonts w:asciiTheme="minorHAnsi" w:hAnsiTheme="minorHAnsi" w:cstheme="minorHAnsi"/>
          <w:lang w:val="en-US"/>
        </w:rPr>
        <w:t> and</w:t>
      </w:r>
      <w:r w:rsidRPr="00C020C2">
        <w:rPr>
          <w:rFonts w:asciiTheme="minorHAnsi" w:hAnsiTheme="minorHAnsi" w:cstheme="minorHAnsi"/>
          <w:color w:val="1D2228"/>
          <w:lang w:val="en-US"/>
        </w:rPr>
        <w:t> </w:t>
      </w:r>
      <w:r w:rsidR="00C020C2" w:rsidRPr="00C020C2">
        <w:fldChar w:fldCharType="begin"/>
      </w:r>
      <w:r w:rsidR="00C020C2" w:rsidRPr="00C020C2">
        <w:rPr>
          <w:lang w:val="en-GB"/>
        </w:rPr>
        <w:instrText>HYPERLINK "https://www.itu.int/ITU-T/recommendations/index_sg.aspx?sg=20"</w:instrText>
      </w:r>
      <w:r w:rsidR="00C020C2" w:rsidRPr="00C020C2">
        <w:fldChar w:fldCharType="separate"/>
      </w:r>
      <w:r w:rsidRPr="00C020C2">
        <w:rPr>
          <w:rStyle w:val="Hyperlink"/>
          <w:rFonts w:asciiTheme="minorHAnsi" w:eastAsiaTheme="majorEastAsia" w:hAnsiTheme="minorHAnsi" w:cstheme="minorHAnsi"/>
          <w:lang w:val="en-US"/>
        </w:rPr>
        <w:t>List of Recommendations</w:t>
      </w:r>
      <w:r w:rsidR="00C020C2" w:rsidRPr="00C020C2">
        <w:rPr>
          <w:rStyle w:val="Hyperlink"/>
          <w:rFonts w:asciiTheme="minorHAnsi" w:eastAsiaTheme="majorEastAsia" w:hAnsiTheme="minorHAnsi" w:cstheme="minorHAnsi"/>
          <w:lang w:val="en-US"/>
        </w:rPr>
        <w:fldChar w:fldCharType="end"/>
      </w:r>
      <w:r w:rsidRPr="00C020C2">
        <w:rPr>
          <w:rStyle w:val="Hyperlink"/>
          <w:rFonts w:asciiTheme="minorHAnsi" w:eastAsiaTheme="majorEastAsia" w:hAnsiTheme="minorHAnsi" w:cstheme="minorHAnsi"/>
          <w:lang w:val="en-GB"/>
        </w:rPr>
        <w:t>.</w:t>
      </w:r>
    </w:p>
    <w:p w14:paraId="4EA99F6E" w14:textId="77777777" w:rsidR="0011467A" w:rsidRPr="00C020C2" w:rsidRDefault="0011467A" w:rsidP="00EE21B1">
      <w:pPr>
        <w:spacing w:after="120"/>
        <w:contextualSpacing/>
        <w:jc w:val="both"/>
        <w:rPr>
          <w:rFonts w:asciiTheme="minorHAnsi" w:eastAsia="Calibri" w:hAnsiTheme="minorHAnsi" w:cstheme="minorHAnsi"/>
        </w:rPr>
      </w:pPr>
      <w:r w:rsidRPr="00C020C2">
        <w:rPr>
          <w:rFonts w:asciiTheme="minorHAnsi" w:eastAsia="Calibri" w:hAnsiTheme="minorHAnsi" w:cstheme="minorHAnsi"/>
          <w:b/>
        </w:rPr>
        <w:t>Quantum information technology</w:t>
      </w:r>
    </w:p>
    <w:p w14:paraId="1B7B8F3E" w14:textId="10CA5DF2" w:rsidR="00542C6D" w:rsidRPr="00C020C2" w:rsidRDefault="58130708" w:rsidP="002A7955">
      <w:pPr>
        <w:pStyle w:val="paragraph"/>
        <w:spacing w:before="120" w:beforeAutospacing="0" w:after="120" w:afterAutospacing="0"/>
        <w:jc w:val="both"/>
        <w:textAlignment w:val="baseline"/>
        <w:rPr>
          <w:rFonts w:asciiTheme="minorHAnsi" w:hAnsiTheme="minorHAnsi" w:cstheme="minorHAnsi"/>
        </w:rPr>
      </w:pPr>
      <w:r w:rsidRPr="00C020C2">
        <w:rPr>
          <w:rStyle w:val="normaltextrun"/>
          <w:rFonts w:asciiTheme="minorHAnsi" w:hAnsiTheme="minorHAnsi" w:cstheme="minorHAnsi"/>
        </w:rPr>
        <w:t xml:space="preserve">Quantum information technology (QIT) improves information processing capability by harnessing principles of quantum mechanics. ITU’s work </w:t>
      </w:r>
      <w:proofErr w:type="gramStart"/>
      <w:r w:rsidRPr="00C020C2">
        <w:rPr>
          <w:rStyle w:val="normaltextrun"/>
          <w:rFonts w:asciiTheme="minorHAnsi" w:hAnsiTheme="minorHAnsi" w:cstheme="minorHAnsi"/>
        </w:rPr>
        <w:t>in the area of</w:t>
      </w:r>
      <w:proofErr w:type="gramEnd"/>
      <w:r w:rsidRPr="00C020C2">
        <w:rPr>
          <w:rStyle w:val="normaltextrun"/>
          <w:rFonts w:asciiTheme="minorHAnsi" w:hAnsiTheme="minorHAnsi" w:cstheme="minorHAnsi"/>
        </w:rPr>
        <w:t xml:space="preserve"> QIT includes:</w:t>
      </w:r>
      <w:r w:rsidRPr="00C020C2">
        <w:rPr>
          <w:rStyle w:val="eop"/>
          <w:rFonts w:asciiTheme="minorHAnsi" w:hAnsiTheme="minorHAnsi" w:cstheme="minorHAnsi"/>
        </w:rPr>
        <w:t> </w:t>
      </w:r>
    </w:p>
    <w:p w14:paraId="15CE0EEB" w14:textId="10C7541A" w:rsidR="000C08E5" w:rsidRPr="00C020C2" w:rsidRDefault="00542C6D" w:rsidP="00EE21B1">
      <w:pPr>
        <w:pStyle w:val="paragraph"/>
        <w:numPr>
          <w:ilvl w:val="0"/>
          <w:numId w:val="32"/>
        </w:numPr>
        <w:spacing w:before="120" w:beforeAutospacing="0" w:after="120" w:afterAutospacing="0"/>
        <w:contextualSpacing/>
        <w:jc w:val="both"/>
        <w:textAlignment w:val="baseline"/>
        <w:rPr>
          <w:rFonts w:asciiTheme="minorHAnsi" w:hAnsiTheme="minorHAnsi" w:cstheme="minorHAnsi"/>
        </w:rPr>
      </w:pPr>
      <w:r w:rsidRPr="00C020C2">
        <w:rPr>
          <w:rStyle w:val="normaltextrun"/>
          <w:rFonts w:asciiTheme="minorHAnsi" w:hAnsiTheme="minorHAnsi" w:cstheme="minorHAnsi"/>
          <w:u w:val="single"/>
        </w:rPr>
        <w:t>QIT in standardization</w:t>
      </w:r>
      <w:r w:rsidRPr="00C020C2">
        <w:rPr>
          <w:rStyle w:val="normaltextrun"/>
          <w:rFonts w:asciiTheme="minorHAnsi" w:hAnsiTheme="minorHAnsi" w:cstheme="minorHAnsi"/>
        </w:rPr>
        <w:t xml:space="preserve">: Several ITU-T </w:t>
      </w:r>
      <w:r w:rsidR="00946F92" w:rsidRPr="00C020C2">
        <w:rPr>
          <w:rStyle w:val="normaltextrun"/>
          <w:rFonts w:asciiTheme="minorHAnsi" w:hAnsiTheme="minorHAnsi" w:cstheme="minorHAnsi"/>
        </w:rPr>
        <w:t>study groups</w:t>
      </w:r>
      <w:r w:rsidRPr="00C020C2">
        <w:rPr>
          <w:rStyle w:val="normaltextrun"/>
          <w:rFonts w:asciiTheme="minorHAnsi" w:hAnsiTheme="minorHAnsi" w:cstheme="minorHAnsi"/>
        </w:rPr>
        <w:t xml:space="preserve">, including SGs 11, 13 and 17 are developing ITU-T Recommendations in this field. </w:t>
      </w:r>
      <w:r w:rsidRPr="00C020C2">
        <w:rPr>
          <w:rStyle w:val="normaltextrun"/>
          <w:rFonts w:asciiTheme="minorHAnsi" w:hAnsiTheme="minorHAnsi" w:cstheme="minorHAnsi"/>
          <w:lang w:val="en-US"/>
        </w:rPr>
        <w:t xml:space="preserve">Nine standards </w:t>
      </w:r>
      <w:r w:rsidR="00946F92" w:rsidRPr="00C020C2">
        <w:rPr>
          <w:rStyle w:val="normaltextrun"/>
          <w:rFonts w:asciiTheme="minorHAnsi" w:hAnsiTheme="minorHAnsi" w:cstheme="minorHAnsi"/>
          <w:lang w:val="en-US"/>
        </w:rPr>
        <w:t xml:space="preserve">have been </w:t>
      </w:r>
      <w:r w:rsidRPr="00C020C2">
        <w:rPr>
          <w:rStyle w:val="normaltextrun"/>
          <w:rFonts w:asciiTheme="minorHAnsi" w:hAnsiTheme="minorHAnsi" w:cstheme="minorHAnsi"/>
          <w:lang w:val="en-US"/>
        </w:rPr>
        <w:t>developed since 2022 including X.1715 and Y.3809-3814.</w:t>
      </w:r>
      <w:r w:rsidRPr="00C020C2">
        <w:rPr>
          <w:rStyle w:val="eop"/>
          <w:rFonts w:asciiTheme="minorHAnsi" w:hAnsiTheme="minorHAnsi" w:cstheme="minorHAnsi"/>
        </w:rPr>
        <w:t> </w:t>
      </w:r>
    </w:p>
    <w:p w14:paraId="6FA02F85" w14:textId="591C4968" w:rsidR="0011467A" w:rsidRPr="00C020C2" w:rsidRDefault="00542C6D" w:rsidP="00EE21B1">
      <w:pPr>
        <w:pStyle w:val="paragraph"/>
        <w:numPr>
          <w:ilvl w:val="0"/>
          <w:numId w:val="32"/>
        </w:numPr>
        <w:spacing w:before="120" w:beforeAutospacing="0" w:after="120" w:afterAutospacing="0"/>
        <w:contextualSpacing/>
        <w:jc w:val="both"/>
        <w:textAlignment w:val="baseline"/>
        <w:rPr>
          <w:rFonts w:asciiTheme="minorHAnsi" w:hAnsiTheme="minorHAnsi" w:cstheme="minorHAnsi"/>
        </w:rPr>
      </w:pPr>
      <w:r w:rsidRPr="00C020C2">
        <w:rPr>
          <w:rStyle w:val="normaltextrun"/>
          <w:rFonts w:asciiTheme="minorHAnsi" w:hAnsiTheme="minorHAnsi" w:cstheme="minorHAnsi"/>
          <w:u w:val="single"/>
        </w:rPr>
        <w:t>Joint Coordination Activity on Quantum Key Distribution Network </w:t>
      </w:r>
      <w:r w:rsidR="00946F92" w:rsidRPr="00C020C2">
        <w:rPr>
          <w:rStyle w:val="normaltextrun"/>
          <w:rFonts w:asciiTheme="minorHAnsi" w:hAnsiTheme="minorHAnsi" w:cstheme="minorHAnsi"/>
          <w:u w:val="single"/>
        </w:rPr>
        <w:t xml:space="preserve"> </w:t>
      </w:r>
      <w:r w:rsidRPr="00C020C2">
        <w:rPr>
          <w:rStyle w:val="normaltextrun"/>
          <w:rFonts w:asciiTheme="minorHAnsi" w:hAnsiTheme="minorHAnsi" w:cstheme="minorHAnsi"/>
        </w:rPr>
        <w:t>(</w:t>
      </w:r>
      <w:bookmarkStart w:id="36" w:name="OLE_LINK2"/>
      <w:r w:rsidR="000B246B" w:rsidRPr="00C020C2">
        <w:rPr>
          <w:rStyle w:val="normaltextrun"/>
          <w:rFonts w:asciiTheme="minorHAnsi" w:hAnsiTheme="minorHAnsi" w:cstheme="minorHAnsi"/>
        </w:rPr>
        <w:fldChar w:fldCharType="begin"/>
      </w:r>
      <w:r w:rsidR="000B246B" w:rsidRPr="00C020C2">
        <w:rPr>
          <w:rStyle w:val="normaltextrun"/>
          <w:rFonts w:asciiTheme="minorHAnsi" w:hAnsiTheme="minorHAnsi" w:cstheme="minorHAnsi"/>
        </w:rPr>
        <w:instrText xml:space="preserve"> HYPERLINK "https://www.itu.int/en/ITU-T/jca/qkdn/Pages/default.aspx%22%20/t%20%22_blank" </w:instrText>
      </w:r>
      <w:r w:rsidR="000B246B" w:rsidRPr="00C020C2">
        <w:rPr>
          <w:rStyle w:val="normaltextrun"/>
          <w:rFonts w:asciiTheme="minorHAnsi" w:hAnsiTheme="minorHAnsi" w:cstheme="minorHAnsi"/>
        </w:rPr>
      </w:r>
      <w:r w:rsidR="000B246B" w:rsidRPr="00C020C2">
        <w:rPr>
          <w:rStyle w:val="normaltextrun"/>
          <w:rFonts w:asciiTheme="minorHAnsi" w:hAnsiTheme="minorHAnsi" w:cstheme="minorHAnsi"/>
        </w:rPr>
        <w:fldChar w:fldCharType="separate"/>
      </w:r>
      <w:r w:rsidRPr="00C020C2">
        <w:rPr>
          <w:rStyle w:val="Hyperlink"/>
          <w:rFonts w:asciiTheme="minorHAnsi" w:hAnsiTheme="minorHAnsi" w:cstheme="minorHAnsi"/>
        </w:rPr>
        <w:t>JCA-QKDN</w:t>
      </w:r>
      <w:bookmarkEnd w:id="36"/>
      <w:r w:rsidR="000B246B" w:rsidRPr="00C020C2">
        <w:rPr>
          <w:rStyle w:val="normaltextrun"/>
          <w:rFonts w:asciiTheme="minorHAnsi" w:hAnsiTheme="minorHAnsi" w:cstheme="minorHAnsi"/>
        </w:rPr>
        <w:fldChar w:fldCharType="end"/>
      </w:r>
      <w:r w:rsidRPr="00C020C2">
        <w:rPr>
          <w:rStyle w:val="normaltextrun"/>
          <w:rFonts w:asciiTheme="minorHAnsi" w:hAnsiTheme="minorHAnsi" w:cstheme="minorHAnsi"/>
        </w:rPr>
        <w:t>)</w:t>
      </w:r>
      <w:r w:rsidR="002A66B9" w:rsidRPr="00C020C2">
        <w:rPr>
          <w:rStyle w:val="normaltextrun"/>
          <w:rFonts w:asciiTheme="minorHAnsi" w:hAnsiTheme="minorHAnsi" w:cstheme="minorHAnsi"/>
        </w:rPr>
        <w:t>,</w:t>
      </w:r>
      <w:r w:rsidRPr="00C020C2">
        <w:rPr>
          <w:rStyle w:val="normaltextrun"/>
          <w:rFonts w:asciiTheme="minorHAnsi" w:hAnsiTheme="minorHAnsi" w:cstheme="minorHAnsi"/>
          <w:b/>
          <w:bCs/>
        </w:rPr>
        <w:t xml:space="preserve"> </w:t>
      </w:r>
      <w:r w:rsidRPr="00C020C2">
        <w:rPr>
          <w:rStyle w:val="normaltextrun"/>
          <w:rFonts w:asciiTheme="minorHAnsi" w:hAnsiTheme="minorHAnsi" w:cstheme="minorHAnsi"/>
        </w:rPr>
        <w:t>established by TSAG in January 2023</w:t>
      </w:r>
      <w:r w:rsidR="002A66B9" w:rsidRPr="00C020C2">
        <w:rPr>
          <w:rStyle w:val="normaltextrun"/>
          <w:rFonts w:asciiTheme="minorHAnsi" w:hAnsiTheme="minorHAnsi" w:cstheme="minorHAnsi"/>
        </w:rPr>
        <w:t xml:space="preserve">, </w:t>
      </w:r>
      <w:r w:rsidRPr="00C020C2">
        <w:rPr>
          <w:rStyle w:val="normaltextrun"/>
          <w:rFonts w:asciiTheme="minorHAnsi" w:hAnsiTheme="minorHAnsi" w:cstheme="minorHAnsi"/>
        </w:rPr>
        <w:t xml:space="preserve">coordinates the standardization work on QKDNs within ITU-T and acts as the point of contact within ITU-T and other standards development organizations, consortia and forums also working on QKD related standards. JCA-QKDN’s first meeting was held </w:t>
      </w:r>
      <w:r w:rsidR="000B246B" w:rsidRPr="00C020C2">
        <w:rPr>
          <w:rStyle w:val="normaltextrun"/>
          <w:rFonts w:asciiTheme="minorHAnsi" w:hAnsiTheme="minorHAnsi" w:cstheme="minorHAnsi"/>
        </w:rPr>
        <w:t>on</w:t>
      </w:r>
      <w:r w:rsidRPr="00C020C2">
        <w:rPr>
          <w:rStyle w:val="normaltextrun"/>
          <w:rFonts w:asciiTheme="minorHAnsi" w:hAnsiTheme="minorHAnsi" w:cstheme="minorHAnsi"/>
        </w:rPr>
        <w:t xml:space="preserve"> 22 March 2023.</w:t>
      </w:r>
    </w:p>
    <w:p w14:paraId="6F4BEF15" w14:textId="77777777" w:rsidR="0011467A" w:rsidRPr="00C020C2" w:rsidRDefault="0011467A" w:rsidP="00EE21B1">
      <w:pPr>
        <w:spacing w:after="120"/>
        <w:contextualSpacing/>
        <w:jc w:val="both"/>
        <w:rPr>
          <w:rFonts w:eastAsia="Calibri"/>
          <w:b/>
          <w:bCs/>
        </w:rPr>
      </w:pPr>
      <w:r w:rsidRPr="00C020C2">
        <w:rPr>
          <w:rFonts w:eastAsia="Calibri"/>
          <w:b/>
          <w:bCs/>
        </w:rPr>
        <w:t>Metaverse</w:t>
      </w:r>
    </w:p>
    <w:p w14:paraId="4F1FFCE0" w14:textId="388DE0F0" w:rsidR="0011467A" w:rsidRPr="00C020C2" w:rsidRDefault="59700F11" w:rsidP="002A7955">
      <w:pPr>
        <w:pStyle w:val="NormalWeb"/>
        <w:spacing w:before="120" w:beforeAutospacing="0" w:after="120" w:afterAutospacing="0"/>
        <w:jc w:val="both"/>
        <w:rPr>
          <w:rFonts w:asciiTheme="minorHAnsi" w:hAnsiTheme="minorHAnsi" w:cstheme="minorBidi"/>
          <w:sz w:val="24"/>
          <w:lang w:val="en-GB"/>
        </w:rPr>
      </w:pPr>
      <w:r w:rsidRPr="00C020C2">
        <w:rPr>
          <w:rFonts w:asciiTheme="minorHAnsi" w:hAnsiTheme="minorHAnsi" w:cstheme="minorBidi"/>
          <w:sz w:val="24"/>
        </w:rPr>
        <w:t xml:space="preserve">The </w:t>
      </w:r>
      <w:hyperlink r:id="rId49">
        <w:r w:rsidRPr="00C020C2">
          <w:rPr>
            <w:rStyle w:val="Hyperlink"/>
            <w:rFonts w:asciiTheme="minorHAnsi" w:hAnsiTheme="minorHAnsi" w:cstheme="minorBidi"/>
            <w:sz w:val="24"/>
          </w:rPr>
          <w:t>ITU-T Focus Group on metaverse (FG-MV)</w:t>
        </w:r>
      </w:hyperlink>
      <w:r w:rsidRPr="00C020C2">
        <w:rPr>
          <w:rFonts w:asciiTheme="minorHAnsi" w:hAnsiTheme="minorHAnsi" w:cstheme="minorBidi"/>
          <w:sz w:val="24"/>
        </w:rPr>
        <w:t xml:space="preserve"> </w:t>
      </w:r>
      <w:r w:rsidR="0C43369C" w:rsidRPr="00C020C2">
        <w:rPr>
          <w:rFonts w:asciiTheme="minorHAnsi" w:hAnsiTheme="minorHAnsi" w:cstheme="minorBidi"/>
          <w:sz w:val="24"/>
        </w:rPr>
        <w:t>was</w:t>
      </w:r>
      <w:r w:rsidRPr="00C020C2">
        <w:rPr>
          <w:rFonts w:asciiTheme="minorHAnsi" w:hAnsiTheme="minorHAnsi" w:cstheme="minorBidi"/>
          <w:sz w:val="24"/>
        </w:rPr>
        <w:t xml:space="preserve"> established under the Telecommunication Standardization Advisory Group (TSAG) on 16 December 2022. The lifetime of the FG-MV is one year, with the possibility of an extension. The FG-MV lays the groundwork for international standards for the metaverse. The group </w:t>
      </w:r>
      <w:r w:rsidR="105155D6" w:rsidRPr="00C020C2">
        <w:rPr>
          <w:rFonts w:asciiTheme="minorHAnsi" w:hAnsiTheme="minorHAnsi" w:cstheme="minorBidi"/>
          <w:sz w:val="24"/>
        </w:rPr>
        <w:t xml:space="preserve">is </w:t>
      </w:r>
      <w:proofErr w:type="spellStart"/>
      <w:r w:rsidR="0C43369C" w:rsidRPr="00C020C2">
        <w:rPr>
          <w:rFonts w:asciiTheme="minorHAnsi" w:hAnsiTheme="minorHAnsi" w:cstheme="minorBidi"/>
          <w:sz w:val="24"/>
        </w:rPr>
        <w:t>analys</w:t>
      </w:r>
      <w:r w:rsidR="1148F88B" w:rsidRPr="00C020C2">
        <w:rPr>
          <w:rFonts w:asciiTheme="minorHAnsi" w:hAnsiTheme="minorHAnsi" w:cstheme="minorBidi"/>
          <w:sz w:val="24"/>
        </w:rPr>
        <w:t>ing</w:t>
      </w:r>
      <w:proofErr w:type="spellEnd"/>
      <w:r w:rsidR="0C43369C" w:rsidRPr="00C020C2">
        <w:rPr>
          <w:rFonts w:asciiTheme="minorHAnsi" w:hAnsiTheme="minorHAnsi" w:cstheme="minorBidi"/>
          <w:sz w:val="24"/>
        </w:rPr>
        <w:t xml:space="preserve"> </w:t>
      </w:r>
      <w:r w:rsidRPr="00C020C2">
        <w:rPr>
          <w:rFonts w:asciiTheme="minorHAnsi" w:hAnsiTheme="minorHAnsi" w:cstheme="minorBidi"/>
          <w:sz w:val="24"/>
        </w:rPr>
        <w:t>the technical requirements of the metaverse to identify fundamental enabling technologies in areas from multimedia and network optimization to digital currencies, Internet of Things, digital twins, and environmental sustainability.</w:t>
      </w:r>
    </w:p>
    <w:p w14:paraId="19350E25" w14:textId="1E6CE4A0" w:rsidR="0011467A" w:rsidRPr="00C020C2" w:rsidRDefault="0011467A" w:rsidP="002A7955">
      <w:pPr>
        <w:pStyle w:val="NormalWeb"/>
        <w:spacing w:before="120" w:beforeAutospacing="0" w:after="120" w:afterAutospacing="0"/>
        <w:jc w:val="both"/>
        <w:rPr>
          <w:rFonts w:asciiTheme="minorHAnsi" w:hAnsiTheme="minorHAnsi" w:cstheme="minorHAnsi"/>
          <w:sz w:val="24"/>
        </w:rPr>
      </w:pPr>
      <w:r w:rsidRPr="00C020C2">
        <w:rPr>
          <w:rFonts w:asciiTheme="minorHAnsi" w:hAnsiTheme="minorHAnsi" w:cstheme="minorHAnsi"/>
          <w:sz w:val="24"/>
        </w:rPr>
        <w:t>The first meeting of the FG-MV took place on 8</w:t>
      </w:r>
      <w:r w:rsidR="00946F92" w:rsidRPr="00C020C2">
        <w:rPr>
          <w:rFonts w:asciiTheme="minorHAnsi" w:hAnsiTheme="minorHAnsi" w:cstheme="minorHAnsi"/>
          <w:sz w:val="24"/>
        </w:rPr>
        <w:t>-</w:t>
      </w:r>
      <w:r w:rsidRPr="00C020C2">
        <w:rPr>
          <w:rFonts w:asciiTheme="minorHAnsi" w:hAnsiTheme="minorHAnsi" w:cstheme="minorHAnsi"/>
          <w:sz w:val="24"/>
        </w:rPr>
        <w:t xml:space="preserve">9 March 2023 in the Kingdom of Saudi Arabia and had over 650 participants </w:t>
      </w:r>
      <w:r w:rsidR="000C08E5" w:rsidRPr="00C020C2">
        <w:rPr>
          <w:rFonts w:asciiTheme="minorHAnsi" w:hAnsiTheme="minorHAnsi" w:cstheme="minorHAnsi"/>
          <w:sz w:val="24"/>
        </w:rPr>
        <w:t xml:space="preserve">– </w:t>
      </w:r>
      <w:r w:rsidRPr="00C020C2">
        <w:rPr>
          <w:rFonts w:asciiTheme="minorHAnsi" w:hAnsiTheme="minorHAnsi" w:cstheme="minorHAnsi"/>
          <w:sz w:val="24"/>
        </w:rPr>
        <w:t xml:space="preserve">a record </w:t>
      </w:r>
      <w:r w:rsidR="000C08E5" w:rsidRPr="00C020C2">
        <w:rPr>
          <w:rFonts w:asciiTheme="minorHAnsi" w:hAnsiTheme="minorHAnsi" w:cstheme="minorHAnsi"/>
          <w:sz w:val="24"/>
        </w:rPr>
        <w:t xml:space="preserve">attendance </w:t>
      </w:r>
      <w:r w:rsidRPr="00C020C2">
        <w:rPr>
          <w:rFonts w:asciiTheme="minorHAnsi" w:hAnsiTheme="minorHAnsi" w:cstheme="minorHAnsi"/>
          <w:sz w:val="24"/>
        </w:rPr>
        <w:t xml:space="preserve">for an ITU-T </w:t>
      </w:r>
      <w:r w:rsidR="00946F92" w:rsidRPr="00C020C2">
        <w:rPr>
          <w:rFonts w:asciiTheme="minorHAnsi" w:hAnsiTheme="minorHAnsi" w:cstheme="minorHAnsi"/>
          <w:sz w:val="24"/>
        </w:rPr>
        <w:t>focus group</w:t>
      </w:r>
      <w:r w:rsidRPr="00C020C2">
        <w:rPr>
          <w:rFonts w:asciiTheme="minorHAnsi" w:hAnsiTheme="minorHAnsi" w:cstheme="minorHAnsi"/>
          <w:sz w:val="24"/>
        </w:rPr>
        <w:t>.</w:t>
      </w:r>
    </w:p>
    <w:p w14:paraId="236C6315" w14:textId="35E7B681" w:rsidR="0011467A" w:rsidRPr="00C020C2" w:rsidRDefault="0011467A" w:rsidP="002A7955">
      <w:pPr>
        <w:pStyle w:val="NormalWeb"/>
        <w:spacing w:before="120" w:beforeAutospacing="0" w:after="120" w:afterAutospacing="0"/>
        <w:jc w:val="both"/>
        <w:rPr>
          <w:rFonts w:asciiTheme="minorHAnsi" w:hAnsiTheme="minorHAnsi" w:cstheme="minorHAnsi"/>
          <w:sz w:val="24"/>
        </w:rPr>
      </w:pPr>
      <w:r w:rsidRPr="00C020C2">
        <w:rPr>
          <w:rFonts w:asciiTheme="minorHAnsi" w:hAnsiTheme="minorHAnsi" w:cstheme="minorHAnsi"/>
          <w:sz w:val="24"/>
        </w:rPr>
        <w:t xml:space="preserve">During this first meeting, the FG-MV established eight </w:t>
      </w:r>
      <w:r w:rsidR="00946F92" w:rsidRPr="00C020C2">
        <w:rPr>
          <w:rFonts w:asciiTheme="minorHAnsi" w:hAnsiTheme="minorHAnsi" w:cstheme="minorHAnsi"/>
          <w:sz w:val="24"/>
        </w:rPr>
        <w:t>working groups</w:t>
      </w:r>
      <w:r w:rsidRPr="00C020C2">
        <w:rPr>
          <w:rFonts w:asciiTheme="minorHAnsi" w:hAnsiTheme="minorHAnsi" w:cstheme="minorHAnsi"/>
          <w:sz w:val="24"/>
        </w:rPr>
        <w:t xml:space="preserve">, ranging from General, Applications &amp; Services, Architecture &amp; Infrastructure, Virtual/Real World Integration, Interoperability, Security, Data &amp; Personally </w:t>
      </w:r>
      <w:r w:rsidR="00946F92" w:rsidRPr="00C020C2">
        <w:rPr>
          <w:rFonts w:asciiTheme="minorHAnsi" w:hAnsiTheme="minorHAnsi" w:cstheme="minorHAnsi"/>
          <w:sz w:val="24"/>
        </w:rPr>
        <w:t xml:space="preserve">Identifiable Information (PII) </w:t>
      </w:r>
      <w:r w:rsidRPr="00C020C2">
        <w:rPr>
          <w:rFonts w:asciiTheme="minorHAnsi" w:hAnsiTheme="minorHAnsi" w:cstheme="minorHAnsi"/>
          <w:sz w:val="24"/>
        </w:rPr>
        <w:t>Protection, Economic, Regulatory &amp; Competition Aspects, to Sustainability, Accessibility &amp; Inclusion. A Task Group on Collaboration has also been established under the FG-MV.</w:t>
      </w:r>
    </w:p>
    <w:p w14:paraId="1021D49B" w14:textId="2B615CE7" w:rsidR="0011467A" w:rsidRPr="00C020C2" w:rsidRDefault="0011467A" w:rsidP="002A7955">
      <w:pPr>
        <w:pStyle w:val="NormalWeb"/>
        <w:spacing w:before="120" w:beforeAutospacing="0" w:after="120" w:afterAutospacing="0"/>
        <w:jc w:val="both"/>
        <w:rPr>
          <w:rFonts w:asciiTheme="minorHAnsi" w:hAnsiTheme="minorHAnsi" w:cstheme="minorHAnsi"/>
          <w:sz w:val="24"/>
        </w:rPr>
      </w:pPr>
      <w:r w:rsidRPr="00C020C2">
        <w:rPr>
          <w:rFonts w:asciiTheme="minorHAnsi" w:hAnsiTheme="minorHAnsi" w:cstheme="minorHAnsi"/>
          <w:sz w:val="24"/>
        </w:rPr>
        <w:t xml:space="preserve">The initial </w:t>
      </w:r>
      <w:hyperlink r:id="rId50" w:tgtFrame="_blank" w:tooltip="https://www.itu.int/en/itu-t/focusgroups/mv/pages/fg-mv-structure-and-workplan.aspx" w:history="1">
        <w:r w:rsidRPr="00C020C2">
          <w:rPr>
            <w:rStyle w:val="Hyperlink"/>
            <w:rFonts w:asciiTheme="minorHAnsi" w:hAnsiTheme="minorHAnsi" w:cstheme="minorHAnsi"/>
            <w:sz w:val="24"/>
          </w:rPr>
          <w:t>FG-MV Workplan</w:t>
        </w:r>
      </w:hyperlink>
      <w:r w:rsidRPr="00C020C2">
        <w:rPr>
          <w:rFonts w:asciiTheme="minorHAnsi" w:hAnsiTheme="minorHAnsi" w:cstheme="minorHAnsi"/>
          <w:sz w:val="24"/>
        </w:rPr>
        <w:t xml:space="preserve"> was agreed, including the FG-MV structure, the list of deliverables and information concerning the designated Chairmen and Vice-Chairmen for the </w:t>
      </w:r>
      <w:r w:rsidR="00946F92" w:rsidRPr="00C020C2">
        <w:rPr>
          <w:rFonts w:asciiTheme="minorHAnsi" w:hAnsiTheme="minorHAnsi" w:cstheme="minorHAnsi"/>
          <w:sz w:val="24"/>
        </w:rPr>
        <w:t xml:space="preserve">working groups </w:t>
      </w:r>
      <w:r w:rsidRPr="00C020C2">
        <w:rPr>
          <w:rFonts w:asciiTheme="minorHAnsi" w:hAnsiTheme="minorHAnsi" w:cstheme="minorHAnsi"/>
          <w:sz w:val="24"/>
        </w:rPr>
        <w:t xml:space="preserve">(WGs) and </w:t>
      </w:r>
      <w:r w:rsidR="00946F92" w:rsidRPr="00C020C2">
        <w:rPr>
          <w:rFonts w:asciiTheme="minorHAnsi" w:hAnsiTheme="minorHAnsi" w:cstheme="minorHAnsi"/>
          <w:sz w:val="24"/>
        </w:rPr>
        <w:t xml:space="preserve">task groups </w:t>
      </w:r>
      <w:r w:rsidRPr="00C020C2">
        <w:rPr>
          <w:rFonts w:asciiTheme="minorHAnsi" w:hAnsiTheme="minorHAnsi" w:cstheme="minorHAnsi"/>
          <w:sz w:val="24"/>
        </w:rPr>
        <w:t>(TGs).</w:t>
      </w:r>
    </w:p>
    <w:p w14:paraId="1AAAB284" w14:textId="5135CB1B" w:rsidR="0011467A" w:rsidRPr="00C020C2" w:rsidRDefault="0011467A" w:rsidP="002A7955">
      <w:pPr>
        <w:pStyle w:val="NormalWeb"/>
        <w:spacing w:before="120" w:beforeAutospacing="0" w:after="120" w:afterAutospacing="0"/>
        <w:jc w:val="both"/>
        <w:rPr>
          <w:rFonts w:asciiTheme="minorHAnsi" w:hAnsiTheme="minorHAnsi" w:cstheme="minorHAnsi"/>
          <w:sz w:val="24"/>
        </w:rPr>
      </w:pPr>
      <w:r w:rsidRPr="00C020C2">
        <w:rPr>
          <w:rFonts w:asciiTheme="minorHAnsi" w:hAnsiTheme="minorHAnsi" w:cstheme="minorHAnsi"/>
          <w:sz w:val="24"/>
        </w:rPr>
        <w:t xml:space="preserve">The first FG-MV meeting was preceded by the </w:t>
      </w:r>
      <w:hyperlink r:id="rId51" w:tgtFrame="_blank" w:tooltip="https://www.itu.int/en/itu-t/ssc/pages/1st-forum-metaverse.aspx" w:history="1">
        <w:r w:rsidRPr="00C020C2">
          <w:rPr>
            <w:rStyle w:val="Hyperlink"/>
            <w:rFonts w:asciiTheme="minorHAnsi" w:hAnsiTheme="minorHAnsi" w:cstheme="minorHAnsi"/>
            <w:sz w:val="24"/>
          </w:rPr>
          <w:t>first ITU Forum on Embracing the metaverse</w:t>
        </w:r>
      </w:hyperlink>
      <w:r w:rsidRPr="00C020C2">
        <w:rPr>
          <w:rFonts w:asciiTheme="minorHAnsi" w:hAnsiTheme="minorHAnsi" w:cstheme="minorHAnsi"/>
          <w:sz w:val="24"/>
        </w:rPr>
        <w:t xml:space="preserve">. The forum provided a platform to stimulate global dialogue on the challenges and </w:t>
      </w:r>
      <w:r w:rsidRPr="00C020C2">
        <w:rPr>
          <w:rFonts w:asciiTheme="minorHAnsi" w:hAnsiTheme="minorHAnsi" w:cstheme="minorHAnsi"/>
          <w:sz w:val="24"/>
        </w:rPr>
        <w:lastRenderedPageBreak/>
        <w:t xml:space="preserve">opportunities </w:t>
      </w:r>
      <w:r w:rsidR="000C08E5" w:rsidRPr="00C020C2">
        <w:rPr>
          <w:rFonts w:asciiTheme="minorHAnsi" w:hAnsiTheme="minorHAnsi" w:cstheme="minorHAnsi"/>
          <w:sz w:val="24"/>
        </w:rPr>
        <w:t xml:space="preserve">generated </w:t>
      </w:r>
      <w:r w:rsidRPr="00C020C2">
        <w:rPr>
          <w:rFonts w:asciiTheme="minorHAnsi" w:hAnsiTheme="minorHAnsi" w:cstheme="minorHAnsi"/>
          <w:sz w:val="24"/>
        </w:rPr>
        <w:t xml:space="preserve">by the metaverse. More than 600 participants joined the forum in person and online. The Outcome Document and video highlights can be found </w:t>
      </w:r>
      <w:hyperlink r:id="rId52" w:tgtFrame="_blank" w:tooltip="https://www.itu.int/en/itu-t/ssc/pages/1st-forum-metaverse.aspx" w:history="1">
        <w:r w:rsidRPr="00C020C2">
          <w:rPr>
            <w:rStyle w:val="Hyperlink"/>
            <w:rFonts w:asciiTheme="minorHAnsi" w:hAnsiTheme="minorHAnsi" w:cstheme="minorHAnsi"/>
            <w:sz w:val="24"/>
          </w:rPr>
          <w:t>here</w:t>
        </w:r>
      </w:hyperlink>
      <w:r w:rsidRPr="00C020C2">
        <w:rPr>
          <w:rFonts w:asciiTheme="minorHAnsi" w:hAnsiTheme="minorHAnsi" w:cstheme="minorHAnsi"/>
          <w:sz w:val="24"/>
        </w:rPr>
        <w:t>.</w:t>
      </w:r>
    </w:p>
    <w:p w14:paraId="0D3F6BC1" w14:textId="5EF9285C" w:rsidR="0011467A" w:rsidRPr="00C020C2" w:rsidRDefault="002B38AA" w:rsidP="00EE21B1">
      <w:pPr>
        <w:pStyle w:val="Heading2"/>
        <w:spacing w:before="240" w:after="120"/>
        <w:rPr>
          <w:lang w:eastAsia="en-GB"/>
        </w:rPr>
      </w:pPr>
      <w:bookmarkStart w:id="37" w:name="_Toc137211293"/>
      <w:bookmarkStart w:id="38" w:name="Section_1_5"/>
      <w:r w:rsidRPr="00C020C2">
        <w:rPr>
          <w:lang w:eastAsia="en-GB"/>
        </w:rPr>
        <w:t>4</w:t>
      </w:r>
      <w:r w:rsidR="0011467A" w:rsidRPr="00C020C2">
        <w:rPr>
          <w:lang w:eastAsia="en-GB"/>
        </w:rPr>
        <w:t>.</w:t>
      </w:r>
      <w:r w:rsidRPr="00C020C2">
        <w:rPr>
          <w:lang w:eastAsia="en-GB"/>
        </w:rPr>
        <w:t>4</w:t>
      </w:r>
      <w:r w:rsidR="0011467A" w:rsidRPr="00C020C2">
        <w:rPr>
          <w:lang w:eastAsia="en-GB"/>
        </w:rPr>
        <w:tab/>
        <w:t>Environment and smart sustainable cities and communities</w:t>
      </w:r>
      <w:bookmarkEnd w:id="37"/>
      <w:r w:rsidR="000C08E5" w:rsidRPr="00C020C2">
        <w:rPr>
          <w:lang w:eastAsia="en-GB"/>
        </w:rPr>
        <w:t xml:space="preserve"> </w:t>
      </w:r>
    </w:p>
    <w:bookmarkEnd w:id="38"/>
    <w:p w14:paraId="77DDB61A" w14:textId="77777777" w:rsidR="00E57F10" w:rsidRPr="00C020C2" w:rsidRDefault="0011467A" w:rsidP="002A7955">
      <w:pPr>
        <w:keepNext/>
        <w:spacing w:after="120"/>
        <w:jc w:val="both"/>
        <w:rPr>
          <w:b/>
          <w:bCs/>
          <w:szCs w:val="24"/>
        </w:rPr>
      </w:pPr>
      <w:r w:rsidRPr="00C020C2">
        <w:rPr>
          <w:b/>
          <w:bCs/>
          <w:szCs w:val="24"/>
        </w:rPr>
        <w:t>Building circular economies for e-waste around the world</w:t>
      </w:r>
    </w:p>
    <w:p w14:paraId="37748C2F" w14:textId="2142F360" w:rsidR="0011467A" w:rsidRPr="00C020C2" w:rsidRDefault="0011467A" w:rsidP="002A7955">
      <w:pPr>
        <w:spacing w:after="120"/>
        <w:jc w:val="both"/>
        <w:rPr>
          <w:b/>
          <w:bCs/>
          <w:szCs w:val="24"/>
        </w:rPr>
      </w:pPr>
      <w:r w:rsidRPr="00C020C2">
        <w:rPr>
          <w:rFonts w:eastAsia="Calibri"/>
          <w:szCs w:val="24"/>
        </w:rPr>
        <w:t xml:space="preserve">Through its </w:t>
      </w:r>
      <w:hyperlink r:id="rId53" w:history="1">
        <w:r w:rsidRPr="00C020C2">
          <w:rPr>
            <w:rStyle w:val="Hyperlink"/>
            <w:rFonts w:eastAsia="Calibri"/>
            <w:szCs w:val="24"/>
          </w:rPr>
          <w:t>e-waste policy</w:t>
        </w:r>
      </w:hyperlink>
      <w:r w:rsidRPr="00C020C2">
        <w:rPr>
          <w:rFonts w:eastAsia="Calibri"/>
          <w:szCs w:val="24"/>
        </w:rPr>
        <w:t xml:space="preserve"> and </w:t>
      </w:r>
      <w:hyperlink r:id="rId54" w:history="1">
        <w:r w:rsidRPr="00C020C2">
          <w:rPr>
            <w:rStyle w:val="Hyperlink"/>
            <w:rFonts w:eastAsia="Calibri"/>
            <w:szCs w:val="24"/>
          </w:rPr>
          <w:t>data programme</w:t>
        </w:r>
      </w:hyperlink>
      <w:r w:rsidRPr="00C020C2">
        <w:rPr>
          <w:rFonts w:eastAsia="Calibri"/>
          <w:szCs w:val="24"/>
        </w:rPr>
        <w:t xml:space="preserve"> ITU </w:t>
      </w:r>
      <w:r w:rsidR="002A66B9" w:rsidRPr="00C020C2">
        <w:rPr>
          <w:rFonts w:eastAsia="Calibri"/>
          <w:szCs w:val="24"/>
        </w:rPr>
        <w:t xml:space="preserve">has </w:t>
      </w:r>
      <w:r w:rsidRPr="00C020C2">
        <w:rPr>
          <w:rFonts w:eastAsia="Calibri"/>
          <w:szCs w:val="24"/>
        </w:rPr>
        <w:t>helped nine countries become more circular economies</w:t>
      </w:r>
      <w:r w:rsidR="00D473AD" w:rsidRPr="00C020C2">
        <w:rPr>
          <w:rFonts w:eastAsia="Calibri"/>
          <w:szCs w:val="24"/>
        </w:rPr>
        <w:t xml:space="preserve">: </w:t>
      </w:r>
      <w:r w:rsidR="00946F92" w:rsidRPr="00C020C2">
        <w:rPr>
          <w:rFonts w:eastAsia="Calibri"/>
          <w:szCs w:val="24"/>
        </w:rPr>
        <w:t xml:space="preserve">Botswana, Burundi, Dominican Republic, Gambia, Malawi, </w:t>
      </w:r>
      <w:r w:rsidR="00D473AD" w:rsidRPr="00C020C2">
        <w:rPr>
          <w:rFonts w:eastAsia="Calibri"/>
          <w:szCs w:val="24"/>
        </w:rPr>
        <w:t xml:space="preserve">Namibia, </w:t>
      </w:r>
      <w:r w:rsidR="00946F92" w:rsidRPr="00C020C2">
        <w:rPr>
          <w:rFonts w:eastAsia="Calibri"/>
          <w:szCs w:val="24"/>
        </w:rPr>
        <w:t>Niger, Rwanda, and Uzbekistan</w:t>
      </w:r>
      <w:r w:rsidR="00D473AD" w:rsidRPr="00C020C2">
        <w:rPr>
          <w:rFonts w:eastAsia="Calibri"/>
          <w:szCs w:val="24"/>
        </w:rPr>
        <w:t xml:space="preserve">.  </w:t>
      </w:r>
    </w:p>
    <w:p w14:paraId="6B2BD033" w14:textId="73EAC401" w:rsidR="0011467A" w:rsidRPr="00C020C2" w:rsidRDefault="00E44C6F" w:rsidP="002A7955">
      <w:pPr>
        <w:spacing w:after="120"/>
        <w:jc w:val="both"/>
        <w:rPr>
          <w:rFonts w:eastAsia="Calibri"/>
          <w:szCs w:val="24"/>
        </w:rPr>
      </w:pPr>
      <w:r w:rsidRPr="00C020C2">
        <w:rPr>
          <w:rFonts w:eastAsia="Calibri"/>
          <w:szCs w:val="24"/>
        </w:rPr>
        <w:t>In close cooperation with the UN Environment Programme, o</w:t>
      </w:r>
      <w:r w:rsidR="0011467A" w:rsidRPr="00C020C2">
        <w:rPr>
          <w:rFonts w:eastAsia="Calibri"/>
          <w:szCs w:val="24"/>
        </w:rPr>
        <w:t xml:space="preserve">ver 300 </w:t>
      </w:r>
      <w:r w:rsidR="00C55C07" w:rsidRPr="00C020C2">
        <w:rPr>
          <w:rFonts w:eastAsia="Calibri"/>
          <w:szCs w:val="24"/>
        </w:rPr>
        <w:t xml:space="preserve">individuals from </w:t>
      </w:r>
      <w:r w:rsidR="0011467A" w:rsidRPr="00C020C2">
        <w:rPr>
          <w:rFonts w:eastAsia="Calibri"/>
          <w:szCs w:val="24"/>
        </w:rPr>
        <w:t xml:space="preserve">these countries </w:t>
      </w:r>
      <w:r w:rsidRPr="00C020C2">
        <w:rPr>
          <w:rFonts w:eastAsia="Calibri"/>
          <w:szCs w:val="24"/>
        </w:rPr>
        <w:t xml:space="preserve">were consulted </w:t>
      </w:r>
      <w:r w:rsidR="005942B5" w:rsidRPr="00C020C2">
        <w:rPr>
          <w:rFonts w:eastAsia="Calibri"/>
          <w:szCs w:val="24"/>
        </w:rPr>
        <w:t xml:space="preserve">– including public and private sector actors, civil society, </w:t>
      </w:r>
      <w:r w:rsidRPr="00C020C2">
        <w:rPr>
          <w:rFonts w:eastAsia="Calibri"/>
          <w:szCs w:val="24"/>
        </w:rPr>
        <w:t xml:space="preserve">ICT </w:t>
      </w:r>
      <w:r w:rsidR="005942B5" w:rsidRPr="00C020C2">
        <w:rPr>
          <w:rFonts w:eastAsia="Calibri"/>
          <w:szCs w:val="24"/>
        </w:rPr>
        <w:t>ministries, ICT regulators, ministries of environment and environment agencies, customs, industry and trade departments and municipalities</w:t>
      </w:r>
      <w:r w:rsidR="0011467A" w:rsidRPr="00C020C2">
        <w:rPr>
          <w:rFonts w:eastAsia="Calibri"/>
          <w:szCs w:val="24"/>
        </w:rPr>
        <w:t xml:space="preserve">. Results included the finalization of national e-waste regulation in Dominican Republic and revision of the </w:t>
      </w:r>
      <w:r w:rsidRPr="00C020C2">
        <w:rPr>
          <w:rFonts w:eastAsia="Calibri"/>
          <w:szCs w:val="24"/>
        </w:rPr>
        <w:t xml:space="preserve">Extended Producer Responsibility Framework </w:t>
      </w:r>
      <w:r w:rsidR="0011467A" w:rsidRPr="00C020C2">
        <w:rPr>
          <w:rFonts w:eastAsia="Calibri"/>
          <w:szCs w:val="24"/>
        </w:rPr>
        <w:t xml:space="preserve">for the management of e-waste in Rwanda. </w:t>
      </w:r>
    </w:p>
    <w:p w14:paraId="2ED188DF" w14:textId="2D466C92" w:rsidR="0011467A" w:rsidRPr="00C020C2" w:rsidRDefault="0011467A" w:rsidP="002A7955">
      <w:pPr>
        <w:spacing w:after="120"/>
        <w:jc w:val="both"/>
        <w:rPr>
          <w:rFonts w:eastAsia="Calibri"/>
          <w:szCs w:val="24"/>
        </w:rPr>
      </w:pPr>
      <w:r w:rsidRPr="00C020C2">
        <w:rPr>
          <w:rFonts w:eastAsia="Calibri"/>
          <w:szCs w:val="24"/>
        </w:rPr>
        <w:t xml:space="preserve">An additional six countries </w:t>
      </w:r>
      <w:r w:rsidR="00F32B56" w:rsidRPr="00C020C2">
        <w:rPr>
          <w:rFonts w:eastAsia="Calibri"/>
          <w:szCs w:val="24"/>
        </w:rPr>
        <w:t xml:space="preserve">in East Africa </w:t>
      </w:r>
      <w:r w:rsidRPr="00C020C2">
        <w:rPr>
          <w:rFonts w:eastAsia="Calibri"/>
          <w:szCs w:val="24"/>
        </w:rPr>
        <w:t>(</w:t>
      </w:r>
      <w:r w:rsidR="00946F92" w:rsidRPr="00C020C2">
        <w:rPr>
          <w:rFonts w:eastAsia="Calibri"/>
          <w:szCs w:val="24"/>
        </w:rPr>
        <w:t xml:space="preserve">Burundi, Kenya, </w:t>
      </w:r>
      <w:r w:rsidRPr="00C020C2">
        <w:rPr>
          <w:rFonts w:eastAsia="Calibri"/>
          <w:szCs w:val="24"/>
        </w:rPr>
        <w:t xml:space="preserve">Rwanda, </w:t>
      </w:r>
      <w:r w:rsidR="00946F92" w:rsidRPr="00C020C2">
        <w:rPr>
          <w:rFonts w:eastAsia="Calibri"/>
          <w:szCs w:val="24"/>
        </w:rPr>
        <w:t xml:space="preserve">South Sudan, </w:t>
      </w:r>
      <w:r w:rsidRPr="00C020C2">
        <w:rPr>
          <w:rFonts w:eastAsia="Calibri"/>
          <w:szCs w:val="24"/>
        </w:rPr>
        <w:t xml:space="preserve">Tanzania, </w:t>
      </w:r>
      <w:r w:rsidR="00946F92" w:rsidRPr="00C020C2">
        <w:rPr>
          <w:rFonts w:eastAsia="Calibri"/>
          <w:szCs w:val="24"/>
        </w:rPr>
        <w:t xml:space="preserve">and </w:t>
      </w:r>
      <w:r w:rsidRPr="00C020C2">
        <w:rPr>
          <w:rFonts w:eastAsia="Calibri"/>
          <w:szCs w:val="24"/>
        </w:rPr>
        <w:t xml:space="preserve">Uganda) received extensive support </w:t>
      </w:r>
      <w:r w:rsidR="00E44C6F" w:rsidRPr="00C020C2">
        <w:rPr>
          <w:rFonts w:eastAsia="Calibri"/>
          <w:szCs w:val="24"/>
        </w:rPr>
        <w:t xml:space="preserve">in </w:t>
      </w:r>
      <w:r w:rsidRPr="00C020C2">
        <w:rPr>
          <w:rFonts w:eastAsia="Calibri"/>
          <w:szCs w:val="24"/>
        </w:rPr>
        <w:t>improv</w:t>
      </w:r>
      <w:r w:rsidR="00E44C6F" w:rsidRPr="00C020C2">
        <w:rPr>
          <w:rFonts w:eastAsia="Calibri"/>
          <w:szCs w:val="24"/>
        </w:rPr>
        <w:t xml:space="preserve">ing </w:t>
      </w:r>
      <w:r w:rsidRPr="00C020C2">
        <w:rPr>
          <w:rFonts w:eastAsia="Calibri"/>
          <w:szCs w:val="24"/>
        </w:rPr>
        <w:t>the quality, collection process and interpretation of e-waste data</w:t>
      </w:r>
      <w:r w:rsidR="00E44C6F" w:rsidRPr="00C020C2">
        <w:rPr>
          <w:rFonts w:eastAsia="Calibri"/>
          <w:szCs w:val="24"/>
        </w:rPr>
        <w:t xml:space="preserve"> – so </w:t>
      </w:r>
      <w:r w:rsidRPr="00C020C2">
        <w:rPr>
          <w:rFonts w:eastAsia="Calibri"/>
          <w:szCs w:val="24"/>
        </w:rPr>
        <w:t xml:space="preserve">critical </w:t>
      </w:r>
      <w:r w:rsidR="00E44C6F" w:rsidRPr="00C020C2">
        <w:rPr>
          <w:rFonts w:eastAsia="Calibri"/>
          <w:szCs w:val="24"/>
        </w:rPr>
        <w:t xml:space="preserve">in </w:t>
      </w:r>
      <w:r w:rsidRPr="00C020C2">
        <w:rPr>
          <w:rFonts w:eastAsia="Calibri"/>
          <w:szCs w:val="24"/>
        </w:rPr>
        <w:t>set</w:t>
      </w:r>
      <w:r w:rsidR="00E44C6F" w:rsidRPr="00C020C2">
        <w:rPr>
          <w:rFonts w:eastAsia="Calibri"/>
          <w:szCs w:val="24"/>
        </w:rPr>
        <w:t>ting</w:t>
      </w:r>
      <w:r w:rsidRPr="00C020C2">
        <w:rPr>
          <w:rFonts w:eastAsia="Calibri"/>
          <w:szCs w:val="24"/>
        </w:rPr>
        <w:t xml:space="preserve"> and assess</w:t>
      </w:r>
      <w:r w:rsidR="00E44C6F" w:rsidRPr="00C020C2">
        <w:rPr>
          <w:rFonts w:eastAsia="Calibri"/>
          <w:szCs w:val="24"/>
        </w:rPr>
        <w:t>ing</w:t>
      </w:r>
      <w:r w:rsidRPr="00C020C2">
        <w:rPr>
          <w:rFonts w:eastAsia="Calibri"/>
          <w:szCs w:val="24"/>
        </w:rPr>
        <w:t xml:space="preserve"> targets, </w:t>
      </w:r>
      <w:r w:rsidR="00E44C6F" w:rsidRPr="00C020C2">
        <w:rPr>
          <w:rFonts w:eastAsia="Calibri"/>
          <w:szCs w:val="24"/>
        </w:rPr>
        <w:t xml:space="preserve">in </w:t>
      </w:r>
      <w:r w:rsidRPr="00C020C2">
        <w:rPr>
          <w:rFonts w:eastAsia="Calibri"/>
          <w:szCs w:val="24"/>
        </w:rPr>
        <w:t>track</w:t>
      </w:r>
      <w:r w:rsidR="00E44C6F" w:rsidRPr="00C020C2">
        <w:rPr>
          <w:rFonts w:eastAsia="Calibri"/>
          <w:szCs w:val="24"/>
        </w:rPr>
        <w:t>ing</w:t>
      </w:r>
      <w:r w:rsidRPr="00C020C2">
        <w:rPr>
          <w:rFonts w:eastAsia="Calibri"/>
          <w:szCs w:val="24"/>
        </w:rPr>
        <w:t xml:space="preserve"> progress, </w:t>
      </w:r>
      <w:r w:rsidR="00E44C6F" w:rsidRPr="00C020C2">
        <w:rPr>
          <w:rFonts w:eastAsia="Calibri"/>
          <w:szCs w:val="24"/>
        </w:rPr>
        <w:t xml:space="preserve">in </w:t>
      </w:r>
      <w:r w:rsidRPr="00C020C2">
        <w:rPr>
          <w:rFonts w:eastAsia="Calibri"/>
          <w:szCs w:val="24"/>
        </w:rPr>
        <w:t>identify</w:t>
      </w:r>
      <w:r w:rsidR="00E44C6F" w:rsidRPr="00C020C2">
        <w:rPr>
          <w:rFonts w:eastAsia="Calibri"/>
          <w:szCs w:val="24"/>
        </w:rPr>
        <w:t xml:space="preserve">ing </w:t>
      </w:r>
      <w:r w:rsidRPr="00C020C2">
        <w:rPr>
          <w:rFonts w:eastAsia="Calibri"/>
          <w:szCs w:val="24"/>
        </w:rPr>
        <w:t xml:space="preserve">best practices and </w:t>
      </w:r>
      <w:r w:rsidR="00E44C6F" w:rsidRPr="00C020C2">
        <w:rPr>
          <w:rFonts w:eastAsia="Calibri"/>
          <w:szCs w:val="24"/>
        </w:rPr>
        <w:t xml:space="preserve">in </w:t>
      </w:r>
      <w:r w:rsidRPr="00C020C2">
        <w:rPr>
          <w:rFonts w:eastAsia="Calibri"/>
          <w:szCs w:val="24"/>
        </w:rPr>
        <w:t>address</w:t>
      </w:r>
      <w:r w:rsidR="00E44C6F" w:rsidRPr="00C020C2">
        <w:rPr>
          <w:rFonts w:eastAsia="Calibri"/>
          <w:szCs w:val="24"/>
        </w:rPr>
        <w:t>ing</w:t>
      </w:r>
      <w:r w:rsidRPr="00C020C2">
        <w:rPr>
          <w:rFonts w:eastAsia="Calibri"/>
          <w:szCs w:val="24"/>
        </w:rPr>
        <w:t xml:space="preserve"> the e-waste challenge. </w:t>
      </w:r>
    </w:p>
    <w:p w14:paraId="1EA160E4" w14:textId="0BBFC38D" w:rsidR="0089514E" w:rsidRPr="00C020C2" w:rsidRDefault="0089514E" w:rsidP="002A7955">
      <w:pPr>
        <w:spacing w:after="120"/>
        <w:jc w:val="both"/>
        <w:rPr>
          <w:rFonts w:eastAsia="Calibri"/>
          <w:szCs w:val="24"/>
        </w:rPr>
      </w:pPr>
      <w:r w:rsidRPr="00C020C2">
        <w:rPr>
          <w:rFonts w:eastAsia="Calibri"/>
          <w:szCs w:val="24"/>
        </w:rPr>
        <w:t xml:space="preserve">Other activities on e-waste include: </w:t>
      </w:r>
    </w:p>
    <w:p w14:paraId="45BAD076" w14:textId="546F05FD" w:rsidR="0011467A" w:rsidRPr="00C020C2" w:rsidRDefault="0089514E" w:rsidP="00EE21B1">
      <w:pPr>
        <w:pStyle w:val="ListParagraph"/>
        <w:numPr>
          <w:ilvl w:val="0"/>
          <w:numId w:val="28"/>
        </w:numPr>
        <w:spacing w:after="120"/>
        <w:contextualSpacing/>
        <w:jc w:val="both"/>
        <w:rPr>
          <w:rFonts w:eastAsia="Calibri"/>
          <w:sz w:val="24"/>
          <w:szCs w:val="24"/>
        </w:rPr>
      </w:pPr>
      <w:r w:rsidRPr="00C020C2">
        <w:rPr>
          <w:rFonts w:eastAsia="Calibri"/>
          <w:sz w:val="24"/>
          <w:szCs w:val="24"/>
        </w:rPr>
        <w:t xml:space="preserve">e-learning courses, including </w:t>
      </w:r>
      <w:hyperlink r:id="rId55" w:history="1">
        <w:r w:rsidR="0003373E" w:rsidRPr="00C020C2">
          <w:rPr>
            <w:rStyle w:val="Hyperlink"/>
            <w:rFonts w:eastAsia="Calibri"/>
            <w:i/>
            <w:iCs/>
            <w:sz w:val="24"/>
            <w:szCs w:val="24"/>
          </w:rPr>
          <w:t>E-waste Policy Development</w:t>
        </w:r>
      </w:hyperlink>
      <w:r w:rsidR="0003373E" w:rsidRPr="00C020C2">
        <w:rPr>
          <w:rFonts w:eastAsia="Calibri"/>
          <w:sz w:val="24"/>
          <w:szCs w:val="24"/>
        </w:rPr>
        <w:t xml:space="preserve"> </w:t>
      </w:r>
      <w:r w:rsidRPr="00C020C2">
        <w:rPr>
          <w:rFonts w:eastAsia="Calibri"/>
          <w:sz w:val="24"/>
          <w:szCs w:val="24"/>
        </w:rPr>
        <w:t xml:space="preserve">(170 people registered in 2022 and </w:t>
      </w:r>
      <w:r w:rsidR="0011467A" w:rsidRPr="00C020C2">
        <w:rPr>
          <w:rFonts w:eastAsia="Calibri"/>
          <w:sz w:val="24"/>
          <w:szCs w:val="24"/>
        </w:rPr>
        <w:t xml:space="preserve">293 people registered </w:t>
      </w:r>
      <w:r w:rsidRPr="00C020C2">
        <w:rPr>
          <w:rFonts w:eastAsia="Calibri"/>
          <w:sz w:val="24"/>
          <w:szCs w:val="24"/>
        </w:rPr>
        <w:t>thus far in 2023), and</w:t>
      </w:r>
      <w:r w:rsidR="0011467A" w:rsidRPr="00C020C2">
        <w:rPr>
          <w:rFonts w:eastAsia="Calibri"/>
          <w:sz w:val="24"/>
          <w:szCs w:val="24"/>
        </w:rPr>
        <w:t xml:space="preserve"> </w:t>
      </w:r>
      <w:hyperlink r:id="rId56" w:history="1">
        <w:r w:rsidR="0011467A" w:rsidRPr="00C020C2">
          <w:rPr>
            <w:rStyle w:val="Hyperlink"/>
            <w:rFonts w:eastAsia="Calibri"/>
            <w:i/>
            <w:iCs/>
            <w:sz w:val="24"/>
            <w:szCs w:val="24"/>
          </w:rPr>
          <w:t>Deep Dive into the Extended Producer Responsibility</w:t>
        </w:r>
      </w:hyperlink>
      <w:r w:rsidRPr="00C020C2">
        <w:rPr>
          <w:rFonts w:eastAsia="Calibri"/>
          <w:i/>
          <w:iCs/>
          <w:sz w:val="24"/>
          <w:szCs w:val="24"/>
        </w:rPr>
        <w:t>,</w:t>
      </w:r>
      <w:r w:rsidR="0011467A" w:rsidRPr="00C020C2">
        <w:rPr>
          <w:rFonts w:eastAsia="Calibri"/>
          <w:sz w:val="24"/>
          <w:szCs w:val="24"/>
        </w:rPr>
        <w:t xml:space="preserve"> developed and launched in 2023 </w:t>
      </w:r>
      <w:r w:rsidR="00807F19" w:rsidRPr="00C020C2">
        <w:rPr>
          <w:rFonts w:eastAsia="Calibri"/>
          <w:sz w:val="24"/>
          <w:szCs w:val="24"/>
        </w:rPr>
        <w:t>(</w:t>
      </w:r>
      <w:r w:rsidR="0011467A" w:rsidRPr="00C020C2">
        <w:rPr>
          <w:rFonts w:eastAsia="Calibri"/>
          <w:sz w:val="24"/>
          <w:szCs w:val="24"/>
        </w:rPr>
        <w:t>96 people registered</w:t>
      </w:r>
      <w:r w:rsidR="00807F19" w:rsidRPr="00C020C2">
        <w:rPr>
          <w:rFonts w:eastAsia="Calibri"/>
          <w:sz w:val="24"/>
          <w:szCs w:val="24"/>
        </w:rPr>
        <w:t>)</w:t>
      </w:r>
      <w:r w:rsidR="0011467A" w:rsidRPr="00C020C2">
        <w:rPr>
          <w:rFonts w:eastAsia="Calibri"/>
          <w:sz w:val="24"/>
          <w:szCs w:val="24"/>
        </w:rPr>
        <w:t xml:space="preserve">.  </w:t>
      </w:r>
    </w:p>
    <w:p w14:paraId="02DB0FBF" w14:textId="5EFAC012" w:rsidR="0011467A" w:rsidRPr="00C020C2" w:rsidRDefault="00616A0F" w:rsidP="00EE21B1">
      <w:pPr>
        <w:pStyle w:val="ListParagraph"/>
        <w:numPr>
          <w:ilvl w:val="0"/>
          <w:numId w:val="28"/>
        </w:numPr>
        <w:spacing w:after="120"/>
        <w:contextualSpacing/>
        <w:jc w:val="both"/>
        <w:rPr>
          <w:rFonts w:eastAsia="Calibri"/>
          <w:sz w:val="24"/>
          <w:szCs w:val="24"/>
        </w:rPr>
      </w:pPr>
      <w:r w:rsidRPr="00C020C2">
        <w:rPr>
          <w:rFonts w:eastAsia="Calibri"/>
          <w:sz w:val="24"/>
          <w:szCs w:val="24"/>
        </w:rPr>
        <w:t>D</w:t>
      </w:r>
      <w:r w:rsidR="00F32B56" w:rsidRPr="00C020C2">
        <w:rPr>
          <w:rFonts w:eastAsia="Calibri"/>
          <w:sz w:val="24"/>
          <w:szCs w:val="24"/>
        </w:rPr>
        <w:t xml:space="preserve">ocuments </w:t>
      </w:r>
      <w:r w:rsidR="00F66745" w:rsidRPr="00C020C2">
        <w:rPr>
          <w:rFonts w:eastAsia="Calibri"/>
          <w:sz w:val="24"/>
          <w:szCs w:val="24"/>
        </w:rPr>
        <w:t>and standards</w:t>
      </w:r>
      <w:r w:rsidR="00F32B56" w:rsidRPr="00C020C2">
        <w:rPr>
          <w:rFonts w:eastAsia="Calibri"/>
          <w:sz w:val="24"/>
          <w:szCs w:val="24"/>
        </w:rPr>
        <w:t xml:space="preserve">, including an </w:t>
      </w:r>
      <w:r w:rsidR="0011467A" w:rsidRPr="00C020C2">
        <w:rPr>
          <w:rFonts w:eastAsia="Calibri"/>
          <w:sz w:val="24"/>
          <w:szCs w:val="24"/>
        </w:rPr>
        <w:t xml:space="preserve">ITU thought paper – </w:t>
      </w:r>
      <w:hyperlink r:id="rId57" w:history="1">
        <w:r w:rsidR="0011467A" w:rsidRPr="00C020C2">
          <w:rPr>
            <w:rStyle w:val="Hyperlink"/>
            <w:rFonts w:eastAsia="Calibri"/>
            <w:sz w:val="24"/>
            <w:szCs w:val="24"/>
          </w:rPr>
          <w:t>Global and Complementary Actions for Electronics Extended Producer Responsibility</w:t>
        </w:r>
      </w:hyperlink>
      <w:r w:rsidR="00F32B56" w:rsidRPr="00C020C2">
        <w:rPr>
          <w:rFonts w:eastAsia="Calibri"/>
          <w:sz w:val="24"/>
          <w:szCs w:val="24"/>
        </w:rPr>
        <w:t xml:space="preserve">; </w:t>
      </w:r>
      <w:r w:rsidR="0011467A" w:rsidRPr="00C020C2">
        <w:rPr>
          <w:rFonts w:eastAsia="Calibri"/>
          <w:sz w:val="24"/>
          <w:szCs w:val="24"/>
        </w:rPr>
        <w:t>a Circular and Sustainable Public Procurement Guide for ICTs</w:t>
      </w:r>
      <w:r w:rsidR="00F66745" w:rsidRPr="00C020C2">
        <w:rPr>
          <w:rFonts w:eastAsia="Calibri"/>
          <w:sz w:val="24"/>
          <w:szCs w:val="24"/>
        </w:rPr>
        <w:t xml:space="preserve">; and </w:t>
      </w:r>
      <w:r w:rsidR="0011467A" w:rsidRPr="00C020C2">
        <w:rPr>
          <w:rFonts w:asciiTheme="minorHAnsi" w:eastAsiaTheme="minorEastAsia" w:hAnsiTheme="minorHAnsi" w:cstheme="minorBidi"/>
          <w:color w:val="000000" w:themeColor="text1"/>
          <w:sz w:val="24"/>
          <w:szCs w:val="24"/>
        </w:rPr>
        <w:t xml:space="preserve">a new standard on circular public procurement of information and communication technologies. </w:t>
      </w:r>
    </w:p>
    <w:p w14:paraId="28F7D393" w14:textId="77777777" w:rsidR="0011467A" w:rsidRPr="00C020C2" w:rsidRDefault="0011467A" w:rsidP="002A7955">
      <w:pPr>
        <w:spacing w:after="120"/>
        <w:jc w:val="both"/>
        <w:rPr>
          <w:rFonts w:eastAsia="Calibri"/>
          <w:b/>
          <w:bCs/>
          <w:lang w:val="en-US"/>
        </w:rPr>
      </w:pPr>
      <w:r w:rsidRPr="00C020C2">
        <w:rPr>
          <w:rFonts w:eastAsia="Calibri"/>
          <w:b/>
          <w:bCs/>
          <w:lang w:val="en-US"/>
        </w:rPr>
        <w:t>Climate change and ICTs</w:t>
      </w:r>
    </w:p>
    <w:p w14:paraId="32ABD964" w14:textId="2111CFEF" w:rsidR="0011467A" w:rsidRPr="00C020C2" w:rsidRDefault="00784D46" w:rsidP="002A7955">
      <w:pPr>
        <w:spacing w:after="120"/>
        <w:jc w:val="both"/>
        <w:rPr>
          <w:rFonts w:eastAsia="Calibri"/>
          <w:szCs w:val="24"/>
        </w:rPr>
      </w:pPr>
      <w:r w:rsidRPr="00C020C2">
        <w:rPr>
          <w:rFonts w:eastAsia="Calibri"/>
          <w:szCs w:val="24"/>
        </w:rPr>
        <w:t>ITU activities d</w:t>
      </w:r>
      <w:r w:rsidR="00CD5457" w:rsidRPr="00C020C2">
        <w:rPr>
          <w:rFonts w:eastAsia="Calibri"/>
          <w:szCs w:val="24"/>
        </w:rPr>
        <w:t>uring</w:t>
      </w:r>
      <w:r w:rsidR="0011467A" w:rsidRPr="00C020C2">
        <w:rPr>
          <w:rFonts w:eastAsia="Calibri"/>
          <w:szCs w:val="24"/>
        </w:rPr>
        <w:t xml:space="preserve"> COP-27 in Sharm el-Sheikh, Egypt</w:t>
      </w:r>
      <w:r w:rsidRPr="00C020C2">
        <w:rPr>
          <w:rFonts w:eastAsia="Calibri"/>
          <w:szCs w:val="24"/>
        </w:rPr>
        <w:t>, include</w:t>
      </w:r>
      <w:r w:rsidR="00E44C6F" w:rsidRPr="00C020C2">
        <w:rPr>
          <w:rFonts w:eastAsia="Calibri"/>
          <w:szCs w:val="24"/>
        </w:rPr>
        <w:t>d</w:t>
      </w:r>
      <w:r w:rsidRPr="00C020C2">
        <w:rPr>
          <w:rFonts w:eastAsia="Calibri"/>
          <w:szCs w:val="24"/>
        </w:rPr>
        <w:t>:</w:t>
      </w:r>
      <w:r w:rsidR="00AD7AA4" w:rsidRPr="00C020C2">
        <w:rPr>
          <w:rFonts w:eastAsia="Calibri"/>
          <w:szCs w:val="24"/>
        </w:rPr>
        <w:t xml:space="preserve"> </w:t>
      </w:r>
      <w:r w:rsidR="0011467A" w:rsidRPr="00C020C2">
        <w:rPr>
          <w:rFonts w:eastAsia="Calibri"/>
          <w:szCs w:val="24"/>
        </w:rPr>
        <w:t>an exhibit on “Turning digital innovation into climate action</w:t>
      </w:r>
      <w:r w:rsidR="00AD7AA4" w:rsidRPr="00C020C2">
        <w:rPr>
          <w:rFonts w:eastAsia="Calibri"/>
          <w:szCs w:val="24"/>
        </w:rPr>
        <w:t xml:space="preserve">”; </w:t>
      </w:r>
      <w:r w:rsidR="0011467A" w:rsidRPr="00C020C2">
        <w:rPr>
          <w:rFonts w:eastAsia="Calibri"/>
          <w:szCs w:val="24"/>
        </w:rPr>
        <w:t xml:space="preserve">four UN Climate Change Learning Partnership </w:t>
      </w:r>
      <w:r w:rsidR="00AD7AA4" w:rsidRPr="00C020C2">
        <w:rPr>
          <w:rFonts w:eastAsia="Calibri"/>
          <w:szCs w:val="24"/>
        </w:rPr>
        <w:t>“</w:t>
      </w:r>
      <w:r w:rsidR="0011467A" w:rsidRPr="00C020C2">
        <w:rPr>
          <w:rFonts w:eastAsia="Calibri"/>
          <w:szCs w:val="24"/>
        </w:rPr>
        <w:t xml:space="preserve">Climate </w:t>
      </w:r>
      <w:r w:rsidR="00AD7AA4" w:rsidRPr="00C020C2">
        <w:rPr>
          <w:rFonts w:eastAsia="Calibri"/>
          <w:szCs w:val="24"/>
        </w:rPr>
        <w:t xml:space="preserve">Classrooms”; </w:t>
      </w:r>
      <w:r w:rsidR="0011467A" w:rsidRPr="00C020C2">
        <w:rPr>
          <w:rFonts w:eastAsia="Calibri"/>
          <w:szCs w:val="24"/>
        </w:rPr>
        <w:t xml:space="preserve">three side events </w:t>
      </w:r>
      <w:r w:rsidR="00675DE9" w:rsidRPr="00C020C2">
        <w:rPr>
          <w:rFonts w:eastAsia="Calibri"/>
          <w:szCs w:val="24"/>
        </w:rPr>
        <w:t xml:space="preserve">co-organized </w:t>
      </w:r>
      <w:r w:rsidR="0011467A" w:rsidRPr="00C020C2">
        <w:rPr>
          <w:rFonts w:eastAsia="Calibri"/>
          <w:szCs w:val="24"/>
        </w:rPr>
        <w:t>with the Ministry of Communications and Information Technology of Egypt</w:t>
      </w:r>
      <w:r w:rsidR="00AD7AA4" w:rsidRPr="00C020C2">
        <w:rPr>
          <w:rFonts w:eastAsia="Calibri"/>
          <w:szCs w:val="24"/>
        </w:rPr>
        <w:t xml:space="preserve"> (MCIT);</w:t>
      </w:r>
      <w:r w:rsidR="0011467A" w:rsidRPr="00C020C2">
        <w:rPr>
          <w:rFonts w:eastAsia="Calibri"/>
          <w:szCs w:val="24"/>
        </w:rPr>
        <w:t xml:space="preserve"> and </w:t>
      </w:r>
      <w:r w:rsidR="00E44C6F" w:rsidRPr="00C020C2">
        <w:rPr>
          <w:rFonts w:eastAsia="Calibri"/>
          <w:szCs w:val="24"/>
        </w:rPr>
        <w:t>presence as an invited</w:t>
      </w:r>
      <w:r w:rsidR="0011467A" w:rsidRPr="00C020C2">
        <w:rPr>
          <w:rFonts w:eastAsia="Calibri"/>
          <w:szCs w:val="24"/>
        </w:rPr>
        <w:t xml:space="preserve"> panellist </w:t>
      </w:r>
      <w:r w:rsidR="00E44C6F" w:rsidRPr="00C020C2">
        <w:rPr>
          <w:rFonts w:eastAsia="Calibri"/>
          <w:szCs w:val="24"/>
        </w:rPr>
        <w:t xml:space="preserve">at </w:t>
      </w:r>
      <w:proofErr w:type="gramStart"/>
      <w:r w:rsidR="0011467A" w:rsidRPr="00C020C2">
        <w:rPr>
          <w:rFonts w:eastAsia="Calibri"/>
          <w:szCs w:val="24"/>
        </w:rPr>
        <w:t>a number of</w:t>
      </w:r>
      <w:proofErr w:type="gramEnd"/>
      <w:r w:rsidR="0011467A" w:rsidRPr="00C020C2">
        <w:rPr>
          <w:rFonts w:eastAsia="Calibri"/>
          <w:szCs w:val="24"/>
        </w:rPr>
        <w:t xml:space="preserve"> </w:t>
      </w:r>
      <w:r w:rsidR="00AD7AA4" w:rsidRPr="00C020C2">
        <w:rPr>
          <w:rFonts w:eastAsia="Calibri"/>
          <w:szCs w:val="24"/>
        </w:rPr>
        <w:t>MCIT</w:t>
      </w:r>
      <w:r w:rsidR="0011467A" w:rsidRPr="00C020C2">
        <w:rPr>
          <w:rFonts w:eastAsia="Calibri"/>
          <w:szCs w:val="24"/>
        </w:rPr>
        <w:t xml:space="preserve"> pavilion events.</w:t>
      </w:r>
    </w:p>
    <w:p w14:paraId="2A4C5F24" w14:textId="1BF0AAA5" w:rsidR="009F237A" w:rsidRPr="00C020C2" w:rsidRDefault="009F237A" w:rsidP="002A7955">
      <w:pPr>
        <w:spacing w:after="120"/>
        <w:jc w:val="both"/>
        <w:rPr>
          <w:rFonts w:asciiTheme="minorHAnsi" w:eastAsiaTheme="minorEastAsia" w:hAnsiTheme="minorHAnsi" w:cstheme="minorBidi"/>
          <w:color w:val="000000" w:themeColor="text1"/>
          <w:szCs w:val="24"/>
        </w:rPr>
      </w:pPr>
      <w:r w:rsidRPr="00C020C2">
        <w:rPr>
          <w:rFonts w:asciiTheme="minorHAnsi" w:eastAsiaTheme="minorEastAsia" w:hAnsiTheme="minorHAnsi" w:cstheme="minorBidi"/>
          <w:color w:val="000000" w:themeColor="text1"/>
          <w:szCs w:val="24"/>
        </w:rPr>
        <w:t xml:space="preserve">In October 2022, ITU jointly organized the </w:t>
      </w:r>
      <w:hyperlink r:id="rId58" w:history="1">
        <w:r w:rsidRPr="00C020C2">
          <w:rPr>
            <w:rStyle w:val="Hyperlink"/>
            <w:szCs w:val="24"/>
          </w:rPr>
          <w:t>14th Symposium on ICT, Environment, Climate Change and Circular Economy</w:t>
        </w:r>
      </w:hyperlink>
      <w:r w:rsidRPr="00C020C2">
        <w:rPr>
          <w:rFonts w:asciiTheme="minorHAnsi" w:eastAsiaTheme="minorEastAsia" w:hAnsiTheme="minorHAnsi" w:cstheme="minorBidi"/>
          <w:color w:val="000000" w:themeColor="text1"/>
          <w:szCs w:val="24"/>
        </w:rPr>
        <w:t xml:space="preserve"> in Rome, Italy, focusing on Sustainable Digital Transformation and the Role of ICTs and Digital Technologies in Achieving Net Zero Carbon.</w:t>
      </w:r>
    </w:p>
    <w:p w14:paraId="132E6E63" w14:textId="400BC0D5" w:rsidR="005E208F" w:rsidRPr="00C020C2" w:rsidRDefault="00C020C2" w:rsidP="002A7955">
      <w:pPr>
        <w:spacing w:after="120"/>
        <w:jc w:val="both"/>
        <w:rPr>
          <w:rFonts w:eastAsia="Calibri"/>
          <w:szCs w:val="24"/>
          <w:lang w:val="en-US"/>
        </w:rPr>
      </w:pPr>
      <w:hyperlink r:id="rId59">
        <w:r w:rsidR="3C1947A2" w:rsidRPr="00C020C2">
          <w:rPr>
            <w:rStyle w:val="Hyperlink"/>
            <w:rFonts w:eastAsia="Calibri"/>
            <w:szCs w:val="24"/>
          </w:rPr>
          <w:t>Greening Digital Companies:</w:t>
        </w:r>
      </w:hyperlink>
      <w:r w:rsidR="3C1947A2" w:rsidRPr="00C020C2">
        <w:rPr>
          <w:rFonts w:eastAsia="Calibri"/>
          <w:szCs w:val="24"/>
        </w:rPr>
        <w:t xml:space="preserve"> Monitoring Emissions and Climate Commitments</w:t>
      </w:r>
      <w:r w:rsidR="1CD0DE09" w:rsidRPr="00C020C2">
        <w:rPr>
          <w:rFonts w:eastAsia="Calibri"/>
          <w:szCs w:val="24"/>
        </w:rPr>
        <w:t xml:space="preserve"> report</w:t>
      </w:r>
      <w:r w:rsidR="3C1947A2" w:rsidRPr="00C020C2">
        <w:rPr>
          <w:rFonts w:eastAsia="Calibri"/>
          <w:szCs w:val="24"/>
        </w:rPr>
        <w:t xml:space="preserve"> </w:t>
      </w:r>
      <w:r w:rsidR="076C8287" w:rsidRPr="00C020C2">
        <w:rPr>
          <w:rFonts w:eastAsia="Calibri"/>
          <w:szCs w:val="24"/>
        </w:rPr>
        <w:t xml:space="preserve">was </w:t>
      </w:r>
      <w:r w:rsidR="3C1947A2" w:rsidRPr="00C020C2">
        <w:rPr>
          <w:rFonts w:eastAsia="Calibri"/>
          <w:szCs w:val="24"/>
        </w:rPr>
        <w:t>jointly authored by ITU and the World Benchmarking Alliance</w:t>
      </w:r>
      <w:r w:rsidR="076C8287" w:rsidRPr="00C020C2">
        <w:rPr>
          <w:rFonts w:eastAsia="Calibri"/>
          <w:szCs w:val="24"/>
        </w:rPr>
        <w:t xml:space="preserve"> and </w:t>
      </w:r>
      <w:r w:rsidR="3C1947A2" w:rsidRPr="00C020C2">
        <w:rPr>
          <w:rFonts w:eastAsia="Calibri"/>
          <w:szCs w:val="24"/>
        </w:rPr>
        <w:t xml:space="preserve">documents the emissions and energy use of 150 of the world’s leading tech companies. The report was launched during two online </w:t>
      </w:r>
      <w:hyperlink r:id="rId60">
        <w:r w:rsidR="3C1947A2" w:rsidRPr="00C020C2">
          <w:rPr>
            <w:rStyle w:val="Hyperlink"/>
            <w:rFonts w:eastAsia="Calibri"/>
            <w:szCs w:val="24"/>
          </w:rPr>
          <w:t>webinars</w:t>
        </w:r>
      </w:hyperlink>
      <w:r w:rsidR="3C1947A2" w:rsidRPr="00C020C2">
        <w:rPr>
          <w:rFonts w:eastAsia="Calibri"/>
          <w:szCs w:val="24"/>
        </w:rPr>
        <w:t>.</w:t>
      </w:r>
    </w:p>
    <w:p w14:paraId="20C3B416" w14:textId="7EF31F70" w:rsidR="0011467A" w:rsidRPr="00C020C2" w:rsidRDefault="0011467A" w:rsidP="002A7955">
      <w:pPr>
        <w:spacing w:after="120"/>
        <w:jc w:val="both"/>
        <w:rPr>
          <w:rFonts w:eastAsia="Calibri"/>
          <w:color w:val="000000" w:themeColor="text1"/>
          <w:szCs w:val="24"/>
        </w:rPr>
      </w:pPr>
      <w:r w:rsidRPr="00C020C2">
        <w:rPr>
          <w:rFonts w:eastAsia="Calibri"/>
          <w:color w:val="000000" w:themeColor="text1"/>
          <w:szCs w:val="24"/>
        </w:rPr>
        <w:t xml:space="preserve">In </w:t>
      </w:r>
      <w:r w:rsidR="00807F19" w:rsidRPr="00C020C2">
        <w:rPr>
          <w:rFonts w:eastAsia="Calibri"/>
          <w:color w:val="000000" w:themeColor="text1"/>
          <w:szCs w:val="24"/>
        </w:rPr>
        <w:t xml:space="preserve">December 2022, </w:t>
      </w:r>
      <w:r w:rsidR="00552672" w:rsidRPr="00C020C2">
        <w:rPr>
          <w:rFonts w:eastAsia="Calibri"/>
          <w:color w:val="000000" w:themeColor="text1"/>
          <w:szCs w:val="24"/>
        </w:rPr>
        <w:t xml:space="preserve">the </w:t>
      </w:r>
      <w:r w:rsidRPr="00C020C2">
        <w:rPr>
          <w:rFonts w:eastAsia="Calibri"/>
          <w:color w:val="000000" w:themeColor="text1"/>
          <w:szCs w:val="24"/>
        </w:rPr>
        <w:t>Co</w:t>
      </w:r>
      <w:r w:rsidR="00F94F6D" w:rsidRPr="00C020C2">
        <w:rPr>
          <w:rFonts w:eastAsia="Calibri"/>
          <w:color w:val="000000" w:themeColor="text1"/>
          <w:szCs w:val="24"/>
        </w:rPr>
        <w:t xml:space="preserve">ordination </w:t>
      </w:r>
      <w:r w:rsidR="00552672" w:rsidRPr="00C020C2">
        <w:rPr>
          <w:rFonts w:eastAsia="Calibri"/>
          <w:color w:val="000000" w:themeColor="text1"/>
          <w:szCs w:val="24"/>
        </w:rPr>
        <w:t>C</w:t>
      </w:r>
      <w:r w:rsidRPr="00C020C2">
        <w:rPr>
          <w:rFonts w:eastAsia="Calibri"/>
          <w:color w:val="000000" w:themeColor="text1"/>
          <w:szCs w:val="24"/>
        </w:rPr>
        <w:t>o</w:t>
      </w:r>
      <w:r w:rsidR="00F94F6D" w:rsidRPr="00C020C2">
        <w:rPr>
          <w:rFonts w:eastAsia="Calibri"/>
          <w:color w:val="000000" w:themeColor="text1"/>
          <w:szCs w:val="24"/>
        </w:rPr>
        <w:t>mmittee</w:t>
      </w:r>
      <w:r w:rsidRPr="00C020C2">
        <w:rPr>
          <w:rFonts w:eastAsia="Calibri"/>
          <w:color w:val="000000" w:themeColor="text1"/>
          <w:szCs w:val="24"/>
        </w:rPr>
        <w:t xml:space="preserve"> approved ITU’s first environmental sustainability policy</w:t>
      </w:r>
      <w:r w:rsidR="003262F5" w:rsidRPr="00C020C2">
        <w:rPr>
          <w:rFonts w:eastAsia="Calibri"/>
          <w:color w:val="000000" w:themeColor="text1"/>
          <w:szCs w:val="24"/>
        </w:rPr>
        <w:t>.</w:t>
      </w:r>
      <w:r w:rsidRPr="00C020C2">
        <w:rPr>
          <w:rFonts w:eastAsia="Calibri"/>
          <w:color w:val="000000" w:themeColor="text1"/>
          <w:szCs w:val="24"/>
        </w:rPr>
        <w:t xml:space="preserve"> According to the </w:t>
      </w:r>
      <w:hyperlink r:id="rId61" w:history="1">
        <w:r w:rsidRPr="00C020C2">
          <w:rPr>
            <w:rStyle w:val="Hyperlink"/>
            <w:rFonts w:eastAsia="Calibri"/>
            <w:szCs w:val="24"/>
          </w:rPr>
          <w:t xml:space="preserve">Greening the Blue </w:t>
        </w:r>
        <w:r w:rsidR="00807F19" w:rsidRPr="00C020C2">
          <w:rPr>
            <w:rStyle w:val="Hyperlink"/>
            <w:rFonts w:eastAsia="Calibri"/>
            <w:szCs w:val="24"/>
          </w:rPr>
          <w:t xml:space="preserve">Report </w:t>
        </w:r>
        <w:r w:rsidRPr="00C020C2">
          <w:rPr>
            <w:rStyle w:val="Hyperlink"/>
            <w:rFonts w:eastAsia="Calibri"/>
            <w:szCs w:val="24"/>
          </w:rPr>
          <w:t>2022</w:t>
        </w:r>
      </w:hyperlink>
      <w:r w:rsidRPr="00C020C2">
        <w:rPr>
          <w:rFonts w:eastAsia="Calibri"/>
          <w:color w:val="000000" w:themeColor="text1"/>
          <w:szCs w:val="24"/>
        </w:rPr>
        <w:t xml:space="preserve">, </w:t>
      </w:r>
      <w:r w:rsidR="00675DE9" w:rsidRPr="00C020C2">
        <w:rPr>
          <w:rFonts w:eastAsia="Calibri"/>
          <w:color w:val="000000" w:themeColor="text1"/>
          <w:szCs w:val="24"/>
        </w:rPr>
        <w:t xml:space="preserve">based on </w:t>
      </w:r>
      <w:r w:rsidRPr="00C020C2">
        <w:rPr>
          <w:rFonts w:eastAsia="Calibri"/>
          <w:color w:val="000000" w:themeColor="text1"/>
          <w:szCs w:val="24"/>
        </w:rPr>
        <w:t xml:space="preserve">2021 data, ITU’s GHG emissions </w:t>
      </w:r>
      <w:r w:rsidR="003262F5" w:rsidRPr="00C020C2">
        <w:rPr>
          <w:rFonts w:eastAsia="Calibri"/>
          <w:color w:val="000000" w:themeColor="text1"/>
          <w:szCs w:val="24"/>
        </w:rPr>
        <w:t xml:space="preserve">decreased </w:t>
      </w:r>
      <w:r w:rsidRPr="00C020C2">
        <w:rPr>
          <w:rFonts w:eastAsia="Calibri"/>
          <w:color w:val="000000" w:themeColor="text1"/>
          <w:szCs w:val="24"/>
        </w:rPr>
        <w:t xml:space="preserve">significantly as official travel was on halt due to </w:t>
      </w:r>
      <w:r w:rsidR="00807F19" w:rsidRPr="00C020C2">
        <w:rPr>
          <w:rFonts w:eastAsia="Calibri"/>
          <w:color w:val="000000" w:themeColor="text1"/>
          <w:szCs w:val="24"/>
        </w:rPr>
        <w:t>COVID-19</w:t>
      </w:r>
      <w:r w:rsidRPr="00C020C2">
        <w:rPr>
          <w:rFonts w:eastAsia="Calibri"/>
          <w:color w:val="000000" w:themeColor="text1"/>
          <w:szCs w:val="24"/>
        </w:rPr>
        <w:t xml:space="preserve">. More details on </w:t>
      </w:r>
      <w:r w:rsidR="00D62FBD" w:rsidRPr="00C020C2">
        <w:rPr>
          <w:rFonts w:eastAsia="Calibri"/>
          <w:color w:val="000000" w:themeColor="text1"/>
          <w:szCs w:val="24"/>
        </w:rPr>
        <w:t xml:space="preserve">efforts to reduce </w:t>
      </w:r>
      <w:r w:rsidRPr="00C020C2">
        <w:rPr>
          <w:rFonts w:eastAsia="Calibri"/>
          <w:color w:val="000000" w:themeColor="text1"/>
          <w:szCs w:val="24"/>
        </w:rPr>
        <w:t>ITU’s footprint</w:t>
      </w:r>
      <w:r w:rsidR="00553AA9" w:rsidRPr="00C020C2">
        <w:rPr>
          <w:rFonts w:eastAsia="Calibri"/>
          <w:color w:val="000000" w:themeColor="text1"/>
          <w:szCs w:val="24"/>
        </w:rPr>
        <w:t xml:space="preserve"> </w:t>
      </w:r>
      <w:r w:rsidRPr="00C020C2">
        <w:rPr>
          <w:rFonts w:eastAsia="Calibri"/>
          <w:color w:val="000000" w:themeColor="text1"/>
          <w:szCs w:val="24"/>
        </w:rPr>
        <w:t xml:space="preserve">can be found on </w:t>
      </w:r>
      <w:r w:rsidR="00D62FBD" w:rsidRPr="00C020C2">
        <w:rPr>
          <w:rFonts w:eastAsia="Calibri"/>
          <w:color w:val="000000" w:themeColor="text1"/>
          <w:szCs w:val="24"/>
        </w:rPr>
        <w:t xml:space="preserve">the </w:t>
      </w:r>
      <w:hyperlink r:id="rId62" w:history="1">
        <w:r w:rsidRPr="00C020C2">
          <w:rPr>
            <w:rStyle w:val="Hyperlink"/>
            <w:rFonts w:eastAsia="Calibri"/>
            <w:szCs w:val="24"/>
            <w:lang w:val="en-US" w:eastAsia="zh-TW"/>
          </w:rPr>
          <w:t>ITU entity page on Greening the Blue</w:t>
        </w:r>
      </w:hyperlink>
      <w:r w:rsidRPr="00C020C2">
        <w:rPr>
          <w:rFonts w:eastAsia="Calibri"/>
          <w:color w:val="000000" w:themeColor="text1"/>
          <w:szCs w:val="24"/>
        </w:rPr>
        <w:t>.</w:t>
      </w:r>
    </w:p>
    <w:p w14:paraId="2DAFD8EA" w14:textId="5009FCFA" w:rsidR="00553AA9" w:rsidRPr="00C020C2" w:rsidRDefault="0011467A" w:rsidP="002A7955">
      <w:pPr>
        <w:spacing w:after="120"/>
        <w:jc w:val="both"/>
        <w:rPr>
          <w:rFonts w:asciiTheme="minorHAnsi" w:eastAsiaTheme="minorEastAsia" w:hAnsiTheme="minorHAnsi" w:cstheme="minorBidi"/>
          <w:color w:val="000000" w:themeColor="text1"/>
          <w:szCs w:val="24"/>
        </w:rPr>
      </w:pPr>
      <w:r w:rsidRPr="00C020C2">
        <w:rPr>
          <w:rFonts w:asciiTheme="minorHAnsi" w:eastAsiaTheme="minorEastAsia" w:hAnsiTheme="minorHAnsi" w:cstheme="minorBidi"/>
          <w:color w:val="000000" w:themeColor="text1"/>
          <w:szCs w:val="24"/>
        </w:rPr>
        <w:lastRenderedPageBreak/>
        <w:t>Additionally, ITU is</w:t>
      </w:r>
      <w:r w:rsidR="00553AA9" w:rsidRPr="00C020C2">
        <w:rPr>
          <w:rFonts w:asciiTheme="minorHAnsi" w:eastAsiaTheme="minorEastAsia" w:hAnsiTheme="minorHAnsi" w:cstheme="minorBidi"/>
          <w:color w:val="000000" w:themeColor="text1"/>
          <w:szCs w:val="24"/>
        </w:rPr>
        <w:t>:</w:t>
      </w:r>
    </w:p>
    <w:p w14:paraId="330670DA" w14:textId="2C433EB4" w:rsidR="00553AA9" w:rsidRPr="00C020C2" w:rsidRDefault="00616A0F" w:rsidP="00EE21B1">
      <w:pPr>
        <w:pStyle w:val="ListParagraph"/>
        <w:numPr>
          <w:ilvl w:val="0"/>
          <w:numId w:val="29"/>
        </w:numPr>
        <w:spacing w:after="120"/>
        <w:contextualSpacing/>
        <w:jc w:val="both"/>
        <w:rPr>
          <w:rFonts w:asciiTheme="minorHAnsi" w:eastAsiaTheme="minorEastAsia" w:hAnsiTheme="minorHAnsi" w:cstheme="minorBidi"/>
          <w:color w:val="000000" w:themeColor="text1"/>
          <w:sz w:val="24"/>
          <w:szCs w:val="24"/>
        </w:rPr>
      </w:pPr>
      <w:r w:rsidRPr="00C020C2">
        <w:rPr>
          <w:rFonts w:asciiTheme="minorHAnsi" w:eastAsiaTheme="minorEastAsia" w:hAnsiTheme="minorHAnsi" w:cstheme="minorBidi"/>
          <w:color w:val="000000" w:themeColor="text1"/>
          <w:sz w:val="24"/>
          <w:szCs w:val="24"/>
        </w:rPr>
        <w:t>C</w:t>
      </w:r>
      <w:r w:rsidR="0011467A" w:rsidRPr="00C020C2">
        <w:rPr>
          <w:rFonts w:asciiTheme="minorHAnsi" w:eastAsiaTheme="minorEastAsia" w:hAnsiTheme="minorHAnsi" w:cstheme="minorBidi"/>
          <w:color w:val="000000" w:themeColor="text1"/>
          <w:sz w:val="24"/>
          <w:szCs w:val="24"/>
        </w:rPr>
        <w:t xml:space="preserve">ontinuously developing energy efficiency standards for 5G equipment and specifying edge data </w:t>
      </w:r>
      <w:proofErr w:type="spellStart"/>
      <w:r w:rsidR="0011467A" w:rsidRPr="00C020C2">
        <w:rPr>
          <w:rFonts w:asciiTheme="minorHAnsi" w:eastAsiaTheme="minorEastAsia" w:hAnsiTheme="minorHAnsi" w:cstheme="minorBidi"/>
          <w:color w:val="000000" w:themeColor="text1"/>
          <w:sz w:val="24"/>
          <w:szCs w:val="24"/>
        </w:rPr>
        <w:t>centre</w:t>
      </w:r>
      <w:proofErr w:type="spellEnd"/>
      <w:r w:rsidR="0011467A" w:rsidRPr="00C020C2">
        <w:rPr>
          <w:rFonts w:asciiTheme="minorHAnsi" w:eastAsiaTheme="minorEastAsia" w:hAnsiTheme="minorHAnsi" w:cstheme="minorBidi"/>
          <w:color w:val="000000" w:themeColor="text1"/>
          <w:sz w:val="24"/>
          <w:szCs w:val="24"/>
        </w:rPr>
        <w:t xml:space="preserve"> infrastructure</w:t>
      </w:r>
      <w:r w:rsidR="00675DE9" w:rsidRPr="00C020C2">
        <w:rPr>
          <w:rFonts w:asciiTheme="minorHAnsi" w:eastAsiaTheme="minorEastAsia" w:hAnsiTheme="minorHAnsi" w:cstheme="minorBidi"/>
          <w:color w:val="000000" w:themeColor="text1"/>
          <w:sz w:val="24"/>
          <w:szCs w:val="24"/>
        </w:rPr>
        <w:t>.</w:t>
      </w:r>
    </w:p>
    <w:p w14:paraId="53518D60" w14:textId="1B5E412C" w:rsidR="0011467A" w:rsidRPr="00C020C2" w:rsidRDefault="00616A0F" w:rsidP="00EE21B1">
      <w:pPr>
        <w:pStyle w:val="ListParagraph"/>
        <w:numPr>
          <w:ilvl w:val="0"/>
          <w:numId w:val="29"/>
        </w:numPr>
        <w:spacing w:after="120"/>
        <w:contextualSpacing/>
        <w:jc w:val="both"/>
        <w:rPr>
          <w:rFonts w:asciiTheme="minorHAnsi" w:eastAsiaTheme="minorEastAsia" w:hAnsiTheme="minorHAnsi" w:cstheme="minorBidi"/>
          <w:color w:val="000000" w:themeColor="text1"/>
          <w:sz w:val="24"/>
          <w:szCs w:val="24"/>
        </w:rPr>
      </w:pPr>
      <w:r w:rsidRPr="00C020C2">
        <w:rPr>
          <w:rFonts w:asciiTheme="minorHAnsi" w:eastAsiaTheme="minorEastAsia" w:hAnsiTheme="minorHAnsi" w:cstheme="minorBidi"/>
          <w:color w:val="000000" w:themeColor="text1"/>
          <w:sz w:val="24"/>
          <w:szCs w:val="24"/>
        </w:rPr>
        <w:t>I</w:t>
      </w:r>
      <w:r w:rsidR="0011467A" w:rsidRPr="00C020C2">
        <w:rPr>
          <w:rFonts w:asciiTheme="minorHAnsi" w:eastAsiaTheme="minorEastAsia" w:hAnsiTheme="minorHAnsi" w:cstheme="minorBidi"/>
          <w:color w:val="000000" w:themeColor="text1"/>
          <w:sz w:val="24"/>
          <w:szCs w:val="24"/>
        </w:rPr>
        <w:t xml:space="preserve">dentifying measures necessary to assess </w:t>
      </w:r>
      <w:hyperlink r:id="rId63" w:history="1">
        <w:r w:rsidR="0011467A" w:rsidRPr="00C020C2">
          <w:rPr>
            <w:rStyle w:val="Hyperlink"/>
            <w:sz w:val="24"/>
            <w:szCs w:val="24"/>
          </w:rPr>
          <w:t xml:space="preserve">counterfeit ICT </w:t>
        </w:r>
        <w:r w:rsidRPr="00C020C2">
          <w:rPr>
            <w:rStyle w:val="Hyperlink"/>
            <w:sz w:val="24"/>
            <w:szCs w:val="24"/>
          </w:rPr>
          <w:t xml:space="preserve">products’ </w:t>
        </w:r>
        <w:r w:rsidR="0011467A" w:rsidRPr="00C020C2">
          <w:rPr>
            <w:rStyle w:val="Hyperlink"/>
            <w:sz w:val="24"/>
            <w:szCs w:val="24"/>
          </w:rPr>
          <w:t>environmental impact</w:t>
        </w:r>
      </w:hyperlink>
      <w:r w:rsidR="0011467A" w:rsidRPr="00C020C2">
        <w:rPr>
          <w:rFonts w:asciiTheme="minorHAnsi" w:eastAsiaTheme="minorEastAsia" w:hAnsiTheme="minorHAnsi" w:cstheme="minorBidi"/>
          <w:color w:val="000000" w:themeColor="text1"/>
          <w:sz w:val="24"/>
          <w:szCs w:val="24"/>
        </w:rPr>
        <w:t xml:space="preserve"> and promoting awareness</w:t>
      </w:r>
      <w:r w:rsidR="00D62FBD" w:rsidRPr="00C020C2">
        <w:rPr>
          <w:rFonts w:asciiTheme="minorHAnsi" w:eastAsiaTheme="minorEastAsia" w:hAnsiTheme="minorHAnsi" w:cstheme="minorBidi"/>
          <w:color w:val="000000" w:themeColor="text1"/>
          <w:sz w:val="24"/>
          <w:szCs w:val="24"/>
        </w:rPr>
        <w:t xml:space="preserve"> of this.</w:t>
      </w:r>
      <w:r w:rsidR="0011467A" w:rsidRPr="00C020C2">
        <w:rPr>
          <w:rFonts w:asciiTheme="minorHAnsi" w:eastAsiaTheme="minorEastAsia" w:hAnsiTheme="minorHAnsi" w:cstheme="minorBidi"/>
          <w:color w:val="000000" w:themeColor="text1"/>
          <w:sz w:val="24"/>
          <w:szCs w:val="24"/>
        </w:rPr>
        <w:t xml:space="preserve"> </w:t>
      </w:r>
    </w:p>
    <w:p w14:paraId="0740A3E7" w14:textId="77777777" w:rsidR="009F20DA" w:rsidRPr="00C020C2" w:rsidRDefault="009F20DA" w:rsidP="009F20DA">
      <w:pPr>
        <w:spacing w:after="120"/>
        <w:contextualSpacing/>
        <w:jc w:val="both"/>
        <w:rPr>
          <w:rFonts w:asciiTheme="minorHAnsi" w:eastAsiaTheme="minorEastAsia" w:hAnsiTheme="minorHAnsi" w:cstheme="minorBidi"/>
          <w:color w:val="000000" w:themeColor="text1"/>
          <w:szCs w:val="24"/>
        </w:rPr>
      </w:pPr>
      <w:r w:rsidRPr="00C020C2">
        <w:rPr>
          <w:rFonts w:asciiTheme="minorHAnsi" w:eastAsiaTheme="minorEastAsia" w:hAnsiTheme="minorHAnsi" w:cstheme="minorBidi"/>
          <w:color w:val="000000" w:themeColor="text1"/>
          <w:szCs w:val="24"/>
        </w:rPr>
        <w:t>The next United Nations climate conference, COP28, offers a prime opportunity to showcase and scale up digital climate action.</w:t>
      </w:r>
    </w:p>
    <w:p w14:paraId="07BCE420" w14:textId="77777777" w:rsidR="009F20DA" w:rsidRPr="00C020C2" w:rsidRDefault="009F20DA" w:rsidP="009F20DA">
      <w:pPr>
        <w:spacing w:after="120"/>
        <w:contextualSpacing/>
        <w:jc w:val="both"/>
        <w:rPr>
          <w:rFonts w:asciiTheme="minorHAnsi" w:eastAsiaTheme="minorEastAsia" w:hAnsiTheme="minorHAnsi" w:cstheme="minorBidi"/>
          <w:color w:val="000000" w:themeColor="text1"/>
          <w:szCs w:val="24"/>
        </w:rPr>
      </w:pPr>
      <w:r w:rsidRPr="00C020C2">
        <w:rPr>
          <w:rFonts w:asciiTheme="minorHAnsi" w:eastAsiaTheme="minorEastAsia" w:hAnsiTheme="minorHAnsi" w:cstheme="minorBidi"/>
          <w:color w:val="000000" w:themeColor="text1"/>
          <w:szCs w:val="24"/>
        </w:rPr>
        <w:t>The International Telecommunication Union (ITU), together with partners spanning the UN, governments, business, and civil society, will convene the Green Digital Action track at COP28 to:</w:t>
      </w:r>
    </w:p>
    <w:p w14:paraId="2F670168" w14:textId="77777777" w:rsidR="009F20DA" w:rsidRPr="00C020C2" w:rsidRDefault="009F20DA" w:rsidP="001A2ABD">
      <w:pPr>
        <w:pStyle w:val="ListParagraph"/>
        <w:numPr>
          <w:ilvl w:val="0"/>
          <w:numId w:val="35"/>
        </w:numPr>
        <w:spacing w:after="120"/>
        <w:contextualSpacing/>
        <w:jc w:val="both"/>
        <w:rPr>
          <w:rFonts w:asciiTheme="minorHAnsi" w:eastAsiaTheme="minorEastAsia" w:hAnsiTheme="minorHAnsi" w:cstheme="minorBidi"/>
          <w:color w:val="000000" w:themeColor="text1"/>
          <w:sz w:val="24"/>
          <w:szCs w:val="24"/>
        </w:rPr>
      </w:pPr>
      <w:r w:rsidRPr="00C020C2">
        <w:rPr>
          <w:rFonts w:asciiTheme="minorHAnsi" w:eastAsiaTheme="minorEastAsia" w:hAnsiTheme="minorHAnsi" w:cstheme="minorBidi"/>
          <w:color w:val="000000" w:themeColor="text1"/>
          <w:sz w:val="24"/>
          <w:szCs w:val="24"/>
        </w:rPr>
        <w:t>Examine the key role of data and digital technologies to accelerate progress on climate commitments.</w:t>
      </w:r>
    </w:p>
    <w:p w14:paraId="1DADD204" w14:textId="77777777" w:rsidR="009F20DA" w:rsidRPr="00C020C2" w:rsidRDefault="009F20DA" w:rsidP="001A2ABD">
      <w:pPr>
        <w:pStyle w:val="ListParagraph"/>
        <w:numPr>
          <w:ilvl w:val="0"/>
          <w:numId w:val="35"/>
        </w:numPr>
        <w:spacing w:after="120"/>
        <w:contextualSpacing/>
        <w:jc w:val="both"/>
        <w:rPr>
          <w:rFonts w:asciiTheme="minorHAnsi" w:eastAsiaTheme="minorEastAsia" w:hAnsiTheme="minorHAnsi" w:cstheme="minorBidi"/>
          <w:color w:val="000000" w:themeColor="text1"/>
          <w:sz w:val="24"/>
          <w:szCs w:val="24"/>
        </w:rPr>
      </w:pPr>
      <w:r w:rsidRPr="00C020C2">
        <w:rPr>
          <w:rFonts w:asciiTheme="minorHAnsi" w:eastAsiaTheme="minorEastAsia" w:hAnsiTheme="minorHAnsi" w:cstheme="minorBidi"/>
          <w:color w:val="000000" w:themeColor="text1"/>
          <w:sz w:val="24"/>
          <w:szCs w:val="24"/>
        </w:rPr>
        <w:t>Mobilize bold action to promote the green and digital transitions among governments, business, and civil society and others, including through the Partner2Connect Digital Coalition.</w:t>
      </w:r>
    </w:p>
    <w:p w14:paraId="305EB820" w14:textId="77777777" w:rsidR="009F20DA" w:rsidRPr="00C020C2" w:rsidRDefault="009F20DA" w:rsidP="001A2ABD">
      <w:pPr>
        <w:pStyle w:val="ListParagraph"/>
        <w:numPr>
          <w:ilvl w:val="0"/>
          <w:numId w:val="35"/>
        </w:numPr>
        <w:spacing w:after="120"/>
        <w:contextualSpacing/>
        <w:jc w:val="both"/>
        <w:rPr>
          <w:rFonts w:asciiTheme="minorHAnsi" w:eastAsiaTheme="minorEastAsia" w:hAnsiTheme="minorHAnsi" w:cstheme="minorBidi"/>
          <w:color w:val="000000" w:themeColor="text1"/>
          <w:sz w:val="24"/>
          <w:szCs w:val="24"/>
        </w:rPr>
      </w:pPr>
      <w:r w:rsidRPr="00C020C2">
        <w:rPr>
          <w:rFonts w:asciiTheme="minorHAnsi" w:eastAsiaTheme="minorEastAsia" w:hAnsiTheme="minorHAnsi" w:cstheme="minorBidi"/>
          <w:color w:val="000000" w:themeColor="text1"/>
          <w:sz w:val="24"/>
          <w:szCs w:val="24"/>
        </w:rPr>
        <w:t>Catalyse opportunities for partnerships and broader coordination with key existing mechanisms like the Marrakech Partnership, the World Standards Cooperation, the Digital with Purpose movement or the UN Early Warning for All initiative.</w:t>
      </w:r>
    </w:p>
    <w:p w14:paraId="3CCA60D8" w14:textId="36795739" w:rsidR="009F20DA" w:rsidRPr="00C020C2" w:rsidRDefault="009F20DA" w:rsidP="009F20DA">
      <w:pPr>
        <w:spacing w:after="120"/>
        <w:jc w:val="both"/>
        <w:rPr>
          <w:rFonts w:asciiTheme="minorHAnsi" w:eastAsiaTheme="minorEastAsia" w:hAnsiTheme="minorHAnsi" w:cstheme="minorBidi"/>
          <w:color w:val="000000" w:themeColor="text1"/>
          <w:szCs w:val="24"/>
        </w:rPr>
      </w:pPr>
      <w:r w:rsidRPr="00C020C2">
        <w:rPr>
          <w:rFonts w:asciiTheme="minorHAnsi" w:eastAsiaTheme="minorEastAsia" w:hAnsiTheme="minorHAnsi" w:cstheme="minorBidi"/>
          <w:color w:val="000000" w:themeColor="text1"/>
          <w:szCs w:val="24"/>
        </w:rPr>
        <w:t xml:space="preserve">Information and communication technologies (ICTs) play a crucial role in climate monitoring, climate change adaptation and early warning systems; and mitigation measures, such as increasing energy efficiency, supporting green networks, and accelerating the development of circular economies along the value chain. At the same time, rapid uptake of data and devices increases energy consumption, ICT-sector emissions, material used, and e-waste all over the world. </w:t>
      </w:r>
    </w:p>
    <w:p w14:paraId="7128E812" w14:textId="77777777" w:rsidR="009F20DA" w:rsidRPr="00C020C2" w:rsidRDefault="009F20DA" w:rsidP="009F20DA">
      <w:pPr>
        <w:spacing w:after="120"/>
        <w:jc w:val="both"/>
        <w:rPr>
          <w:rFonts w:asciiTheme="minorHAnsi" w:eastAsiaTheme="minorEastAsia" w:hAnsiTheme="minorHAnsi" w:cstheme="minorBidi"/>
          <w:color w:val="000000" w:themeColor="text1"/>
          <w:szCs w:val="24"/>
        </w:rPr>
      </w:pPr>
      <w:r w:rsidRPr="00C020C2">
        <w:rPr>
          <w:rFonts w:asciiTheme="minorHAnsi" w:eastAsiaTheme="minorEastAsia" w:hAnsiTheme="minorHAnsi" w:cstheme="minorBidi"/>
          <w:color w:val="000000" w:themeColor="text1"/>
          <w:szCs w:val="24"/>
        </w:rPr>
        <w:t>The global digital transformation needs to go hand in hand with the shift to green energy solutions and a circular economy.</w:t>
      </w:r>
    </w:p>
    <w:p w14:paraId="043C07AD" w14:textId="687E3F0B" w:rsidR="009F20DA" w:rsidRPr="00C020C2" w:rsidRDefault="009F20DA" w:rsidP="009F20DA">
      <w:pPr>
        <w:spacing w:after="120"/>
        <w:jc w:val="both"/>
        <w:rPr>
          <w:rFonts w:asciiTheme="minorHAnsi" w:eastAsiaTheme="minorEastAsia" w:hAnsiTheme="minorHAnsi" w:cstheme="minorBidi"/>
          <w:color w:val="000000" w:themeColor="text1"/>
          <w:szCs w:val="24"/>
        </w:rPr>
      </w:pPr>
      <w:r w:rsidRPr="00C020C2">
        <w:rPr>
          <w:rFonts w:asciiTheme="minorHAnsi" w:eastAsiaTheme="minorEastAsia" w:hAnsiTheme="minorHAnsi" w:cstheme="minorBidi"/>
          <w:color w:val="000000" w:themeColor="text1"/>
          <w:szCs w:val="24"/>
        </w:rPr>
        <w:t>COP28 is a chance to connect technology industries with governments and civil society — particularly with ITU’s World Radiocommunication Conference (WRC-23), happening in the same host city, Dubai, UAE, at the same time.</w:t>
      </w:r>
    </w:p>
    <w:p w14:paraId="0E6B4D6A" w14:textId="645D1CF8" w:rsidR="0011467A" w:rsidRPr="00C020C2" w:rsidRDefault="0011467A" w:rsidP="002A7955">
      <w:pPr>
        <w:spacing w:after="120"/>
        <w:jc w:val="both"/>
        <w:outlineLvl w:val="4"/>
        <w:rPr>
          <w:rFonts w:asciiTheme="minorHAnsi" w:eastAsiaTheme="minorEastAsia" w:hAnsiTheme="minorHAnsi" w:cstheme="minorBidi"/>
          <w:b/>
          <w:bCs/>
          <w:szCs w:val="24"/>
        </w:rPr>
      </w:pPr>
      <w:r w:rsidRPr="00C020C2">
        <w:rPr>
          <w:rFonts w:asciiTheme="minorHAnsi" w:eastAsiaTheme="minorEastAsia" w:hAnsiTheme="minorHAnsi" w:cstheme="minorBidi"/>
          <w:b/>
          <w:bCs/>
          <w:szCs w:val="24"/>
        </w:rPr>
        <w:t>ICTs:</w:t>
      </w:r>
      <w:r w:rsidR="00541E17" w:rsidRPr="00C020C2">
        <w:rPr>
          <w:rFonts w:asciiTheme="minorHAnsi" w:eastAsiaTheme="minorEastAsia" w:hAnsiTheme="minorHAnsi" w:cstheme="minorBidi"/>
          <w:b/>
          <w:bCs/>
          <w:szCs w:val="24"/>
        </w:rPr>
        <w:t xml:space="preserve"> </w:t>
      </w:r>
      <w:r w:rsidRPr="00C020C2">
        <w:rPr>
          <w:rFonts w:asciiTheme="minorHAnsi" w:eastAsiaTheme="minorEastAsia" w:hAnsiTheme="minorHAnsi" w:cstheme="minorBidi"/>
          <w:b/>
          <w:bCs/>
          <w:szCs w:val="24"/>
        </w:rPr>
        <w:t xml:space="preserve">reducing risk, improving response to crisis, early warning and emergency </w:t>
      </w:r>
      <w:proofErr w:type="gramStart"/>
      <w:r w:rsidRPr="00C020C2">
        <w:rPr>
          <w:rFonts w:asciiTheme="minorHAnsi" w:eastAsiaTheme="minorEastAsia" w:hAnsiTheme="minorHAnsi" w:cstheme="minorBidi"/>
          <w:b/>
          <w:bCs/>
          <w:szCs w:val="24"/>
        </w:rPr>
        <w:t>telecommunications</w:t>
      </w:r>
      <w:proofErr w:type="gramEnd"/>
    </w:p>
    <w:p w14:paraId="2E2D3DD8" w14:textId="4C8E6EB6" w:rsidR="0011467A" w:rsidRPr="00C020C2" w:rsidRDefault="0011467A" w:rsidP="002A7955">
      <w:pPr>
        <w:spacing w:after="120"/>
        <w:jc w:val="both"/>
        <w:rPr>
          <w:rFonts w:asciiTheme="minorHAnsi" w:eastAsiaTheme="minorEastAsia" w:hAnsiTheme="minorHAnsi" w:cstheme="minorBidi"/>
          <w:szCs w:val="24"/>
          <w:lang w:val="en-US"/>
        </w:rPr>
      </w:pPr>
      <w:r w:rsidRPr="00C020C2">
        <w:rPr>
          <w:rFonts w:asciiTheme="minorHAnsi" w:eastAsiaTheme="minorEastAsia" w:hAnsiTheme="minorHAnsi" w:cstheme="minorBidi"/>
          <w:szCs w:val="24"/>
        </w:rPr>
        <w:t xml:space="preserve">ITU-D </w:t>
      </w:r>
      <w:r w:rsidR="00710200" w:rsidRPr="00C020C2">
        <w:rPr>
          <w:rFonts w:asciiTheme="minorHAnsi" w:eastAsiaTheme="minorEastAsia" w:hAnsiTheme="minorHAnsi" w:cstheme="minorBidi"/>
          <w:szCs w:val="24"/>
        </w:rPr>
        <w:t xml:space="preserve">has assisted </w:t>
      </w:r>
      <w:r w:rsidR="00710200" w:rsidRPr="00C020C2">
        <w:rPr>
          <w:rFonts w:asciiTheme="minorHAnsi" w:eastAsiaTheme="minorEastAsia" w:hAnsiTheme="minorHAnsi" w:cstheme="minorBidi"/>
          <w:szCs w:val="24"/>
          <w:lang w:val="en-US"/>
        </w:rPr>
        <w:t xml:space="preserve">a total of 28 countries in identifying </w:t>
      </w:r>
      <w:r w:rsidRPr="00C020C2">
        <w:rPr>
          <w:rFonts w:asciiTheme="minorHAnsi" w:eastAsiaTheme="minorEastAsia" w:hAnsiTheme="minorHAnsi" w:cstheme="minorBidi"/>
          <w:szCs w:val="24"/>
          <w:lang w:val="en-US"/>
        </w:rPr>
        <w:t xml:space="preserve">key priorities for disaster management by delivering </w:t>
      </w:r>
      <w:hyperlink r:id="rId64" w:history="1">
        <w:r w:rsidRPr="00C020C2">
          <w:rPr>
            <w:rStyle w:val="Hyperlink"/>
            <w:rFonts w:asciiTheme="minorHAnsi" w:eastAsiaTheme="minorEastAsia" w:hAnsiTheme="minorHAnsi" w:cstheme="minorBidi"/>
            <w:szCs w:val="24"/>
            <w:lang w:val="en-US"/>
          </w:rPr>
          <w:t>National emergency telecommunication plans (NETPs</w:t>
        </w:r>
      </w:hyperlink>
      <w:r w:rsidRPr="00C020C2">
        <w:rPr>
          <w:rFonts w:asciiTheme="minorHAnsi" w:eastAsiaTheme="minorEastAsia" w:hAnsiTheme="minorHAnsi" w:cstheme="minorBidi"/>
          <w:szCs w:val="24"/>
          <w:lang w:val="en-US"/>
        </w:rPr>
        <w:t xml:space="preserve">) to </w:t>
      </w:r>
      <w:r w:rsidR="005226FC" w:rsidRPr="00C020C2">
        <w:rPr>
          <w:rFonts w:asciiTheme="minorHAnsi" w:eastAsiaTheme="minorEastAsia" w:hAnsiTheme="minorHAnsi" w:cstheme="minorBidi"/>
          <w:szCs w:val="24"/>
          <w:lang w:val="en-US"/>
        </w:rPr>
        <w:t xml:space="preserve">the </w:t>
      </w:r>
      <w:r w:rsidR="005226FC" w:rsidRPr="00C020C2">
        <w:rPr>
          <w:rFonts w:asciiTheme="minorHAnsi" w:eastAsiaTheme="minorEastAsia" w:hAnsiTheme="minorHAnsi" w:cstheme="minorBidi"/>
          <w:szCs w:val="24"/>
        </w:rPr>
        <w:t xml:space="preserve">Commonwealth of Dominica, Fiji, </w:t>
      </w:r>
      <w:proofErr w:type="spellStart"/>
      <w:r w:rsidR="005226FC" w:rsidRPr="00C020C2">
        <w:rPr>
          <w:rFonts w:asciiTheme="minorHAnsi" w:eastAsiaTheme="minorEastAsia" w:hAnsiTheme="minorHAnsi" w:cstheme="minorBidi"/>
          <w:szCs w:val="24"/>
        </w:rPr>
        <w:t>Grenad</w:t>
      </w:r>
      <w:proofErr w:type="spellEnd"/>
      <w:r w:rsidR="005226FC" w:rsidRPr="00C020C2">
        <w:rPr>
          <w:rFonts w:asciiTheme="minorHAnsi" w:eastAsiaTheme="minorEastAsia" w:hAnsiTheme="minorHAnsi" w:cstheme="minorBidi"/>
          <w:szCs w:val="24"/>
          <w:lang w:val="en-US"/>
        </w:rPr>
        <w:t>a,</w:t>
      </w:r>
      <w:r w:rsidR="005226FC" w:rsidRPr="00C020C2">
        <w:rPr>
          <w:rFonts w:asciiTheme="minorHAnsi" w:eastAsiaTheme="minorEastAsia" w:hAnsiTheme="minorHAnsi" w:cstheme="minorBidi"/>
          <w:szCs w:val="24"/>
        </w:rPr>
        <w:t xml:space="preserve"> Kiribati, and </w:t>
      </w:r>
      <w:r w:rsidRPr="00C020C2">
        <w:rPr>
          <w:rFonts w:asciiTheme="minorHAnsi" w:eastAsiaTheme="minorEastAsia" w:hAnsiTheme="minorHAnsi" w:cstheme="minorBidi"/>
          <w:szCs w:val="24"/>
        </w:rPr>
        <w:t xml:space="preserve">Mongolia </w:t>
      </w:r>
      <w:r w:rsidR="00D62FBD" w:rsidRPr="00C020C2">
        <w:rPr>
          <w:rFonts w:asciiTheme="minorHAnsi" w:eastAsiaTheme="minorEastAsia" w:hAnsiTheme="minorHAnsi" w:cstheme="minorBidi"/>
          <w:szCs w:val="24"/>
          <w:lang w:val="en-US"/>
        </w:rPr>
        <w:t xml:space="preserve">– </w:t>
      </w:r>
      <w:r w:rsidRPr="00C020C2">
        <w:rPr>
          <w:rFonts w:asciiTheme="minorHAnsi" w:eastAsiaTheme="minorEastAsia" w:hAnsiTheme="minorHAnsi" w:cstheme="minorBidi"/>
          <w:szCs w:val="24"/>
          <w:lang w:val="en-US"/>
        </w:rPr>
        <w:t xml:space="preserve">and </w:t>
      </w:r>
      <w:r w:rsidR="00D62FBD" w:rsidRPr="00C020C2">
        <w:rPr>
          <w:rFonts w:asciiTheme="minorHAnsi" w:eastAsiaTheme="minorEastAsia" w:hAnsiTheme="minorHAnsi" w:cstheme="minorBidi"/>
          <w:szCs w:val="24"/>
          <w:lang w:val="en-US"/>
        </w:rPr>
        <w:t xml:space="preserve">by </w:t>
      </w:r>
      <w:r w:rsidRPr="00C020C2">
        <w:rPr>
          <w:rFonts w:asciiTheme="minorHAnsi" w:eastAsiaTheme="minorEastAsia" w:hAnsiTheme="minorHAnsi" w:cstheme="minorBidi"/>
          <w:szCs w:val="24"/>
          <w:lang w:val="en-US"/>
        </w:rPr>
        <w:t xml:space="preserve">supporting </w:t>
      </w:r>
      <w:r w:rsidR="005226FC" w:rsidRPr="00C020C2">
        <w:rPr>
          <w:rFonts w:asciiTheme="minorHAnsi" w:eastAsiaTheme="minorEastAsia" w:hAnsiTheme="minorHAnsi" w:cstheme="minorBidi"/>
          <w:szCs w:val="24"/>
        </w:rPr>
        <w:t xml:space="preserve">Ecuador, Iraq, Malawi, Nepal, Palestine, Paraguay, Peru, Saint Lucia, Saint Kitts and Nevis, </w:t>
      </w:r>
      <w:r w:rsidRPr="00C020C2">
        <w:rPr>
          <w:rFonts w:asciiTheme="minorHAnsi" w:eastAsiaTheme="minorEastAsia" w:hAnsiTheme="minorHAnsi" w:cstheme="minorBidi"/>
          <w:szCs w:val="24"/>
        </w:rPr>
        <w:t xml:space="preserve">Solomon </w:t>
      </w:r>
      <w:r w:rsidRPr="00C020C2">
        <w:rPr>
          <w:rFonts w:asciiTheme="minorHAnsi" w:eastAsiaTheme="minorEastAsia" w:hAnsiTheme="minorHAnsi" w:cstheme="minorBidi"/>
          <w:szCs w:val="24"/>
          <w:lang w:val="en-US"/>
        </w:rPr>
        <w:t>I</w:t>
      </w:r>
      <w:proofErr w:type="spellStart"/>
      <w:r w:rsidRPr="00C020C2">
        <w:rPr>
          <w:rFonts w:asciiTheme="minorHAnsi" w:eastAsiaTheme="minorEastAsia" w:hAnsiTheme="minorHAnsi" w:cstheme="minorBidi"/>
          <w:szCs w:val="24"/>
        </w:rPr>
        <w:t>sland</w:t>
      </w:r>
      <w:proofErr w:type="spellEnd"/>
      <w:r w:rsidRPr="00C020C2">
        <w:rPr>
          <w:rFonts w:asciiTheme="minorHAnsi" w:eastAsiaTheme="minorEastAsia" w:hAnsiTheme="minorHAnsi" w:cstheme="minorBidi"/>
          <w:szCs w:val="24"/>
          <w:lang w:val="en-US"/>
        </w:rPr>
        <w:t>s</w:t>
      </w:r>
      <w:r w:rsidRPr="00C020C2">
        <w:rPr>
          <w:rFonts w:asciiTheme="minorHAnsi" w:eastAsiaTheme="minorEastAsia" w:hAnsiTheme="minorHAnsi" w:cstheme="minorBidi"/>
          <w:szCs w:val="24"/>
        </w:rPr>
        <w:t xml:space="preserve">, </w:t>
      </w:r>
      <w:r w:rsidR="005226FC" w:rsidRPr="00C020C2">
        <w:rPr>
          <w:rFonts w:asciiTheme="minorHAnsi" w:eastAsiaTheme="minorEastAsia" w:hAnsiTheme="minorHAnsi" w:cstheme="minorBidi"/>
          <w:szCs w:val="24"/>
        </w:rPr>
        <w:t xml:space="preserve">Somalia, </w:t>
      </w:r>
      <w:r w:rsidRPr="00C020C2">
        <w:rPr>
          <w:rFonts w:asciiTheme="minorHAnsi" w:eastAsiaTheme="minorEastAsia" w:hAnsiTheme="minorHAnsi" w:cstheme="minorBidi"/>
          <w:szCs w:val="24"/>
        </w:rPr>
        <w:t xml:space="preserve">Sudan, </w:t>
      </w:r>
      <w:r w:rsidRPr="00C020C2">
        <w:rPr>
          <w:rFonts w:asciiTheme="minorHAnsi" w:eastAsiaTheme="minorEastAsia" w:hAnsiTheme="minorHAnsi" w:cstheme="minorBidi"/>
          <w:szCs w:val="24"/>
          <w:lang w:val="en-US"/>
        </w:rPr>
        <w:t xml:space="preserve">and </w:t>
      </w:r>
      <w:r w:rsidR="005226FC" w:rsidRPr="00C020C2">
        <w:rPr>
          <w:rFonts w:asciiTheme="minorHAnsi" w:eastAsiaTheme="minorEastAsia" w:hAnsiTheme="minorHAnsi" w:cstheme="minorBidi"/>
          <w:szCs w:val="24"/>
        </w:rPr>
        <w:t>Tonga</w:t>
      </w:r>
      <w:r w:rsidR="005226FC" w:rsidRPr="00C020C2" w:rsidDel="005226FC">
        <w:rPr>
          <w:rFonts w:asciiTheme="minorHAnsi" w:eastAsiaTheme="minorEastAsia" w:hAnsiTheme="minorHAnsi" w:cstheme="minorBidi"/>
          <w:szCs w:val="24"/>
        </w:rPr>
        <w:t xml:space="preserve"> </w:t>
      </w:r>
      <w:r w:rsidRPr="00C020C2">
        <w:rPr>
          <w:rFonts w:asciiTheme="minorHAnsi" w:eastAsiaTheme="minorEastAsia" w:hAnsiTheme="minorHAnsi" w:cstheme="minorBidi"/>
          <w:szCs w:val="24"/>
          <w:lang w:val="en-US"/>
        </w:rPr>
        <w:t xml:space="preserve">with the development of their NETPs. </w:t>
      </w:r>
      <w:r w:rsidRPr="00C020C2">
        <w:rPr>
          <w:rFonts w:asciiTheme="minorHAnsi" w:eastAsiaTheme="minorEastAsia" w:hAnsiTheme="minorHAnsi" w:cstheme="minorBidi"/>
          <w:szCs w:val="24"/>
        </w:rPr>
        <w:t>ITU-D</w:t>
      </w:r>
      <w:r w:rsidRPr="00C020C2">
        <w:rPr>
          <w:rFonts w:asciiTheme="minorHAnsi" w:eastAsiaTheme="minorEastAsia" w:hAnsiTheme="minorHAnsi" w:cstheme="minorBidi"/>
          <w:szCs w:val="24"/>
          <w:lang w:val="en-US"/>
        </w:rPr>
        <w:t xml:space="preserve"> developed an </w:t>
      </w:r>
      <w:hyperlink r:id="rId65" w:history="1">
        <w:r w:rsidRPr="00C020C2">
          <w:rPr>
            <w:rStyle w:val="Hyperlink"/>
            <w:rFonts w:asciiTheme="minorHAnsi" w:eastAsiaTheme="minorEastAsia" w:hAnsiTheme="minorHAnsi" w:cstheme="minorBidi"/>
            <w:szCs w:val="24"/>
          </w:rPr>
          <w:t>emergency telecommunication assessment</w:t>
        </w:r>
      </w:hyperlink>
      <w:r w:rsidRPr="00C020C2">
        <w:rPr>
          <w:rFonts w:asciiTheme="minorHAnsi" w:eastAsiaTheme="minorEastAsia" w:hAnsiTheme="minorHAnsi" w:cstheme="minorBidi"/>
          <w:szCs w:val="24"/>
        </w:rPr>
        <w:t xml:space="preserve"> of </w:t>
      </w:r>
      <w:r w:rsidRPr="00C020C2">
        <w:rPr>
          <w:rFonts w:asciiTheme="minorHAnsi" w:eastAsiaTheme="minorEastAsia" w:hAnsiTheme="minorHAnsi" w:cstheme="minorBidi"/>
          <w:szCs w:val="24"/>
          <w:lang w:val="en-US"/>
        </w:rPr>
        <w:t xml:space="preserve">the </w:t>
      </w:r>
      <w:r w:rsidRPr="00C020C2">
        <w:rPr>
          <w:rFonts w:asciiTheme="minorHAnsi" w:eastAsiaTheme="minorEastAsia" w:hAnsiTheme="minorHAnsi" w:cstheme="minorBidi"/>
          <w:szCs w:val="24"/>
        </w:rPr>
        <w:t>S</w:t>
      </w:r>
      <w:proofErr w:type="spellStart"/>
      <w:r w:rsidRPr="00C020C2">
        <w:rPr>
          <w:rFonts w:asciiTheme="minorHAnsi" w:eastAsiaTheme="minorEastAsia" w:hAnsiTheme="minorHAnsi" w:cstheme="minorBidi"/>
          <w:szCs w:val="24"/>
          <w:lang w:val="en-US"/>
        </w:rPr>
        <w:t>outh</w:t>
      </w:r>
      <w:proofErr w:type="spellEnd"/>
      <w:r w:rsidRPr="00C020C2">
        <w:rPr>
          <w:rFonts w:asciiTheme="minorHAnsi" w:eastAsiaTheme="minorEastAsia" w:hAnsiTheme="minorHAnsi" w:cstheme="minorBidi"/>
          <w:szCs w:val="24"/>
          <w:lang w:val="en-US"/>
        </w:rPr>
        <w:t xml:space="preserve"> </w:t>
      </w:r>
      <w:r w:rsidRPr="00C020C2">
        <w:rPr>
          <w:rFonts w:asciiTheme="minorHAnsi" w:eastAsiaTheme="minorEastAsia" w:hAnsiTheme="minorHAnsi" w:cstheme="minorBidi"/>
          <w:szCs w:val="24"/>
        </w:rPr>
        <w:t>A</w:t>
      </w:r>
      <w:proofErr w:type="spellStart"/>
      <w:r w:rsidRPr="00C020C2">
        <w:rPr>
          <w:rFonts w:asciiTheme="minorHAnsi" w:eastAsiaTheme="minorEastAsia" w:hAnsiTheme="minorHAnsi" w:cstheme="minorBidi"/>
          <w:szCs w:val="24"/>
          <w:lang w:val="en-US"/>
        </w:rPr>
        <w:t>frican</w:t>
      </w:r>
      <w:proofErr w:type="spellEnd"/>
      <w:r w:rsidRPr="00C020C2">
        <w:rPr>
          <w:rFonts w:asciiTheme="minorHAnsi" w:eastAsiaTheme="minorEastAsia" w:hAnsiTheme="minorHAnsi" w:cstheme="minorBidi"/>
          <w:szCs w:val="24"/>
          <w:lang w:val="en-US"/>
        </w:rPr>
        <w:t xml:space="preserve"> </w:t>
      </w:r>
      <w:r w:rsidRPr="00C020C2">
        <w:rPr>
          <w:rFonts w:asciiTheme="minorHAnsi" w:eastAsiaTheme="minorEastAsia" w:hAnsiTheme="minorHAnsi" w:cstheme="minorBidi"/>
          <w:szCs w:val="24"/>
        </w:rPr>
        <w:t>D</w:t>
      </w:r>
      <w:proofErr w:type="spellStart"/>
      <w:r w:rsidRPr="00C020C2">
        <w:rPr>
          <w:rFonts w:asciiTheme="minorHAnsi" w:eastAsiaTheme="minorEastAsia" w:hAnsiTheme="minorHAnsi" w:cstheme="minorBidi"/>
          <w:szCs w:val="24"/>
          <w:lang w:val="en-US"/>
        </w:rPr>
        <w:t>evelopment</w:t>
      </w:r>
      <w:proofErr w:type="spellEnd"/>
      <w:r w:rsidRPr="00C020C2">
        <w:rPr>
          <w:rFonts w:asciiTheme="minorHAnsi" w:eastAsiaTheme="minorEastAsia" w:hAnsiTheme="minorHAnsi" w:cstheme="minorBidi"/>
          <w:szCs w:val="24"/>
          <w:lang w:val="en-US"/>
        </w:rPr>
        <w:t xml:space="preserve"> </w:t>
      </w:r>
      <w:r w:rsidRPr="00C020C2">
        <w:rPr>
          <w:rFonts w:asciiTheme="minorHAnsi" w:eastAsiaTheme="minorEastAsia" w:hAnsiTheme="minorHAnsi" w:cstheme="minorBidi"/>
          <w:szCs w:val="24"/>
        </w:rPr>
        <w:t>C</w:t>
      </w:r>
      <w:proofErr w:type="spellStart"/>
      <w:r w:rsidRPr="00C020C2">
        <w:rPr>
          <w:rFonts w:asciiTheme="minorHAnsi" w:eastAsiaTheme="minorEastAsia" w:hAnsiTheme="minorHAnsi" w:cstheme="minorBidi"/>
          <w:szCs w:val="24"/>
          <w:lang w:val="en-US"/>
        </w:rPr>
        <w:t>ommunity</w:t>
      </w:r>
      <w:proofErr w:type="spellEnd"/>
      <w:r w:rsidRPr="00C020C2">
        <w:rPr>
          <w:rFonts w:asciiTheme="minorHAnsi" w:eastAsiaTheme="minorEastAsia" w:hAnsiTheme="minorHAnsi" w:cstheme="minorBidi"/>
          <w:szCs w:val="24"/>
          <w:lang w:val="en-US"/>
        </w:rPr>
        <w:t xml:space="preserve"> (SADC)</w:t>
      </w:r>
      <w:r w:rsidRPr="00C020C2">
        <w:rPr>
          <w:rFonts w:asciiTheme="minorHAnsi" w:eastAsiaTheme="minorEastAsia" w:hAnsiTheme="minorHAnsi" w:cstheme="minorBidi"/>
          <w:szCs w:val="24"/>
        </w:rPr>
        <w:t xml:space="preserve">, </w:t>
      </w:r>
      <w:r w:rsidRPr="00C020C2">
        <w:rPr>
          <w:rFonts w:asciiTheme="minorHAnsi" w:eastAsiaTheme="minorEastAsia" w:hAnsiTheme="minorHAnsi" w:cstheme="minorBidi"/>
          <w:szCs w:val="24"/>
          <w:lang w:val="en-US"/>
        </w:rPr>
        <w:t>to</w:t>
      </w:r>
      <w:r w:rsidRPr="00C020C2">
        <w:rPr>
          <w:rFonts w:asciiTheme="minorHAnsi" w:eastAsiaTheme="minorEastAsia" w:hAnsiTheme="minorHAnsi" w:cstheme="minorBidi"/>
          <w:szCs w:val="24"/>
        </w:rPr>
        <w:t xml:space="preserve"> assist the 16 </w:t>
      </w:r>
      <w:r w:rsidR="00675DE9" w:rsidRPr="00C020C2">
        <w:rPr>
          <w:rFonts w:asciiTheme="minorHAnsi" w:eastAsiaTheme="minorEastAsia" w:hAnsiTheme="minorHAnsi" w:cstheme="minorBidi"/>
          <w:szCs w:val="24"/>
        </w:rPr>
        <w:t xml:space="preserve">Member States </w:t>
      </w:r>
      <w:r w:rsidRPr="00C020C2">
        <w:rPr>
          <w:rFonts w:asciiTheme="minorHAnsi" w:eastAsiaTheme="minorEastAsia" w:hAnsiTheme="minorHAnsi" w:cstheme="minorBidi"/>
          <w:szCs w:val="24"/>
        </w:rPr>
        <w:t xml:space="preserve">of SADC in </w:t>
      </w:r>
      <w:r w:rsidRPr="00C020C2">
        <w:rPr>
          <w:rFonts w:asciiTheme="minorHAnsi" w:eastAsiaTheme="minorEastAsia" w:hAnsiTheme="minorHAnsi" w:cstheme="minorBidi"/>
          <w:szCs w:val="24"/>
          <w:lang w:val="en-US"/>
        </w:rPr>
        <w:t xml:space="preserve">setting their emergency telecom </w:t>
      </w:r>
      <w:r w:rsidRPr="00C020C2">
        <w:rPr>
          <w:rFonts w:asciiTheme="minorHAnsi" w:eastAsiaTheme="minorEastAsia" w:hAnsiTheme="minorHAnsi" w:cstheme="minorBidi"/>
          <w:szCs w:val="24"/>
        </w:rPr>
        <w:t>priorities</w:t>
      </w:r>
      <w:r w:rsidRPr="00C020C2">
        <w:rPr>
          <w:rFonts w:asciiTheme="minorHAnsi" w:eastAsiaTheme="minorEastAsia" w:hAnsiTheme="minorHAnsi" w:cstheme="minorBidi"/>
          <w:szCs w:val="24"/>
          <w:lang w:val="en-US"/>
        </w:rPr>
        <w:t>.</w:t>
      </w:r>
    </w:p>
    <w:p w14:paraId="5844C953" w14:textId="04386A74" w:rsidR="0011467A" w:rsidRPr="00C020C2" w:rsidRDefault="0011467A" w:rsidP="002A7955">
      <w:pPr>
        <w:spacing w:after="120"/>
        <w:jc w:val="both"/>
        <w:rPr>
          <w:rFonts w:asciiTheme="minorHAnsi" w:eastAsiaTheme="minorEastAsia" w:hAnsiTheme="minorHAnsi" w:cstheme="minorBidi"/>
          <w:color w:val="000000" w:themeColor="text1"/>
          <w:szCs w:val="24"/>
          <w:lang w:val="en-US"/>
        </w:rPr>
      </w:pPr>
      <w:r w:rsidRPr="00C020C2">
        <w:rPr>
          <w:rFonts w:asciiTheme="minorHAnsi" w:eastAsiaTheme="minorEastAsia" w:hAnsiTheme="minorHAnsi" w:cstheme="minorBidi"/>
          <w:szCs w:val="24"/>
        </w:rPr>
        <w:t>ITU-D</w:t>
      </w:r>
      <w:r w:rsidRPr="00C020C2">
        <w:rPr>
          <w:rFonts w:asciiTheme="minorHAnsi" w:eastAsiaTheme="minorEastAsia" w:hAnsiTheme="minorHAnsi" w:cstheme="minorBidi"/>
          <w:color w:val="000000" w:themeColor="text1"/>
          <w:szCs w:val="24"/>
          <w:lang w:val="en-US"/>
        </w:rPr>
        <w:t xml:space="preserve"> </w:t>
      </w:r>
      <w:r w:rsidR="00710200" w:rsidRPr="00C020C2">
        <w:rPr>
          <w:rFonts w:asciiTheme="minorHAnsi" w:eastAsiaTheme="minorEastAsia" w:hAnsiTheme="minorHAnsi" w:cstheme="minorBidi"/>
          <w:color w:val="000000" w:themeColor="text1"/>
          <w:szCs w:val="24"/>
        </w:rPr>
        <w:t>is</w:t>
      </w:r>
      <w:r w:rsidRPr="00C020C2">
        <w:rPr>
          <w:rFonts w:asciiTheme="minorHAnsi" w:eastAsiaTheme="minorEastAsia" w:hAnsiTheme="minorHAnsi" w:cstheme="minorBidi"/>
          <w:color w:val="000000" w:themeColor="text1"/>
          <w:szCs w:val="24"/>
          <w:lang w:val="en-US"/>
        </w:rPr>
        <w:t xml:space="preserve"> taking a lead role in the new </w:t>
      </w:r>
      <w:hyperlink r:id="rId66" w:history="1">
        <w:r w:rsidRPr="00C020C2">
          <w:rPr>
            <w:rStyle w:val="Hyperlink"/>
            <w:rFonts w:asciiTheme="minorHAnsi" w:eastAsiaTheme="minorEastAsia" w:hAnsiTheme="minorHAnsi" w:cstheme="minorBidi"/>
            <w:szCs w:val="24"/>
            <w:lang w:val="en-US"/>
          </w:rPr>
          <w:t>Early Warning for All initiative,</w:t>
        </w:r>
      </w:hyperlink>
      <w:r w:rsidRPr="00C020C2">
        <w:rPr>
          <w:rFonts w:asciiTheme="minorHAnsi" w:eastAsiaTheme="minorEastAsia" w:hAnsiTheme="minorHAnsi" w:cstheme="minorBidi"/>
          <w:color w:val="000000" w:themeColor="text1"/>
          <w:szCs w:val="24"/>
          <w:lang w:val="en-US"/>
        </w:rPr>
        <w:t xml:space="preserve"> which stipulates that every person in the world should be protected by an early warning system by 2027. </w:t>
      </w:r>
    </w:p>
    <w:p w14:paraId="40C4C1C6" w14:textId="7B6C5B28" w:rsidR="0011467A" w:rsidRPr="00C020C2" w:rsidRDefault="0011467A" w:rsidP="002A7955">
      <w:pPr>
        <w:spacing w:after="120"/>
        <w:jc w:val="both"/>
        <w:rPr>
          <w:rFonts w:asciiTheme="minorHAnsi" w:eastAsiaTheme="minorEastAsia" w:hAnsiTheme="minorHAnsi" w:cstheme="minorBidi"/>
          <w:szCs w:val="24"/>
          <w:lang w:val="en-US"/>
        </w:rPr>
      </w:pPr>
      <w:r w:rsidRPr="00C020C2">
        <w:rPr>
          <w:rFonts w:asciiTheme="minorHAnsi" w:eastAsiaTheme="minorEastAsia" w:hAnsiTheme="minorHAnsi" w:cstheme="minorBidi"/>
          <w:szCs w:val="24"/>
          <w:lang w:val="en-US"/>
        </w:rPr>
        <w:t xml:space="preserve">ITU’s response work </w:t>
      </w:r>
      <w:r w:rsidR="00D62FBD" w:rsidRPr="00C020C2">
        <w:rPr>
          <w:rFonts w:asciiTheme="minorHAnsi" w:eastAsiaTheme="minorEastAsia" w:hAnsiTheme="minorHAnsi" w:cstheme="minorBidi"/>
          <w:szCs w:val="24"/>
          <w:lang w:val="en-US"/>
        </w:rPr>
        <w:t xml:space="preserve">has been of </w:t>
      </w:r>
      <w:r w:rsidRPr="00C020C2">
        <w:rPr>
          <w:rFonts w:asciiTheme="minorHAnsi" w:eastAsiaTheme="minorEastAsia" w:hAnsiTheme="minorHAnsi" w:cstheme="minorBidi"/>
          <w:szCs w:val="24"/>
          <w:lang w:val="en-US"/>
        </w:rPr>
        <w:t>critical</w:t>
      </w:r>
      <w:r w:rsidR="00D62FBD" w:rsidRPr="00C020C2">
        <w:rPr>
          <w:rFonts w:asciiTheme="minorHAnsi" w:eastAsiaTheme="minorEastAsia" w:hAnsiTheme="minorHAnsi" w:cstheme="minorBidi"/>
          <w:szCs w:val="24"/>
          <w:lang w:val="en-US"/>
        </w:rPr>
        <w:t xml:space="preserve"> importance</w:t>
      </w:r>
      <w:r w:rsidRPr="00C020C2">
        <w:rPr>
          <w:rFonts w:asciiTheme="minorHAnsi" w:eastAsiaTheme="minorEastAsia" w:hAnsiTheme="minorHAnsi" w:cstheme="minorBidi"/>
          <w:szCs w:val="24"/>
          <w:lang w:val="en-US"/>
        </w:rPr>
        <w:t xml:space="preserve"> </w:t>
      </w:r>
      <w:r w:rsidR="00D62FBD" w:rsidRPr="00C020C2">
        <w:rPr>
          <w:rFonts w:asciiTheme="minorHAnsi" w:eastAsiaTheme="minorEastAsia" w:hAnsiTheme="minorHAnsi" w:cstheme="minorBidi"/>
          <w:szCs w:val="24"/>
          <w:lang w:val="en-US"/>
        </w:rPr>
        <w:t xml:space="preserve">in </w:t>
      </w:r>
      <w:r w:rsidRPr="00C020C2">
        <w:rPr>
          <w:rFonts w:asciiTheme="minorHAnsi" w:eastAsiaTheme="minorEastAsia" w:hAnsiTheme="minorHAnsi" w:cstheme="minorBidi"/>
          <w:szCs w:val="24"/>
          <w:lang w:val="en-US"/>
        </w:rPr>
        <w:t xml:space="preserve">guiding first responders and </w:t>
      </w:r>
      <w:r w:rsidR="00D62FBD" w:rsidRPr="00C020C2">
        <w:rPr>
          <w:rFonts w:asciiTheme="minorHAnsi" w:eastAsiaTheme="minorEastAsia" w:hAnsiTheme="minorHAnsi" w:cstheme="minorBidi"/>
          <w:szCs w:val="24"/>
          <w:lang w:val="en-US"/>
        </w:rPr>
        <w:t xml:space="preserve">in </w:t>
      </w:r>
      <w:r w:rsidRPr="00C020C2">
        <w:rPr>
          <w:rFonts w:asciiTheme="minorHAnsi" w:eastAsiaTheme="minorEastAsia" w:hAnsiTheme="minorHAnsi" w:cstheme="minorBidi"/>
          <w:szCs w:val="24"/>
          <w:lang w:val="en-US"/>
        </w:rPr>
        <w:t>help</w:t>
      </w:r>
      <w:r w:rsidR="00D62FBD" w:rsidRPr="00C020C2">
        <w:rPr>
          <w:rFonts w:asciiTheme="minorHAnsi" w:eastAsiaTheme="minorEastAsia" w:hAnsiTheme="minorHAnsi" w:cstheme="minorBidi"/>
          <w:szCs w:val="24"/>
          <w:lang w:val="en-US"/>
        </w:rPr>
        <w:t>ing</w:t>
      </w:r>
      <w:r w:rsidRPr="00C020C2">
        <w:rPr>
          <w:rFonts w:asciiTheme="minorHAnsi" w:eastAsiaTheme="minorEastAsia" w:hAnsiTheme="minorHAnsi" w:cstheme="minorBidi"/>
          <w:szCs w:val="24"/>
          <w:lang w:val="en-US"/>
        </w:rPr>
        <w:t xml:space="preserve"> countries hit by disasters </w:t>
      </w:r>
      <w:r w:rsidR="00D62FBD" w:rsidRPr="00C020C2">
        <w:rPr>
          <w:rFonts w:asciiTheme="minorHAnsi" w:eastAsiaTheme="minorEastAsia" w:hAnsiTheme="minorHAnsi" w:cstheme="minorBidi"/>
          <w:szCs w:val="24"/>
          <w:lang w:val="en-US"/>
        </w:rPr>
        <w:t xml:space="preserve">to </w:t>
      </w:r>
      <w:r w:rsidRPr="00C020C2">
        <w:rPr>
          <w:rFonts w:asciiTheme="minorHAnsi" w:eastAsiaTheme="minorEastAsia" w:hAnsiTheme="minorHAnsi" w:cstheme="minorBidi"/>
          <w:szCs w:val="24"/>
          <w:lang w:val="en-US"/>
        </w:rPr>
        <w:t xml:space="preserve">restore connectivity:  </w:t>
      </w:r>
    </w:p>
    <w:p w14:paraId="11912457" w14:textId="06F219CD" w:rsidR="001F5F1D" w:rsidRPr="00C020C2" w:rsidRDefault="0011467A" w:rsidP="00EE21B1">
      <w:pPr>
        <w:pStyle w:val="ListParagraph"/>
        <w:numPr>
          <w:ilvl w:val="0"/>
          <w:numId w:val="30"/>
        </w:numPr>
        <w:spacing w:after="120"/>
        <w:contextualSpacing/>
        <w:jc w:val="both"/>
        <w:rPr>
          <w:rFonts w:asciiTheme="minorHAnsi" w:eastAsiaTheme="minorEastAsia" w:hAnsiTheme="minorHAnsi" w:cstheme="minorBidi"/>
          <w:sz w:val="24"/>
          <w:szCs w:val="24"/>
        </w:rPr>
      </w:pPr>
      <w:r w:rsidRPr="00C020C2">
        <w:rPr>
          <w:rFonts w:asciiTheme="minorHAnsi" w:eastAsiaTheme="minorEastAsia" w:hAnsiTheme="minorHAnsi" w:cstheme="minorBidi"/>
          <w:sz w:val="24"/>
          <w:szCs w:val="24"/>
        </w:rPr>
        <w:t xml:space="preserve">October 2022, </w:t>
      </w:r>
      <w:hyperlink r:id="rId67" w:history="1">
        <w:r w:rsidRPr="00C020C2">
          <w:rPr>
            <w:rStyle w:val="Hyperlink"/>
            <w:rFonts w:asciiTheme="minorHAnsi" w:eastAsiaTheme="minorEastAsia" w:hAnsiTheme="minorHAnsi" w:cstheme="minorBidi"/>
            <w:sz w:val="24"/>
            <w:szCs w:val="24"/>
          </w:rPr>
          <w:t>ITU deployed satellite equipment</w:t>
        </w:r>
      </w:hyperlink>
      <w:r w:rsidRPr="00C020C2">
        <w:rPr>
          <w:rFonts w:asciiTheme="minorHAnsi" w:eastAsiaTheme="minorEastAsia" w:hAnsiTheme="minorHAnsi" w:cstheme="minorBidi"/>
          <w:sz w:val="24"/>
          <w:szCs w:val="24"/>
        </w:rPr>
        <w:t xml:space="preserve"> (Iridium phones and BGANs) to Nicaragua to support the country in their relief efforts following Hurricane Julia. </w:t>
      </w:r>
    </w:p>
    <w:p w14:paraId="1B1B76B8" w14:textId="27A0CFFE" w:rsidR="001F5F1D" w:rsidRPr="00C020C2" w:rsidRDefault="0011467A" w:rsidP="00EE21B1">
      <w:pPr>
        <w:pStyle w:val="ListParagraph"/>
        <w:numPr>
          <w:ilvl w:val="0"/>
          <w:numId w:val="30"/>
        </w:numPr>
        <w:spacing w:after="120"/>
        <w:contextualSpacing/>
        <w:jc w:val="both"/>
        <w:rPr>
          <w:rFonts w:asciiTheme="minorHAnsi" w:eastAsiaTheme="minorEastAsia" w:hAnsiTheme="minorHAnsi" w:cstheme="minorBidi"/>
          <w:sz w:val="24"/>
          <w:szCs w:val="24"/>
        </w:rPr>
      </w:pPr>
      <w:r w:rsidRPr="00C020C2">
        <w:rPr>
          <w:rFonts w:asciiTheme="minorHAnsi" w:eastAsiaTheme="minorEastAsia" w:hAnsiTheme="minorHAnsi" w:cstheme="minorBidi"/>
          <w:sz w:val="24"/>
          <w:szCs w:val="24"/>
        </w:rPr>
        <w:lastRenderedPageBreak/>
        <w:t>March 2023, the</w:t>
      </w:r>
      <w:r w:rsidR="00D62FBD" w:rsidRPr="00C020C2">
        <w:rPr>
          <w:rFonts w:asciiTheme="minorHAnsi" w:eastAsiaTheme="minorEastAsia" w:hAnsiTheme="minorHAnsi" w:cstheme="minorBidi"/>
          <w:sz w:val="24"/>
          <w:szCs w:val="24"/>
        </w:rPr>
        <w:t xml:space="preserve"> ITU</w:t>
      </w:r>
      <w:r w:rsidRPr="00C020C2">
        <w:rPr>
          <w:rFonts w:asciiTheme="minorHAnsi" w:eastAsiaTheme="minorEastAsia" w:hAnsiTheme="minorHAnsi" w:cstheme="minorBidi"/>
          <w:sz w:val="24"/>
          <w:szCs w:val="24"/>
        </w:rPr>
        <w:t xml:space="preserve"> </w:t>
      </w:r>
      <w:hyperlink r:id="rId68" w:history="1">
        <w:r w:rsidRPr="00C020C2">
          <w:rPr>
            <w:rStyle w:val="Hyperlink"/>
            <w:rFonts w:asciiTheme="minorHAnsi" w:hAnsiTheme="minorHAnsi" w:cstheme="minorBidi"/>
            <w:sz w:val="24"/>
            <w:szCs w:val="24"/>
          </w:rPr>
          <w:t>emergency telecommunications team</w:t>
        </w:r>
      </w:hyperlink>
      <w:r w:rsidRPr="00C020C2">
        <w:rPr>
          <w:rFonts w:asciiTheme="minorHAnsi" w:eastAsiaTheme="minorEastAsia" w:hAnsiTheme="minorHAnsi" w:cstheme="minorBidi"/>
          <w:sz w:val="24"/>
          <w:szCs w:val="24"/>
        </w:rPr>
        <w:t xml:space="preserve"> deployed Thuraya satellite phones to Malawi and Iridium satellite phones to Mozambique in support of the disaster response </w:t>
      </w:r>
      <w:r w:rsidR="00D62FBD" w:rsidRPr="00C020C2">
        <w:rPr>
          <w:rFonts w:asciiTheme="minorHAnsi" w:eastAsiaTheme="minorEastAsia" w:hAnsiTheme="minorHAnsi" w:cstheme="minorBidi"/>
          <w:sz w:val="24"/>
          <w:szCs w:val="24"/>
        </w:rPr>
        <w:t xml:space="preserve">to </w:t>
      </w:r>
      <w:r w:rsidRPr="00C020C2">
        <w:rPr>
          <w:rFonts w:asciiTheme="minorHAnsi" w:eastAsiaTheme="minorEastAsia" w:hAnsiTheme="minorHAnsi" w:cstheme="minorBidi"/>
          <w:sz w:val="24"/>
          <w:szCs w:val="24"/>
        </w:rPr>
        <w:t xml:space="preserve">cyclone Freddy. </w:t>
      </w:r>
    </w:p>
    <w:p w14:paraId="26DEDBF2" w14:textId="3483648D" w:rsidR="001F5F1D" w:rsidRPr="00C020C2" w:rsidRDefault="001F5F1D" w:rsidP="00EE21B1">
      <w:pPr>
        <w:pStyle w:val="ListParagraph"/>
        <w:numPr>
          <w:ilvl w:val="0"/>
          <w:numId w:val="30"/>
        </w:numPr>
        <w:spacing w:after="120"/>
        <w:contextualSpacing/>
        <w:jc w:val="both"/>
        <w:rPr>
          <w:rFonts w:asciiTheme="minorHAnsi" w:eastAsiaTheme="minorEastAsia" w:hAnsiTheme="minorHAnsi" w:cstheme="minorBidi"/>
          <w:sz w:val="24"/>
          <w:szCs w:val="24"/>
        </w:rPr>
      </w:pPr>
      <w:r w:rsidRPr="00C020C2">
        <w:rPr>
          <w:rFonts w:asciiTheme="minorHAnsi" w:eastAsiaTheme="minorEastAsia" w:hAnsiTheme="minorHAnsi" w:cstheme="minorBidi"/>
          <w:color w:val="000000" w:themeColor="text1"/>
          <w:sz w:val="24"/>
          <w:szCs w:val="24"/>
        </w:rPr>
        <w:t>T</w:t>
      </w:r>
      <w:r w:rsidR="0011467A" w:rsidRPr="00C020C2">
        <w:rPr>
          <w:rFonts w:asciiTheme="minorHAnsi" w:eastAsiaTheme="minorEastAsia" w:hAnsiTheme="minorHAnsi" w:cstheme="minorBidi"/>
          <w:sz w:val="24"/>
          <w:szCs w:val="24"/>
        </w:rPr>
        <w:t xml:space="preserve">he BDT </w:t>
      </w:r>
      <w:hyperlink r:id="rId69" w:history="1">
        <w:r w:rsidR="0011467A" w:rsidRPr="00C020C2">
          <w:rPr>
            <w:rStyle w:val="Hyperlink"/>
            <w:rFonts w:asciiTheme="minorHAnsi" w:eastAsiaTheme="minorEastAsia" w:hAnsiTheme="minorHAnsi" w:cstheme="minorBidi"/>
            <w:sz w:val="24"/>
            <w:szCs w:val="24"/>
          </w:rPr>
          <w:t>Disaster Connectivity Map</w:t>
        </w:r>
      </w:hyperlink>
      <w:r w:rsidR="0011467A" w:rsidRPr="00C020C2">
        <w:rPr>
          <w:rFonts w:asciiTheme="minorHAnsi" w:eastAsiaTheme="minorEastAsia" w:hAnsiTheme="minorHAnsi" w:cstheme="minorBidi"/>
          <w:sz w:val="24"/>
          <w:szCs w:val="24"/>
        </w:rPr>
        <w:t xml:space="preserve"> (DCM) was activated in five countries following disasters</w:t>
      </w:r>
      <w:r w:rsidRPr="00C020C2">
        <w:rPr>
          <w:rFonts w:asciiTheme="minorHAnsi" w:eastAsiaTheme="minorEastAsia" w:hAnsiTheme="minorHAnsi" w:cstheme="minorBidi"/>
          <w:sz w:val="24"/>
          <w:szCs w:val="24"/>
        </w:rPr>
        <w:t>, and</w:t>
      </w:r>
      <w:r w:rsidR="0011467A" w:rsidRPr="00C020C2">
        <w:rPr>
          <w:rFonts w:asciiTheme="minorHAnsi" w:eastAsiaTheme="minorEastAsia" w:hAnsiTheme="minorHAnsi" w:cstheme="minorBidi"/>
          <w:sz w:val="24"/>
          <w:szCs w:val="24"/>
        </w:rPr>
        <w:t xml:space="preserve"> was successfully used to identify communication gaps and guide response efforts by first responders in Tonga, which was affected by a volcanic eruption and tsunami in 2022</w:t>
      </w:r>
      <w:r w:rsidR="003B5B03" w:rsidRPr="00C020C2">
        <w:rPr>
          <w:rFonts w:asciiTheme="minorHAnsi" w:eastAsiaTheme="minorEastAsia" w:hAnsiTheme="minorHAnsi" w:cstheme="minorBidi"/>
          <w:sz w:val="24"/>
          <w:szCs w:val="24"/>
        </w:rPr>
        <w:t>.</w:t>
      </w:r>
      <w:r w:rsidR="0011467A" w:rsidRPr="00C020C2">
        <w:rPr>
          <w:rFonts w:asciiTheme="minorHAnsi" w:eastAsiaTheme="minorEastAsia" w:hAnsiTheme="minorHAnsi" w:cstheme="minorBidi"/>
          <w:sz w:val="24"/>
          <w:szCs w:val="24"/>
        </w:rPr>
        <w:t xml:space="preserve"> </w:t>
      </w:r>
    </w:p>
    <w:p w14:paraId="3F6BC144" w14:textId="4CF0DC20" w:rsidR="0011467A" w:rsidRPr="00C020C2" w:rsidRDefault="0011467A" w:rsidP="00EE21B1">
      <w:pPr>
        <w:pStyle w:val="ListParagraph"/>
        <w:numPr>
          <w:ilvl w:val="0"/>
          <w:numId w:val="30"/>
        </w:numPr>
        <w:spacing w:after="120"/>
        <w:contextualSpacing/>
        <w:jc w:val="both"/>
        <w:rPr>
          <w:rFonts w:asciiTheme="minorHAnsi" w:eastAsiaTheme="minorEastAsia" w:hAnsiTheme="minorHAnsi" w:cstheme="minorBidi"/>
          <w:sz w:val="24"/>
          <w:szCs w:val="24"/>
        </w:rPr>
      </w:pPr>
      <w:r w:rsidRPr="00C020C2">
        <w:rPr>
          <w:rFonts w:asciiTheme="minorHAnsi" w:eastAsiaTheme="minorEastAsia" w:hAnsiTheme="minorHAnsi" w:cstheme="minorBidi"/>
          <w:sz w:val="24"/>
          <w:szCs w:val="24"/>
        </w:rPr>
        <w:t xml:space="preserve">The DCM was also activated </w:t>
      </w:r>
      <w:r w:rsidR="00D62FBD" w:rsidRPr="00C020C2">
        <w:rPr>
          <w:rFonts w:asciiTheme="minorHAnsi" w:eastAsiaTheme="minorEastAsia" w:hAnsiTheme="minorHAnsi" w:cstheme="minorBidi"/>
          <w:sz w:val="24"/>
          <w:szCs w:val="24"/>
        </w:rPr>
        <w:t xml:space="preserve">to </w:t>
      </w:r>
      <w:r w:rsidRPr="00C020C2">
        <w:rPr>
          <w:rFonts w:asciiTheme="minorHAnsi" w:eastAsiaTheme="minorEastAsia" w:hAnsiTheme="minorHAnsi" w:cstheme="minorBidi"/>
          <w:sz w:val="24"/>
          <w:szCs w:val="24"/>
        </w:rPr>
        <w:t>guid</w:t>
      </w:r>
      <w:r w:rsidR="00D62FBD" w:rsidRPr="00C020C2">
        <w:rPr>
          <w:rFonts w:asciiTheme="minorHAnsi" w:eastAsiaTheme="minorEastAsia" w:hAnsiTheme="minorHAnsi" w:cstheme="minorBidi"/>
          <w:sz w:val="24"/>
          <w:szCs w:val="24"/>
        </w:rPr>
        <w:t xml:space="preserve">e </w:t>
      </w:r>
      <w:r w:rsidRPr="00C020C2">
        <w:rPr>
          <w:rFonts w:asciiTheme="minorHAnsi" w:eastAsiaTheme="minorEastAsia" w:hAnsiTheme="minorHAnsi" w:cstheme="minorBidi"/>
          <w:sz w:val="24"/>
          <w:szCs w:val="24"/>
        </w:rPr>
        <w:t>responder</w:t>
      </w:r>
      <w:r w:rsidR="003B5B03" w:rsidRPr="00C020C2">
        <w:rPr>
          <w:rFonts w:asciiTheme="minorHAnsi" w:eastAsiaTheme="minorEastAsia" w:hAnsiTheme="minorHAnsi" w:cstheme="minorBidi"/>
          <w:sz w:val="24"/>
          <w:szCs w:val="24"/>
        </w:rPr>
        <w:t>s</w:t>
      </w:r>
      <w:r w:rsidRPr="00C020C2">
        <w:rPr>
          <w:rFonts w:asciiTheme="minorHAnsi" w:eastAsiaTheme="minorEastAsia" w:hAnsiTheme="minorHAnsi" w:cstheme="minorBidi"/>
          <w:sz w:val="24"/>
          <w:szCs w:val="24"/>
        </w:rPr>
        <w:t xml:space="preserve"> in Turkey and Syria after the devastating earthquake in February 2023</w:t>
      </w:r>
      <w:r w:rsidR="003B5B03" w:rsidRPr="00C020C2">
        <w:rPr>
          <w:rFonts w:asciiTheme="minorHAnsi" w:eastAsiaTheme="minorEastAsia" w:hAnsiTheme="minorHAnsi" w:cstheme="minorBidi"/>
          <w:sz w:val="24"/>
          <w:szCs w:val="24"/>
        </w:rPr>
        <w:t>;</w:t>
      </w:r>
      <w:r w:rsidRPr="00C020C2">
        <w:rPr>
          <w:rFonts w:asciiTheme="minorHAnsi" w:eastAsiaTheme="minorEastAsia" w:hAnsiTheme="minorHAnsi" w:cstheme="minorBidi"/>
          <w:sz w:val="24"/>
          <w:szCs w:val="24"/>
        </w:rPr>
        <w:t xml:space="preserve"> in Zimbabwe in response to Cyclone Freddy</w:t>
      </w:r>
      <w:r w:rsidR="003B5B03" w:rsidRPr="00C020C2">
        <w:rPr>
          <w:rFonts w:asciiTheme="minorHAnsi" w:eastAsiaTheme="minorEastAsia" w:hAnsiTheme="minorHAnsi" w:cstheme="minorBidi"/>
          <w:sz w:val="24"/>
          <w:szCs w:val="24"/>
        </w:rPr>
        <w:t xml:space="preserve">; </w:t>
      </w:r>
      <w:r w:rsidRPr="00C020C2">
        <w:rPr>
          <w:rFonts w:asciiTheme="minorHAnsi" w:eastAsiaTheme="minorEastAsia" w:hAnsiTheme="minorHAnsi" w:cstheme="minorBidi"/>
          <w:sz w:val="24"/>
          <w:szCs w:val="24"/>
        </w:rPr>
        <w:t>and in Vanuatu after it was struck by Cyclone</w:t>
      </w:r>
      <w:r w:rsidR="003B5B03" w:rsidRPr="00C020C2">
        <w:rPr>
          <w:rFonts w:asciiTheme="minorHAnsi" w:eastAsiaTheme="minorEastAsia" w:hAnsiTheme="minorHAnsi" w:cstheme="minorBidi"/>
          <w:sz w:val="24"/>
          <w:szCs w:val="24"/>
        </w:rPr>
        <w:t>s</w:t>
      </w:r>
      <w:r w:rsidRPr="00C020C2">
        <w:rPr>
          <w:rFonts w:asciiTheme="minorHAnsi" w:eastAsiaTheme="minorEastAsia" w:hAnsiTheme="minorHAnsi" w:cstheme="minorBidi"/>
          <w:sz w:val="24"/>
          <w:szCs w:val="24"/>
        </w:rPr>
        <w:t xml:space="preserve"> Judy and Kevin.</w:t>
      </w:r>
    </w:p>
    <w:p w14:paraId="330BB416" w14:textId="4137BF97" w:rsidR="0011467A" w:rsidRPr="00C020C2" w:rsidRDefault="0011467A" w:rsidP="002A7955">
      <w:pPr>
        <w:spacing w:after="120"/>
        <w:jc w:val="both"/>
        <w:rPr>
          <w:rFonts w:asciiTheme="minorHAnsi" w:eastAsiaTheme="minorEastAsia" w:hAnsiTheme="minorHAnsi" w:cstheme="minorHAnsi"/>
        </w:rPr>
      </w:pPr>
      <w:r w:rsidRPr="00C020C2">
        <w:rPr>
          <w:rFonts w:asciiTheme="minorHAnsi" w:eastAsiaTheme="minorEastAsia" w:hAnsiTheme="minorHAnsi" w:cstheme="minorHAnsi"/>
        </w:rPr>
        <w:t>ITU-D</w:t>
      </w:r>
      <w:r w:rsidRPr="00C020C2">
        <w:rPr>
          <w:rFonts w:asciiTheme="minorHAnsi" w:eastAsiaTheme="minorEastAsia" w:hAnsiTheme="minorHAnsi" w:cstheme="minorHAnsi"/>
          <w:lang w:val="en-US"/>
        </w:rPr>
        <w:t xml:space="preserve"> online trainings</w:t>
      </w:r>
      <w:r w:rsidR="000769CC" w:rsidRPr="00C020C2">
        <w:rPr>
          <w:rFonts w:asciiTheme="minorHAnsi" w:eastAsiaTheme="minorEastAsia" w:hAnsiTheme="minorHAnsi" w:cstheme="minorHAnsi"/>
          <w:lang w:val="en-US"/>
        </w:rPr>
        <w:t>:</w:t>
      </w:r>
      <w:r w:rsidRPr="00C020C2">
        <w:rPr>
          <w:rFonts w:asciiTheme="minorHAnsi" w:eastAsiaTheme="minorEastAsia" w:hAnsiTheme="minorHAnsi" w:cstheme="minorHAnsi"/>
          <w:lang w:val="en-US"/>
        </w:rPr>
        <w:t xml:space="preserve"> a</w:t>
      </w:r>
      <w:r w:rsidRPr="00C020C2">
        <w:rPr>
          <w:rFonts w:asciiTheme="minorHAnsi" w:eastAsiaTheme="minorEastAsia" w:hAnsiTheme="minorHAnsi" w:cstheme="minorHAnsi"/>
        </w:rPr>
        <w:t xml:space="preserve"> total </w:t>
      </w:r>
      <w:r w:rsidR="008A7A72" w:rsidRPr="00C020C2">
        <w:rPr>
          <w:rFonts w:asciiTheme="minorHAnsi" w:eastAsiaTheme="minorEastAsia" w:hAnsiTheme="minorHAnsi" w:cstheme="minorHAnsi"/>
        </w:rPr>
        <w:t xml:space="preserve">of </w:t>
      </w:r>
      <w:r w:rsidRPr="00C020C2">
        <w:rPr>
          <w:rFonts w:asciiTheme="minorHAnsi" w:eastAsiaTheme="minorEastAsia" w:hAnsiTheme="minorHAnsi" w:cstheme="minorHAnsi"/>
          <w:lang w:val="en-US"/>
        </w:rPr>
        <w:t xml:space="preserve">398 participants </w:t>
      </w:r>
      <w:r w:rsidR="008A7A72" w:rsidRPr="00C020C2">
        <w:rPr>
          <w:rFonts w:asciiTheme="minorHAnsi" w:eastAsiaTheme="minorEastAsia" w:hAnsiTheme="minorHAnsi" w:cstheme="minorHAnsi"/>
          <w:lang w:val="en-US"/>
        </w:rPr>
        <w:t>followed</w:t>
      </w:r>
      <w:r w:rsidR="008A7A72" w:rsidRPr="00C020C2">
        <w:rPr>
          <w:rFonts w:asciiTheme="minorHAnsi" w:eastAsiaTheme="minorEastAsia" w:hAnsiTheme="minorHAnsi" w:cstheme="minorHAnsi"/>
        </w:rPr>
        <w:t xml:space="preserve"> </w:t>
      </w:r>
      <w:r w:rsidRPr="00C020C2">
        <w:rPr>
          <w:rFonts w:asciiTheme="minorHAnsi" w:eastAsiaTheme="minorEastAsia" w:hAnsiTheme="minorHAnsi" w:cstheme="minorHAnsi"/>
        </w:rPr>
        <w:t xml:space="preserve">the </w:t>
      </w:r>
      <w:r w:rsidR="000769CC" w:rsidRPr="00C020C2">
        <w:rPr>
          <w:rFonts w:asciiTheme="minorHAnsi" w:eastAsiaTheme="minorEastAsia" w:hAnsiTheme="minorHAnsi" w:cstheme="minorHAnsi"/>
        </w:rPr>
        <w:t xml:space="preserve">three </w:t>
      </w:r>
      <w:hyperlink r:id="rId70" w:history="1">
        <w:r w:rsidRPr="00C020C2">
          <w:rPr>
            <w:rStyle w:val="Hyperlink"/>
            <w:rFonts w:asciiTheme="minorHAnsi" w:hAnsiTheme="minorHAnsi" w:cstheme="minorHAnsi"/>
          </w:rPr>
          <w:t>ITU Online Training Modules on Emergency Telecommunications</w:t>
        </w:r>
      </w:hyperlink>
      <w:r w:rsidR="008A7A72" w:rsidRPr="00C020C2">
        <w:rPr>
          <w:rStyle w:val="Hyperlink"/>
          <w:rFonts w:asciiTheme="minorHAnsi" w:hAnsiTheme="minorHAnsi" w:cstheme="minorHAnsi"/>
        </w:rPr>
        <w:t>.</w:t>
      </w:r>
      <w:r w:rsidRPr="00C020C2">
        <w:rPr>
          <w:rFonts w:asciiTheme="minorHAnsi" w:eastAsiaTheme="minorEastAsia" w:hAnsiTheme="minorHAnsi" w:cstheme="minorHAnsi"/>
        </w:rPr>
        <w:t xml:space="preserve"> </w:t>
      </w:r>
      <w:r w:rsidR="008A7A72" w:rsidRPr="00C020C2">
        <w:rPr>
          <w:rFonts w:asciiTheme="minorHAnsi" w:eastAsiaTheme="minorEastAsia" w:hAnsiTheme="minorHAnsi" w:cstheme="minorHAnsi"/>
        </w:rPr>
        <w:t xml:space="preserve">These </w:t>
      </w:r>
      <w:r w:rsidRPr="00C020C2">
        <w:rPr>
          <w:rFonts w:asciiTheme="minorHAnsi" w:eastAsiaTheme="minorEastAsia" w:hAnsiTheme="minorHAnsi" w:cstheme="minorHAnsi"/>
        </w:rPr>
        <w:t>cover 1) the development of NETPs</w:t>
      </w:r>
      <w:r w:rsidR="000769CC" w:rsidRPr="00C020C2">
        <w:rPr>
          <w:rFonts w:asciiTheme="minorHAnsi" w:eastAsiaTheme="minorEastAsia" w:hAnsiTheme="minorHAnsi" w:cstheme="minorHAnsi"/>
        </w:rPr>
        <w:t xml:space="preserve">; </w:t>
      </w:r>
      <w:r w:rsidRPr="00C020C2">
        <w:rPr>
          <w:rFonts w:asciiTheme="minorHAnsi" w:eastAsiaTheme="minorEastAsia" w:hAnsiTheme="minorHAnsi" w:cstheme="minorHAnsi"/>
        </w:rPr>
        <w:t xml:space="preserve">2) the organization of </w:t>
      </w:r>
      <w:hyperlink r:id="rId71" w:history="1">
        <w:r w:rsidRPr="00C020C2">
          <w:rPr>
            <w:rStyle w:val="Hyperlink"/>
            <w:rFonts w:asciiTheme="minorHAnsi" w:hAnsiTheme="minorHAnsi" w:cstheme="minorHAnsi"/>
          </w:rPr>
          <w:t>tabletop simulation exercises</w:t>
        </w:r>
      </w:hyperlink>
      <w:r w:rsidRPr="00C020C2">
        <w:rPr>
          <w:rFonts w:asciiTheme="minorHAnsi" w:eastAsiaTheme="minorEastAsia" w:hAnsiTheme="minorHAnsi" w:cstheme="minorHAnsi"/>
          <w:b/>
          <w:bCs/>
          <w:color w:val="0000FF"/>
          <w:u w:val="single"/>
        </w:rPr>
        <w:t xml:space="preserve"> </w:t>
      </w:r>
      <w:r w:rsidRPr="00C020C2">
        <w:rPr>
          <w:rFonts w:asciiTheme="minorHAnsi" w:eastAsiaTheme="minorEastAsia" w:hAnsiTheme="minorHAnsi" w:cstheme="minorHAnsi"/>
          <w:color w:val="0000FF"/>
          <w:u w:val="single"/>
        </w:rPr>
        <w:t>(TTX)</w:t>
      </w:r>
      <w:r w:rsidR="000769CC" w:rsidRPr="00C020C2">
        <w:rPr>
          <w:rFonts w:asciiTheme="minorHAnsi" w:eastAsiaTheme="minorEastAsia" w:hAnsiTheme="minorHAnsi" w:cstheme="minorHAnsi"/>
        </w:rPr>
        <w:t>;</w:t>
      </w:r>
      <w:r w:rsidRPr="00C020C2">
        <w:rPr>
          <w:rFonts w:asciiTheme="minorHAnsi" w:eastAsiaTheme="minorEastAsia" w:hAnsiTheme="minorHAnsi" w:cstheme="minorHAnsi"/>
        </w:rPr>
        <w:t xml:space="preserve"> and 3) information on the </w:t>
      </w:r>
      <w:hyperlink r:id="rId72" w:history="1">
        <w:r w:rsidRPr="00C020C2">
          <w:rPr>
            <w:rStyle w:val="Hyperlink"/>
            <w:rFonts w:asciiTheme="minorHAnsi" w:hAnsiTheme="minorHAnsi" w:cstheme="minorHAnsi"/>
          </w:rPr>
          <w:t>Tampere Convention</w:t>
        </w:r>
      </w:hyperlink>
      <w:r w:rsidRPr="00C020C2">
        <w:rPr>
          <w:rFonts w:asciiTheme="minorHAnsi" w:eastAsiaTheme="minorEastAsia" w:hAnsiTheme="minorHAnsi" w:cstheme="minorHAnsi"/>
        </w:rPr>
        <w:t xml:space="preserve"> and its benefits. All three online modules are self-paced and are available </w:t>
      </w:r>
      <w:r w:rsidR="000769CC" w:rsidRPr="00C020C2">
        <w:rPr>
          <w:rFonts w:asciiTheme="minorHAnsi" w:eastAsiaTheme="minorEastAsia" w:hAnsiTheme="minorHAnsi" w:cstheme="minorHAnsi"/>
        </w:rPr>
        <w:t xml:space="preserve">on </w:t>
      </w:r>
      <w:r w:rsidRPr="00C020C2">
        <w:rPr>
          <w:rFonts w:asciiTheme="minorHAnsi" w:eastAsiaTheme="minorEastAsia" w:hAnsiTheme="minorHAnsi" w:cstheme="minorHAnsi"/>
        </w:rPr>
        <w:t xml:space="preserve">the </w:t>
      </w:r>
      <w:hyperlink r:id="rId73" w:history="1">
        <w:r w:rsidRPr="00C020C2">
          <w:rPr>
            <w:rStyle w:val="Hyperlink"/>
            <w:rFonts w:asciiTheme="minorHAnsi" w:eastAsiaTheme="minorEastAsia" w:hAnsiTheme="minorHAnsi" w:cstheme="minorHAnsi"/>
          </w:rPr>
          <w:t>ITU Academy Platform</w:t>
        </w:r>
      </w:hyperlink>
      <w:r w:rsidRPr="00C020C2">
        <w:rPr>
          <w:rFonts w:asciiTheme="minorHAnsi" w:eastAsiaTheme="minorEastAsia" w:hAnsiTheme="minorHAnsi" w:cstheme="minorHAnsi"/>
        </w:rPr>
        <w:t xml:space="preserve">. </w:t>
      </w:r>
    </w:p>
    <w:p w14:paraId="63088988" w14:textId="77777777" w:rsidR="0011467A" w:rsidRPr="00C020C2" w:rsidRDefault="0011467A" w:rsidP="002A7955">
      <w:pPr>
        <w:spacing w:after="120"/>
        <w:jc w:val="both"/>
        <w:rPr>
          <w:rFonts w:asciiTheme="minorHAnsi" w:eastAsiaTheme="minorEastAsia" w:hAnsiTheme="minorHAnsi" w:cstheme="minorBidi"/>
          <w:b/>
          <w:bCs/>
        </w:rPr>
      </w:pPr>
      <w:r w:rsidRPr="00C020C2">
        <w:rPr>
          <w:rFonts w:asciiTheme="minorHAnsi" w:eastAsiaTheme="minorEastAsia" w:hAnsiTheme="minorHAnsi" w:cstheme="minorBidi"/>
          <w:b/>
          <w:bCs/>
        </w:rPr>
        <w:t>Digital transformation for people-oriented cities and communities</w:t>
      </w:r>
    </w:p>
    <w:p w14:paraId="2B1C5E8D" w14:textId="75176B21" w:rsidR="0011467A" w:rsidRPr="00C020C2" w:rsidRDefault="00C020C2" w:rsidP="002A7955">
      <w:pPr>
        <w:spacing w:after="120"/>
        <w:jc w:val="both"/>
        <w:rPr>
          <w:rFonts w:eastAsia="Calibri"/>
        </w:rPr>
      </w:pPr>
      <w:hyperlink r:id="rId74" w:history="1">
        <w:r w:rsidR="0011467A" w:rsidRPr="00C020C2">
          <w:rPr>
            <w:rStyle w:val="Hyperlink"/>
            <w:rFonts w:eastAsia="Calibri"/>
            <w:lang w:val="en-US"/>
          </w:rPr>
          <w:t>ITU-T Study Group 20</w:t>
        </w:r>
      </w:hyperlink>
      <w:r w:rsidR="0011467A" w:rsidRPr="00C020C2">
        <w:rPr>
          <w:rFonts w:eastAsia="Calibri"/>
          <w:lang w:val="en-US"/>
        </w:rPr>
        <w:t xml:space="preserve">  approved ITU-T Recommendations related to the study of smart cities and communities. The latest </w:t>
      </w:r>
      <w:r w:rsidR="00526716" w:rsidRPr="00C020C2">
        <w:rPr>
          <w:rFonts w:eastAsia="Calibri"/>
          <w:lang w:val="en-US"/>
        </w:rPr>
        <w:t>w</w:t>
      </w:r>
      <w:r w:rsidR="0011467A" w:rsidRPr="00C020C2">
        <w:rPr>
          <w:rFonts w:eastAsia="Calibri"/>
          <w:lang w:val="en-US"/>
        </w:rPr>
        <w:t xml:space="preserve">orking </w:t>
      </w:r>
      <w:r w:rsidR="00526716" w:rsidRPr="00C020C2">
        <w:rPr>
          <w:rFonts w:eastAsia="Calibri"/>
          <w:lang w:val="en-US"/>
        </w:rPr>
        <w:t>g</w:t>
      </w:r>
      <w:r w:rsidR="0011467A" w:rsidRPr="00C020C2">
        <w:rPr>
          <w:rFonts w:eastAsia="Calibri"/>
          <w:lang w:val="en-US"/>
        </w:rPr>
        <w:t xml:space="preserve">roup under the U4SSC Thematic Group on City Platforms will work on data and APIs in smart city platforms. Four new cities </w:t>
      </w:r>
      <w:r w:rsidR="008A7A72" w:rsidRPr="00C020C2">
        <w:rPr>
          <w:rFonts w:eastAsia="Calibri"/>
          <w:lang w:val="en-US"/>
        </w:rPr>
        <w:t xml:space="preserve">participated in </w:t>
      </w:r>
      <w:r w:rsidR="0011467A" w:rsidRPr="00C020C2">
        <w:rPr>
          <w:rFonts w:eastAsia="Calibri"/>
          <w:lang w:val="en-US"/>
        </w:rPr>
        <w:t>the </w:t>
      </w:r>
      <w:hyperlink r:id="rId75" w:history="1">
        <w:r w:rsidR="0011467A" w:rsidRPr="00C020C2">
          <w:rPr>
            <w:rStyle w:val="Hyperlink"/>
            <w:rFonts w:eastAsia="Calibri"/>
            <w:lang w:val="en-US"/>
          </w:rPr>
          <w:t>U4SSC Key performance indicators (KPIs) for smart sustainable cities (SSC) implementation project</w:t>
        </w:r>
      </w:hyperlink>
      <w:r w:rsidR="0011467A" w:rsidRPr="00C020C2">
        <w:rPr>
          <w:rFonts w:eastAsia="Calibri"/>
          <w:lang w:val="en-US"/>
        </w:rPr>
        <w:t xml:space="preserve">, which </w:t>
      </w:r>
      <w:r w:rsidR="008A7A72" w:rsidRPr="00C020C2">
        <w:rPr>
          <w:rFonts w:eastAsia="Calibri"/>
          <w:lang w:val="en-US"/>
        </w:rPr>
        <w:t xml:space="preserve">falls </w:t>
      </w:r>
      <w:r w:rsidR="0011467A" w:rsidRPr="00C020C2">
        <w:rPr>
          <w:rFonts w:eastAsia="Calibri"/>
          <w:lang w:val="en-US"/>
        </w:rPr>
        <w:t>under the framework of U4SSC. A new module on smart sustainable city governance has been added in the </w:t>
      </w:r>
      <w:hyperlink r:id="rId76" w:history="1">
        <w:r w:rsidR="0011467A" w:rsidRPr="00C020C2">
          <w:rPr>
            <w:rStyle w:val="Hyperlink"/>
            <w:rFonts w:eastAsia="Calibri"/>
            <w:lang w:val="en-US"/>
          </w:rPr>
          <w:t>Toolkit on Digital Transformation for People-Oriented Cities and Communities.</w:t>
        </w:r>
      </w:hyperlink>
    </w:p>
    <w:p w14:paraId="6C5E2B1D" w14:textId="1E75BE16" w:rsidR="0011467A" w:rsidRPr="00C020C2" w:rsidRDefault="008A7A72" w:rsidP="002A7955">
      <w:pPr>
        <w:spacing w:after="120"/>
        <w:jc w:val="both"/>
        <w:rPr>
          <w:rFonts w:eastAsia="Calibri"/>
          <w:szCs w:val="24"/>
        </w:rPr>
      </w:pPr>
      <w:r w:rsidRPr="00C020C2">
        <w:rPr>
          <w:rFonts w:eastAsia="Calibri"/>
          <w:lang w:val="en-US"/>
        </w:rPr>
        <w:t>For further details, s</w:t>
      </w:r>
      <w:r w:rsidR="0011467A" w:rsidRPr="00C020C2">
        <w:rPr>
          <w:rFonts w:eastAsia="Calibri"/>
          <w:lang w:val="en-US"/>
        </w:rPr>
        <w:t>ee the </w:t>
      </w:r>
      <w:hyperlink r:id="rId77" w:history="1">
        <w:r w:rsidR="0011467A" w:rsidRPr="00C020C2">
          <w:rPr>
            <w:rStyle w:val="Hyperlink"/>
            <w:rFonts w:eastAsia="Calibri"/>
            <w:lang w:val="en-US"/>
          </w:rPr>
          <w:t>list of U4SSC Deliverables</w:t>
        </w:r>
      </w:hyperlink>
      <w:r w:rsidR="0011467A" w:rsidRPr="00C020C2">
        <w:rPr>
          <w:rFonts w:eastAsia="Calibri"/>
          <w:lang w:val="en-US"/>
        </w:rPr>
        <w:t> and </w:t>
      </w:r>
      <w:hyperlink r:id="rId78" w:history="1">
        <w:r w:rsidR="0011467A" w:rsidRPr="00C020C2">
          <w:rPr>
            <w:rStyle w:val="Hyperlink"/>
            <w:rFonts w:eastAsia="Calibri"/>
            <w:lang w:val="en-US"/>
          </w:rPr>
          <w:t>List of U4SSC KPIs Deliverables</w:t>
        </w:r>
      </w:hyperlink>
      <w:r w:rsidR="0011467A" w:rsidRPr="00C020C2">
        <w:rPr>
          <w:rFonts w:eastAsia="Calibri"/>
          <w:szCs w:val="24"/>
          <w:lang w:val="en-US"/>
        </w:rPr>
        <w:t>.</w:t>
      </w:r>
    </w:p>
    <w:p w14:paraId="73A8EFA4" w14:textId="788A91A1" w:rsidR="0011467A" w:rsidRPr="00C020C2" w:rsidRDefault="002B38AA" w:rsidP="00EE21B1">
      <w:pPr>
        <w:pStyle w:val="Heading2"/>
        <w:spacing w:before="240" w:after="120"/>
      </w:pPr>
      <w:bookmarkStart w:id="39" w:name="_Toc37943340"/>
      <w:bookmarkStart w:id="40" w:name="_Toc37943341"/>
      <w:bookmarkStart w:id="41" w:name="_Toc37943342"/>
      <w:bookmarkStart w:id="42" w:name="_Toc37943343"/>
      <w:bookmarkStart w:id="43" w:name="_Toc37860460"/>
      <w:bookmarkStart w:id="44" w:name="_Toc37861221"/>
      <w:bookmarkStart w:id="45" w:name="_Toc37943344"/>
      <w:bookmarkStart w:id="46" w:name="Section_3_1_2"/>
      <w:bookmarkStart w:id="47" w:name="Section_1_6"/>
      <w:bookmarkStart w:id="48" w:name="_Toc137211294"/>
      <w:bookmarkEnd w:id="39"/>
      <w:bookmarkEnd w:id="40"/>
      <w:bookmarkEnd w:id="41"/>
      <w:bookmarkEnd w:id="42"/>
      <w:r w:rsidRPr="00C020C2">
        <w:rPr>
          <w:lang w:eastAsia="en-GB"/>
        </w:rPr>
        <w:t>4</w:t>
      </w:r>
      <w:r w:rsidR="0011467A" w:rsidRPr="00C020C2">
        <w:rPr>
          <w:lang w:eastAsia="en-GB"/>
        </w:rPr>
        <w:t>.</w:t>
      </w:r>
      <w:r w:rsidRPr="00C020C2">
        <w:rPr>
          <w:lang w:eastAsia="en-GB"/>
        </w:rPr>
        <w:t>5</w:t>
      </w:r>
      <w:r w:rsidR="0011467A" w:rsidRPr="00C020C2">
        <w:rPr>
          <w:lang w:eastAsia="en-GB"/>
        </w:rPr>
        <w:tab/>
        <w:t>Cybersecurity: building confidence and security in ICTs</w:t>
      </w:r>
      <w:bookmarkEnd w:id="43"/>
      <w:bookmarkEnd w:id="44"/>
      <w:bookmarkEnd w:id="45"/>
      <w:bookmarkEnd w:id="46"/>
      <w:bookmarkEnd w:id="47"/>
      <w:bookmarkEnd w:id="48"/>
    </w:p>
    <w:p w14:paraId="65B6CD05" w14:textId="4741622A" w:rsidR="0011467A" w:rsidRPr="00C020C2" w:rsidRDefault="00C020C2" w:rsidP="002A7955">
      <w:pPr>
        <w:pStyle w:val="enumlev1"/>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szCs w:val="24"/>
        </w:rPr>
      </w:pPr>
      <w:hyperlink r:id="rId79" w:history="1">
        <w:r w:rsidR="004C30C0" w:rsidRPr="00C020C2">
          <w:rPr>
            <w:rStyle w:val="Hyperlink"/>
            <w:rFonts w:asciiTheme="minorHAnsi" w:hAnsiTheme="minorHAnsi" w:cstheme="minorHAnsi"/>
            <w:szCs w:val="24"/>
          </w:rPr>
          <w:t>C23/38</w:t>
        </w:r>
      </w:hyperlink>
      <w:r w:rsidR="004C30C0" w:rsidRPr="00C020C2">
        <w:rPr>
          <w:rFonts w:asciiTheme="minorHAnsi" w:hAnsiTheme="minorHAnsi" w:cstheme="minorHAnsi"/>
          <w:szCs w:val="24"/>
        </w:rPr>
        <w:t xml:space="preserve"> </w:t>
      </w:r>
      <w:r w:rsidR="008A7A72" w:rsidRPr="00C020C2">
        <w:rPr>
          <w:rFonts w:asciiTheme="minorHAnsi" w:hAnsiTheme="minorHAnsi" w:cstheme="minorHAnsi"/>
          <w:szCs w:val="24"/>
        </w:rPr>
        <w:t>reports</w:t>
      </w:r>
      <w:r w:rsidR="004C30C0" w:rsidRPr="00C020C2">
        <w:rPr>
          <w:rFonts w:asciiTheme="minorHAnsi" w:hAnsiTheme="minorHAnsi" w:cstheme="minorHAnsi"/>
          <w:szCs w:val="24"/>
        </w:rPr>
        <w:t xml:space="preserve"> in detail</w:t>
      </w:r>
      <w:r w:rsidR="008A7A72" w:rsidRPr="00C020C2">
        <w:rPr>
          <w:rFonts w:asciiTheme="minorHAnsi" w:hAnsiTheme="minorHAnsi" w:cstheme="minorHAnsi"/>
          <w:szCs w:val="24"/>
        </w:rPr>
        <w:t xml:space="preserve"> on</w:t>
      </w:r>
      <w:r w:rsidR="003B5B03" w:rsidRPr="00C020C2">
        <w:rPr>
          <w:rFonts w:asciiTheme="minorHAnsi" w:hAnsiTheme="minorHAnsi" w:cstheme="minorHAnsi"/>
          <w:szCs w:val="24"/>
        </w:rPr>
        <w:t xml:space="preserve"> </w:t>
      </w:r>
      <w:r w:rsidR="0011467A" w:rsidRPr="00C020C2">
        <w:rPr>
          <w:rFonts w:asciiTheme="minorHAnsi" w:hAnsiTheme="minorHAnsi" w:cstheme="minorHAnsi"/>
          <w:szCs w:val="24"/>
        </w:rPr>
        <w:t xml:space="preserve">ITU’s activities in relation to Resolution 130 (Rev. Bucharest, 2022), ITU’s role as sole facilitator for WSIS Action Line C5, and other decisions by the membership on strengthening the role of ITU in building confidence and security in the use of ICTs. </w:t>
      </w:r>
      <w:r w:rsidR="004C30C0" w:rsidRPr="00C020C2">
        <w:rPr>
          <w:rFonts w:asciiTheme="minorHAnsi" w:hAnsiTheme="minorHAnsi" w:cstheme="minorHAnsi"/>
          <w:szCs w:val="24"/>
        </w:rPr>
        <w:t xml:space="preserve">The </w:t>
      </w:r>
      <w:r w:rsidR="0011467A" w:rsidRPr="00C020C2">
        <w:rPr>
          <w:rFonts w:asciiTheme="minorHAnsi" w:hAnsiTheme="minorHAnsi" w:cstheme="minorHAnsi"/>
          <w:color w:val="000000"/>
          <w:szCs w:val="24"/>
        </w:rPr>
        <w:t>shows the complementary nature of</w:t>
      </w:r>
      <w:r w:rsidR="0011467A" w:rsidRPr="00C020C2">
        <w:rPr>
          <w:rFonts w:asciiTheme="minorHAnsi" w:hAnsiTheme="minorHAnsi" w:cstheme="minorHAnsi"/>
          <w:szCs w:val="24"/>
        </w:rPr>
        <w:t xml:space="preserve"> ITU work programmes</w:t>
      </w:r>
      <w:r w:rsidR="003B5B03" w:rsidRPr="00C020C2">
        <w:rPr>
          <w:rFonts w:asciiTheme="minorHAnsi" w:hAnsiTheme="minorHAnsi" w:cstheme="minorHAnsi"/>
          <w:szCs w:val="24"/>
        </w:rPr>
        <w:t>,</w:t>
      </w:r>
      <w:r w:rsidR="0011467A" w:rsidRPr="00C020C2">
        <w:rPr>
          <w:rFonts w:asciiTheme="minorHAnsi" w:hAnsiTheme="minorHAnsi" w:cstheme="minorHAnsi"/>
          <w:szCs w:val="24"/>
        </w:rPr>
        <w:t xml:space="preserve"> </w:t>
      </w:r>
      <w:r w:rsidR="004C30C0" w:rsidRPr="00C020C2">
        <w:rPr>
          <w:rFonts w:asciiTheme="minorHAnsi" w:hAnsiTheme="minorHAnsi" w:cstheme="minorHAnsi"/>
          <w:szCs w:val="24"/>
        </w:rPr>
        <w:t>including</w:t>
      </w:r>
      <w:r w:rsidR="0011467A" w:rsidRPr="00C020C2">
        <w:rPr>
          <w:rFonts w:asciiTheme="minorHAnsi" w:hAnsiTheme="minorHAnsi" w:cstheme="minorHAnsi"/>
          <w:szCs w:val="24"/>
        </w:rPr>
        <w:t xml:space="preserve"> BDT, TSB, and BR activities in this domain.</w:t>
      </w:r>
    </w:p>
    <w:p w14:paraId="764C297E" w14:textId="53F1D7A8" w:rsidR="004C30C0" w:rsidRPr="00C020C2" w:rsidRDefault="004C30C0" w:rsidP="002A7955">
      <w:pPr>
        <w:pStyle w:val="enumlev1"/>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szCs w:val="24"/>
        </w:rPr>
      </w:pPr>
      <w:r w:rsidRPr="00C020C2">
        <w:rPr>
          <w:rFonts w:asciiTheme="minorHAnsi" w:hAnsiTheme="minorHAnsi" w:cstheme="minorHAnsi"/>
          <w:szCs w:val="24"/>
        </w:rPr>
        <w:t xml:space="preserve">The report contains information related </w:t>
      </w:r>
      <w:r w:rsidR="00105AD6" w:rsidRPr="00C020C2">
        <w:rPr>
          <w:rFonts w:asciiTheme="minorHAnsi" w:hAnsiTheme="minorHAnsi" w:cstheme="minorHAnsi"/>
          <w:szCs w:val="24"/>
        </w:rPr>
        <w:t xml:space="preserve">to </w:t>
      </w:r>
      <w:r w:rsidRPr="00C020C2">
        <w:rPr>
          <w:rFonts w:asciiTheme="minorHAnsi" w:hAnsiTheme="minorHAnsi" w:cstheme="minorHAnsi"/>
          <w:szCs w:val="24"/>
        </w:rPr>
        <w:t>technical standardization work bring carried out in the various study groups, capacity building efforts including assistance with Computer Incident Response Teams, cyber drills and various other training activities, and multistakeholder partnerships.</w:t>
      </w:r>
    </w:p>
    <w:p w14:paraId="1A5541FC" w14:textId="00A9023A" w:rsidR="0011467A" w:rsidRPr="00C020C2" w:rsidRDefault="002B38AA" w:rsidP="00EE21B1">
      <w:pPr>
        <w:pStyle w:val="Heading2"/>
        <w:spacing w:before="240" w:after="120"/>
        <w:rPr>
          <w:lang w:eastAsia="en-GB"/>
        </w:rPr>
      </w:pPr>
      <w:bookmarkStart w:id="49" w:name="_Toc37860461"/>
      <w:bookmarkStart w:id="50" w:name="_Toc37861222"/>
      <w:bookmarkStart w:id="51" w:name="_Toc37943345"/>
      <w:bookmarkStart w:id="52" w:name="Section_1_7"/>
      <w:bookmarkStart w:id="53" w:name="_Toc137211295"/>
      <w:r w:rsidRPr="00C020C2">
        <w:rPr>
          <w:lang w:eastAsia="en-GB"/>
        </w:rPr>
        <w:t>4</w:t>
      </w:r>
      <w:r w:rsidR="0011467A" w:rsidRPr="00C020C2">
        <w:rPr>
          <w:lang w:eastAsia="en-GB"/>
        </w:rPr>
        <w:t>.</w:t>
      </w:r>
      <w:r w:rsidRPr="00C020C2">
        <w:rPr>
          <w:lang w:eastAsia="en-GB"/>
        </w:rPr>
        <w:t>6</w:t>
      </w:r>
      <w:r w:rsidR="0011467A" w:rsidRPr="00C020C2">
        <w:rPr>
          <w:lang w:eastAsia="en-GB"/>
        </w:rPr>
        <w:tab/>
        <w:t>Digital inclusion</w:t>
      </w:r>
      <w:bookmarkEnd w:id="49"/>
      <w:bookmarkEnd w:id="50"/>
      <w:bookmarkEnd w:id="51"/>
      <w:r w:rsidR="0011467A" w:rsidRPr="00C020C2">
        <w:rPr>
          <w:lang w:eastAsia="en-GB"/>
        </w:rPr>
        <w:t xml:space="preserve"> – </w:t>
      </w:r>
      <w:r w:rsidR="000B2C4F" w:rsidRPr="00C020C2">
        <w:rPr>
          <w:lang w:eastAsia="en-GB"/>
        </w:rPr>
        <w:t>e</w:t>
      </w:r>
      <w:r w:rsidR="0011467A" w:rsidRPr="00C020C2">
        <w:rPr>
          <w:lang w:eastAsia="en-GB"/>
        </w:rPr>
        <w:t>nsuring inclusive, equal access and use of ICTs for all</w:t>
      </w:r>
      <w:bookmarkEnd w:id="52"/>
      <w:bookmarkEnd w:id="53"/>
    </w:p>
    <w:p w14:paraId="53D11200" w14:textId="77777777" w:rsidR="0011467A" w:rsidRPr="00C020C2" w:rsidRDefault="59700F11" w:rsidP="002A7955">
      <w:pPr>
        <w:spacing w:after="120"/>
        <w:jc w:val="both"/>
        <w:rPr>
          <w:b/>
          <w:bCs/>
        </w:rPr>
      </w:pPr>
      <w:r w:rsidRPr="00C020C2">
        <w:rPr>
          <w:b/>
          <w:bCs/>
        </w:rPr>
        <w:t>Gender</w:t>
      </w:r>
    </w:p>
    <w:p w14:paraId="6DD28889" w14:textId="06563673" w:rsidR="0011467A" w:rsidRPr="00C020C2" w:rsidRDefault="00785114" w:rsidP="002A7955">
      <w:pPr>
        <w:spacing w:after="120"/>
        <w:jc w:val="both"/>
        <w:rPr>
          <w:rFonts w:eastAsia="Calibri"/>
        </w:rPr>
      </w:pPr>
      <w:r w:rsidRPr="00C020C2">
        <w:rPr>
          <w:rFonts w:eastAsia="Calibri"/>
        </w:rPr>
        <w:t xml:space="preserve">Report </w:t>
      </w:r>
      <w:hyperlink r:id="rId80" w:history="1">
        <w:r w:rsidRPr="00C020C2">
          <w:rPr>
            <w:rStyle w:val="Hyperlink"/>
            <w:rFonts w:eastAsia="Calibri"/>
          </w:rPr>
          <w:t>C23/</w:t>
        </w:r>
        <w:r w:rsidR="00F46FDB" w:rsidRPr="00C020C2">
          <w:rPr>
            <w:rStyle w:val="Hyperlink"/>
            <w:rFonts w:eastAsia="Calibri"/>
          </w:rPr>
          <w:t>6</w:t>
        </w:r>
      </w:hyperlink>
      <w:r w:rsidRPr="00C020C2">
        <w:rPr>
          <w:rFonts w:eastAsia="Calibri"/>
        </w:rPr>
        <w:t xml:space="preserve"> provides fu</w:t>
      </w:r>
      <w:r w:rsidR="00A027C5" w:rsidRPr="00C020C2">
        <w:rPr>
          <w:rFonts w:eastAsia="Calibri"/>
        </w:rPr>
        <w:t>r</w:t>
      </w:r>
      <w:r w:rsidRPr="00C020C2">
        <w:rPr>
          <w:rFonts w:eastAsia="Calibri"/>
        </w:rPr>
        <w:t>th</w:t>
      </w:r>
      <w:r w:rsidR="00A027C5" w:rsidRPr="00C020C2">
        <w:rPr>
          <w:rFonts w:eastAsia="Calibri"/>
        </w:rPr>
        <w:t>er</w:t>
      </w:r>
      <w:r w:rsidRPr="00C020C2">
        <w:rPr>
          <w:rFonts w:eastAsia="Calibri"/>
        </w:rPr>
        <w:t xml:space="preserve"> details on gender activities.  </w:t>
      </w:r>
    </w:p>
    <w:p w14:paraId="0DDD5AB6" w14:textId="738E8455" w:rsidR="0011467A" w:rsidRPr="00C020C2" w:rsidRDefault="0011467A" w:rsidP="002A7955">
      <w:pPr>
        <w:spacing w:after="120"/>
        <w:jc w:val="both"/>
        <w:rPr>
          <w:rFonts w:eastAsia="Calibri"/>
        </w:rPr>
      </w:pPr>
      <w:r w:rsidRPr="00C020C2">
        <w:rPr>
          <w:rFonts w:eastAsia="Calibri"/>
        </w:rPr>
        <w:t>ITU is working to close the digital gender gap and the gender gap in ICT professions. ITU is encouraging girls and young women to take up ICT careers and studies, as well as providing digital technology training and mentoring</w:t>
      </w:r>
      <w:r w:rsidR="00045AD8" w:rsidRPr="00C020C2">
        <w:rPr>
          <w:rFonts w:eastAsia="Calibri"/>
        </w:rPr>
        <w:t xml:space="preserve"> t</w:t>
      </w:r>
      <w:r w:rsidRPr="00C020C2">
        <w:rPr>
          <w:rFonts w:eastAsia="Calibri"/>
        </w:rPr>
        <w:t xml:space="preserve">hrough initiatives such as </w:t>
      </w:r>
      <w:hyperlink r:id="rId81">
        <w:r w:rsidRPr="00C020C2">
          <w:rPr>
            <w:rStyle w:val="Hyperlink"/>
            <w:rFonts w:eastAsia="Calibri"/>
          </w:rPr>
          <w:t>International Girls in ICT Day</w:t>
        </w:r>
      </w:hyperlink>
      <w:r w:rsidRPr="00C020C2">
        <w:rPr>
          <w:rFonts w:eastAsia="Calibri"/>
        </w:rPr>
        <w:t xml:space="preserve">, African and Americas Girls Can Code Initiatives, </w:t>
      </w:r>
      <w:hyperlink r:id="rId82">
        <w:r w:rsidRPr="00C020C2">
          <w:rPr>
            <w:rStyle w:val="Hyperlink"/>
            <w:rFonts w:eastAsia="Calibri"/>
          </w:rPr>
          <w:t>EQUALS</w:t>
        </w:r>
      </w:hyperlink>
      <w:r w:rsidRPr="00C020C2">
        <w:rPr>
          <w:rFonts w:eastAsia="Calibri"/>
        </w:rPr>
        <w:t xml:space="preserve">, </w:t>
      </w:r>
      <w:hyperlink r:id="rId83">
        <w:r w:rsidRPr="00C020C2">
          <w:rPr>
            <w:rStyle w:val="Hyperlink"/>
            <w:rFonts w:eastAsia="Calibri"/>
          </w:rPr>
          <w:t>Women in Cyber</w:t>
        </w:r>
      </w:hyperlink>
      <w:r w:rsidRPr="00C020C2">
        <w:rPr>
          <w:rFonts w:eastAsia="Calibri"/>
        </w:rPr>
        <w:t xml:space="preserve"> and </w:t>
      </w:r>
      <w:hyperlink r:id="rId84">
        <w:r w:rsidRPr="00C020C2">
          <w:rPr>
            <w:rStyle w:val="Hyperlink"/>
            <w:rFonts w:eastAsia="Calibri"/>
          </w:rPr>
          <w:t>Talking Tech</w:t>
        </w:r>
      </w:hyperlink>
      <w:r w:rsidR="00045AD8" w:rsidRPr="00C020C2">
        <w:rPr>
          <w:rFonts w:eastAsia="Calibri"/>
        </w:rPr>
        <w:t xml:space="preserve">. </w:t>
      </w:r>
    </w:p>
    <w:p w14:paraId="5DB7028D" w14:textId="095758CB" w:rsidR="0011467A" w:rsidRPr="00C020C2" w:rsidRDefault="01A5C713" w:rsidP="002A7955">
      <w:pPr>
        <w:spacing w:after="120"/>
        <w:jc w:val="both"/>
        <w:rPr>
          <w:rFonts w:eastAsia="Calibri"/>
        </w:rPr>
      </w:pPr>
      <w:r w:rsidRPr="00C020C2">
        <w:rPr>
          <w:rFonts w:eastAsia="Calibri"/>
        </w:rPr>
        <w:lastRenderedPageBreak/>
        <w:t xml:space="preserve">As of </w:t>
      </w:r>
      <w:r w:rsidR="59700F11" w:rsidRPr="00C020C2">
        <w:rPr>
          <w:rFonts w:eastAsia="Calibri"/>
        </w:rPr>
        <w:t>2022, 94 countries had adopted national digital agendas</w:t>
      </w:r>
      <w:r w:rsidRPr="00C020C2">
        <w:rPr>
          <w:rFonts w:eastAsia="Calibri"/>
        </w:rPr>
        <w:t>. H</w:t>
      </w:r>
      <w:r w:rsidR="59700F11" w:rsidRPr="00C020C2">
        <w:rPr>
          <w:rFonts w:eastAsia="Calibri"/>
        </w:rPr>
        <w:t>owever only 21 of them have</w:t>
      </w:r>
      <w:r w:rsidR="5743AFDA" w:rsidRPr="00C020C2">
        <w:rPr>
          <w:rFonts w:eastAsia="Calibri"/>
        </w:rPr>
        <w:t xml:space="preserve"> </w:t>
      </w:r>
      <w:r w:rsidR="59700F11" w:rsidRPr="00C020C2">
        <w:rPr>
          <w:rFonts w:eastAsia="Calibri"/>
        </w:rPr>
        <w:t xml:space="preserve">a specific focus on women and girls. ITU’s </w:t>
      </w:r>
      <w:hyperlink r:id="rId85">
        <w:r w:rsidR="59700F11" w:rsidRPr="00C020C2">
          <w:rPr>
            <w:rStyle w:val="Hyperlink"/>
            <w:rFonts w:eastAsia="Calibri"/>
          </w:rPr>
          <w:t>Handbook on mainstreaming gender in digital policies</w:t>
        </w:r>
      </w:hyperlink>
      <w:r w:rsidR="59700F11" w:rsidRPr="00C020C2">
        <w:rPr>
          <w:rFonts w:eastAsia="Calibri"/>
        </w:rPr>
        <w:t xml:space="preserve"> is designed to support the inclusion of gender equality in </w:t>
      </w:r>
      <w:r w:rsidR="26A2206C" w:rsidRPr="00C020C2">
        <w:rPr>
          <w:rFonts w:eastAsia="Calibri"/>
        </w:rPr>
        <w:t>policy-</w:t>
      </w:r>
      <w:r w:rsidR="59700F11" w:rsidRPr="00C020C2">
        <w:rPr>
          <w:rFonts w:eastAsia="Calibri"/>
        </w:rPr>
        <w:t>making.</w:t>
      </w:r>
    </w:p>
    <w:p w14:paraId="325AE6E6" w14:textId="70FED1B8" w:rsidR="0011467A" w:rsidRPr="00C020C2" w:rsidRDefault="0011467A" w:rsidP="002A7955">
      <w:pPr>
        <w:spacing w:after="120"/>
        <w:jc w:val="both"/>
        <w:rPr>
          <w:rFonts w:eastAsia="Calibri"/>
        </w:rPr>
      </w:pPr>
      <w:r w:rsidRPr="00C020C2">
        <w:rPr>
          <w:rFonts w:eastAsia="Calibri"/>
        </w:rPr>
        <w:t>ITU’s “Network of Women” (NOW) communities increase visibility and representation of women in ITU’s work and decision-making by providing a supportive environment for women delegates. There are networks for each sector</w:t>
      </w:r>
      <w:r w:rsidR="00BB4368" w:rsidRPr="00C020C2">
        <w:rPr>
          <w:rFonts w:eastAsia="Calibri"/>
        </w:rPr>
        <w:t xml:space="preserve">: </w:t>
      </w:r>
      <w:hyperlink r:id="rId86">
        <w:r w:rsidRPr="00C020C2">
          <w:rPr>
            <w:rStyle w:val="Hyperlink"/>
            <w:rFonts w:eastAsia="Calibri"/>
          </w:rPr>
          <w:t>ITU-R</w:t>
        </w:r>
      </w:hyperlink>
      <w:r w:rsidRPr="00C020C2">
        <w:rPr>
          <w:rFonts w:eastAsia="Calibri"/>
        </w:rPr>
        <w:t xml:space="preserve">, ITU-T (formally WISE), and </w:t>
      </w:r>
      <w:hyperlink r:id="rId87">
        <w:r w:rsidRPr="00C020C2">
          <w:rPr>
            <w:rStyle w:val="Hyperlink"/>
            <w:rFonts w:eastAsia="Calibri"/>
          </w:rPr>
          <w:t>ITU-D</w:t>
        </w:r>
      </w:hyperlink>
      <w:r w:rsidR="00045AD8" w:rsidRPr="00C020C2">
        <w:rPr>
          <w:rFonts w:eastAsia="Calibri"/>
        </w:rPr>
        <w:t xml:space="preserve">. </w:t>
      </w:r>
      <w:r w:rsidRPr="00C020C2">
        <w:rPr>
          <w:rFonts w:eastAsia="Calibri"/>
        </w:rPr>
        <w:t>A targeted gender-responsive PP-22 campaign to increase the participation of women saw 33</w:t>
      </w:r>
      <w:r w:rsidR="00045AD8" w:rsidRPr="00C020C2">
        <w:rPr>
          <w:rFonts w:eastAsia="Calibri"/>
        </w:rPr>
        <w:t xml:space="preserve"> per cent </w:t>
      </w:r>
      <w:r w:rsidRPr="00C020C2">
        <w:rPr>
          <w:rFonts w:eastAsia="Calibri"/>
        </w:rPr>
        <w:t>women compared to 29</w:t>
      </w:r>
      <w:r w:rsidR="00C65681" w:rsidRPr="00C020C2">
        <w:rPr>
          <w:rFonts w:eastAsia="Calibri"/>
        </w:rPr>
        <w:t xml:space="preserve"> per cent</w:t>
      </w:r>
      <w:r w:rsidRPr="00C020C2">
        <w:rPr>
          <w:rFonts w:eastAsia="Calibri"/>
        </w:rPr>
        <w:t xml:space="preserve"> </w:t>
      </w:r>
      <w:r w:rsidR="001A1E34" w:rsidRPr="00C020C2">
        <w:rPr>
          <w:rFonts w:eastAsia="Calibri"/>
        </w:rPr>
        <w:t xml:space="preserve">as of </w:t>
      </w:r>
      <w:r w:rsidRPr="00C020C2">
        <w:rPr>
          <w:rFonts w:eastAsia="Calibri"/>
        </w:rPr>
        <w:t>PP-18. ITU-T is seeking input on ways to accelerate gender balance in all ITU-T’s work</w:t>
      </w:r>
      <w:r w:rsidR="001A1E34" w:rsidRPr="00C020C2">
        <w:rPr>
          <w:rFonts w:eastAsia="Calibri"/>
        </w:rPr>
        <w:t xml:space="preserve"> – and </w:t>
      </w:r>
      <w:r w:rsidRPr="00C020C2">
        <w:rPr>
          <w:rFonts w:eastAsia="Calibri"/>
        </w:rPr>
        <w:t>are encouraging and tracking participation in an online training to better incorporate gender in standards development.</w:t>
      </w:r>
    </w:p>
    <w:p w14:paraId="3CECE07D" w14:textId="26AA4C20" w:rsidR="0011467A" w:rsidRPr="00C020C2" w:rsidRDefault="59700F11" w:rsidP="002A7955">
      <w:pPr>
        <w:spacing w:after="120"/>
        <w:jc w:val="both"/>
        <w:rPr>
          <w:rFonts w:eastAsia="Calibri"/>
        </w:rPr>
      </w:pPr>
      <w:r w:rsidRPr="00C020C2">
        <w:rPr>
          <w:rFonts w:eastAsia="Calibri"/>
        </w:rPr>
        <w:t>ITU reports annually to the UN system-wide action plan for gender equality and mainstreaming (</w:t>
      </w:r>
      <w:hyperlink r:id="rId88">
        <w:r w:rsidRPr="00C020C2">
          <w:rPr>
            <w:rStyle w:val="Hyperlink"/>
            <w:rFonts w:eastAsia="Calibri"/>
          </w:rPr>
          <w:t>UN-SWAP</w:t>
        </w:r>
      </w:hyperlink>
      <w:r w:rsidRPr="00C020C2">
        <w:rPr>
          <w:rFonts w:eastAsia="Calibri"/>
        </w:rPr>
        <w:t xml:space="preserve">) based on 17 performance indicators. ITU’s </w:t>
      </w:r>
      <w:hyperlink r:id="rId89">
        <w:r w:rsidRPr="00C020C2">
          <w:rPr>
            <w:rStyle w:val="Hyperlink"/>
            <w:rFonts w:eastAsia="Calibri"/>
          </w:rPr>
          <w:t>2021 Report Card</w:t>
        </w:r>
      </w:hyperlink>
      <w:r w:rsidRPr="00C020C2">
        <w:rPr>
          <w:rFonts w:eastAsia="Calibri"/>
        </w:rPr>
        <w:t xml:space="preserve"> notes </w:t>
      </w:r>
      <w:r w:rsidR="7173FE77" w:rsidRPr="00C020C2">
        <w:rPr>
          <w:rFonts w:eastAsia="Calibri"/>
        </w:rPr>
        <w:t xml:space="preserve">that </w:t>
      </w:r>
      <w:r w:rsidRPr="00C020C2">
        <w:rPr>
          <w:rFonts w:eastAsia="Calibri"/>
        </w:rPr>
        <w:t xml:space="preserve">ITU met or exceeded requirements for only 11 out of the 17 indicators. </w:t>
      </w:r>
      <w:r w:rsidR="07F9DF1C" w:rsidRPr="00C020C2">
        <w:rPr>
          <w:rFonts w:eastAsia="Calibri"/>
        </w:rPr>
        <w:t xml:space="preserve">Data for </w:t>
      </w:r>
      <w:r w:rsidR="3FE52FEF" w:rsidRPr="00C020C2">
        <w:rPr>
          <w:rFonts w:eastAsia="Calibri"/>
        </w:rPr>
        <w:t>2022</w:t>
      </w:r>
      <w:r w:rsidR="696F74EF" w:rsidRPr="00C020C2">
        <w:rPr>
          <w:rFonts w:eastAsia="Calibri"/>
        </w:rPr>
        <w:t xml:space="preserve"> </w:t>
      </w:r>
      <w:r w:rsidR="07F9DF1C" w:rsidRPr="00C020C2">
        <w:rPr>
          <w:rFonts w:eastAsia="Calibri"/>
        </w:rPr>
        <w:t>was submitted in February</w:t>
      </w:r>
      <w:r w:rsidR="464DA5F3" w:rsidRPr="00C020C2">
        <w:rPr>
          <w:rFonts w:eastAsia="Calibri"/>
        </w:rPr>
        <w:t>, meeting only 7 of the indicators</w:t>
      </w:r>
      <w:r w:rsidR="0700C6D3" w:rsidRPr="00C020C2">
        <w:rPr>
          <w:rFonts w:eastAsia="Calibri"/>
        </w:rPr>
        <w:t xml:space="preserve">. The 2022 report card is expected </w:t>
      </w:r>
      <w:r w:rsidR="696F74EF" w:rsidRPr="00C020C2">
        <w:rPr>
          <w:rFonts w:eastAsia="Calibri"/>
        </w:rPr>
        <w:t>later this year.</w:t>
      </w:r>
    </w:p>
    <w:p w14:paraId="1A57D471" w14:textId="78F7762D" w:rsidR="00EE21B1" w:rsidRPr="00C020C2" w:rsidRDefault="59700F11" w:rsidP="002A7955">
      <w:pPr>
        <w:spacing w:after="120"/>
        <w:jc w:val="both"/>
        <w:rPr>
          <w:rFonts w:eastAsia="Calibri"/>
        </w:rPr>
      </w:pPr>
      <w:r w:rsidRPr="00C020C2">
        <w:rPr>
          <w:rFonts w:eastAsia="Calibri"/>
        </w:rPr>
        <w:t xml:space="preserve">ITU’s first woman Secretary-General was elected at PP-22 and took office </w:t>
      </w:r>
      <w:r w:rsidR="3CBB3D81" w:rsidRPr="00C020C2">
        <w:rPr>
          <w:rFonts w:eastAsia="Calibri"/>
        </w:rPr>
        <w:t xml:space="preserve">in </w:t>
      </w:r>
      <w:r w:rsidRPr="00C020C2">
        <w:rPr>
          <w:rFonts w:eastAsia="Calibri"/>
        </w:rPr>
        <w:t xml:space="preserve">January 2023. </w:t>
      </w:r>
      <w:r w:rsidR="7B48E56A" w:rsidRPr="00C020C2">
        <w:rPr>
          <w:rFonts w:eastAsia="Calibri"/>
        </w:rPr>
        <w:t xml:space="preserve">As </w:t>
      </w:r>
      <w:r w:rsidRPr="00C020C2">
        <w:rPr>
          <w:rFonts w:eastAsia="Calibri"/>
        </w:rPr>
        <w:t>of the end of 2022, women occupy only 31</w:t>
      </w:r>
      <w:r w:rsidR="26A2206C" w:rsidRPr="00C020C2">
        <w:rPr>
          <w:rFonts w:eastAsia="Calibri"/>
        </w:rPr>
        <w:t xml:space="preserve"> per cent </w:t>
      </w:r>
      <w:r w:rsidRPr="00C020C2">
        <w:rPr>
          <w:rFonts w:eastAsia="Calibri"/>
        </w:rPr>
        <w:t>of senior leadership posts (P5-D1-D2</w:t>
      </w:r>
      <w:r w:rsidR="7B48E56A" w:rsidRPr="00C020C2">
        <w:rPr>
          <w:rFonts w:eastAsia="Calibri"/>
        </w:rPr>
        <w:t xml:space="preserve">), representing </w:t>
      </w:r>
      <w:r w:rsidRPr="00C020C2">
        <w:rPr>
          <w:rFonts w:eastAsia="Calibri"/>
        </w:rPr>
        <w:t xml:space="preserve">only a nominal improvement </w:t>
      </w:r>
      <w:proofErr w:type="gramStart"/>
      <w:r w:rsidR="3CBB3D81" w:rsidRPr="00C020C2">
        <w:rPr>
          <w:rFonts w:eastAsia="Calibri"/>
        </w:rPr>
        <w:t xml:space="preserve">over </w:t>
      </w:r>
      <w:r w:rsidRPr="00C020C2">
        <w:rPr>
          <w:rFonts w:eastAsia="Calibri"/>
        </w:rPr>
        <w:t>recent years</w:t>
      </w:r>
      <w:proofErr w:type="gramEnd"/>
      <w:r w:rsidR="7B48E56A" w:rsidRPr="00C020C2">
        <w:rPr>
          <w:rFonts w:eastAsia="Calibri"/>
        </w:rPr>
        <w:t>.</w:t>
      </w:r>
      <w:r w:rsidRPr="00C020C2">
        <w:rPr>
          <w:rFonts w:eastAsia="Calibri"/>
        </w:rPr>
        <w:t xml:space="preserve"> </w:t>
      </w:r>
      <w:r w:rsidR="3E1D4010" w:rsidRPr="00C020C2">
        <w:rPr>
          <w:rFonts w:eastAsia="Calibri"/>
        </w:rPr>
        <w:t xml:space="preserve">More </w:t>
      </w:r>
      <w:r w:rsidRPr="00C020C2">
        <w:rPr>
          <w:rFonts w:eastAsia="Calibri"/>
        </w:rPr>
        <w:t xml:space="preserve">effort is needed to close the </w:t>
      </w:r>
      <w:hyperlink r:id="rId90">
        <w:r w:rsidRPr="00C020C2">
          <w:rPr>
            <w:rStyle w:val="Hyperlink"/>
            <w:rFonts w:eastAsia="Calibri"/>
          </w:rPr>
          <w:t>gender gap</w:t>
        </w:r>
      </w:hyperlink>
      <w:r w:rsidRPr="00C020C2">
        <w:rPr>
          <w:rFonts w:eastAsia="Calibri"/>
        </w:rPr>
        <w:t xml:space="preserve">. </w:t>
      </w:r>
      <w:r w:rsidR="6FC89432" w:rsidRPr="00C020C2">
        <w:rPr>
          <w:rFonts w:eastAsia="Calibri"/>
        </w:rPr>
        <w:t xml:space="preserve">Such efforts include </w:t>
      </w:r>
      <w:r w:rsidR="24C9EDF0" w:rsidRPr="00C020C2">
        <w:rPr>
          <w:rFonts w:eastAsia="Calibri"/>
        </w:rPr>
        <w:t>a</w:t>
      </w:r>
      <w:r w:rsidRPr="00C020C2">
        <w:rPr>
          <w:rFonts w:eastAsia="Calibri"/>
        </w:rPr>
        <w:t xml:space="preserve"> new Parental Leave policy, introduced to help attract and retain top talent, extends 16 weeks leave to parents regardless of gender plus an additional 10 weeks for birthing mothers.</w:t>
      </w:r>
    </w:p>
    <w:p w14:paraId="144FD557" w14:textId="65DD4AEA" w:rsidR="0011467A" w:rsidRPr="00C020C2" w:rsidRDefault="006C1E50" w:rsidP="002A7955">
      <w:pPr>
        <w:spacing w:after="120"/>
        <w:jc w:val="both"/>
        <w:rPr>
          <w:rFonts w:eastAsia="Calibri"/>
          <w:b/>
          <w:bCs/>
        </w:rPr>
      </w:pPr>
      <w:r w:rsidRPr="00C020C2">
        <w:rPr>
          <w:rFonts w:eastAsia="Calibri"/>
        </w:rPr>
        <w:t xml:space="preserve">Further information </w:t>
      </w:r>
      <w:r w:rsidR="00585BC5" w:rsidRPr="00C020C2">
        <w:rPr>
          <w:rFonts w:eastAsia="Calibri"/>
        </w:rPr>
        <w:t xml:space="preserve">on </w:t>
      </w:r>
      <w:hyperlink r:id="rId91" w:history="1">
        <w:r w:rsidR="00585BC5" w:rsidRPr="00C020C2">
          <w:rPr>
            <w:rStyle w:val="Hyperlink"/>
            <w:rFonts w:eastAsia="Calibri"/>
          </w:rPr>
          <w:t>www.itu.int/gender</w:t>
        </w:r>
      </w:hyperlink>
      <w:r w:rsidR="00585BC5" w:rsidRPr="00C020C2">
        <w:rPr>
          <w:rFonts w:eastAsia="Calibri"/>
        </w:rPr>
        <w:t xml:space="preserve"> and </w:t>
      </w:r>
      <w:hyperlink r:id="rId92" w:history="1">
        <w:r w:rsidR="00585BC5" w:rsidRPr="00C020C2">
          <w:rPr>
            <w:rStyle w:val="Hyperlink"/>
            <w:rFonts w:eastAsia="Calibri"/>
          </w:rPr>
          <w:t>www.itu.int/genderdashboard</w:t>
        </w:r>
      </w:hyperlink>
      <w:r w:rsidR="00585BC5" w:rsidRPr="00C020C2">
        <w:rPr>
          <w:rFonts w:eastAsia="Calibri"/>
        </w:rPr>
        <w:t>.</w:t>
      </w:r>
      <w:r w:rsidR="00585BC5" w:rsidRPr="00C020C2">
        <w:rPr>
          <w:rFonts w:eastAsia="Calibri"/>
        </w:rPr>
        <w:br/>
      </w:r>
      <w:r w:rsidR="0011467A" w:rsidRPr="00C020C2">
        <w:rPr>
          <w:rFonts w:eastAsia="Calibri"/>
          <w:b/>
          <w:bCs/>
        </w:rPr>
        <w:t>Youth</w:t>
      </w:r>
    </w:p>
    <w:p w14:paraId="1278480A" w14:textId="5A819862" w:rsidR="0011467A" w:rsidRPr="00C020C2" w:rsidRDefault="0011467A" w:rsidP="002A7955">
      <w:pPr>
        <w:spacing w:after="120"/>
        <w:jc w:val="both"/>
        <w:rPr>
          <w:rFonts w:eastAsia="Calibri"/>
          <w:b/>
          <w:bCs/>
        </w:rPr>
      </w:pPr>
      <w:r w:rsidRPr="00C020C2">
        <w:rPr>
          <w:rFonts w:eastAsia="Calibri"/>
          <w:color w:val="242424"/>
        </w:rPr>
        <w:t xml:space="preserve">2022 was </w:t>
      </w:r>
      <w:r w:rsidR="00591D6C" w:rsidRPr="00C020C2">
        <w:rPr>
          <w:rFonts w:eastAsia="Calibri"/>
          <w:color w:val="242424"/>
        </w:rPr>
        <w:t xml:space="preserve">a </w:t>
      </w:r>
      <w:r w:rsidRPr="00C020C2">
        <w:rPr>
          <w:rFonts w:eastAsia="Calibri"/>
          <w:color w:val="242424"/>
        </w:rPr>
        <w:t xml:space="preserve">pivotal year for </w:t>
      </w:r>
      <w:hyperlink r:id="rId93">
        <w:r w:rsidRPr="00C020C2">
          <w:rPr>
            <w:rStyle w:val="Hyperlink"/>
            <w:rFonts w:eastAsia="Calibri"/>
          </w:rPr>
          <w:t>Generation Connect</w:t>
        </w:r>
      </w:hyperlink>
      <w:r w:rsidRPr="00C020C2">
        <w:rPr>
          <w:rFonts w:eastAsia="Calibri"/>
          <w:color w:val="242424"/>
        </w:rPr>
        <w:t xml:space="preserve"> – the overarching initiative of the ITU Youth Strategy</w:t>
      </w:r>
      <w:r w:rsidR="004351DB" w:rsidRPr="00C020C2">
        <w:rPr>
          <w:rFonts w:eastAsia="Calibri"/>
          <w:color w:val="242424"/>
        </w:rPr>
        <w:t xml:space="preserve"> that aims to</w:t>
      </w:r>
      <w:r w:rsidRPr="00C020C2">
        <w:rPr>
          <w:rFonts w:eastAsia="Calibri"/>
          <w:color w:val="242424"/>
        </w:rPr>
        <w:t xml:space="preserve"> amplify youth voices in the digital development dialogue </w:t>
      </w:r>
      <w:r w:rsidR="003B3C6E" w:rsidRPr="00C020C2">
        <w:rPr>
          <w:rFonts w:eastAsia="Calibri"/>
          <w:color w:val="242424"/>
        </w:rPr>
        <w:t xml:space="preserve">– </w:t>
      </w:r>
      <w:r w:rsidR="004351DB" w:rsidRPr="00C020C2">
        <w:rPr>
          <w:rFonts w:eastAsia="Calibri"/>
          <w:color w:val="242424"/>
        </w:rPr>
        <w:t xml:space="preserve">mandated through updated </w:t>
      </w:r>
      <w:r w:rsidRPr="00C020C2">
        <w:rPr>
          <w:rFonts w:eastAsia="Calibri"/>
          <w:color w:val="242424"/>
        </w:rPr>
        <w:t xml:space="preserve">WTDC Resolution 76 (Kigali, 2022) and PP Resolution 198 (Bucharest, 2022). </w:t>
      </w:r>
    </w:p>
    <w:p w14:paraId="3D058936" w14:textId="573DD12D" w:rsidR="0011467A" w:rsidRPr="00C020C2" w:rsidRDefault="004351DB" w:rsidP="002A7955">
      <w:pPr>
        <w:spacing w:after="120"/>
        <w:jc w:val="both"/>
      </w:pPr>
      <w:r w:rsidRPr="00C020C2">
        <w:rPr>
          <w:rFonts w:eastAsia="Calibri"/>
          <w:color w:val="242424"/>
        </w:rPr>
        <w:t>Key activities include</w:t>
      </w:r>
      <w:r w:rsidR="00F97CC3" w:rsidRPr="00C020C2">
        <w:rPr>
          <w:rFonts w:eastAsia="Calibri"/>
          <w:color w:val="242424"/>
        </w:rPr>
        <w:t>d</w:t>
      </w:r>
      <w:r w:rsidRPr="00C020C2">
        <w:rPr>
          <w:rFonts w:eastAsia="Calibri"/>
          <w:color w:val="242424"/>
        </w:rPr>
        <w:t xml:space="preserve">: </w:t>
      </w:r>
      <w:r w:rsidR="0011467A" w:rsidRPr="00C020C2">
        <w:rPr>
          <w:rFonts w:eastAsia="Calibri"/>
          <w:color w:val="242424"/>
        </w:rPr>
        <w:t xml:space="preserve">the inaugural </w:t>
      </w:r>
      <w:hyperlink r:id="rId94" w:history="1">
        <w:r w:rsidR="0011467A" w:rsidRPr="00C020C2">
          <w:rPr>
            <w:rStyle w:val="Hyperlink"/>
            <w:rFonts w:eastAsia="Calibri"/>
          </w:rPr>
          <w:t>Generation Connect Global Summit</w:t>
        </w:r>
      </w:hyperlink>
      <w:r w:rsidR="0011467A" w:rsidRPr="00C020C2">
        <w:rPr>
          <w:rFonts w:eastAsia="Calibri"/>
          <w:color w:val="242424"/>
        </w:rPr>
        <w:t xml:space="preserve"> in Kigali, Rwanda</w:t>
      </w:r>
      <w:r w:rsidRPr="00C020C2">
        <w:rPr>
          <w:rFonts w:eastAsia="Calibri"/>
          <w:color w:val="242424"/>
        </w:rPr>
        <w:t xml:space="preserve">; participation of </w:t>
      </w:r>
      <w:r w:rsidR="0011467A" w:rsidRPr="00C020C2">
        <w:rPr>
          <w:rFonts w:eastAsia="Calibri"/>
        </w:rPr>
        <w:t xml:space="preserve">Generation Connect Youth Envoys in the </w:t>
      </w:r>
      <w:hyperlink r:id="rId95">
        <w:r w:rsidR="0011467A" w:rsidRPr="00C020C2">
          <w:rPr>
            <w:rStyle w:val="Hyperlink"/>
            <w:rFonts w:eastAsia="Calibri"/>
          </w:rPr>
          <w:t>ITU Plenipotentiary Conference</w:t>
        </w:r>
      </w:hyperlink>
      <w:r w:rsidR="0011467A" w:rsidRPr="00C020C2">
        <w:rPr>
          <w:rFonts w:eastAsia="Calibri"/>
        </w:rPr>
        <w:t xml:space="preserve"> in Romania [PP-22] in October 2022</w:t>
      </w:r>
      <w:r w:rsidR="003B3C6E" w:rsidRPr="00C020C2">
        <w:rPr>
          <w:rFonts w:eastAsia="Calibri"/>
        </w:rPr>
        <w:t xml:space="preserve">, involving </w:t>
      </w:r>
      <w:r w:rsidR="0011467A" w:rsidRPr="00C020C2">
        <w:rPr>
          <w:rFonts w:eastAsia="Calibri"/>
        </w:rPr>
        <w:t xml:space="preserve">plenary sessions, </w:t>
      </w:r>
      <w:r w:rsidRPr="00C020C2">
        <w:rPr>
          <w:rFonts w:eastAsia="Calibri"/>
        </w:rPr>
        <w:t xml:space="preserve">intergenerational dialogues </w:t>
      </w:r>
      <w:r w:rsidR="0011467A" w:rsidRPr="00C020C2">
        <w:rPr>
          <w:rFonts w:eastAsia="Calibri"/>
        </w:rPr>
        <w:t>and a Youth Engagement Workshop for PP-22 delegates</w:t>
      </w:r>
      <w:r w:rsidRPr="00C020C2">
        <w:rPr>
          <w:rFonts w:eastAsia="Calibri"/>
        </w:rPr>
        <w:t>;</w:t>
      </w:r>
      <w:r w:rsidRPr="00C020C2">
        <w:rPr>
          <w:rFonts w:eastAsia="Calibri"/>
          <w:color w:val="242424"/>
        </w:rPr>
        <w:t xml:space="preserve"> </w:t>
      </w:r>
      <w:r w:rsidR="0011467A" w:rsidRPr="00C020C2">
        <w:rPr>
          <w:rFonts w:eastAsia="Calibri"/>
          <w:color w:val="242424"/>
        </w:rPr>
        <w:t xml:space="preserve">participation in ITU-D Study Groups Meetings </w:t>
      </w:r>
      <w:r w:rsidR="003B3C6E" w:rsidRPr="00C020C2">
        <w:rPr>
          <w:rFonts w:eastAsia="Calibri"/>
          <w:color w:val="242424"/>
        </w:rPr>
        <w:t xml:space="preserve">involving </w:t>
      </w:r>
      <w:r w:rsidR="00F97CC3" w:rsidRPr="00C020C2">
        <w:rPr>
          <w:rFonts w:eastAsia="Calibri"/>
          <w:color w:val="242424"/>
        </w:rPr>
        <w:t xml:space="preserve">two </w:t>
      </w:r>
      <w:r w:rsidR="0011467A" w:rsidRPr="00C020C2">
        <w:rPr>
          <w:rFonts w:eastAsia="Calibri"/>
          <w:color w:val="242424"/>
        </w:rPr>
        <w:t xml:space="preserve">Intergenerational Dialogues on the side-lines of the meetings </w:t>
      </w:r>
      <w:r w:rsidR="003B3C6E" w:rsidRPr="00C020C2">
        <w:rPr>
          <w:rFonts w:eastAsia="Calibri"/>
          <w:color w:val="242424"/>
        </w:rPr>
        <w:t xml:space="preserve">– </w:t>
      </w:r>
      <w:hyperlink r:id="rId96" w:history="1">
        <w:r w:rsidR="00174489" w:rsidRPr="00C020C2">
          <w:rPr>
            <w:rStyle w:val="Hyperlink"/>
            <w:rFonts w:eastAsia="Calibri"/>
          </w:rPr>
          <w:t>“Youth Advancing Meaningful Connectivity”</w:t>
        </w:r>
      </w:hyperlink>
      <w:r w:rsidR="0011467A" w:rsidRPr="00C020C2">
        <w:rPr>
          <w:rFonts w:eastAsia="Calibri"/>
          <w:color w:val="242424"/>
        </w:rPr>
        <w:t xml:space="preserve"> and </w:t>
      </w:r>
      <w:hyperlink r:id="rId97" w:history="1">
        <w:r w:rsidR="00174489" w:rsidRPr="00C020C2">
          <w:rPr>
            <w:rStyle w:val="Hyperlink"/>
            <w:rFonts w:eastAsia="Calibri"/>
          </w:rPr>
          <w:t>“Youth Empowerment for Digital Transformation”</w:t>
        </w:r>
      </w:hyperlink>
      <w:r w:rsidR="00174489" w:rsidRPr="00C020C2">
        <w:rPr>
          <w:rFonts w:eastAsia="Calibri"/>
          <w:color w:val="242424"/>
        </w:rPr>
        <w:t>.</w:t>
      </w:r>
    </w:p>
    <w:p w14:paraId="44BE0F83" w14:textId="50A749A4" w:rsidR="0011467A" w:rsidRPr="00C020C2" w:rsidRDefault="0011467A" w:rsidP="002A7955">
      <w:pPr>
        <w:spacing w:after="120"/>
        <w:jc w:val="both"/>
        <w:rPr>
          <w:rFonts w:eastAsia="Calibri"/>
          <w:color w:val="242424"/>
        </w:rPr>
      </w:pPr>
      <w:r w:rsidRPr="00C020C2">
        <w:rPr>
          <w:rFonts w:eastAsia="Calibri"/>
        </w:rPr>
        <w:t>Generation Connect hosted several virtual sessions in external global events</w:t>
      </w:r>
      <w:r w:rsidR="00B13CB5" w:rsidRPr="00C020C2">
        <w:rPr>
          <w:rFonts w:eastAsia="Calibri"/>
        </w:rPr>
        <w:t xml:space="preserve"> in 2022</w:t>
      </w:r>
      <w:r w:rsidR="00F97CC3" w:rsidRPr="00C020C2">
        <w:rPr>
          <w:rFonts w:eastAsia="Calibri"/>
        </w:rPr>
        <w:t xml:space="preserve">: </w:t>
      </w:r>
      <w:hyperlink r:id="rId98">
        <w:r w:rsidRPr="00C020C2">
          <w:rPr>
            <w:rStyle w:val="Hyperlink"/>
            <w:rFonts w:eastAsia="Calibri"/>
          </w:rPr>
          <w:t>ECOSOC Youth Forum</w:t>
        </w:r>
      </w:hyperlink>
      <w:r w:rsidR="00F97CC3" w:rsidRPr="00C020C2">
        <w:rPr>
          <w:rFonts w:eastAsia="Calibri"/>
        </w:rPr>
        <w:t>;</w:t>
      </w:r>
      <w:r w:rsidRPr="00C020C2">
        <w:rPr>
          <w:rFonts w:eastAsia="Calibri"/>
        </w:rPr>
        <w:t xml:space="preserve"> the </w:t>
      </w:r>
      <w:hyperlink r:id="rId99">
        <w:r w:rsidRPr="00C020C2">
          <w:rPr>
            <w:rStyle w:val="Hyperlink"/>
            <w:rFonts w:eastAsia="Calibri"/>
          </w:rPr>
          <w:t>World Food Forum</w:t>
        </w:r>
      </w:hyperlink>
      <w:r w:rsidR="00B13CB5" w:rsidRPr="00C020C2">
        <w:rPr>
          <w:rFonts w:eastAsia="Calibri"/>
        </w:rPr>
        <w:t>;</w:t>
      </w:r>
      <w:r w:rsidRPr="00C020C2">
        <w:rPr>
          <w:rFonts w:eastAsia="Calibri"/>
        </w:rPr>
        <w:t xml:space="preserve"> </w:t>
      </w:r>
      <w:hyperlink r:id="rId100" w:history="1">
        <w:r w:rsidRPr="00C020C2">
          <w:rPr>
            <w:rStyle w:val="Hyperlink"/>
            <w:rFonts w:eastAsia="Calibri"/>
          </w:rPr>
          <w:t>YOUNGA</w:t>
        </w:r>
      </w:hyperlink>
      <w:r w:rsidR="00B13CB5" w:rsidRPr="00C020C2">
        <w:rPr>
          <w:rFonts w:eastAsia="Calibri"/>
        </w:rPr>
        <w:t>;</w:t>
      </w:r>
      <w:r w:rsidRPr="00C020C2">
        <w:rPr>
          <w:rFonts w:eastAsia="Calibri"/>
        </w:rPr>
        <w:t xml:space="preserve"> </w:t>
      </w:r>
      <w:proofErr w:type="spellStart"/>
      <w:r w:rsidRPr="00C020C2">
        <w:rPr>
          <w:rFonts w:eastAsia="Calibri"/>
        </w:rPr>
        <w:t>Misk</w:t>
      </w:r>
      <w:proofErr w:type="spellEnd"/>
      <w:r w:rsidRPr="00C020C2">
        <w:rPr>
          <w:rFonts w:eastAsia="Calibri"/>
        </w:rPr>
        <w:t xml:space="preserve"> Global Forum in Riyadh, Saudi Arabia</w:t>
      </w:r>
      <w:r w:rsidR="00B13CB5" w:rsidRPr="00C020C2">
        <w:rPr>
          <w:rFonts w:eastAsia="Calibri"/>
        </w:rPr>
        <w:t xml:space="preserve">. </w:t>
      </w:r>
      <w:r w:rsidRPr="00C020C2">
        <w:rPr>
          <w:rFonts w:eastAsia="Calibri"/>
          <w:color w:val="242424"/>
        </w:rPr>
        <w:t xml:space="preserve">So far in 2023, Generation Connect has participated and contributed to </w:t>
      </w:r>
      <w:hyperlink r:id="rId101">
        <w:r w:rsidRPr="00C020C2">
          <w:rPr>
            <w:rStyle w:val="Hyperlink"/>
            <w:rFonts w:eastAsia="Calibri"/>
          </w:rPr>
          <w:t>the LDC5 Youth Track in Doha, Qatar,</w:t>
        </w:r>
      </w:hyperlink>
      <w:r w:rsidRPr="00C020C2">
        <w:rPr>
          <w:rFonts w:eastAsia="Calibri"/>
          <w:color w:val="242424"/>
        </w:rPr>
        <w:t xml:space="preserve"> the </w:t>
      </w:r>
      <w:hyperlink r:id="rId102" w:history="1">
        <w:r w:rsidRPr="00C020C2">
          <w:rPr>
            <w:rStyle w:val="Hyperlink"/>
            <w:rFonts w:eastAsia="Calibri"/>
          </w:rPr>
          <w:t>World Mobile Congress</w:t>
        </w:r>
      </w:hyperlink>
      <w:r w:rsidRPr="00C020C2">
        <w:rPr>
          <w:rFonts w:eastAsia="Calibri"/>
          <w:color w:val="242424"/>
        </w:rPr>
        <w:t xml:space="preserve"> in Barcelona, Spain</w:t>
      </w:r>
      <w:r w:rsidR="00B13CB5" w:rsidRPr="00C020C2">
        <w:rPr>
          <w:rFonts w:eastAsia="Calibri"/>
          <w:color w:val="242424"/>
        </w:rPr>
        <w:t>;</w:t>
      </w:r>
      <w:r w:rsidRPr="00C020C2">
        <w:rPr>
          <w:rFonts w:eastAsia="Calibri"/>
          <w:color w:val="242424"/>
        </w:rPr>
        <w:t xml:space="preserve"> and </w:t>
      </w:r>
      <w:hyperlink r:id="rId103" w:history="1">
        <w:r w:rsidRPr="00C020C2">
          <w:rPr>
            <w:rStyle w:val="Hyperlink"/>
            <w:rFonts w:eastAsia="Calibri"/>
          </w:rPr>
          <w:t>CSW</w:t>
        </w:r>
        <w:r w:rsidR="00337104" w:rsidRPr="00C020C2">
          <w:rPr>
            <w:rStyle w:val="Hyperlink"/>
            <w:rFonts w:eastAsia="Calibri"/>
          </w:rPr>
          <w:t>-67</w:t>
        </w:r>
      </w:hyperlink>
      <w:r w:rsidRPr="00C020C2">
        <w:rPr>
          <w:rFonts w:eastAsia="Calibri"/>
          <w:color w:val="242424"/>
        </w:rPr>
        <w:t xml:space="preserve"> meetings in New York.</w:t>
      </w:r>
    </w:p>
    <w:p w14:paraId="01DEEFD6" w14:textId="0FEEBC93" w:rsidR="00306C91" w:rsidRPr="00C020C2" w:rsidRDefault="0011467A" w:rsidP="002A7955">
      <w:pPr>
        <w:spacing w:after="120"/>
        <w:jc w:val="both"/>
      </w:pPr>
      <w:r w:rsidRPr="00C020C2">
        <w:rPr>
          <w:rFonts w:eastAsia="Calibri"/>
        </w:rPr>
        <w:t xml:space="preserve">In 2022, Generation Connect </w:t>
      </w:r>
      <w:hyperlink r:id="rId104" w:history="1">
        <w:r w:rsidRPr="00C020C2">
          <w:rPr>
            <w:rStyle w:val="Hyperlink"/>
            <w:rFonts w:eastAsia="Calibri"/>
          </w:rPr>
          <w:t>Digital Learning Certificate</w:t>
        </w:r>
      </w:hyperlink>
      <w:r w:rsidRPr="00C020C2">
        <w:rPr>
          <w:rFonts w:eastAsia="Calibri"/>
        </w:rPr>
        <w:t xml:space="preserve"> was launched through ITU Academy</w:t>
      </w:r>
      <w:r w:rsidR="00337104" w:rsidRPr="00C020C2">
        <w:rPr>
          <w:rFonts w:eastAsia="Calibri"/>
        </w:rPr>
        <w:t xml:space="preserve"> (</w:t>
      </w:r>
      <w:r w:rsidR="003B3C6E" w:rsidRPr="00C020C2">
        <w:rPr>
          <w:rFonts w:eastAsia="Calibri"/>
        </w:rPr>
        <w:t xml:space="preserve">with </w:t>
      </w:r>
      <w:r w:rsidRPr="00C020C2">
        <w:rPr>
          <w:rFonts w:eastAsia="Calibri"/>
        </w:rPr>
        <w:t xml:space="preserve">80 young people </w:t>
      </w:r>
      <w:r w:rsidR="003B3C6E" w:rsidRPr="00C020C2">
        <w:rPr>
          <w:rFonts w:eastAsia="Calibri"/>
        </w:rPr>
        <w:t>enrolled</w:t>
      </w:r>
      <w:r w:rsidR="00337104" w:rsidRPr="00C020C2">
        <w:rPr>
          <w:rFonts w:eastAsia="Calibri"/>
        </w:rPr>
        <w:t>);</w:t>
      </w:r>
      <w:r w:rsidRPr="00C020C2">
        <w:rPr>
          <w:rFonts w:eastAsia="Calibri"/>
        </w:rPr>
        <w:t xml:space="preserve"> new episodes of the </w:t>
      </w:r>
      <w:hyperlink r:id="rId105">
        <w:r w:rsidRPr="00C020C2">
          <w:rPr>
            <w:rStyle w:val="Hyperlink"/>
            <w:rFonts w:eastAsia="Calibri"/>
          </w:rPr>
          <w:t>Generation Connect Podcast</w:t>
        </w:r>
      </w:hyperlink>
      <w:r w:rsidR="00337104" w:rsidRPr="00C020C2">
        <w:rPr>
          <w:rFonts w:eastAsia="Calibri"/>
        </w:rPr>
        <w:t xml:space="preserve"> were released;</w:t>
      </w:r>
      <w:r w:rsidRPr="00C020C2">
        <w:rPr>
          <w:rFonts w:eastAsia="Calibri"/>
        </w:rPr>
        <w:t xml:space="preserve"> </w:t>
      </w:r>
      <w:r w:rsidR="00337104" w:rsidRPr="00C020C2">
        <w:rPr>
          <w:rFonts w:eastAsia="Calibri"/>
        </w:rPr>
        <w:t xml:space="preserve">and </w:t>
      </w:r>
      <w:r w:rsidRPr="00C020C2">
        <w:rPr>
          <w:rFonts w:eastAsia="Calibri"/>
        </w:rPr>
        <w:t xml:space="preserve">ongoing collaboration with the </w:t>
      </w:r>
      <w:hyperlink r:id="rId106">
        <w:r w:rsidRPr="00C020C2">
          <w:rPr>
            <w:rStyle w:val="Hyperlink"/>
            <w:rFonts w:eastAsia="Calibri"/>
          </w:rPr>
          <w:t>Kofi Annan Changemakers</w:t>
        </w:r>
      </w:hyperlink>
      <w:r w:rsidRPr="00C020C2">
        <w:rPr>
          <w:rFonts w:eastAsia="Calibri"/>
          <w:color w:val="242424"/>
        </w:rPr>
        <w:t xml:space="preserve"> programme</w:t>
      </w:r>
      <w:r w:rsidR="00337104" w:rsidRPr="00C020C2">
        <w:rPr>
          <w:rFonts w:eastAsia="Calibri"/>
          <w:color w:val="242424"/>
        </w:rPr>
        <w:t xml:space="preserve"> was strengthened</w:t>
      </w:r>
      <w:r w:rsidRPr="00C020C2">
        <w:rPr>
          <w:rFonts w:eastAsia="Calibri"/>
          <w:color w:val="242424"/>
        </w:rPr>
        <w:t>.</w:t>
      </w:r>
    </w:p>
    <w:p w14:paraId="42453179" w14:textId="72C2900D" w:rsidR="0011467A" w:rsidRPr="00C020C2" w:rsidRDefault="00337104" w:rsidP="002A7955">
      <w:pPr>
        <w:spacing w:after="120"/>
        <w:jc w:val="both"/>
        <w:rPr>
          <w:rFonts w:eastAsia="Calibri"/>
          <w:szCs w:val="24"/>
        </w:rPr>
      </w:pPr>
      <w:r w:rsidRPr="00C020C2">
        <w:rPr>
          <w:rFonts w:eastAsia="Calibri"/>
        </w:rPr>
        <w:t xml:space="preserve">The six </w:t>
      </w:r>
      <w:r w:rsidR="0011467A" w:rsidRPr="00C020C2">
        <w:rPr>
          <w:rFonts w:eastAsia="Calibri"/>
        </w:rPr>
        <w:t xml:space="preserve">Generation Connect Youth Envoy Regional Groups have expanded </w:t>
      </w:r>
      <w:r w:rsidRPr="00C020C2">
        <w:rPr>
          <w:rFonts w:eastAsia="Calibri"/>
        </w:rPr>
        <w:t xml:space="preserve">with </w:t>
      </w:r>
      <w:r w:rsidR="0011467A" w:rsidRPr="00C020C2">
        <w:rPr>
          <w:rFonts w:eastAsia="Calibri"/>
        </w:rPr>
        <w:t xml:space="preserve">180 Youth envoys in 120 countries. Generation Connect Europe Youth Envoys hosted a </w:t>
      </w:r>
      <w:hyperlink r:id="rId107">
        <w:r w:rsidR="0011467A" w:rsidRPr="00C020C2">
          <w:rPr>
            <w:rStyle w:val="Hyperlink"/>
            <w:rFonts w:eastAsia="Calibri"/>
          </w:rPr>
          <w:t>GC-EUR Digital Jam</w:t>
        </w:r>
      </w:hyperlink>
      <w:r w:rsidR="0011467A" w:rsidRPr="00C020C2">
        <w:rPr>
          <w:rFonts w:eastAsia="Calibri"/>
        </w:rPr>
        <w:t xml:space="preserve"> and Generation Connect Asia &amp; Pacific Youth Envoys</w:t>
      </w:r>
      <w:r w:rsidR="0011467A" w:rsidRPr="00C020C2">
        <w:rPr>
          <w:rFonts w:eastAsia="Calibri"/>
          <w:sz w:val="20"/>
        </w:rPr>
        <w:t xml:space="preserve"> </w:t>
      </w:r>
      <w:r w:rsidR="0011467A" w:rsidRPr="00C020C2">
        <w:rPr>
          <w:rFonts w:eastAsia="Calibri"/>
          <w:szCs w:val="24"/>
        </w:rPr>
        <w:t>participate</w:t>
      </w:r>
      <w:r w:rsidR="009453CA" w:rsidRPr="00C020C2">
        <w:rPr>
          <w:rFonts w:eastAsia="Calibri"/>
          <w:szCs w:val="24"/>
        </w:rPr>
        <w:t>d</w:t>
      </w:r>
      <w:r w:rsidR="0011467A" w:rsidRPr="00C020C2">
        <w:rPr>
          <w:rFonts w:eastAsia="Calibri"/>
          <w:szCs w:val="24"/>
        </w:rPr>
        <w:t xml:space="preserve"> in Huawei Asia-Pacific </w:t>
      </w:r>
      <w:hyperlink r:id="rId108" w:history="1">
        <w:r w:rsidR="0011467A" w:rsidRPr="00C020C2">
          <w:rPr>
            <w:rStyle w:val="Hyperlink"/>
            <w:rFonts w:eastAsia="Calibri"/>
            <w:szCs w:val="24"/>
          </w:rPr>
          <w:t>Seeds for the Future</w:t>
        </w:r>
      </w:hyperlink>
      <w:r w:rsidR="0011467A" w:rsidRPr="00C020C2">
        <w:rPr>
          <w:rFonts w:eastAsia="Calibri"/>
          <w:szCs w:val="24"/>
        </w:rPr>
        <w:t xml:space="preserve"> Programme in Bangkok in 2022.</w:t>
      </w:r>
    </w:p>
    <w:p w14:paraId="70003418" w14:textId="02CCB054" w:rsidR="0011467A" w:rsidRPr="00C020C2" w:rsidRDefault="59700F11" w:rsidP="002A7955">
      <w:pPr>
        <w:spacing w:after="120"/>
        <w:jc w:val="both"/>
        <w:rPr>
          <w:rFonts w:eastAsia="Calibri"/>
        </w:rPr>
      </w:pPr>
      <w:r w:rsidRPr="00C020C2">
        <w:rPr>
          <w:rFonts w:eastAsia="Calibri"/>
        </w:rPr>
        <w:lastRenderedPageBreak/>
        <w:t xml:space="preserve">In March 2023, WSIS Forum 2023 and the Generation Connect in collaboration with </w:t>
      </w:r>
      <w:r w:rsidR="00E65C6C" w:rsidRPr="00C020C2">
        <w:rPr>
          <w:rFonts w:eastAsia="Calibri"/>
        </w:rPr>
        <w:t xml:space="preserve">the  Geneva International Model United Nations (GIMUN, </w:t>
      </w:r>
      <w:r w:rsidR="00A22309" w:rsidRPr="00C020C2">
        <w:rPr>
          <w:rFonts w:eastAsia="Calibri"/>
        </w:rPr>
        <w:t>a Geneva-based Student Run NGO Founded in 1999</w:t>
      </w:r>
      <w:r w:rsidR="00E65C6C" w:rsidRPr="00C020C2">
        <w:rPr>
          <w:rFonts w:eastAsia="Calibri"/>
        </w:rPr>
        <w:t xml:space="preserve">) </w:t>
      </w:r>
      <w:r w:rsidRPr="00C020C2">
        <w:rPr>
          <w:rFonts w:eastAsia="Calibri"/>
        </w:rPr>
        <w:t xml:space="preserve"> launched the </w:t>
      </w:r>
      <w:hyperlink r:id="rId109">
        <w:r w:rsidRPr="00C020C2">
          <w:rPr>
            <w:rStyle w:val="Hyperlink"/>
            <w:rFonts w:eastAsia="Calibri"/>
          </w:rPr>
          <w:t>WSIS Generation Connect Youth Prize</w:t>
        </w:r>
      </w:hyperlink>
      <w:r w:rsidR="6571D1BB" w:rsidRPr="00C020C2">
        <w:rPr>
          <w:rFonts w:eastAsia="Calibri"/>
        </w:rPr>
        <w:t>.</w:t>
      </w:r>
      <w:r w:rsidRPr="00C020C2">
        <w:rPr>
          <w:rFonts w:eastAsia="Calibri"/>
        </w:rPr>
        <w:t xml:space="preserve"> </w:t>
      </w:r>
      <w:r w:rsidR="6571D1BB" w:rsidRPr="00C020C2">
        <w:rPr>
          <w:rFonts w:eastAsia="Calibri"/>
        </w:rPr>
        <w:t>T</w:t>
      </w:r>
      <w:r w:rsidRPr="00C020C2">
        <w:rPr>
          <w:rFonts w:eastAsia="Calibri"/>
        </w:rPr>
        <w:t xml:space="preserve">his year’s </w:t>
      </w:r>
      <w:r w:rsidR="6571D1BB" w:rsidRPr="00C020C2">
        <w:rPr>
          <w:rFonts w:eastAsia="Calibri"/>
        </w:rPr>
        <w:t>theme is</w:t>
      </w:r>
      <w:r w:rsidRPr="00C020C2">
        <w:rPr>
          <w:rFonts w:eastAsia="Calibri"/>
        </w:rPr>
        <w:t xml:space="preserve"> </w:t>
      </w:r>
      <w:r w:rsidR="6571D1BB" w:rsidRPr="00C020C2">
        <w:rPr>
          <w:rFonts w:eastAsia="Calibri"/>
        </w:rPr>
        <w:t>“</w:t>
      </w:r>
      <w:r w:rsidRPr="00C020C2">
        <w:rPr>
          <w:rFonts w:eastAsia="Calibri"/>
        </w:rPr>
        <w:t>Digital Future Through Meaningful Inclusion of Youth</w:t>
      </w:r>
      <w:r w:rsidR="6571D1BB" w:rsidRPr="00C020C2">
        <w:rPr>
          <w:rFonts w:eastAsia="Calibri"/>
        </w:rPr>
        <w:t>”</w:t>
      </w:r>
      <w:r w:rsidRPr="00C020C2">
        <w:rPr>
          <w:rFonts w:eastAsia="Calibri"/>
        </w:rPr>
        <w:t xml:space="preserve">. </w:t>
      </w:r>
    </w:p>
    <w:p w14:paraId="52DB61B9" w14:textId="77777777" w:rsidR="0011467A" w:rsidRPr="00C020C2" w:rsidRDefault="0011467A" w:rsidP="002A7955">
      <w:pPr>
        <w:spacing w:after="120"/>
        <w:jc w:val="both"/>
        <w:rPr>
          <w:rFonts w:eastAsia="Calibri"/>
          <w:b/>
          <w:bCs/>
        </w:rPr>
      </w:pPr>
      <w:r w:rsidRPr="00C020C2">
        <w:rPr>
          <w:rFonts w:eastAsia="Calibri"/>
          <w:b/>
          <w:bCs/>
        </w:rPr>
        <w:t>ICT/Accessibility</w:t>
      </w:r>
    </w:p>
    <w:p w14:paraId="147C571F" w14:textId="7AE27642" w:rsidR="0011467A" w:rsidRPr="00C020C2" w:rsidRDefault="5C4E8EB2" w:rsidP="002A7955">
      <w:pPr>
        <w:spacing w:after="120"/>
        <w:jc w:val="both"/>
        <w:rPr>
          <w:rFonts w:eastAsia="Calibri"/>
        </w:rPr>
      </w:pPr>
      <w:r w:rsidRPr="00C020C2">
        <w:rPr>
          <w:rFonts w:eastAsia="Calibri"/>
        </w:rPr>
        <w:t>During the reporting period, over 700 ITU members, stakeholders, and participants from over 60 countries strengthened their knowledge in ICT/digital accessibility through a variety of</w:t>
      </w:r>
      <w:r w:rsidR="3DC21E35" w:rsidRPr="00C020C2">
        <w:rPr>
          <w:rFonts w:eastAsia="Calibri"/>
        </w:rPr>
        <w:t xml:space="preserve"> activities</w:t>
      </w:r>
      <w:r w:rsidRPr="00C020C2">
        <w:rPr>
          <w:rFonts w:eastAsia="Calibri"/>
        </w:rPr>
        <w:t>.</w:t>
      </w:r>
      <w:r w:rsidR="3DC21E35" w:rsidRPr="00C020C2">
        <w:rPr>
          <w:rFonts w:eastAsia="Calibri"/>
        </w:rPr>
        <w:t xml:space="preserve"> </w:t>
      </w:r>
      <w:hyperlink r:id="rId110">
        <w:r w:rsidR="59700F11" w:rsidRPr="00C020C2">
          <w:rPr>
            <w:rStyle w:val="Hyperlink"/>
            <w:rFonts w:eastAsia="Calibri"/>
          </w:rPr>
          <w:t>ITU-D</w:t>
        </w:r>
      </w:hyperlink>
      <w:r w:rsidR="59700F11" w:rsidRPr="00C020C2">
        <w:rPr>
          <w:rFonts w:eastAsia="Calibri"/>
        </w:rPr>
        <w:t xml:space="preserve"> provided ICT accessibility expert advice to support ITU members’ efforts to foster digital inclusion through executive training for regional policy and </w:t>
      </w:r>
      <w:r w:rsidR="6571D1BB" w:rsidRPr="00C020C2">
        <w:rPr>
          <w:rFonts w:eastAsia="Calibri"/>
        </w:rPr>
        <w:t>decision-</w:t>
      </w:r>
      <w:r w:rsidR="59700F11" w:rsidRPr="00C020C2">
        <w:rPr>
          <w:rFonts w:eastAsia="Calibri"/>
        </w:rPr>
        <w:t>makers; provided</w:t>
      </w:r>
      <w:r w:rsidR="3CBB3D81" w:rsidRPr="00C020C2">
        <w:rPr>
          <w:rFonts w:eastAsia="Calibri"/>
        </w:rPr>
        <w:t xml:space="preserve"> support </w:t>
      </w:r>
      <w:r w:rsidR="59700F11" w:rsidRPr="00C020C2">
        <w:rPr>
          <w:rFonts w:eastAsia="Calibri"/>
        </w:rPr>
        <w:t xml:space="preserve">on regional events </w:t>
      </w:r>
      <w:r w:rsidR="6DB17575" w:rsidRPr="00C020C2">
        <w:rPr>
          <w:rFonts w:eastAsia="Calibri"/>
        </w:rPr>
        <w:t>“</w:t>
      </w:r>
      <w:r w:rsidR="59700F11" w:rsidRPr="00C020C2">
        <w:rPr>
          <w:rFonts w:eastAsia="Calibri"/>
        </w:rPr>
        <w:t>Accessible ICT for ALL</w:t>
      </w:r>
      <w:r w:rsidR="6DB17575" w:rsidRPr="00C020C2">
        <w:rPr>
          <w:rFonts w:eastAsia="Calibri"/>
        </w:rPr>
        <w:t>”</w:t>
      </w:r>
      <w:r w:rsidR="59700F11" w:rsidRPr="00C020C2">
        <w:rPr>
          <w:rFonts w:eastAsia="Calibri"/>
        </w:rPr>
        <w:t xml:space="preserve"> (</w:t>
      </w:r>
      <w:hyperlink r:id="rId111">
        <w:r w:rsidRPr="00C020C2">
          <w:rPr>
            <w:rStyle w:val="Hyperlink"/>
          </w:rPr>
          <w:t>Asia and the Pacific</w:t>
        </w:r>
      </w:hyperlink>
      <w:r w:rsidRPr="00C020C2">
        <w:t xml:space="preserve">, </w:t>
      </w:r>
      <w:hyperlink r:id="rId112" w:anchor=":~:text=The%209th%20edition%20of%20Accessible,)%2C%20the%20Brazilian%20regulatory%20authority.">
        <w:r w:rsidRPr="00C020C2">
          <w:rPr>
            <w:rStyle w:val="Hyperlink"/>
            <w:rFonts w:eastAsia="Calibri"/>
          </w:rPr>
          <w:t>Americas,</w:t>
        </w:r>
      </w:hyperlink>
      <w:r w:rsidRPr="00C020C2">
        <w:rPr>
          <w:rFonts w:eastAsia="Calibri"/>
          <w:color w:val="444444"/>
        </w:rPr>
        <w:t xml:space="preserve"> </w:t>
      </w:r>
      <w:hyperlink r:id="rId113" w:anchor=":~:text=The%20special%20event%20for%20Europe,virtually%20on%206%20December%202022.">
        <w:r w:rsidRPr="00C020C2">
          <w:rPr>
            <w:rStyle w:val="Hyperlink"/>
            <w:rFonts w:eastAsia="Calibri"/>
          </w:rPr>
          <w:t>Europe</w:t>
        </w:r>
      </w:hyperlink>
      <w:r w:rsidRPr="00C020C2">
        <w:rPr>
          <w:rFonts w:eastAsia="Calibri"/>
          <w:color w:val="444444"/>
        </w:rPr>
        <w:t xml:space="preserve">, </w:t>
      </w:r>
      <w:r w:rsidRPr="00C020C2">
        <w:rPr>
          <w:rStyle w:val="Hyperlink"/>
          <w:rFonts w:eastAsia="Calibri"/>
        </w:rPr>
        <w:t>Arab States</w:t>
      </w:r>
      <w:r w:rsidR="59700F11" w:rsidRPr="00C020C2">
        <w:rPr>
          <w:rFonts w:eastAsia="Calibri"/>
        </w:rPr>
        <w:t xml:space="preserve">); </w:t>
      </w:r>
      <w:r w:rsidR="3CBB3D81" w:rsidRPr="00C020C2">
        <w:rPr>
          <w:rFonts w:eastAsia="Calibri"/>
        </w:rPr>
        <w:t xml:space="preserve">organized </w:t>
      </w:r>
      <w:r w:rsidR="59700F11" w:rsidRPr="00C020C2">
        <w:rPr>
          <w:rFonts w:eastAsia="Calibri"/>
        </w:rPr>
        <w:t>speaking slots</w:t>
      </w:r>
      <w:r w:rsidR="6571D1BB" w:rsidRPr="00C020C2">
        <w:rPr>
          <w:rFonts w:eastAsia="Calibri"/>
        </w:rPr>
        <w:t>,</w:t>
      </w:r>
      <w:r w:rsidR="59700F11" w:rsidRPr="00C020C2">
        <w:rPr>
          <w:rFonts w:eastAsia="Calibri"/>
        </w:rPr>
        <w:t xml:space="preserve"> interventions and/or moderations of interactive discussion</w:t>
      </w:r>
      <w:r w:rsidR="6571D1BB" w:rsidRPr="00C020C2">
        <w:rPr>
          <w:rFonts w:eastAsia="Calibri"/>
        </w:rPr>
        <w:t>s</w:t>
      </w:r>
      <w:r w:rsidR="59700F11" w:rsidRPr="00C020C2">
        <w:rPr>
          <w:rFonts w:eastAsia="Calibri"/>
        </w:rPr>
        <w:t xml:space="preserve"> within </w:t>
      </w:r>
      <w:r w:rsidR="6571D1BB" w:rsidRPr="00C020C2">
        <w:rPr>
          <w:rFonts w:eastAsia="Calibri"/>
        </w:rPr>
        <w:t xml:space="preserve">related </w:t>
      </w:r>
      <w:r w:rsidR="59700F11" w:rsidRPr="00C020C2">
        <w:rPr>
          <w:rFonts w:eastAsia="Calibri"/>
        </w:rPr>
        <w:t>regional events; shar</w:t>
      </w:r>
      <w:r w:rsidR="3CBB3D81" w:rsidRPr="00C020C2">
        <w:rPr>
          <w:rFonts w:eastAsia="Calibri"/>
        </w:rPr>
        <w:t>ed</w:t>
      </w:r>
      <w:r w:rsidR="59700F11" w:rsidRPr="00C020C2">
        <w:rPr>
          <w:rFonts w:eastAsia="Calibri"/>
        </w:rPr>
        <w:t xml:space="preserve"> good practices on policies and strategies</w:t>
      </w:r>
      <w:r w:rsidR="3CBB3D81" w:rsidRPr="00C020C2">
        <w:rPr>
          <w:rFonts w:eastAsia="Calibri"/>
        </w:rPr>
        <w:t xml:space="preserve">, </w:t>
      </w:r>
      <w:r w:rsidR="59700F11" w:rsidRPr="00C020C2">
        <w:rPr>
          <w:rFonts w:eastAsia="Calibri"/>
        </w:rPr>
        <w:t>rais</w:t>
      </w:r>
      <w:r w:rsidR="3CBB3D81" w:rsidRPr="00C020C2">
        <w:rPr>
          <w:rFonts w:eastAsia="Calibri"/>
        </w:rPr>
        <w:t>ing</w:t>
      </w:r>
      <w:r w:rsidR="59700F11" w:rsidRPr="00C020C2">
        <w:rPr>
          <w:rFonts w:eastAsia="Calibri"/>
        </w:rPr>
        <w:t xml:space="preserve"> awareness </w:t>
      </w:r>
      <w:r w:rsidR="3CBB3D81" w:rsidRPr="00C020C2">
        <w:rPr>
          <w:rFonts w:eastAsia="Calibri"/>
        </w:rPr>
        <w:t>across more than</w:t>
      </w:r>
      <w:r w:rsidR="59700F11" w:rsidRPr="00C020C2">
        <w:rPr>
          <w:rFonts w:eastAsia="Calibri"/>
        </w:rPr>
        <w:t xml:space="preserve"> 25 events and meetings on the availability of over </w:t>
      </w:r>
      <w:hyperlink r:id="rId114">
        <w:r w:rsidR="59700F11" w:rsidRPr="00C020C2">
          <w:rPr>
            <w:rStyle w:val="Hyperlink"/>
            <w:rFonts w:eastAsia="Calibri"/>
          </w:rPr>
          <w:t>70 ITU-D tools and resources in ICT/digital accessibility</w:t>
        </w:r>
      </w:hyperlink>
      <w:r w:rsidRPr="00C020C2">
        <w:rPr>
          <w:rFonts w:eastAsia="Calibri"/>
        </w:rPr>
        <w:t>;</w:t>
      </w:r>
      <w:r w:rsidR="59700F11" w:rsidRPr="00C020C2">
        <w:rPr>
          <w:rFonts w:eastAsia="Calibri"/>
        </w:rPr>
        <w:t xml:space="preserve"> </w:t>
      </w:r>
      <w:r w:rsidR="7D9C6016" w:rsidRPr="00C020C2">
        <w:rPr>
          <w:rFonts w:eastAsia="Calibri"/>
        </w:rPr>
        <w:t xml:space="preserve">participated in </w:t>
      </w:r>
      <w:r w:rsidRPr="00C020C2">
        <w:rPr>
          <w:rFonts w:eastAsia="Calibri"/>
        </w:rPr>
        <w:t>the</w:t>
      </w:r>
      <w:r w:rsidR="633FD01F" w:rsidRPr="00C020C2">
        <w:rPr>
          <w:rFonts w:eastAsia="Calibri"/>
          <w:color w:val="444444"/>
        </w:rPr>
        <w:t xml:space="preserve"> 1</w:t>
      </w:r>
      <w:r w:rsidR="633FD01F" w:rsidRPr="00C020C2">
        <w:rPr>
          <w:rFonts w:eastAsia="Calibri"/>
          <w:color w:val="444444"/>
          <w:vertAlign w:val="superscript"/>
        </w:rPr>
        <w:t>st</w:t>
      </w:r>
      <w:r w:rsidR="633FD01F" w:rsidRPr="00C020C2">
        <w:rPr>
          <w:rFonts w:eastAsia="Calibri"/>
          <w:color w:val="444444"/>
        </w:rPr>
        <w:t xml:space="preserve"> </w:t>
      </w:r>
      <w:r w:rsidR="633FD01F" w:rsidRPr="00C020C2">
        <w:rPr>
          <w:rFonts w:eastAsia="Calibri"/>
          <w:color w:val="0070C0"/>
        </w:rPr>
        <w:t xml:space="preserve">Technology Forum of the </w:t>
      </w:r>
      <w:hyperlink r:id="rId115">
        <w:r w:rsidR="633FD01F" w:rsidRPr="00C020C2">
          <w:rPr>
            <w:rStyle w:val="Hyperlink"/>
            <w:rFonts w:eastAsia="Calibri"/>
          </w:rPr>
          <w:t xml:space="preserve">Zero Project Conference  </w:t>
        </w:r>
      </w:hyperlink>
      <w:r w:rsidR="633FD01F" w:rsidRPr="00C020C2">
        <w:rPr>
          <w:rFonts w:eastAsia="Calibri"/>
        </w:rPr>
        <w:t>(“</w:t>
      </w:r>
      <w:r w:rsidR="633FD01F" w:rsidRPr="00C020C2">
        <w:rPr>
          <w:rFonts w:eastAsia="Calibri"/>
          <w:i/>
          <w:iCs/>
        </w:rPr>
        <w:t>for a world with zero barriers”</w:t>
      </w:r>
      <w:r w:rsidR="633FD01F" w:rsidRPr="00C020C2">
        <w:rPr>
          <w:rFonts w:eastAsia="Calibri"/>
        </w:rPr>
        <w:t>)</w:t>
      </w:r>
      <w:r w:rsidRPr="00C020C2">
        <w:rPr>
          <w:rFonts w:eastAsia="Calibri"/>
        </w:rPr>
        <w:t xml:space="preserve">; and </w:t>
      </w:r>
      <w:r w:rsidR="7D9C6016" w:rsidRPr="00C020C2">
        <w:rPr>
          <w:rFonts w:eastAsia="Calibri"/>
        </w:rPr>
        <w:t xml:space="preserve">in </w:t>
      </w:r>
      <w:r w:rsidRPr="00C020C2">
        <w:rPr>
          <w:rFonts w:eastAsia="Calibri"/>
        </w:rPr>
        <w:t>the</w:t>
      </w:r>
      <w:r w:rsidR="633FD01F" w:rsidRPr="00C020C2">
        <w:rPr>
          <w:rFonts w:eastAsia="Calibri"/>
        </w:rPr>
        <w:t xml:space="preserve"> </w:t>
      </w:r>
      <w:r w:rsidRPr="00C020C2">
        <w:rPr>
          <w:rStyle w:val="Hyperlink"/>
          <w:rFonts w:eastAsia="Calibri"/>
        </w:rPr>
        <w:t xml:space="preserve">WSIS 23 Session on </w:t>
      </w:r>
      <w:hyperlink r:id="rId116">
        <w:r w:rsidRPr="00C020C2">
          <w:rPr>
            <w:rStyle w:val="Hyperlink"/>
            <w:rFonts w:eastAsia="Calibri"/>
          </w:rPr>
          <w:t>“Strengthening the Collaboration of Digital Literacy for Disabilities”</w:t>
        </w:r>
      </w:hyperlink>
      <w:r w:rsidR="633FD01F" w:rsidRPr="00C020C2">
        <w:rPr>
          <w:rFonts w:eastAsia="Calibri"/>
          <w:color w:val="444444"/>
        </w:rPr>
        <w:t xml:space="preserve">. </w:t>
      </w:r>
      <w:r w:rsidR="007D7500" w:rsidRPr="00C020C2">
        <w:br/>
      </w:r>
      <w:r w:rsidR="633FD01F" w:rsidRPr="00C020C2">
        <w:rPr>
          <w:rFonts w:eastAsia="Calibri"/>
        </w:rPr>
        <w:t>Within the same period, 761 participants registered for ITU online self-paced training on ICT accessibility and over 3</w:t>
      </w:r>
      <w:r w:rsidRPr="00C020C2">
        <w:rPr>
          <w:rFonts w:eastAsia="Calibri"/>
        </w:rPr>
        <w:t xml:space="preserve"> </w:t>
      </w:r>
      <w:r w:rsidR="633FD01F" w:rsidRPr="00C020C2">
        <w:rPr>
          <w:rFonts w:eastAsia="Calibri"/>
        </w:rPr>
        <w:t xml:space="preserve">200 stakeholders and /or interested parties used </w:t>
      </w:r>
      <w:r w:rsidRPr="00C020C2">
        <w:rPr>
          <w:rFonts w:eastAsia="Calibri"/>
        </w:rPr>
        <w:t xml:space="preserve">related </w:t>
      </w:r>
      <w:r w:rsidR="633FD01F" w:rsidRPr="00C020C2">
        <w:rPr>
          <w:rFonts w:eastAsia="Calibri"/>
        </w:rPr>
        <w:t>ITU-D resources.</w:t>
      </w:r>
      <w:r w:rsidRPr="00C020C2">
        <w:rPr>
          <w:rFonts w:eastAsia="Calibri"/>
        </w:rPr>
        <w:t xml:space="preserve"> </w:t>
      </w:r>
      <w:r w:rsidR="59700F11" w:rsidRPr="00C020C2">
        <w:rPr>
          <w:rFonts w:eastAsia="Calibri"/>
        </w:rPr>
        <w:t xml:space="preserve">In December </w:t>
      </w:r>
      <w:r w:rsidR="6571D1BB" w:rsidRPr="00C020C2">
        <w:rPr>
          <w:rFonts w:eastAsia="Calibri"/>
        </w:rPr>
        <w:t>2022</w:t>
      </w:r>
      <w:r w:rsidR="7D9C6016" w:rsidRPr="00C020C2">
        <w:rPr>
          <w:rFonts w:eastAsia="Calibri"/>
        </w:rPr>
        <w:t>,</w:t>
      </w:r>
      <w:r w:rsidR="6571D1BB" w:rsidRPr="00C020C2">
        <w:rPr>
          <w:rFonts w:eastAsia="Calibri"/>
        </w:rPr>
        <w:t xml:space="preserve"> </w:t>
      </w:r>
      <w:r w:rsidR="59700F11" w:rsidRPr="00C020C2">
        <w:rPr>
          <w:rFonts w:eastAsia="Calibri"/>
        </w:rPr>
        <w:t>ITU-D</w:t>
      </w:r>
      <w:r w:rsidR="4AB198D4" w:rsidRPr="00C020C2">
        <w:rPr>
          <w:rFonts w:eastAsia="Calibri"/>
        </w:rPr>
        <w:t xml:space="preserve"> in partnership with the</w:t>
      </w:r>
      <w:r w:rsidR="3DC21E35" w:rsidRPr="00C020C2">
        <w:rPr>
          <w:rFonts w:eastAsia="Calibri"/>
        </w:rPr>
        <w:t xml:space="preserve"> ILO jointly </w:t>
      </w:r>
      <w:r w:rsidR="59700F11" w:rsidRPr="00C020C2">
        <w:rPr>
          <w:rFonts w:eastAsia="Calibri"/>
        </w:rPr>
        <w:t xml:space="preserve">launched </w:t>
      </w:r>
      <w:r w:rsidR="59700F11" w:rsidRPr="00C020C2">
        <w:rPr>
          <w:rFonts w:eastAsia="Calibri"/>
          <w:color w:val="444444"/>
        </w:rPr>
        <w:t xml:space="preserve">a </w:t>
      </w:r>
      <w:hyperlink r:id="rId117">
        <w:r w:rsidR="59700F11" w:rsidRPr="00C020C2">
          <w:rPr>
            <w:rStyle w:val="Hyperlink"/>
            <w:rFonts w:eastAsia="Calibri"/>
          </w:rPr>
          <w:t>Guidebook on accessibility of online job application and recruitment systems</w:t>
        </w:r>
      </w:hyperlink>
      <w:r w:rsidR="59700F11" w:rsidRPr="00C020C2">
        <w:rPr>
          <w:rFonts w:eastAsia="Calibri"/>
          <w:color w:val="444444"/>
        </w:rPr>
        <w:t xml:space="preserve"> </w:t>
      </w:r>
      <w:r w:rsidR="59700F11" w:rsidRPr="00C020C2">
        <w:rPr>
          <w:rFonts w:eastAsia="Calibri"/>
        </w:rPr>
        <w:t xml:space="preserve">and </w:t>
      </w:r>
      <w:r w:rsidR="4AB198D4" w:rsidRPr="00C020C2">
        <w:rPr>
          <w:rFonts w:eastAsia="Calibri"/>
        </w:rPr>
        <w:t>the</w:t>
      </w:r>
      <w:r w:rsidR="59700F11" w:rsidRPr="00C020C2">
        <w:rPr>
          <w:rFonts w:eastAsia="Calibri"/>
        </w:rPr>
        <w:t xml:space="preserve"> self-paced training</w:t>
      </w:r>
      <w:r w:rsidR="59700F11" w:rsidRPr="00C020C2">
        <w:rPr>
          <w:rFonts w:eastAsia="Calibri"/>
          <w:b/>
          <w:bCs/>
        </w:rPr>
        <w:t xml:space="preserve"> </w:t>
      </w:r>
      <w:hyperlink r:id="rId118">
        <w:r w:rsidR="59700F11" w:rsidRPr="00C020C2">
          <w:rPr>
            <w:rStyle w:val="Hyperlink"/>
            <w:rFonts w:eastAsia="Calibri"/>
          </w:rPr>
          <w:t>How to ensure that online job applications and recruitment systems are accessible to all</w:t>
        </w:r>
      </w:hyperlink>
      <w:r w:rsidR="59700F11" w:rsidRPr="00C020C2">
        <w:rPr>
          <w:rFonts w:eastAsia="Calibri"/>
          <w:b/>
          <w:bCs/>
          <w:color w:val="0070C0"/>
          <w:u w:val="single"/>
        </w:rPr>
        <w:t>.</w:t>
      </w:r>
      <w:r w:rsidR="59700F11" w:rsidRPr="00C020C2">
        <w:rPr>
          <w:rFonts w:eastAsia="Calibri"/>
          <w:b/>
          <w:bCs/>
          <w:color w:val="444444"/>
        </w:rPr>
        <w:t xml:space="preserve"> </w:t>
      </w:r>
      <w:r w:rsidR="4AB198D4" w:rsidRPr="00C020C2">
        <w:rPr>
          <w:rFonts w:eastAsia="Calibri"/>
        </w:rPr>
        <w:t>Additional online training courses and toolkits were made available in other languages:</w:t>
      </w:r>
      <w:r w:rsidR="59700F11" w:rsidRPr="00C020C2">
        <w:rPr>
          <w:rFonts w:eastAsia="Calibri"/>
        </w:rPr>
        <w:t xml:space="preserve"> </w:t>
      </w:r>
      <w:hyperlink r:id="rId119">
        <w:r w:rsidR="59700F11" w:rsidRPr="00C020C2">
          <w:rPr>
            <w:rStyle w:val="Hyperlink"/>
            <w:rFonts w:eastAsia="Calibri"/>
          </w:rPr>
          <w:t>How to ensure inclusive digital communication during crises and emergency situations</w:t>
        </w:r>
      </w:hyperlink>
      <w:r w:rsidR="59700F11" w:rsidRPr="00C020C2">
        <w:rPr>
          <w:rFonts w:eastAsia="Calibri"/>
        </w:rPr>
        <w:t xml:space="preserve"> </w:t>
      </w:r>
      <w:r w:rsidR="4AB198D4" w:rsidRPr="00C020C2">
        <w:rPr>
          <w:rFonts w:eastAsia="Calibri"/>
        </w:rPr>
        <w:t>(</w:t>
      </w:r>
      <w:r w:rsidR="59700F11" w:rsidRPr="00C020C2">
        <w:rPr>
          <w:rFonts w:eastAsia="Calibri"/>
        </w:rPr>
        <w:t>Arabic</w:t>
      </w:r>
      <w:r w:rsidR="4AB198D4" w:rsidRPr="00C020C2">
        <w:rPr>
          <w:rFonts w:eastAsia="Calibri"/>
        </w:rPr>
        <w:t xml:space="preserve">) and </w:t>
      </w:r>
      <w:r w:rsidR="4AB198D4" w:rsidRPr="00C020C2">
        <w:rPr>
          <w:rStyle w:val="Hyperlink"/>
          <w:rFonts w:eastAsia="Calibri"/>
        </w:rPr>
        <w:t>The ITU toolkit and self-assessment for ICT accessibility implementation “</w:t>
      </w:r>
      <w:hyperlink r:id="rId120">
        <w:r w:rsidR="4AB198D4" w:rsidRPr="00C020C2">
          <w:rPr>
            <w:rStyle w:val="Hyperlink"/>
            <w:rFonts w:eastAsia="Calibri"/>
          </w:rPr>
          <w:t>Towards building inclusive digital communities</w:t>
        </w:r>
      </w:hyperlink>
      <w:r w:rsidR="4AB198D4" w:rsidRPr="00C020C2">
        <w:rPr>
          <w:rFonts w:eastAsia="Calibri"/>
        </w:rPr>
        <w:t>” (</w:t>
      </w:r>
      <w:r w:rsidR="59700F11" w:rsidRPr="00C020C2">
        <w:rPr>
          <w:rFonts w:eastAsia="Calibri"/>
        </w:rPr>
        <w:t>Russian and Spanish</w:t>
      </w:r>
      <w:r w:rsidR="377386F7" w:rsidRPr="00C020C2">
        <w:rPr>
          <w:rFonts w:eastAsia="Calibri"/>
        </w:rPr>
        <w:t>).</w:t>
      </w:r>
      <w:r w:rsidR="59700F11" w:rsidRPr="00C020C2">
        <w:rPr>
          <w:rFonts w:eastAsia="Calibri"/>
        </w:rPr>
        <w:t xml:space="preserve"> </w:t>
      </w:r>
      <w:r w:rsidR="0D56F9F0" w:rsidRPr="00C020C2">
        <w:rPr>
          <w:rFonts w:eastAsia="Calibri"/>
        </w:rPr>
        <w:t>Additionally, a</w:t>
      </w:r>
      <w:r w:rsidR="59700F11" w:rsidRPr="00C020C2">
        <w:rPr>
          <w:rFonts w:eastAsia="Calibri"/>
        </w:rPr>
        <w:t xml:space="preserve"> </w:t>
      </w:r>
      <w:r w:rsidR="0D56F9F0" w:rsidRPr="00C020C2">
        <w:rPr>
          <w:rFonts w:eastAsia="Calibri"/>
        </w:rPr>
        <w:t xml:space="preserve">practical </w:t>
      </w:r>
      <w:r w:rsidR="59700F11" w:rsidRPr="00C020C2">
        <w:rPr>
          <w:rFonts w:eastAsia="Calibri"/>
        </w:rPr>
        <w:t xml:space="preserve">guidebook on ICT/digital accessibility for experts or agencies developing and implementing the Smart Villages and Smart Islands Programme was formulated </w:t>
      </w:r>
      <w:r w:rsidR="633FD01F" w:rsidRPr="00C020C2">
        <w:rPr>
          <w:rFonts w:eastAsia="Calibri"/>
        </w:rPr>
        <w:t>to improve the knowledge of stakeholders</w:t>
      </w:r>
      <w:r w:rsidR="7D9C6016" w:rsidRPr="00C020C2">
        <w:rPr>
          <w:rFonts w:eastAsia="Calibri"/>
        </w:rPr>
        <w:t xml:space="preserve"> </w:t>
      </w:r>
      <w:r w:rsidR="633FD01F" w:rsidRPr="00C020C2">
        <w:rPr>
          <w:rFonts w:eastAsia="Calibri"/>
        </w:rPr>
        <w:t>develop</w:t>
      </w:r>
      <w:r w:rsidR="7D9C6016" w:rsidRPr="00C020C2">
        <w:rPr>
          <w:rFonts w:eastAsia="Calibri"/>
        </w:rPr>
        <w:t>ing</w:t>
      </w:r>
      <w:r w:rsidR="633FD01F" w:rsidRPr="00C020C2">
        <w:rPr>
          <w:rFonts w:eastAsia="Calibri"/>
        </w:rPr>
        <w:t xml:space="preserve"> programmes that require digital inclusion in the context of villages and islands digitalization.</w:t>
      </w:r>
      <w:r w:rsidR="007D7500" w:rsidRPr="00C020C2">
        <w:br/>
      </w:r>
      <w:r w:rsidR="59700F11" w:rsidRPr="00C020C2">
        <w:rPr>
          <w:rFonts w:eastAsia="Calibri"/>
        </w:rPr>
        <w:t xml:space="preserve">ITU-D resources are </w:t>
      </w:r>
      <w:r w:rsidR="7D9C6016" w:rsidRPr="00C020C2">
        <w:rPr>
          <w:rFonts w:eastAsia="Calibri"/>
        </w:rPr>
        <w:t xml:space="preserve">made available </w:t>
      </w:r>
      <w:r w:rsidR="59700F11" w:rsidRPr="00C020C2">
        <w:rPr>
          <w:rFonts w:eastAsia="Calibri"/>
        </w:rPr>
        <w:t xml:space="preserve">free of charge and </w:t>
      </w:r>
      <w:r w:rsidR="7D9C6016" w:rsidRPr="00C020C2">
        <w:rPr>
          <w:rFonts w:eastAsia="Calibri"/>
        </w:rPr>
        <w:t xml:space="preserve">are </w:t>
      </w:r>
      <w:r w:rsidR="633FD01F" w:rsidRPr="00C020C2">
        <w:rPr>
          <w:rFonts w:eastAsia="Calibri"/>
        </w:rPr>
        <w:t xml:space="preserve">available </w:t>
      </w:r>
      <w:r w:rsidR="59700F11" w:rsidRPr="00C020C2">
        <w:rPr>
          <w:rFonts w:eastAsia="Calibri"/>
        </w:rPr>
        <w:t>in multiple languages</w:t>
      </w:r>
      <w:r w:rsidR="633FD01F" w:rsidRPr="00C020C2">
        <w:rPr>
          <w:rFonts w:eastAsia="Calibri"/>
        </w:rPr>
        <w:t>.</w:t>
      </w:r>
      <w:r w:rsidR="59700F11" w:rsidRPr="00C020C2">
        <w:rPr>
          <w:rFonts w:eastAsia="Calibri"/>
        </w:rPr>
        <w:t xml:space="preserve"> </w:t>
      </w:r>
      <w:r w:rsidR="007D7500" w:rsidRPr="00C020C2">
        <w:br/>
      </w:r>
      <w:r w:rsidR="2DE2BDC4" w:rsidRPr="00C020C2">
        <w:rPr>
          <w:rFonts w:eastAsia="Calibri"/>
        </w:rPr>
        <w:t xml:space="preserve">Telehealth: </w:t>
      </w:r>
      <w:r w:rsidR="59700F11" w:rsidRPr="00C020C2">
        <w:rPr>
          <w:rFonts w:eastAsia="Calibri"/>
        </w:rPr>
        <w:t>A new ITU and WHO common global standard was developed on “</w:t>
      </w:r>
      <w:hyperlink r:id="rId121">
        <w:r w:rsidR="59700F11" w:rsidRPr="00C020C2">
          <w:rPr>
            <w:rStyle w:val="Hyperlink"/>
            <w:rFonts w:eastAsia="Calibri"/>
          </w:rPr>
          <w:t>Accessibility of telehealth services</w:t>
        </w:r>
      </w:hyperlink>
      <w:r w:rsidR="59700F11" w:rsidRPr="00C020C2">
        <w:rPr>
          <w:rFonts w:eastAsia="Calibri"/>
        </w:rPr>
        <w:t xml:space="preserve">” and launched in June 2022. It defines use cases and requirements for accessible telehealth services that implementers and service providers should meet </w:t>
      </w:r>
      <w:proofErr w:type="gramStart"/>
      <w:r w:rsidR="37585503" w:rsidRPr="00C020C2">
        <w:rPr>
          <w:rFonts w:eastAsia="Calibri"/>
        </w:rPr>
        <w:t xml:space="preserve">in order </w:t>
      </w:r>
      <w:r w:rsidR="59700F11" w:rsidRPr="00C020C2">
        <w:rPr>
          <w:rFonts w:eastAsia="Calibri"/>
        </w:rPr>
        <w:t>to</w:t>
      </w:r>
      <w:proofErr w:type="gramEnd"/>
      <w:r w:rsidR="59700F11" w:rsidRPr="00C020C2">
        <w:rPr>
          <w:rFonts w:eastAsia="Calibri"/>
        </w:rPr>
        <w:t xml:space="preserve"> guarantee that the needs of persons with disabilities are met when using </w:t>
      </w:r>
      <w:r w:rsidR="37585503" w:rsidRPr="00C020C2">
        <w:rPr>
          <w:rFonts w:eastAsia="Calibri"/>
        </w:rPr>
        <w:t xml:space="preserve">such </w:t>
      </w:r>
      <w:r w:rsidR="59700F11" w:rsidRPr="00C020C2">
        <w:rPr>
          <w:rFonts w:eastAsia="Calibri"/>
        </w:rPr>
        <w:t xml:space="preserve">services. The work </w:t>
      </w:r>
      <w:r w:rsidR="37585503" w:rsidRPr="00C020C2">
        <w:rPr>
          <w:rFonts w:eastAsia="Calibri"/>
        </w:rPr>
        <w:t xml:space="preserve">with WHO </w:t>
      </w:r>
      <w:r w:rsidR="59700F11" w:rsidRPr="00C020C2">
        <w:rPr>
          <w:rFonts w:eastAsia="Calibri"/>
        </w:rPr>
        <w:t xml:space="preserve">on safe listening is now being expanded to look at gaming and e-sports. ITU is also operating with WHO a </w:t>
      </w:r>
      <w:hyperlink r:id="rId122">
        <w:r w:rsidR="59700F11" w:rsidRPr="00C020C2">
          <w:rPr>
            <w:rStyle w:val="Hyperlink"/>
            <w:rFonts w:eastAsia="Calibri"/>
          </w:rPr>
          <w:t>focus group</w:t>
        </w:r>
      </w:hyperlink>
      <w:r w:rsidR="59700F11" w:rsidRPr="00C020C2">
        <w:rPr>
          <w:rFonts w:eastAsia="Calibri"/>
        </w:rPr>
        <w:t xml:space="preserve"> to step up </w:t>
      </w:r>
      <w:r w:rsidR="2DE2BDC4" w:rsidRPr="00C020C2">
        <w:rPr>
          <w:rFonts w:eastAsia="Calibri"/>
        </w:rPr>
        <w:t xml:space="preserve">AI’s </w:t>
      </w:r>
      <w:r w:rsidR="59700F11" w:rsidRPr="00C020C2">
        <w:rPr>
          <w:rFonts w:eastAsia="Calibri"/>
        </w:rPr>
        <w:t>contribution to health, developing a benchmarking framework to support developers and regulators in assessing whether AI-based health solutions are fit-for-purpose</w:t>
      </w:r>
      <w:r w:rsidR="37585503" w:rsidRPr="00C020C2">
        <w:rPr>
          <w:rFonts w:eastAsia="Calibri"/>
        </w:rPr>
        <w:t xml:space="preserve"> – </w:t>
      </w:r>
      <w:r w:rsidR="59700F11" w:rsidRPr="00C020C2">
        <w:rPr>
          <w:rFonts w:eastAsia="Calibri"/>
        </w:rPr>
        <w:t xml:space="preserve">as has been done for medical equipment. </w:t>
      </w:r>
    </w:p>
    <w:p w14:paraId="2EFED393" w14:textId="76BC5627" w:rsidR="005A3404" w:rsidRPr="00C020C2" w:rsidRDefault="005A3404" w:rsidP="002A7955">
      <w:pPr>
        <w:spacing w:after="120"/>
        <w:jc w:val="both"/>
        <w:rPr>
          <w:szCs w:val="24"/>
        </w:rPr>
      </w:pPr>
      <w:r w:rsidRPr="00C020C2">
        <w:rPr>
          <w:rFonts w:eastAsia="Calibri"/>
        </w:rPr>
        <w:t>ITU</w:t>
      </w:r>
      <w:r w:rsidR="00704E2E" w:rsidRPr="00C020C2">
        <w:rPr>
          <w:rFonts w:eastAsia="Calibri"/>
        </w:rPr>
        <w:t>-R</w:t>
      </w:r>
      <w:r w:rsidRPr="00C020C2">
        <w:rPr>
          <w:rFonts w:eastAsia="Calibri"/>
        </w:rPr>
        <w:t xml:space="preserve"> has recently updated the </w:t>
      </w:r>
      <w:r w:rsidRPr="00C020C2">
        <w:rPr>
          <w:rFonts w:eastAsia="Calibri"/>
          <w:bCs/>
          <w:lang w:val="en-US"/>
        </w:rPr>
        <w:t xml:space="preserve">Report </w:t>
      </w:r>
      <w:hyperlink r:id="rId123" w:history="1">
        <w:r w:rsidRPr="00C020C2">
          <w:rPr>
            <w:rStyle w:val="Hyperlink"/>
            <w:rFonts w:eastAsia="Calibri"/>
          </w:rPr>
          <w:t>ITU-R BT.2207</w:t>
        </w:r>
      </w:hyperlink>
      <w:r w:rsidRPr="00C020C2">
        <w:rPr>
          <w:rFonts w:eastAsia="Calibri"/>
        </w:rPr>
        <w:t xml:space="preserve"> “Accessibility to broadcasting services for persons with disabilities” and </w:t>
      </w:r>
      <w:r w:rsidR="003D4E8A" w:rsidRPr="00C020C2">
        <w:rPr>
          <w:rFonts w:eastAsia="Calibri"/>
        </w:rPr>
        <w:t xml:space="preserve">the </w:t>
      </w:r>
      <w:r w:rsidRPr="00C020C2">
        <w:rPr>
          <w:rFonts w:eastAsia="Calibri"/>
          <w:bCs/>
        </w:rPr>
        <w:t xml:space="preserve">Report </w:t>
      </w:r>
      <w:hyperlink r:id="rId124" w:history="1">
        <w:r w:rsidRPr="00C020C2">
          <w:rPr>
            <w:rStyle w:val="Hyperlink"/>
            <w:rFonts w:eastAsia="Calibri"/>
          </w:rPr>
          <w:t>ITU-R SM.2153</w:t>
        </w:r>
      </w:hyperlink>
      <w:r w:rsidRPr="00C020C2">
        <w:rPr>
          <w:rFonts w:eastAsia="Calibri"/>
        </w:rPr>
        <w:t xml:space="preserve"> “Technical and operating parameters and spectrum use for short-</w:t>
      </w:r>
      <w:r w:rsidR="00EF1201" w:rsidRPr="00C020C2">
        <w:rPr>
          <w:rFonts w:eastAsia="Calibri"/>
        </w:rPr>
        <w:t>r</w:t>
      </w:r>
      <w:r w:rsidRPr="00C020C2">
        <w:rPr>
          <w:rFonts w:eastAsia="Calibri"/>
        </w:rPr>
        <w:t>ange radiocommunication devices”.</w:t>
      </w:r>
    </w:p>
    <w:p w14:paraId="379D6D0C" w14:textId="00E2F100" w:rsidR="006D664A" w:rsidRPr="00C020C2" w:rsidRDefault="006D664A" w:rsidP="002A7955">
      <w:pPr>
        <w:spacing w:after="120"/>
        <w:jc w:val="both"/>
      </w:pPr>
      <w:r w:rsidRPr="00C020C2">
        <w:t xml:space="preserve">ITU-T improved the </w:t>
      </w:r>
      <w:proofErr w:type="spellStart"/>
      <w:r w:rsidRPr="00C020C2">
        <w:t>ITUSearch</w:t>
      </w:r>
      <w:proofErr w:type="spellEnd"/>
      <w:r w:rsidRPr="00C020C2">
        <w:t xml:space="preserve"> user experience. It now follows ITU design guidelines,</w:t>
      </w:r>
      <w:r w:rsidR="003D4E8A" w:rsidRPr="00C020C2">
        <w:t xml:space="preserve"> with</w:t>
      </w:r>
      <w:r w:rsidRPr="00C020C2">
        <w:t xml:space="preserve"> filters easier to use, and on-screen instructions assist</w:t>
      </w:r>
      <w:r w:rsidR="003D4E8A" w:rsidRPr="00C020C2">
        <w:t>ing</w:t>
      </w:r>
      <w:r w:rsidRPr="00C020C2">
        <w:t xml:space="preserve"> users. </w:t>
      </w:r>
    </w:p>
    <w:p w14:paraId="125B8A12" w14:textId="08AB7915" w:rsidR="0011467A" w:rsidRPr="00C020C2" w:rsidRDefault="0011467A" w:rsidP="002A7955">
      <w:pPr>
        <w:spacing w:after="120"/>
        <w:jc w:val="both"/>
        <w:rPr>
          <w:color w:val="0000FF"/>
          <w:u w:val="single"/>
          <w:lang w:eastAsia="zh-CN"/>
        </w:rPr>
      </w:pPr>
      <w:r w:rsidRPr="00C020C2">
        <w:rPr>
          <w:rFonts w:eastAsia="Calibri"/>
          <w:b/>
        </w:rPr>
        <w:t>Indigenous people</w:t>
      </w:r>
    </w:p>
    <w:p w14:paraId="5CCCA157" w14:textId="1ABD118E" w:rsidR="0011467A" w:rsidRPr="00C020C2" w:rsidRDefault="0011467A" w:rsidP="002A7955">
      <w:pPr>
        <w:spacing w:after="120"/>
        <w:jc w:val="both"/>
        <w:rPr>
          <w:rFonts w:eastAsia="Calibri"/>
        </w:rPr>
      </w:pPr>
      <w:r w:rsidRPr="00C020C2">
        <w:rPr>
          <w:rFonts w:eastAsia="Calibri"/>
        </w:rPr>
        <w:t xml:space="preserve">A </w:t>
      </w:r>
      <w:hyperlink r:id="rId125" w:history="1">
        <w:r w:rsidRPr="00C020C2">
          <w:rPr>
            <w:rStyle w:val="Hyperlink"/>
            <w:rFonts w:eastAsia="Calibri"/>
          </w:rPr>
          <w:t>1st on-line training programme</w:t>
        </w:r>
      </w:hyperlink>
      <w:r w:rsidRPr="00C020C2">
        <w:rPr>
          <w:rFonts w:eastAsia="Calibri"/>
        </w:rPr>
        <w:t xml:space="preserve"> “Innovative communication tools to strengthen the capacities of indigenous communities with a focus on how to develop, manage, and operate community Networks</w:t>
      </w:r>
      <w:r w:rsidR="00D638BE" w:rsidRPr="00C020C2">
        <w:rPr>
          <w:rFonts w:eastAsia="Calibri"/>
        </w:rPr>
        <w:t xml:space="preserve">” was delivered through the ITU Academy, drawing </w:t>
      </w:r>
      <w:r w:rsidRPr="00C020C2">
        <w:rPr>
          <w:rFonts w:eastAsia="Calibri"/>
        </w:rPr>
        <w:t xml:space="preserve">200 inscriptions from </w:t>
      </w:r>
      <w:r w:rsidRPr="00C020C2">
        <w:rPr>
          <w:rFonts w:eastAsia="Calibri"/>
        </w:rPr>
        <w:lastRenderedPageBreak/>
        <w:t>Indigenous Peoples (45</w:t>
      </w:r>
      <w:r w:rsidR="00D638BE" w:rsidRPr="00C020C2">
        <w:rPr>
          <w:rFonts w:eastAsia="Calibri"/>
        </w:rPr>
        <w:t xml:space="preserve"> per cent </w:t>
      </w:r>
      <w:r w:rsidRPr="00C020C2">
        <w:rPr>
          <w:rFonts w:eastAsia="Calibri"/>
        </w:rPr>
        <w:t xml:space="preserve">women) </w:t>
      </w:r>
      <w:r w:rsidR="003D4E8A" w:rsidRPr="00C020C2">
        <w:rPr>
          <w:rFonts w:eastAsia="Calibri"/>
        </w:rPr>
        <w:t xml:space="preserve">across </w:t>
      </w:r>
      <w:r w:rsidRPr="00C020C2">
        <w:rPr>
          <w:rFonts w:eastAsia="Calibri"/>
        </w:rPr>
        <w:t xml:space="preserve">16 countries (Argentina, Bolivia, Brazil, Chile, Colombia, Costa Rica, Cuba, Ecuador, Guatemala, Honduras, Mexico, Nicaragua, Panama, Paraguay, Peru and Venezuela). </w:t>
      </w:r>
    </w:p>
    <w:p w14:paraId="3156676A" w14:textId="5DCCCB1E" w:rsidR="0011467A" w:rsidRPr="00C020C2" w:rsidRDefault="0011467A" w:rsidP="002A7955">
      <w:pPr>
        <w:spacing w:after="120"/>
        <w:jc w:val="both"/>
        <w:rPr>
          <w:rFonts w:eastAsia="Calibri"/>
        </w:rPr>
      </w:pPr>
      <w:r w:rsidRPr="00C020C2">
        <w:rPr>
          <w:rFonts w:eastAsia="Calibri"/>
        </w:rPr>
        <w:t xml:space="preserve">A </w:t>
      </w:r>
      <w:hyperlink r:id="rId126" w:history="1">
        <w:r w:rsidRPr="00C020C2">
          <w:rPr>
            <w:rStyle w:val="Hyperlink"/>
            <w:rFonts w:eastAsia="Calibri"/>
          </w:rPr>
          <w:t>2nd blended training programme</w:t>
        </w:r>
      </w:hyperlink>
      <w:r w:rsidRPr="00C020C2">
        <w:rPr>
          <w:rFonts w:eastAsia="Calibri"/>
        </w:rPr>
        <w:t xml:space="preserve"> “Managers in ICT Networks in Indigenous and Rural Communities in Latin America</w:t>
      </w:r>
      <w:r w:rsidR="00D638BE" w:rsidRPr="00C020C2">
        <w:rPr>
          <w:rFonts w:eastAsia="Calibri"/>
        </w:rPr>
        <w:t>” was delivered through ITU Academy and face-to-face in Colombia</w:t>
      </w:r>
      <w:r w:rsidRPr="00C020C2">
        <w:rPr>
          <w:rFonts w:eastAsia="Calibri"/>
        </w:rPr>
        <w:t xml:space="preserve">, graduating 40 professionals with a balanced number between men and women. </w:t>
      </w:r>
    </w:p>
    <w:p w14:paraId="5ACA1B0F" w14:textId="13DDB306" w:rsidR="0011467A" w:rsidRPr="00C020C2" w:rsidRDefault="00D638BE" w:rsidP="002A7955">
      <w:pPr>
        <w:spacing w:after="120"/>
        <w:jc w:val="both"/>
        <w:rPr>
          <w:rFonts w:eastAsia="Calibri"/>
        </w:rPr>
      </w:pPr>
      <w:r w:rsidRPr="00C020C2">
        <w:rPr>
          <w:rFonts w:eastAsia="Calibri"/>
        </w:rPr>
        <w:t xml:space="preserve">The 2023 edition of the </w:t>
      </w:r>
      <w:r w:rsidR="00F322C6" w:rsidRPr="00C020C2">
        <w:rPr>
          <w:rFonts w:eastAsia="Calibri"/>
        </w:rPr>
        <w:t>I</w:t>
      </w:r>
      <w:r w:rsidRPr="00C020C2">
        <w:rPr>
          <w:rFonts w:eastAsia="Calibri"/>
        </w:rPr>
        <w:t xml:space="preserve">ndigenous training on Managers in ICT Networks in Indigenous and Rural Communities in Latin America was launched to ensure the evolving needs and requirements of Indigenous and remote communities are met. </w:t>
      </w:r>
      <w:r w:rsidR="0011467A" w:rsidRPr="00C020C2">
        <w:rPr>
          <w:rFonts w:eastAsia="Calibri"/>
        </w:rPr>
        <w:t xml:space="preserve"> </w:t>
      </w:r>
    </w:p>
    <w:p w14:paraId="50E550AF" w14:textId="695F3FC8" w:rsidR="0011467A" w:rsidRPr="00C020C2" w:rsidRDefault="0011467A" w:rsidP="002A7955">
      <w:pPr>
        <w:spacing w:after="120"/>
        <w:jc w:val="both"/>
        <w:rPr>
          <w:rFonts w:eastAsia="Calibri"/>
        </w:rPr>
      </w:pPr>
      <w:r w:rsidRPr="00C020C2">
        <w:rPr>
          <w:rFonts w:eastAsia="Calibri"/>
        </w:rPr>
        <w:t xml:space="preserve">A </w:t>
      </w:r>
      <w:hyperlink r:id="rId127" w:history="1">
        <w:r w:rsidRPr="00C020C2">
          <w:rPr>
            <w:rStyle w:val="Hyperlink"/>
            <w:rFonts w:eastAsia="Calibri"/>
          </w:rPr>
          <w:t>WSIS Session</w:t>
        </w:r>
      </w:hyperlink>
      <w:r w:rsidRPr="00C020C2">
        <w:rPr>
          <w:rFonts w:eastAsia="Calibri"/>
        </w:rPr>
        <w:t xml:space="preserve"> was held </w:t>
      </w:r>
      <w:r w:rsidR="00CE748F" w:rsidRPr="00C020C2">
        <w:rPr>
          <w:rFonts w:eastAsia="Calibri"/>
        </w:rPr>
        <w:t xml:space="preserve">in March 2023 </w:t>
      </w:r>
      <w:r w:rsidRPr="00C020C2">
        <w:rPr>
          <w:rFonts w:eastAsia="Calibri"/>
        </w:rPr>
        <w:t xml:space="preserve">on </w:t>
      </w:r>
      <w:r w:rsidR="00CE748F" w:rsidRPr="00C020C2">
        <w:rPr>
          <w:rFonts w:eastAsia="Calibri"/>
        </w:rPr>
        <w:t>“</w:t>
      </w:r>
      <w:r w:rsidRPr="00C020C2">
        <w:rPr>
          <w:rFonts w:eastAsia="Calibri"/>
        </w:rPr>
        <w:t>Capacity Building and Enabling Environments for Meaningful Access in Indigenous and Rural Communities</w:t>
      </w:r>
      <w:r w:rsidR="00CE748F" w:rsidRPr="00C020C2">
        <w:rPr>
          <w:rFonts w:eastAsia="Calibri"/>
        </w:rPr>
        <w:t>”</w:t>
      </w:r>
      <w:r w:rsidR="00F322C6" w:rsidRPr="00C020C2">
        <w:rPr>
          <w:rFonts w:eastAsia="Calibri"/>
        </w:rPr>
        <w:t xml:space="preserve">, where </w:t>
      </w:r>
      <w:r w:rsidRPr="00C020C2">
        <w:rPr>
          <w:rFonts w:eastAsia="Calibri"/>
        </w:rPr>
        <w:t xml:space="preserve">ITU shared </w:t>
      </w:r>
      <w:r w:rsidR="00F322C6" w:rsidRPr="00C020C2">
        <w:rPr>
          <w:rFonts w:eastAsia="Calibri"/>
        </w:rPr>
        <w:t xml:space="preserve">its </w:t>
      </w:r>
      <w:r w:rsidRPr="00C020C2">
        <w:rPr>
          <w:rFonts w:eastAsia="Calibri"/>
        </w:rPr>
        <w:t xml:space="preserve">experience and lessons learned </w:t>
      </w:r>
      <w:r w:rsidR="00F322C6" w:rsidRPr="00C020C2">
        <w:rPr>
          <w:rFonts w:eastAsia="Calibri"/>
        </w:rPr>
        <w:t xml:space="preserve">over </w:t>
      </w:r>
      <w:r w:rsidR="00CE748F" w:rsidRPr="00C020C2">
        <w:rPr>
          <w:rFonts w:eastAsia="Calibri"/>
        </w:rPr>
        <w:t xml:space="preserve">the last </w:t>
      </w:r>
      <w:r w:rsidR="00F322C6" w:rsidRPr="00C020C2">
        <w:rPr>
          <w:rFonts w:eastAsia="Calibri"/>
        </w:rPr>
        <w:t xml:space="preserve">18 </w:t>
      </w:r>
      <w:r w:rsidRPr="00C020C2">
        <w:rPr>
          <w:rFonts w:eastAsia="Calibri"/>
        </w:rPr>
        <w:t xml:space="preserve">years </w:t>
      </w:r>
      <w:r w:rsidR="00F322C6" w:rsidRPr="00C020C2">
        <w:rPr>
          <w:rFonts w:eastAsia="Calibri"/>
        </w:rPr>
        <w:t>in promoting</w:t>
      </w:r>
      <w:r w:rsidRPr="00C020C2">
        <w:rPr>
          <w:rFonts w:eastAsia="Calibri"/>
        </w:rPr>
        <w:t xml:space="preserve"> digital inclusion for Indigenous and remote communities</w:t>
      </w:r>
      <w:r w:rsidR="00F322C6" w:rsidRPr="00C020C2">
        <w:rPr>
          <w:rFonts w:eastAsia="Calibri"/>
        </w:rPr>
        <w:t xml:space="preserve">. </w:t>
      </w:r>
    </w:p>
    <w:p w14:paraId="08552717" w14:textId="57F90DC3" w:rsidR="0011467A" w:rsidRPr="00C020C2" w:rsidRDefault="006E1E1D" w:rsidP="002A7955">
      <w:pPr>
        <w:spacing w:after="120"/>
        <w:rPr>
          <w:b/>
        </w:rPr>
      </w:pPr>
      <w:r w:rsidRPr="00C020C2">
        <w:rPr>
          <w:b/>
        </w:rPr>
        <w:t>Ageing populations</w:t>
      </w:r>
    </w:p>
    <w:p w14:paraId="45C944D8" w14:textId="6643DAE8" w:rsidR="0011467A" w:rsidRPr="00C020C2" w:rsidRDefault="0011467A" w:rsidP="002A7955">
      <w:pPr>
        <w:spacing w:after="120"/>
        <w:jc w:val="both"/>
        <w:rPr>
          <w:rFonts w:eastAsia="Calibri"/>
          <w:lang w:val="en-US"/>
        </w:rPr>
      </w:pPr>
      <w:r w:rsidRPr="00C020C2">
        <w:rPr>
          <w:rFonts w:eastAsia="Calibri"/>
          <w:color w:val="000000" w:themeColor="text1"/>
          <w:lang w:val="en-US"/>
        </w:rPr>
        <w:t xml:space="preserve">By 2050, the </w:t>
      </w:r>
      <w:r w:rsidR="00CE748F" w:rsidRPr="00C020C2">
        <w:rPr>
          <w:rFonts w:eastAsia="Calibri"/>
          <w:color w:val="000000" w:themeColor="text1"/>
          <w:lang w:val="en-US"/>
        </w:rPr>
        <w:t xml:space="preserve">world’s </w:t>
      </w:r>
      <w:r w:rsidRPr="00C020C2">
        <w:rPr>
          <w:rFonts w:eastAsia="Calibri"/>
          <w:color w:val="000000" w:themeColor="text1"/>
          <w:lang w:val="en-US"/>
        </w:rPr>
        <w:t>population of people aged 60 years and older will double (2.1 billion)</w:t>
      </w:r>
      <w:r w:rsidRPr="00C020C2">
        <w:rPr>
          <w:rFonts w:eastAsia="Calibri"/>
          <w:lang w:val="en-US"/>
        </w:rPr>
        <w:t>. In the context of the two global mega trends</w:t>
      </w:r>
      <w:r w:rsidR="00CE748F" w:rsidRPr="00C020C2">
        <w:rPr>
          <w:rFonts w:eastAsia="Calibri"/>
          <w:lang w:val="en-US"/>
        </w:rPr>
        <w:t xml:space="preserve"> – </w:t>
      </w:r>
      <w:r w:rsidRPr="00C020C2">
        <w:rPr>
          <w:rFonts w:eastAsia="Calibri"/>
          <w:lang w:val="en-US"/>
        </w:rPr>
        <w:t>population ageing and the rise of technology</w:t>
      </w:r>
      <w:r w:rsidR="00CE748F" w:rsidRPr="00C020C2">
        <w:rPr>
          <w:rFonts w:eastAsia="Calibri"/>
          <w:lang w:val="en-US"/>
        </w:rPr>
        <w:t xml:space="preserve"> – </w:t>
      </w:r>
      <w:r w:rsidRPr="00C020C2">
        <w:rPr>
          <w:rFonts w:eastAsia="Calibri"/>
          <w:lang w:val="en-US"/>
        </w:rPr>
        <w:t xml:space="preserve">the socio-economic landscape will face significant </w:t>
      </w:r>
      <w:r w:rsidR="00B51B45" w:rsidRPr="00C020C2">
        <w:rPr>
          <w:rFonts w:eastAsia="Calibri"/>
          <w:lang w:val="en-US"/>
        </w:rPr>
        <w:t xml:space="preserve">change and </w:t>
      </w:r>
      <w:r w:rsidRPr="00C020C2">
        <w:rPr>
          <w:rFonts w:eastAsia="Calibri"/>
          <w:lang w:val="en-US"/>
        </w:rPr>
        <w:t xml:space="preserve">challenges. </w:t>
      </w:r>
    </w:p>
    <w:p w14:paraId="4D7B169B" w14:textId="2F7A5460" w:rsidR="0011467A" w:rsidRPr="00C020C2" w:rsidRDefault="0011467A" w:rsidP="002A7955">
      <w:pPr>
        <w:spacing w:after="120"/>
        <w:jc w:val="both"/>
        <w:rPr>
          <w:rFonts w:eastAsia="Calibri"/>
          <w:color w:val="000000" w:themeColor="text1"/>
          <w:lang w:val="en-US"/>
        </w:rPr>
      </w:pPr>
      <w:r w:rsidRPr="00C020C2">
        <w:rPr>
          <w:rFonts w:eastAsia="Calibri"/>
          <w:lang w:val="en-US"/>
        </w:rPr>
        <w:t>During the reporting period</w:t>
      </w:r>
      <w:r w:rsidR="00B51B45" w:rsidRPr="00C020C2">
        <w:rPr>
          <w:rFonts w:eastAsia="Calibri"/>
          <w:lang w:val="en-US"/>
        </w:rPr>
        <w:t xml:space="preserve"> and </w:t>
      </w:r>
      <w:r w:rsidRPr="00C020C2">
        <w:rPr>
          <w:rFonts w:eastAsia="Calibri"/>
          <w:lang w:val="en-US"/>
        </w:rPr>
        <w:t>in support of the UN Decade of Healthy Ageing 2021-2030</w:t>
      </w:r>
      <w:r w:rsidR="00B51B45" w:rsidRPr="00C020C2">
        <w:rPr>
          <w:rFonts w:eastAsia="Calibri"/>
          <w:lang w:val="en-US"/>
        </w:rPr>
        <w:t>,</w:t>
      </w:r>
      <w:r w:rsidRPr="00C020C2">
        <w:rPr>
          <w:rFonts w:eastAsia="Calibri"/>
          <w:lang w:val="en-US"/>
        </w:rPr>
        <w:t xml:space="preserve"> ITU-D shared subject matter expertise in digital inclusion through training, presentation, interventions and speaking slots in 17 thematic events and workshops on the topics related to </w:t>
      </w:r>
      <w:r w:rsidR="00B51B45" w:rsidRPr="00C020C2">
        <w:rPr>
          <w:rFonts w:eastAsia="Calibri"/>
          <w:lang w:val="en-US"/>
        </w:rPr>
        <w:t xml:space="preserve">older persons </w:t>
      </w:r>
      <w:r w:rsidRPr="00C020C2">
        <w:rPr>
          <w:rFonts w:eastAsia="Calibri"/>
          <w:lang w:val="en-US"/>
        </w:rPr>
        <w:t>including</w:t>
      </w:r>
      <w:r w:rsidR="00B51B45" w:rsidRPr="00C020C2">
        <w:rPr>
          <w:rFonts w:eastAsia="Calibri"/>
          <w:lang w:val="en-US"/>
        </w:rPr>
        <w:t xml:space="preserve">: </w:t>
      </w:r>
      <w:hyperlink r:id="rId128" w:history="1">
        <w:r w:rsidRPr="00C020C2">
          <w:rPr>
            <w:rStyle w:val="Hyperlink"/>
            <w:rFonts w:eastAsia="Calibri"/>
            <w:lang w:val="en-US"/>
          </w:rPr>
          <w:t>Leaving No One Behind in an Ageing World A UN DESA Global Policy Dialogue</w:t>
        </w:r>
      </w:hyperlink>
      <w:r w:rsidRPr="00C020C2">
        <w:rPr>
          <w:rFonts w:eastAsia="Calibri"/>
          <w:lang w:val="en-US"/>
        </w:rPr>
        <w:t>,</w:t>
      </w:r>
      <w:r w:rsidR="00331A37" w:rsidRPr="00C020C2">
        <w:rPr>
          <w:rFonts w:eastAsia="Calibri"/>
          <w:lang w:val="en-US"/>
        </w:rPr>
        <w:t xml:space="preserve"> </w:t>
      </w:r>
      <w:r w:rsidRPr="00C020C2">
        <w:rPr>
          <w:rFonts w:eastAsia="Calibri"/>
          <w:lang w:val="en-US"/>
        </w:rPr>
        <w:t>the</w:t>
      </w:r>
      <w:r w:rsidRPr="00C020C2">
        <w:rPr>
          <w:rFonts w:eastAsia="Calibri"/>
          <w:color w:val="333333"/>
          <w:lang w:val="en-US"/>
        </w:rPr>
        <w:t xml:space="preserve"> </w:t>
      </w:r>
      <w:hyperlink r:id="rId129" w:anchor="agendaDayTwoGeneva" w:history="1">
        <w:r w:rsidRPr="00C020C2">
          <w:rPr>
            <w:rStyle w:val="Hyperlink"/>
            <w:rFonts w:eastAsia="Calibri"/>
            <w:lang w:val="en-US"/>
          </w:rPr>
          <w:t>High-Level Forum on the Silver Economy 2022</w:t>
        </w:r>
      </w:hyperlink>
      <w:r w:rsidRPr="00C020C2">
        <w:rPr>
          <w:rFonts w:eastAsia="Calibri"/>
          <w:color w:val="000000" w:themeColor="text1"/>
          <w:lang w:val="en-US"/>
        </w:rPr>
        <w:t xml:space="preserve">, </w:t>
      </w:r>
      <w:r w:rsidR="00B51B45" w:rsidRPr="00C020C2">
        <w:rPr>
          <w:rFonts w:eastAsia="Calibri"/>
          <w:color w:val="000000" w:themeColor="text1"/>
          <w:lang w:val="en-US"/>
        </w:rPr>
        <w:t xml:space="preserve">a </w:t>
      </w:r>
      <w:r w:rsidRPr="00C020C2">
        <w:rPr>
          <w:rFonts w:eastAsia="Calibri"/>
          <w:color w:val="000000" w:themeColor="text1"/>
          <w:lang w:val="en-US"/>
        </w:rPr>
        <w:t>series of webinars on “</w:t>
      </w:r>
      <w:hyperlink r:id="rId130" w:history="1">
        <w:r w:rsidR="003D4E8A" w:rsidRPr="00C020C2">
          <w:rPr>
            <w:rStyle w:val="Hyperlink"/>
            <w:rFonts w:eastAsia="Calibri"/>
            <w:i/>
            <w:iCs/>
            <w:lang w:val="en-US"/>
          </w:rPr>
          <w:t>Mainstreaming Knowledge On Ageing</w:t>
        </w:r>
        <w:r w:rsidRPr="00C020C2">
          <w:rPr>
            <w:rStyle w:val="Hyperlink"/>
            <w:rFonts w:eastAsia="Calibri"/>
            <w:i/>
            <w:iCs/>
            <w:lang w:val="en-US"/>
          </w:rPr>
          <w:t xml:space="preserve"> - From Engagement </w:t>
        </w:r>
        <w:r w:rsidR="003D4E8A" w:rsidRPr="00C020C2">
          <w:rPr>
            <w:rStyle w:val="Hyperlink"/>
            <w:rFonts w:eastAsia="Calibri"/>
            <w:i/>
            <w:iCs/>
            <w:lang w:val="en-US"/>
          </w:rPr>
          <w:t xml:space="preserve">To </w:t>
        </w:r>
        <w:r w:rsidRPr="00C020C2">
          <w:rPr>
            <w:rStyle w:val="Hyperlink"/>
            <w:rFonts w:eastAsia="Calibri"/>
            <w:i/>
            <w:iCs/>
            <w:lang w:val="en-US"/>
          </w:rPr>
          <w:t xml:space="preserve">Action </w:t>
        </w:r>
        <w:r w:rsidR="003D4E8A" w:rsidRPr="00C020C2">
          <w:rPr>
            <w:rStyle w:val="Hyperlink"/>
            <w:rFonts w:eastAsia="Calibri"/>
            <w:i/>
            <w:iCs/>
            <w:lang w:val="en-US"/>
          </w:rPr>
          <w:t>In The Protection And Participation of Older Persons</w:t>
        </w:r>
        <w:r w:rsidRPr="00C020C2">
          <w:rPr>
            <w:rStyle w:val="Hyperlink"/>
            <w:rFonts w:eastAsia="Calibri"/>
            <w:i/>
            <w:iCs/>
            <w:lang w:val="en-US"/>
          </w:rPr>
          <w:t>”</w:t>
        </w:r>
      </w:hyperlink>
      <w:r w:rsidR="00B51B45" w:rsidRPr="00C020C2">
        <w:rPr>
          <w:rFonts w:eastAsia="Calibri"/>
          <w:color w:val="000000" w:themeColor="text1"/>
          <w:lang w:val="en-US"/>
        </w:rPr>
        <w:t xml:space="preserve">, </w:t>
      </w:r>
      <w:r w:rsidRPr="00C020C2">
        <w:rPr>
          <w:rFonts w:eastAsia="Calibri"/>
          <w:color w:val="000000" w:themeColor="text1"/>
          <w:lang w:val="en-US"/>
        </w:rPr>
        <w:t>a partnership of UN Agencies</w:t>
      </w:r>
      <w:r w:rsidR="00B51B45" w:rsidRPr="00C020C2">
        <w:rPr>
          <w:rFonts w:eastAsia="Calibri"/>
          <w:color w:val="000000" w:themeColor="text1"/>
          <w:lang w:val="en-US"/>
        </w:rPr>
        <w:t xml:space="preserve"> (</w:t>
      </w:r>
      <w:r w:rsidRPr="00C020C2">
        <w:rPr>
          <w:rFonts w:eastAsia="Calibri"/>
          <w:color w:val="000000" w:themeColor="text1"/>
          <w:lang w:val="en-US"/>
        </w:rPr>
        <w:t>IOM, ITU</w:t>
      </w:r>
      <w:r w:rsidR="00511A6D" w:rsidRPr="00C020C2">
        <w:rPr>
          <w:rFonts w:eastAsia="Calibri"/>
          <w:color w:val="000000" w:themeColor="text1"/>
          <w:lang w:val="en-US"/>
        </w:rPr>
        <w:t xml:space="preserve">, </w:t>
      </w:r>
      <w:r w:rsidRPr="00C020C2">
        <w:rPr>
          <w:rFonts w:eastAsia="Calibri"/>
          <w:color w:val="000000" w:themeColor="text1"/>
          <w:lang w:val="en-US"/>
        </w:rPr>
        <w:t>OHCHR,</w:t>
      </w:r>
      <w:r w:rsidR="00511A6D" w:rsidRPr="00C020C2">
        <w:rPr>
          <w:rFonts w:eastAsia="Calibri"/>
          <w:color w:val="000000" w:themeColor="text1"/>
          <w:lang w:val="en-US"/>
        </w:rPr>
        <w:t xml:space="preserve"> </w:t>
      </w:r>
      <w:r w:rsidRPr="00C020C2">
        <w:rPr>
          <w:rFonts w:eastAsia="Calibri"/>
          <w:color w:val="000000" w:themeColor="text1"/>
          <w:lang w:val="en-US"/>
        </w:rPr>
        <w:t>UN</w:t>
      </w:r>
      <w:r w:rsidR="00B51B45" w:rsidRPr="00C020C2">
        <w:rPr>
          <w:rFonts w:eastAsia="Calibri"/>
          <w:color w:val="000000" w:themeColor="text1"/>
          <w:lang w:val="en-US"/>
        </w:rPr>
        <w:t xml:space="preserve"> </w:t>
      </w:r>
      <w:r w:rsidRPr="00C020C2">
        <w:rPr>
          <w:rFonts w:eastAsia="Calibri"/>
          <w:color w:val="000000" w:themeColor="text1"/>
          <w:lang w:val="en-US"/>
        </w:rPr>
        <w:t xml:space="preserve">DESA, UNFPA, UNHCR, </w:t>
      </w:r>
      <w:r w:rsidR="00174489" w:rsidRPr="00C020C2">
        <w:rPr>
          <w:rFonts w:eastAsia="Calibri"/>
          <w:color w:val="000000" w:themeColor="text1"/>
          <w:lang w:val="en-US"/>
        </w:rPr>
        <w:t xml:space="preserve">UNITAR, </w:t>
      </w:r>
      <w:r w:rsidRPr="00C020C2">
        <w:rPr>
          <w:rFonts w:eastAsia="Calibri"/>
          <w:color w:val="000000" w:themeColor="text1"/>
          <w:lang w:val="en-US"/>
        </w:rPr>
        <w:t>UN</w:t>
      </w:r>
      <w:r w:rsidR="00B51B45" w:rsidRPr="00C020C2">
        <w:rPr>
          <w:rFonts w:eastAsia="Calibri"/>
          <w:color w:val="000000" w:themeColor="text1"/>
          <w:lang w:val="en-US"/>
        </w:rPr>
        <w:t xml:space="preserve"> </w:t>
      </w:r>
      <w:r w:rsidRPr="00C020C2">
        <w:rPr>
          <w:rFonts w:eastAsia="Calibri"/>
          <w:color w:val="000000" w:themeColor="text1"/>
          <w:lang w:val="en-US"/>
        </w:rPr>
        <w:t>WOMEN, WHO</w:t>
      </w:r>
      <w:r w:rsidR="00B51B45" w:rsidRPr="00C020C2">
        <w:rPr>
          <w:rFonts w:eastAsia="Calibri"/>
          <w:color w:val="000000" w:themeColor="text1"/>
          <w:lang w:val="en-US"/>
        </w:rPr>
        <w:t>)</w:t>
      </w:r>
      <w:r w:rsidRPr="00C020C2">
        <w:rPr>
          <w:rFonts w:eastAsia="Calibri"/>
          <w:color w:val="000000" w:themeColor="text1"/>
          <w:lang w:val="en-US"/>
        </w:rPr>
        <w:t xml:space="preserve"> and 7 civil society</w:t>
      </w:r>
      <w:r w:rsidR="00B51B45" w:rsidRPr="00C020C2">
        <w:rPr>
          <w:rFonts w:eastAsia="Calibri"/>
          <w:color w:val="000000" w:themeColor="text1"/>
          <w:lang w:val="en-US"/>
        </w:rPr>
        <w:t xml:space="preserve"> organizations</w:t>
      </w:r>
      <w:r w:rsidRPr="00C020C2">
        <w:rPr>
          <w:rFonts w:eastAsia="Calibri"/>
          <w:color w:val="000000" w:themeColor="text1"/>
          <w:lang w:val="en-US"/>
        </w:rPr>
        <w:t xml:space="preserve">. </w:t>
      </w:r>
      <w:r w:rsidRPr="00C020C2">
        <w:rPr>
          <w:rFonts w:eastAsia="Calibri"/>
          <w:color w:val="333333"/>
          <w:lang w:val="en-US"/>
        </w:rPr>
        <w:t>During these events</w:t>
      </w:r>
      <w:r w:rsidR="00B51B45" w:rsidRPr="00C020C2">
        <w:rPr>
          <w:rFonts w:eastAsia="Calibri"/>
          <w:color w:val="333333"/>
          <w:lang w:val="en-US"/>
        </w:rPr>
        <w:t>,</w:t>
      </w:r>
      <w:r w:rsidRPr="00C020C2">
        <w:rPr>
          <w:rFonts w:eastAsia="Calibri"/>
          <w:color w:val="333333"/>
          <w:lang w:val="en-US"/>
        </w:rPr>
        <w:t xml:space="preserve"> ITU-D work on </w:t>
      </w:r>
      <w:hyperlink r:id="rId131" w:history="1">
        <w:r w:rsidRPr="00C020C2">
          <w:rPr>
            <w:rStyle w:val="Hyperlink"/>
            <w:rFonts w:eastAsia="Calibri"/>
            <w:lang w:val="en-US"/>
          </w:rPr>
          <w:t>“Ageing in the digital world”,</w:t>
        </w:r>
      </w:hyperlink>
      <w:r w:rsidRPr="00C020C2">
        <w:rPr>
          <w:rFonts w:eastAsia="Calibri"/>
          <w:color w:val="000000" w:themeColor="text1"/>
          <w:lang w:val="en-US"/>
        </w:rPr>
        <w:t xml:space="preserve"> was also shared</w:t>
      </w:r>
      <w:r w:rsidR="00B51B45" w:rsidRPr="00C020C2">
        <w:rPr>
          <w:rFonts w:eastAsia="Calibri"/>
          <w:color w:val="000000" w:themeColor="text1"/>
          <w:lang w:val="en-US"/>
        </w:rPr>
        <w:t>.</w:t>
      </w:r>
      <w:r w:rsidRPr="00C020C2">
        <w:rPr>
          <w:rFonts w:eastAsia="Calibri"/>
          <w:lang w:val="en-US"/>
        </w:rPr>
        <w:t xml:space="preserve"> </w:t>
      </w:r>
    </w:p>
    <w:p w14:paraId="71CE648D" w14:textId="75918A6C" w:rsidR="0011467A" w:rsidRPr="00C020C2" w:rsidRDefault="0011467A" w:rsidP="002A7955">
      <w:pPr>
        <w:spacing w:after="120"/>
        <w:jc w:val="both"/>
        <w:rPr>
          <w:rFonts w:eastAsia="Calibri"/>
          <w:color w:val="000000" w:themeColor="text1"/>
          <w:lang w:val="en-US"/>
        </w:rPr>
      </w:pPr>
      <w:r w:rsidRPr="00C020C2">
        <w:rPr>
          <w:rFonts w:eastAsia="Calibri"/>
          <w:color w:val="000000" w:themeColor="text1"/>
          <w:lang w:val="en-US"/>
        </w:rPr>
        <w:t xml:space="preserve">To support the global efforts in </w:t>
      </w:r>
      <w:r w:rsidR="00511A6D" w:rsidRPr="00C020C2">
        <w:rPr>
          <w:rFonts w:eastAsia="Calibri"/>
          <w:color w:val="000000" w:themeColor="text1"/>
          <w:lang w:val="en-US"/>
        </w:rPr>
        <w:t xml:space="preserve">the </w:t>
      </w:r>
      <w:r w:rsidRPr="00C020C2">
        <w:rPr>
          <w:rFonts w:eastAsia="Calibri"/>
          <w:color w:val="000000" w:themeColor="text1"/>
          <w:lang w:val="en-US"/>
        </w:rPr>
        <w:t xml:space="preserve">implementation process, ITU-D also promoted resources such as the </w:t>
      </w:r>
      <w:hyperlink r:id="rId132" w:history="1">
        <w:r w:rsidRPr="00C020C2">
          <w:rPr>
            <w:rStyle w:val="Hyperlink"/>
            <w:rFonts w:eastAsia="Calibri"/>
            <w:lang w:val="en-US"/>
          </w:rPr>
          <w:t>Guidelines Report Ageing in the Digital World -from Vulnerable to Valuable</w:t>
        </w:r>
      </w:hyperlink>
      <w:r w:rsidRPr="00C020C2">
        <w:rPr>
          <w:rFonts w:eastAsia="Calibri"/>
          <w:color w:val="000000" w:themeColor="text1"/>
          <w:lang w:val="en-US"/>
        </w:rPr>
        <w:t xml:space="preserve">, and related video tutorials </w:t>
      </w:r>
      <w:r w:rsidRPr="00C020C2">
        <w:rPr>
          <w:rFonts w:eastAsia="Calibri"/>
          <w:lang w:val="en-US"/>
        </w:rPr>
        <w:t xml:space="preserve">available with captions in </w:t>
      </w:r>
      <w:hyperlink r:id="rId133" w:history="1">
        <w:r w:rsidRPr="00C020C2">
          <w:rPr>
            <w:rStyle w:val="Hyperlink"/>
            <w:rFonts w:eastAsia="Calibri"/>
            <w:lang w:val="en-US"/>
          </w:rPr>
          <w:t>Arabic</w:t>
        </w:r>
      </w:hyperlink>
      <w:r w:rsidRPr="00C020C2">
        <w:rPr>
          <w:rFonts w:eastAsia="Calibri"/>
          <w:color w:val="444444"/>
          <w:lang w:val="en-US"/>
        </w:rPr>
        <w:t xml:space="preserve">, </w:t>
      </w:r>
      <w:hyperlink r:id="rId134" w:history="1">
        <w:r w:rsidRPr="00C020C2">
          <w:rPr>
            <w:rStyle w:val="Hyperlink"/>
            <w:rFonts w:eastAsia="Calibri"/>
            <w:lang w:val="en-US"/>
          </w:rPr>
          <w:t>Chinese</w:t>
        </w:r>
      </w:hyperlink>
      <w:r w:rsidRPr="00C020C2">
        <w:rPr>
          <w:rFonts w:eastAsia="Calibri"/>
          <w:color w:val="444444"/>
          <w:lang w:val="en-US"/>
        </w:rPr>
        <w:t xml:space="preserve">, </w:t>
      </w:r>
      <w:hyperlink r:id="rId135" w:history="1">
        <w:r w:rsidRPr="00C020C2">
          <w:rPr>
            <w:rStyle w:val="Hyperlink"/>
            <w:rFonts w:eastAsia="Calibri"/>
            <w:lang w:val="en-US"/>
          </w:rPr>
          <w:t>English</w:t>
        </w:r>
      </w:hyperlink>
      <w:r w:rsidRPr="00C020C2">
        <w:rPr>
          <w:rFonts w:eastAsia="Calibri"/>
          <w:color w:val="444444"/>
          <w:lang w:val="en-US"/>
        </w:rPr>
        <w:t xml:space="preserve">, </w:t>
      </w:r>
      <w:hyperlink r:id="rId136" w:history="1">
        <w:r w:rsidRPr="00C020C2">
          <w:rPr>
            <w:rStyle w:val="Hyperlink"/>
            <w:rFonts w:eastAsia="Calibri"/>
            <w:lang w:val="en-US"/>
          </w:rPr>
          <w:t>French</w:t>
        </w:r>
      </w:hyperlink>
      <w:r w:rsidRPr="00C020C2">
        <w:rPr>
          <w:rFonts w:eastAsia="Calibri"/>
          <w:color w:val="444444"/>
          <w:lang w:val="en-US"/>
        </w:rPr>
        <w:t xml:space="preserve">, </w:t>
      </w:r>
      <w:hyperlink r:id="rId137" w:history="1">
        <w:r w:rsidRPr="00C020C2">
          <w:rPr>
            <w:rStyle w:val="Hyperlink"/>
            <w:rFonts w:eastAsia="Calibri"/>
            <w:lang w:val="en-US"/>
          </w:rPr>
          <w:t>Russian</w:t>
        </w:r>
      </w:hyperlink>
      <w:r w:rsidRPr="00C020C2">
        <w:rPr>
          <w:rFonts w:eastAsia="Calibri"/>
          <w:color w:val="444444"/>
          <w:lang w:val="en-US"/>
        </w:rPr>
        <w:t xml:space="preserve"> </w:t>
      </w:r>
      <w:r w:rsidRPr="00C020C2">
        <w:rPr>
          <w:rFonts w:eastAsia="Calibri"/>
          <w:lang w:val="en-US"/>
        </w:rPr>
        <w:t xml:space="preserve">and </w:t>
      </w:r>
      <w:hyperlink r:id="rId138" w:history="1">
        <w:r w:rsidRPr="00C020C2">
          <w:rPr>
            <w:rStyle w:val="Hyperlink"/>
            <w:rFonts w:eastAsia="Calibri"/>
            <w:lang w:val="en-US"/>
          </w:rPr>
          <w:t>Spanish</w:t>
        </w:r>
      </w:hyperlink>
      <w:r w:rsidRPr="00C020C2">
        <w:rPr>
          <w:rFonts w:eastAsia="Calibri"/>
          <w:color w:val="444444"/>
          <w:lang w:val="en-US"/>
        </w:rPr>
        <w:t>,</w:t>
      </w:r>
      <w:r w:rsidRPr="00C020C2">
        <w:rPr>
          <w:rFonts w:eastAsia="Calibri"/>
          <w:color w:val="000000" w:themeColor="text1"/>
          <w:lang w:val="en-US"/>
        </w:rPr>
        <w:t xml:space="preserve"> as well as the online self-paced training on </w:t>
      </w:r>
      <w:hyperlink r:id="rId139" w:history="1">
        <w:r w:rsidRPr="00C020C2">
          <w:rPr>
            <w:rStyle w:val="Hyperlink"/>
            <w:rFonts w:eastAsia="Calibri"/>
            <w:lang w:val="en-US"/>
          </w:rPr>
          <w:t>ICTs for better ageing and livelihood in the digital landscape</w:t>
        </w:r>
      </w:hyperlink>
      <w:r w:rsidRPr="00C020C2">
        <w:rPr>
          <w:rFonts w:eastAsia="Calibri"/>
          <w:color w:val="444444"/>
          <w:lang w:val="en-US"/>
        </w:rPr>
        <w:t xml:space="preserve">, </w:t>
      </w:r>
      <w:r w:rsidRPr="00C020C2">
        <w:rPr>
          <w:rFonts w:eastAsia="Calibri"/>
          <w:lang w:val="en-US"/>
        </w:rPr>
        <w:t xml:space="preserve">available in English, French and Spanish </w:t>
      </w:r>
      <w:r w:rsidRPr="00C020C2">
        <w:rPr>
          <w:rFonts w:eastAsia="Calibri"/>
          <w:color w:val="000000" w:themeColor="text1"/>
          <w:lang w:val="en-US"/>
        </w:rPr>
        <w:t>for ITU members and all involved stakeholders to strengthen their capacity on how to use ICTs to develop innovative solutions with economic and social benefits, assisting them in turning this challenge into opportunity.</w:t>
      </w:r>
    </w:p>
    <w:p w14:paraId="15F4652B" w14:textId="6E174522" w:rsidR="0011467A" w:rsidRPr="00C020C2" w:rsidRDefault="002B38AA" w:rsidP="00EE21B1">
      <w:pPr>
        <w:pStyle w:val="Heading2"/>
        <w:spacing w:before="240" w:after="120"/>
        <w:rPr>
          <w:sz w:val="22"/>
          <w:szCs w:val="22"/>
          <w:lang w:eastAsia="en-GB"/>
        </w:rPr>
      </w:pPr>
      <w:bookmarkStart w:id="54" w:name="_Toc37860463"/>
      <w:bookmarkStart w:id="55" w:name="_Toc37861224"/>
      <w:bookmarkStart w:id="56" w:name="_Toc37943347"/>
      <w:bookmarkStart w:id="57" w:name="_Toc137211296"/>
      <w:bookmarkStart w:id="58" w:name="Section_1_9"/>
      <w:r w:rsidRPr="00C020C2">
        <w:rPr>
          <w:lang w:eastAsia="en-GB"/>
        </w:rPr>
        <w:t>4</w:t>
      </w:r>
      <w:r w:rsidR="0011467A" w:rsidRPr="00C020C2">
        <w:rPr>
          <w:lang w:eastAsia="en-GB"/>
        </w:rPr>
        <w:t>.</w:t>
      </w:r>
      <w:r w:rsidRPr="00C020C2">
        <w:rPr>
          <w:lang w:eastAsia="en-GB"/>
        </w:rPr>
        <w:t>7</w:t>
      </w:r>
      <w:r w:rsidR="0011467A" w:rsidRPr="00C020C2">
        <w:rPr>
          <w:lang w:eastAsia="en-GB"/>
        </w:rPr>
        <w:tab/>
        <w:t>Strategic partnerships for SDGs</w:t>
      </w:r>
      <w:bookmarkEnd w:id="54"/>
      <w:bookmarkEnd w:id="55"/>
      <w:bookmarkEnd w:id="56"/>
      <w:bookmarkEnd w:id="57"/>
    </w:p>
    <w:bookmarkEnd w:id="58"/>
    <w:p w14:paraId="5BD9E47B" w14:textId="0C41FD8A" w:rsidR="0011467A" w:rsidRPr="00C020C2" w:rsidRDefault="0011467A" w:rsidP="002A7955">
      <w:pPr>
        <w:spacing w:after="120"/>
        <w:jc w:val="both"/>
      </w:pPr>
      <w:r w:rsidRPr="00C020C2">
        <w:t xml:space="preserve">Cooperation, resource-sharing and win-win arrangements that benefit governments, industry and users – coupled with a </w:t>
      </w:r>
      <w:r w:rsidR="00174489" w:rsidRPr="00C020C2">
        <w:t>“</w:t>
      </w:r>
      <w:r w:rsidRPr="00C020C2">
        <w:t>whole-of-</w:t>
      </w:r>
      <w:r w:rsidR="00174489" w:rsidRPr="00C020C2">
        <w:t xml:space="preserve">government” </w:t>
      </w:r>
      <w:r w:rsidRPr="00C020C2">
        <w:t xml:space="preserve">approach – </w:t>
      </w:r>
      <w:r w:rsidR="00511A6D" w:rsidRPr="00C020C2">
        <w:t xml:space="preserve">are </w:t>
      </w:r>
      <w:r w:rsidRPr="00C020C2">
        <w:t>help</w:t>
      </w:r>
      <w:r w:rsidR="00511A6D" w:rsidRPr="00C020C2">
        <w:t>ing</w:t>
      </w:r>
      <w:r w:rsidRPr="00C020C2">
        <w:t xml:space="preserve"> drive towards technology as a basic enabling service that benefits all. </w:t>
      </w:r>
      <w:r w:rsidR="00511A6D" w:rsidRPr="00C020C2">
        <w:t>As part of</w:t>
      </w:r>
      <w:r w:rsidRPr="00C020C2">
        <w:t xml:space="preserve"> this effort, ITU puts emphasis on forging strategic partnerships that deliver better outcomes, tangible results and real impact on the pathway to achieving the SDGs through ICTs.</w:t>
      </w:r>
    </w:p>
    <w:p w14:paraId="35648683" w14:textId="270CC88F" w:rsidR="0011467A" w:rsidRPr="00C020C2" w:rsidRDefault="0011467A" w:rsidP="002A7955">
      <w:pPr>
        <w:spacing w:after="120"/>
        <w:jc w:val="both"/>
      </w:pPr>
      <w:r w:rsidRPr="00C020C2">
        <w:t>This section summarizes key partnerships over the period of this report.</w:t>
      </w:r>
    </w:p>
    <w:p w14:paraId="6C891904" w14:textId="77777777" w:rsidR="0011467A" w:rsidRPr="00C020C2" w:rsidRDefault="59700F11" w:rsidP="002A7955">
      <w:pPr>
        <w:spacing w:after="120"/>
        <w:rPr>
          <w:b/>
          <w:bCs/>
          <w:color w:val="000000" w:themeColor="text1"/>
        </w:rPr>
      </w:pPr>
      <w:r w:rsidRPr="00C020C2">
        <w:rPr>
          <w:b/>
          <w:bCs/>
          <w:color w:val="000000" w:themeColor="text1"/>
        </w:rPr>
        <w:t>Partner2Connect</w:t>
      </w:r>
    </w:p>
    <w:p w14:paraId="189D3E37" w14:textId="4B36E749" w:rsidR="0011467A" w:rsidRPr="00C020C2" w:rsidRDefault="59700F11" w:rsidP="002A7955">
      <w:pPr>
        <w:spacing w:after="120"/>
        <w:jc w:val="both"/>
        <w:rPr>
          <w:color w:val="000000" w:themeColor="text1"/>
        </w:rPr>
      </w:pPr>
      <w:r w:rsidRPr="00C020C2">
        <w:rPr>
          <w:color w:val="000000" w:themeColor="text1"/>
        </w:rPr>
        <w:t xml:space="preserve">The </w:t>
      </w:r>
      <w:hyperlink r:id="rId140">
        <w:r w:rsidRPr="00C020C2">
          <w:rPr>
            <w:rStyle w:val="Hyperlink"/>
          </w:rPr>
          <w:t>Partner2Connect Digital Coalition</w:t>
        </w:r>
      </w:hyperlink>
      <w:r w:rsidRPr="00C020C2">
        <w:rPr>
          <w:color w:val="000000" w:themeColor="text1"/>
        </w:rPr>
        <w:t xml:space="preserve"> </w:t>
      </w:r>
      <w:r w:rsidR="00F40E65" w:rsidRPr="00C020C2">
        <w:rPr>
          <w:color w:val="000000" w:themeColor="text1"/>
        </w:rPr>
        <w:t xml:space="preserve">(see </w:t>
      </w:r>
      <w:r w:rsidR="00F46FDB" w:rsidRPr="00C020C2">
        <w:rPr>
          <w:color w:val="000000" w:themeColor="text1"/>
        </w:rPr>
        <w:t>Document</w:t>
      </w:r>
      <w:r w:rsidR="00F40E65" w:rsidRPr="00C020C2">
        <w:rPr>
          <w:color w:val="000000" w:themeColor="text1"/>
        </w:rPr>
        <w:t xml:space="preserve"> </w:t>
      </w:r>
      <w:hyperlink r:id="rId141" w:history="1">
        <w:r w:rsidR="00F40E65" w:rsidRPr="00C020C2">
          <w:rPr>
            <w:rStyle w:val="Hyperlink"/>
          </w:rPr>
          <w:t>C23/</w:t>
        </w:r>
        <w:r w:rsidR="00F46FDB" w:rsidRPr="00C020C2">
          <w:rPr>
            <w:rStyle w:val="Hyperlink"/>
          </w:rPr>
          <w:t>INF/8</w:t>
        </w:r>
      </w:hyperlink>
      <w:r w:rsidR="00F40E65" w:rsidRPr="00C020C2">
        <w:rPr>
          <w:color w:val="000000" w:themeColor="text1"/>
        </w:rPr>
        <w:t xml:space="preserve">) </w:t>
      </w:r>
      <w:r w:rsidRPr="00C020C2">
        <w:rPr>
          <w:color w:val="000000" w:themeColor="text1"/>
        </w:rPr>
        <w:t xml:space="preserve">is a multistakeholder alliance launched by ITU in close cooperation with the Office of the Secretary-General’s Envoy on Technology, </w:t>
      </w:r>
      <w:r w:rsidR="00C456F1" w:rsidRPr="00C020C2">
        <w:rPr>
          <w:color w:val="000000" w:themeColor="text1"/>
        </w:rPr>
        <w:t xml:space="preserve">the United Nations Office of the High Representative for the Least Developed </w:t>
      </w:r>
      <w:r w:rsidR="00C456F1" w:rsidRPr="00C020C2">
        <w:rPr>
          <w:color w:val="000000" w:themeColor="text1"/>
        </w:rPr>
        <w:lastRenderedPageBreak/>
        <w:t>Countries, Landlocked Developing Countries and Small Island Developing States (UN-OHRLLS)</w:t>
      </w:r>
      <w:r w:rsidRPr="00C020C2">
        <w:rPr>
          <w:color w:val="000000" w:themeColor="text1"/>
        </w:rPr>
        <w:t xml:space="preserve">, and in line with the UN Secretary-General’s Roadmap for Digital Cooperation. The Partner2Connect Digital Coalition fosters meaningful connectivity and digital transformation globally, with a focus on but not limited to </w:t>
      </w:r>
      <w:r w:rsidR="7405E554" w:rsidRPr="00C020C2">
        <w:rPr>
          <w:color w:val="000000" w:themeColor="text1"/>
        </w:rPr>
        <w:t xml:space="preserve">the </w:t>
      </w:r>
      <w:r w:rsidRPr="00C020C2">
        <w:rPr>
          <w:color w:val="000000" w:themeColor="text1"/>
        </w:rPr>
        <w:t xml:space="preserve">hardest-to-connect communities in LDCs, LLDCs and </w:t>
      </w:r>
      <w:r w:rsidR="360E8A3E" w:rsidRPr="00C020C2">
        <w:rPr>
          <w:color w:val="000000" w:themeColor="text1"/>
        </w:rPr>
        <w:t xml:space="preserve">small island developing states </w:t>
      </w:r>
      <w:r w:rsidRPr="00C020C2">
        <w:rPr>
          <w:color w:val="000000" w:themeColor="text1"/>
        </w:rPr>
        <w:t>(SIDS).</w:t>
      </w:r>
    </w:p>
    <w:p w14:paraId="6654A0A1" w14:textId="067800DA" w:rsidR="0011467A" w:rsidRPr="00C020C2" w:rsidRDefault="0011467A" w:rsidP="00A8341A">
      <w:pPr>
        <w:keepNext/>
        <w:keepLines/>
        <w:ind w:left="567" w:hanging="567"/>
        <w:outlineLvl w:val="4"/>
        <w:rPr>
          <w:b/>
          <w:szCs w:val="24"/>
        </w:rPr>
      </w:pPr>
      <w:r w:rsidRPr="00C020C2">
        <w:rPr>
          <w:b/>
          <w:szCs w:val="24"/>
        </w:rPr>
        <w:t xml:space="preserve">Broadband Commission – putting broadband firmly on the international policy </w:t>
      </w:r>
      <w:proofErr w:type="gramStart"/>
      <w:r w:rsidRPr="00C020C2">
        <w:rPr>
          <w:b/>
          <w:szCs w:val="24"/>
        </w:rPr>
        <w:t>agenda</w:t>
      </w:r>
      <w:proofErr w:type="gramEnd"/>
      <w:r w:rsidRPr="00C020C2">
        <w:rPr>
          <w:b/>
          <w:szCs w:val="24"/>
        </w:rPr>
        <w:t xml:space="preserve"> </w:t>
      </w:r>
    </w:p>
    <w:p w14:paraId="2A498EFF" w14:textId="6413D5C6" w:rsidR="3CCCA10F" w:rsidRPr="00C020C2" w:rsidRDefault="3EF3C52C" w:rsidP="00A8341A">
      <w:pPr>
        <w:jc w:val="both"/>
        <w:rPr>
          <w:color w:val="000000" w:themeColor="text1"/>
          <w:szCs w:val="24"/>
        </w:rPr>
      </w:pPr>
      <w:r w:rsidRPr="00C020C2">
        <w:rPr>
          <w:color w:val="000000" w:themeColor="text1"/>
          <w:szCs w:val="24"/>
        </w:rPr>
        <w:t xml:space="preserve">The Broadband Commission for Sustainable Development was established in 2010 by ITU and UNESCO </w:t>
      </w:r>
      <w:r w:rsidR="7F577438" w:rsidRPr="00C020C2">
        <w:rPr>
          <w:color w:val="000000" w:themeColor="text1"/>
          <w:szCs w:val="24"/>
        </w:rPr>
        <w:t xml:space="preserve">to </w:t>
      </w:r>
      <w:r w:rsidRPr="00C020C2">
        <w:rPr>
          <w:color w:val="000000" w:themeColor="text1"/>
          <w:szCs w:val="24"/>
        </w:rPr>
        <w:t>boost</w:t>
      </w:r>
      <w:r w:rsidR="7F577438" w:rsidRPr="00C020C2">
        <w:rPr>
          <w:color w:val="000000" w:themeColor="text1"/>
          <w:szCs w:val="24"/>
        </w:rPr>
        <w:t xml:space="preserve"> </w:t>
      </w:r>
      <w:r w:rsidRPr="00C020C2">
        <w:rPr>
          <w:color w:val="000000" w:themeColor="text1"/>
          <w:szCs w:val="24"/>
        </w:rPr>
        <w:t xml:space="preserve">the importance of broadband on the international policy agenda and expand broadband access in every country </w:t>
      </w:r>
      <w:r w:rsidR="7F577438" w:rsidRPr="00C020C2">
        <w:rPr>
          <w:color w:val="000000" w:themeColor="text1"/>
          <w:szCs w:val="24"/>
        </w:rPr>
        <w:t xml:space="preserve">– </w:t>
      </w:r>
      <w:r w:rsidRPr="00C020C2">
        <w:rPr>
          <w:color w:val="000000" w:themeColor="text1"/>
          <w:szCs w:val="24"/>
        </w:rPr>
        <w:t xml:space="preserve">key </w:t>
      </w:r>
      <w:r w:rsidR="7F577438" w:rsidRPr="00C020C2">
        <w:rPr>
          <w:color w:val="000000" w:themeColor="text1"/>
          <w:szCs w:val="24"/>
        </w:rPr>
        <w:t xml:space="preserve">in </w:t>
      </w:r>
      <w:r w:rsidRPr="00C020C2">
        <w:rPr>
          <w:color w:val="000000" w:themeColor="text1"/>
          <w:szCs w:val="24"/>
        </w:rPr>
        <w:t>accelerating progress towards national and international development targets. Led by</w:t>
      </w:r>
      <w:r w:rsidR="6B154EB0" w:rsidRPr="00C020C2">
        <w:rPr>
          <w:color w:val="000000" w:themeColor="text1"/>
          <w:szCs w:val="24"/>
        </w:rPr>
        <w:t xml:space="preserve"> H.E.</w:t>
      </w:r>
      <w:r w:rsidRPr="00C020C2">
        <w:rPr>
          <w:color w:val="000000" w:themeColor="text1"/>
          <w:szCs w:val="24"/>
        </w:rPr>
        <w:t xml:space="preserve"> President Paul Kagame of Rwanda and Carlos Slim </w:t>
      </w:r>
      <w:proofErr w:type="spellStart"/>
      <w:r w:rsidRPr="00C020C2">
        <w:rPr>
          <w:color w:val="000000" w:themeColor="text1"/>
          <w:szCs w:val="24"/>
        </w:rPr>
        <w:t>Helù</w:t>
      </w:r>
      <w:proofErr w:type="spellEnd"/>
      <w:r w:rsidRPr="00C020C2">
        <w:rPr>
          <w:color w:val="000000" w:themeColor="text1"/>
          <w:szCs w:val="24"/>
        </w:rPr>
        <w:t xml:space="preserve"> of Mexico, co-chaired by ITU’s Secretary-General and </w:t>
      </w:r>
      <w:r w:rsidR="6BD21082" w:rsidRPr="00C020C2">
        <w:rPr>
          <w:color w:val="000000" w:themeColor="text1"/>
          <w:szCs w:val="24"/>
        </w:rPr>
        <w:t xml:space="preserve">the </w:t>
      </w:r>
      <w:r w:rsidRPr="00C020C2">
        <w:rPr>
          <w:color w:val="000000" w:themeColor="text1"/>
          <w:szCs w:val="24"/>
        </w:rPr>
        <w:t>UNESCO Director-General</w:t>
      </w:r>
      <w:r w:rsidR="6BD21082" w:rsidRPr="00C020C2">
        <w:rPr>
          <w:color w:val="000000" w:themeColor="text1"/>
          <w:szCs w:val="24"/>
        </w:rPr>
        <w:t xml:space="preserve">, </w:t>
      </w:r>
      <w:r w:rsidR="1EF20F10" w:rsidRPr="00C020C2">
        <w:rPr>
          <w:color w:val="000000" w:themeColor="text1"/>
          <w:szCs w:val="24"/>
        </w:rPr>
        <w:t>i</w:t>
      </w:r>
      <w:r w:rsidR="4F70A186" w:rsidRPr="00C020C2">
        <w:rPr>
          <w:color w:val="000000" w:themeColor="text1"/>
          <w:szCs w:val="24"/>
        </w:rPr>
        <w:t xml:space="preserve">n 2022, the Broadband Commission community engaged over 50 Commissioners, including seven new members, over 150 external experts of the </w:t>
      </w:r>
      <w:r w:rsidR="5851E46C" w:rsidRPr="00C020C2">
        <w:rPr>
          <w:color w:val="000000" w:themeColor="text1"/>
          <w:szCs w:val="24"/>
        </w:rPr>
        <w:t>w</w:t>
      </w:r>
      <w:r w:rsidR="4F70A186" w:rsidRPr="00C020C2">
        <w:rPr>
          <w:color w:val="000000" w:themeColor="text1"/>
          <w:szCs w:val="24"/>
        </w:rPr>
        <w:t xml:space="preserve">orking </w:t>
      </w:r>
      <w:r w:rsidR="5851E46C" w:rsidRPr="00C020C2">
        <w:rPr>
          <w:color w:val="000000" w:themeColor="text1"/>
          <w:szCs w:val="24"/>
        </w:rPr>
        <w:t>g</w:t>
      </w:r>
      <w:r w:rsidR="4F70A186" w:rsidRPr="00C020C2">
        <w:rPr>
          <w:color w:val="000000" w:themeColor="text1"/>
          <w:szCs w:val="24"/>
        </w:rPr>
        <w:t xml:space="preserve">roups, and 15 strategic partners. </w:t>
      </w:r>
    </w:p>
    <w:p w14:paraId="4F89E2FC" w14:textId="5971EDEA" w:rsidR="4657FAC3" w:rsidRPr="00C020C2" w:rsidRDefault="3342558B" w:rsidP="00A8341A">
      <w:pPr>
        <w:jc w:val="both"/>
        <w:rPr>
          <w:color w:val="000000" w:themeColor="text1"/>
          <w:szCs w:val="24"/>
        </w:rPr>
      </w:pPr>
      <w:r w:rsidRPr="00C020C2">
        <w:rPr>
          <w:color w:val="000000" w:themeColor="text1"/>
          <w:szCs w:val="24"/>
        </w:rPr>
        <w:t xml:space="preserve">The Commission held </w:t>
      </w:r>
      <w:r w:rsidR="724D4EEA" w:rsidRPr="00C020C2">
        <w:rPr>
          <w:color w:val="000000" w:themeColor="text1"/>
          <w:szCs w:val="24"/>
        </w:rPr>
        <w:t xml:space="preserve">18 </w:t>
      </w:r>
      <w:r w:rsidR="77A66020" w:rsidRPr="00C020C2">
        <w:rPr>
          <w:color w:val="000000" w:themeColor="text1"/>
          <w:szCs w:val="24"/>
        </w:rPr>
        <w:t>a</w:t>
      </w:r>
      <w:r w:rsidR="01D0B150" w:rsidRPr="00C020C2">
        <w:rPr>
          <w:color w:val="000000" w:themeColor="text1"/>
          <w:szCs w:val="24"/>
        </w:rPr>
        <w:t xml:space="preserve">dvocacy </w:t>
      </w:r>
      <w:r w:rsidR="0191917D" w:rsidRPr="00C020C2">
        <w:rPr>
          <w:color w:val="000000" w:themeColor="text1"/>
          <w:szCs w:val="24"/>
        </w:rPr>
        <w:t>events</w:t>
      </w:r>
      <w:r w:rsidR="0CF4E2A6" w:rsidRPr="00C020C2">
        <w:rPr>
          <w:color w:val="000000" w:themeColor="text1"/>
          <w:szCs w:val="24"/>
        </w:rPr>
        <w:t>, selected</w:t>
      </w:r>
      <w:r w:rsidR="4B2FE90F" w:rsidRPr="00C020C2">
        <w:rPr>
          <w:color w:val="000000" w:themeColor="text1"/>
          <w:szCs w:val="24"/>
        </w:rPr>
        <w:t xml:space="preserve"> in cooperation with ITU </w:t>
      </w:r>
      <w:r w:rsidR="00491BE9" w:rsidRPr="00C020C2">
        <w:rPr>
          <w:color w:val="000000" w:themeColor="text1"/>
          <w:szCs w:val="24"/>
        </w:rPr>
        <w:t xml:space="preserve">and </w:t>
      </w:r>
      <w:r w:rsidR="4B2FE90F" w:rsidRPr="00C020C2">
        <w:rPr>
          <w:color w:val="000000" w:themeColor="text1"/>
          <w:szCs w:val="24"/>
        </w:rPr>
        <w:t>including relevant ITU conferences</w:t>
      </w:r>
      <w:r w:rsidR="00491BE9" w:rsidRPr="00C020C2">
        <w:rPr>
          <w:color w:val="000000" w:themeColor="text1"/>
          <w:szCs w:val="24"/>
        </w:rPr>
        <w:t xml:space="preserve"> – </w:t>
      </w:r>
      <w:r w:rsidR="00586693" w:rsidRPr="00C020C2">
        <w:rPr>
          <w:color w:val="000000" w:themeColor="text1"/>
          <w:szCs w:val="24"/>
        </w:rPr>
        <w:t>two</w:t>
      </w:r>
      <w:r w:rsidR="4657FAC3" w:rsidRPr="00C020C2">
        <w:rPr>
          <w:color w:val="000000" w:themeColor="text1"/>
          <w:szCs w:val="24"/>
        </w:rPr>
        <w:t xml:space="preserve"> </w:t>
      </w:r>
      <w:r w:rsidR="00586693" w:rsidRPr="00C020C2">
        <w:rPr>
          <w:color w:val="000000" w:themeColor="text1"/>
          <w:szCs w:val="24"/>
        </w:rPr>
        <w:t>in</w:t>
      </w:r>
      <w:r w:rsidR="4657FAC3" w:rsidRPr="00C020C2">
        <w:rPr>
          <w:color w:val="000000" w:themeColor="text1"/>
          <w:szCs w:val="24"/>
        </w:rPr>
        <w:t>-person meetings hosted by the Commission</w:t>
      </w:r>
      <w:r w:rsidR="6A94141C" w:rsidRPr="00C020C2">
        <w:rPr>
          <w:color w:val="000000" w:themeColor="text1"/>
          <w:szCs w:val="24"/>
        </w:rPr>
        <w:t xml:space="preserve"> </w:t>
      </w:r>
      <w:r w:rsidR="00586693" w:rsidRPr="00C020C2">
        <w:rPr>
          <w:color w:val="000000" w:themeColor="text1"/>
          <w:szCs w:val="24"/>
        </w:rPr>
        <w:t xml:space="preserve">and </w:t>
      </w:r>
      <w:r w:rsidR="6A94141C" w:rsidRPr="00C020C2">
        <w:rPr>
          <w:color w:val="000000" w:themeColor="text1"/>
          <w:szCs w:val="24"/>
        </w:rPr>
        <w:t xml:space="preserve">attended by ITU </w:t>
      </w:r>
      <w:r w:rsidR="00586693" w:rsidRPr="00C020C2">
        <w:rPr>
          <w:color w:val="000000" w:themeColor="text1"/>
          <w:szCs w:val="24"/>
        </w:rPr>
        <w:t>elected officials</w:t>
      </w:r>
      <w:r w:rsidR="34463E61" w:rsidRPr="00C020C2">
        <w:rPr>
          <w:color w:val="000000" w:themeColor="text1"/>
          <w:szCs w:val="24"/>
        </w:rPr>
        <w:t>:</w:t>
      </w:r>
    </w:p>
    <w:p w14:paraId="244CED3F" w14:textId="2C1DAEB9" w:rsidR="01D0B150" w:rsidRPr="00C020C2" w:rsidRDefault="00BD06CA" w:rsidP="00EE21B1">
      <w:pPr>
        <w:pStyle w:val="ListParagraph"/>
        <w:numPr>
          <w:ilvl w:val="0"/>
          <w:numId w:val="24"/>
        </w:numPr>
        <w:spacing w:line="257" w:lineRule="auto"/>
        <w:ind w:left="714" w:hanging="357"/>
        <w:contextualSpacing/>
        <w:rPr>
          <w:color w:val="000000" w:themeColor="text1"/>
          <w:sz w:val="24"/>
          <w:szCs w:val="24"/>
        </w:rPr>
      </w:pPr>
      <w:r w:rsidRPr="00C020C2">
        <w:rPr>
          <w:color w:val="000000" w:themeColor="text1"/>
          <w:sz w:val="24"/>
          <w:szCs w:val="24"/>
          <w:lang w:val="en-GB"/>
        </w:rPr>
        <w:t>A</w:t>
      </w:r>
      <w:proofErr w:type="spellStart"/>
      <w:r w:rsidR="00586693" w:rsidRPr="00C020C2">
        <w:rPr>
          <w:color w:val="000000" w:themeColor="text1"/>
          <w:sz w:val="24"/>
          <w:szCs w:val="24"/>
        </w:rPr>
        <w:t>nnual</w:t>
      </w:r>
      <w:proofErr w:type="spellEnd"/>
      <w:r w:rsidR="01D0B150" w:rsidRPr="00C020C2">
        <w:rPr>
          <w:color w:val="000000" w:themeColor="text1"/>
          <w:sz w:val="24"/>
          <w:szCs w:val="24"/>
        </w:rPr>
        <w:t xml:space="preserve"> </w:t>
      </w:r>
      <w:hyperlink r:id="rId142" w:history="1">
        <w:r w:rsidR="01D0B150" w:rsidRPr="00C020C2">
          <w:rPr>
            <w:rStyle w:val="Hyperlink"/>
            <w:sz w:val="24"/>
            <w:szCs w:val="24"/>
          </w:rPr>
          <w:t xml:space="preserve">Spring </w:t>
        </w:r>
        <w:r w:rsidR="00586693" w:rsidRPr="00C020C2">
          <w:rPr>
            <w:rStyle w:val="Hyperlink"/>
            <w:sz w:val="24"/>
            <w:szCs w:val="24"/>
          </w:rPr>
          <w:t>Meeting</w:t>
        </w:r>
      </w:hyperlink>
      <w:r w:rsidR="0C8EAFDE" w:rsidRPr="00C020C2">
        <w:rPr>
          <w:color w:val="000000" w:themeColor="text1"/>
          <w:sz w:val="24"/>
          <w:szCs w:val="24"/>
        </w:rPr>
        <w:t xml:space="preserve">, co-hosted by </w:t>
      </w:r>
      <w:r w:rsidR="79D4AC5A" w:rsidRPr="00C020C2">
        <w:rPr>
          <w:color w:val="000000" w:themeColor="text1"/>
          <w:sz w:val="24"/>
          <w:szCs w:val="24"/>
        </w:rPr>
        <w:t xml:space="preserve">Rwanda at the </w:t>
      </w:r>
      <w:r w:rsidR="7D62C96D" w:rsidRPr="00C020C2">
        <w:rPr>
          <w:color w:val="000000" w:themeColor="text1"/>
          <w:sz w:val="24"/>
          <w:szCs w:val="24"/>
        </w:rPr>
        <w:t>sidelines of the WTDC-22 in Kigali</w:t>
      </w:r>
      <w:r w:rsidR="008832E5" w:rsidRPr="00C020C2">
        <w:rPr>
          <w:color w:val="000000" w:themeColor="text1"/>
          <w:sz w:val="24"/>
          <w:szCs w:val="24"/>
        </w:rPr>
        <w:t>.</w:t>
      </w:r>
    </w:p>
    <w:p w14:paraId="64188CB9" w14:textId="2A95E2C6" w:rsidR="01D0B150" w:rsidRPr="00C020C2" w:rsidRDefault="00BD06CA" w:rsidP="00EE21B1">
      <w:pPr>
        <w:pStyle w:val="ListParagraph"/>
        <w:numPr>
          <w:ilvl w:val="0"/>
          <w:numId w:val="24"/>
        </w:numPr>
        <w:spacing w:line="257" w:lineRule="auto"/>
        <w:ind w:left="714" w:hanging="357"/>
        <w:contextualSpacing/>
        <w:rPr>
          <w:color w:val="000000" w:themeColor="text1"/>
          <w:sz w:val="24"/>
          <w:szCs w:val="24"/>
        </w:rPr>
      </w:pPr>
      <w:r w:rsidRPr="00C020C2">
        <w:rPr>
          <w:color w:val="000000" w:themeColor="text1"/>
          <w:sz w:val="24"/>
          <w:szCs w:val="24"/>
        </w:rPr>
        <w:t>A</w:t>
      </w:r>
      <w:r w:rsidR="008832E5" w:rsidRPr="00C020C2">
        <w:rPr>
          <w:color w:val="000000" w:themeColor="text1"/>
          <w:sz w:val="24"/>
          <w:szCs w:val="24"/>
        </w:rPr>
        <w:t>nnual</w:t>
      </w:r>
      <w:r w:rsidR="01D0B150" w:rsidRPr="00C020C2">
        <w:rPr>
          <w:color w:val="000000" w:themeColor="text1"/>
          <w:sz w:val="24"/>
          <w:szCs w:val="24"/>
        </w:rPr>
        <w:t xml:space="preserve"> </w:t>
      </w:r>
      <w:hyperlink r:id="rId143" w:history="1">
        <w:r w:rsidR="01D0B150" w:rsidRPr="00C020C2">
          <w:rPr>
            <w:rStyle w:val="Hyperlink"/>
            <w:sz w:val="24"/>
            <w:szCs w:val="24"/>
          </w:rPr>
          <w:t xml:space="preserve">Fall </w:t>
        </w:r>
        <w:r w:rsidR="008832E5" w:rsidRPr="00C020C2">
          <w:rPr>
            <w:rStyle w:val="Hyperlink"/>
            <w:sz w:val="24"/>
            <w:szCs w:val="24"/>
          </w:rPr>
          <w:t>Meeting</w:t>
        </w:r>
      </w:hyperlink>
      <w:r w:rsidR="008832E5" w:rsidRPr="00C020C2">
        <w:rPr>
          <w:color w:val="000000" w:themeColor="text1"/>
          <w:sz w:val="24"/>
          <w:szCs w:val="24"/>
        </w:rPr>
        <w:t xml:space="preserve"> </w:t>
      </w:r>
      <w:r w:rsidR="01D0B150" w:rsidRPr="00C020C2">
        <w:rPr>
          <w:color w:val="000000" w:themeColor="text1"/>
          <w:sz w:val="24"/>
          <w:szCs w:val="24"/>
        </w:rPr>
        <w:t>held in New York</w:t>
      </w:r>
      <w:r w:rsidR="008832E5" w:rsidRPr="00C020C2">
        <w:rPr>
          <w:color w:val="000000" w:themeColor="text1"/>
          <w:sz w:val="24"/>
          <w:szCs w:val="24"/>
        </w:rPr>
        <w:t>,</w:t>
      </w:r>
      <w:r w:rsidR="6A4FC2D1" w:rsidRPr="00C020C2">
        <w:rPr>
          <w:color w:val="000000" w:themeColor="text1"/>
          <w:sz w:val="24"/>
          <w:szCs w:val="24"/>
        </w:rPr>
        <w:t xml:space="preserve"> co-hosted by UNICEF </w:t>
      </w:r>
      <w:r w:rsidR="595C6B94" w:rsidRPr="00C020C2">
        <w:rPr>
          <w:color w:val="000000" w:themeColor="text1"/>
          <w:sz w:val="24"/>
          <w:szCs w:val="24"/>
        </w:rPr>
        <w:t>in conjunction with the UNGA-77</w:t>
      </w:r>
      <w:r w:rsidR="008832E5" w:rsidRPr="00C020C2">
        <w:rPr>
          <w:color w:val="000000" w:themeColor="text1"/>
          <w:sz w:val="24"/>
          <w:szCs w:val="24"/>
        </w:rPr>
        <w:t>.</w:t>
      </w:r>
    </w:p>
    <w:p w14:paraId="1AAF5E38" w14:textId="79C2B255" w:rsidR="3B01FAE9" w:rsidRPr="00C020C2" w:rsidRDefault="6AE91953" w:rsidP="00A8341A">
      <w:pPr>
        <w:rPr>
          <w:color w:val="000000" w:themeColor="text1"/>
          <w:szCs w:val="24"/>
        </w:rPr>
      </w:pPr>
      <w:r w:rsidRPr="00C020C2">
        <w:rPr>
          <w:color w:val="000000" w:themeColor="text1"/>
          <w:szCs w:val="24"/>
        </w:rPr>
        <w:t>T</w:t>
      </w:r>
      <w:r w:rsidR="03CBC175" w:rsidRPr="00C020C2">
        <w:rPr>
          <w:color w:val="000000" w:themeColor="text1"/>
          <w:szCs w:val="24"/>
        </w:rPr>
        <w:t>he Commission participated in 10 UN agency</w:t>
      </w:r>
      <w:r w:rsidR="7F577438" w:rsidRPr="00C020C2">
        <w:rPr>
          <w:color w:val="000000" w:themeColor="text1"/>
          <w:szCs w:val="24"/>
        </w:rPr>
        <w:t>-</w:t>
      </w:r>
      <w:r w:rsidR="03CBC175" w:rsidRPr="00C020C2">
        <w:rPr>
          <w:color w:val="000000" w:themeColor="text1"/>
          <w:szCs w:val="24"/>
        </w:rPr>
        <w:t>led events</w:t>
      </w:r>
      <w:r w:rsidR="2D13D0AA" w:rsidRPr="00C020C2">
        <w:rPr>
          <w:color w:val="000000" w:themeColor="text1"/>
          <w:szCs w:val="24"/>
        </w:rPr>
        <w:t xml:space="preserve"> </w:t>
      </w:r>
      <w:r w:rsidR="3FF49E7A" w:rsidRPr="00C020C2">
        <w:rPr>
          <w:color w:val="000000" w:themeColor="text1"/>
          <w:szCs w:val="24"/>
        </w:rPr>
        <w:t>(</w:t>
      </w:r>
      <w:r w:rsidR="36538E56" w:rsidRPr="00C020C2">
        <w:rPr>
          <w:color w:val="000000" w:themeColor="text1"/>
          <w:szCs w:val="24"/>
        </w:rPr>
        <w:t xml:space="preserve">including </w:t>
      </w:r>
      <w:r w:rsidR="3FF49E7A" w:rsidRPr="00C020C2">
        <w:rPr>
          <w:color w:val="000000" w:themeColor="text1"/>
          <w:szCs w:val="24"/>
        </w:rPr>
        <w:t xml:space="preserve">WSIS, </w:t>
      </w:r>
      <w:r w:rsidR="00A15880" w:rsidRPr="00C020C2">
        <w:rPr>
          <w:color w:val="000000" w:themeColor="text1"/>
          <w:szCs w:val="24"/>
        </w:rPr>
        <w:t>the</w:t>
      </w:r>
      <w:r w:rsidR="00A15880" w:rsidRPr="00C020C2">
        <w:rPr>
          <w:szCs w:val="24"/>
        </w:rPr>
        <w:t xml:space="preserve"> </w:t>
      </w:r>
      <w:r w:rsidR="00A15880" w:rsidRPr="00C020C2">
        <w:rPr>
          <w:color w:val="000000" w:themeColor="text1"/>
          <w:szCs w:val="24"/>
        </w:rPr>
        <w:t>UN Transforming Education Summit (</w:t>
      </w:r>
      <w:r w:rsidR="3FF49E7A" w:rsidRPr="00C020C2">
        <w:rPr>
          <w:color w:val="000000" w:themeColor="text1"/>
          <w:szCs w:val="24"/>
        </w:rPr>
        <w:t>TES</w:t>
      </w:r>
      <w:r w:rsidR="00A15880" w:rsidRPr="00C020C2">
        <w:rPr>
          <w:color w:val="000000" w:themeColor="text1"/>
          <w:szCs w:val="24"/>
        </w:rPr>
        <w:t>)</w:t>
      </w:r>
      <w:r w:rsidR="3FF49E7A" w:rsidRPr="00C020C2">
        <w:rPr>
          <w:color w:val="000000" w:themeColor="text1"/>
          <w:szCs w:val="24"/>
        </w:rPr>
        <w:t>,</w:t>
      </w:r>
      <w:r w:rsidR="00A15880" w:rsidRPr="00C020C2">
        <w:rPr>
          <w:color w:val="000000" w:themeColor="text1"/>
          <w:szCs w:val="24"/>
        </w:rPr>
        <w:t xml:space="preserve"> </w:t>
      </w:r>
      <w:r w:rsidR="00267EC0" w:rsidRPr="00C020C2">
        <w:rPr>
          <w:color w:val="000000" w:themeColor="text1"/>
          <w:szCs w:val="24"/>
        </w:rPr>
        <w:t xml:space="preserve">the United Nations High-level Political Forum on Sustainable Development </w:t>
      </w:r>
      <w:proofErr w:type="gramStart"/>
      <w:r w:rsidR="00267EC0" w:rsidRPr="00C020C2">
        <w:rPr>
          <w:color w:val="000000" w:themeColor="text1"/>
          <w:szCs w:val="24"/>
        </w:rPr>
        <w:t xml:space="preserve">( </w:t>
      </w:r>
      <w:r w:rsidR="3FF49E7A" w:rsidRPr="00C020C2">
        <w:rPr>
          <w:color w:val="000000" w:themeColor="text1"/>
          <w:szCs w:val="24"/>
        </w:rPr>
        <w:t>HLPF</w:t>
      </w:r>
      <w:proofErr w:type="gramEnd"/>
      <w:r w:rsidR="00267EC0" w:rsidRPr="00C020C2">
        <w:rPr>
          <w:color w:val="000000" w:themeColor="text1"/>
          <w:szCs w:val="24"/>
        </w:rPr>
        <w:t>)</w:t>
      </w:r>
      <w:r w:rsidR="3FF49E7A" w:rsidRPr="00C020C2">
        <w:rPr>
          <w:color w:val="000000" w:themeColor="text1"/>
          <w:szCs w:val="24"/>
        </w:rPr>
        <w:t xml:space="preserve">, </w:t>
      </w:r>
      <w:r w:rsidR="000E27D1" w:rsidRPr="00C020C2">
        <w:rPr>
          <w:color w:val="000000" w:themeColor="text1"/>
          <w:szCs w:val="24"/>
        </w:rPr>
        <w:t>and the</w:t>
      </w:r>
      <w:r w:rsidR="000E27D1" w:rsidRPr="00C020C2">
        <w:rPr>
          <w:szCs w:val="24"/>
        </w:rPr>
        <w:t xml:space="preserve"> </w:t>
      </w:r>
      <w:r w:rsidR="000E27D1" w:rsidRPr="00C020C2">
        <w:rPr>
          <w:color w:val="000000" w:themeColor="text1"/>
          <w:szCs w:val="24"/>
        </w:rPr>
        <w:t>Fifth United Nations Conference on the Least Developed Countries (</w:t>
      </w:r>
      <w:r w:rsidRPr="00C020C2">
        <w:rPr>
          <w:color w:val="000000" w:themeColor="text1"/>
          <w:szCs w:val="24"/>
        </w:rPr>
        <w:t>LDC5</w:t>
      </w:r>
      <w:r w:rsidR="000E27D1" w:rsidRPr="00C020C2">
        <w:rPr>
          <w:color w:val="000000" w:themeColor="text1"/>
          <w:szCs w:val="24"/>
        </w:rPr>
        <w:t>)</w:t>
      </w:r>
      <w:r w:rsidR="3FF49E7A" w:rsidRPr="00C020C2">
        <w:rPr>
          <w:color w:val="000000" w:themeColor="text1"/>
          <w:szCs w:val="24"/>
        </w:rPr>
        <w:t xml:space="preserve">) </w:t>
      </w:r>
      <w:r w:rsidR="2D13D0AA" w:rsidRPr="00C020C2">
        <w:rPr>
          <w:color w:val="000000" w:themeColor="text1"/>
          <w:szCs w:val="24"/>
        </w:rPr>
        <w:t>and</w:t>
      </w:r>
      <w:r w:rsidR="03CBC175" w:rsidRPr="00C020C2">
        <w:rPr>
          <w:color w:val="000000" w:themeColor="text1"/>
          <w:szCs w:val="24"/>
        </w:rPr>
        <w:t xml:space="preserve"> </w:t>
      </w:r>
      <w:r w:rsidRPr="00C020C2">
        <w:rPr>
          <w:color w:val="000000" w:themeColor="text1"/>
          <w:szCs w:val="24"/>
        </w:rPr>
        <w:t xml:space="preserve">six </w:t>
      </w:r>
      <w:r w:rsidR="64F7E4DA" w:rsidRPr="00C020C2">
        <w:rPr>
          <w:color w:val="000000" w:themeColor="text1"/>
          <w:szCs w:val="24"/>
        </w:rPr>
        <w:t>p</w:t>
      </w:r>
      <w:r w:rsidR="03CBC175" w:rsidRPr="00C020C2">
        <w:rPr>
          <w:color w:val="000000" w:themeColor="text1"/>
          <w:szCs w:val="24"/>
        </w:rPr>
        <w:t>rivate sector conferences</w:t>
      </w:r>
      <w:r w:rsidR="453A6EA3" w:rsidRPr="00C020C2">
        <w:rPr>
          <w:color w:val="000000" w:themeColor="text1"/>
          <w:szCs w:val="24"/>
        </w:rPr>
        <w:t>.</w:t>
      </w:r>
    </w:p>
    <w:p w14:paraId="7A1ACAC8" w14:textId="2ACF877E" w:rsidR="01C27836" w:rsidRPr="00C020C2" w:rsidRDefault="008832E5" w:rsidP="00A8341A">
      <w:pPr>
        <w:rPr>
          <w:color w:val="000000" w:themeColor="text1"/>
          <w:szCs w:val="24"/>
        </w:rPr>
      </w:pPr>
      <w:r w:rsidRPr="00C020C2">
        <w:rPr>
          <w:color w:val="000000" w:themeColor="text1"/>
          <w:szCs w:val="24"/>
        </w:rPr>
        <w:t>P</w:t>
      </w:r>
      <w:r w:rsidR="7F1FAF1B" w:rsidRPr="00C020C2">
        <w:rPr>
          <w:color w:val="000000" w:themeColor="text1"/>
          <w:szCs w:val="24"/>
        </w:rPr>
        <w:t>ublications</w:t>
      </w:r>
      <w:r w:rsidRPr="00C020C2">
        <w:rPr>
          <w:color w:val="000000" w:themeColor="text1"/>
          <w:szCs w:val="24"/>
        </w:rPr>
        <w:t xml:space="preserve">, </w:t>
      </w:r>
      <w:r w:rsidR="00E54FC2" w:rsidRPr="00C020C2">
        <w:rPr>
          <w:color w:val="000000" w:themeColor="text1"/>
          <w:szCs w:val="24"/>
        </w:rPr>
        <w:t>o</w:t>
      </w:r>
      <w:r w:rsidRPr="00C020C2">
        <w:rPr>
          <w:color w:val="000000" w:themeColor="text1"/>
          <w:szCs w:val="24"/>
        </w:rPr>
        <w:t xml:space="preserve">pen </w:t>
      </w:r>
      <w:r w:rsidR="00E54FC2" w:rsidRPr="00C020C2">
        <w:rPr>
          <w:color w:val="000000" w:themeColor="text1"/>
          <w:szCs w:val="24"/>
        </w:rPr>
        <w:t>s</w:t>
      </w:r>
      <w:r w:rsidRPr="00C020C2">
        <w:rPr>
          <w:color w:val="000000" w:themeColor="text1"/>
          <w:szCs w:val="24"/>
        </w:rPr>
        <w:t xml:space="preserve">tatements, </w:t>
      </w:r>
      <w:r w:rsidR="00E54FC2" w:rsidRPr="00C020C2">
        <w:rPr>
          <w:color w:val="000000" w:themeColor="text1"/>
          <w:szCs w:val="24"/>
        </w:rPr>
        <w:t>w</w:t>
      </w:r>
      <w:r w:rsidRPr="00C020C2">
        <w:rPr>
          <w:color w:val="000000" w:themeColor="text1"/>
          <w:szCs w:val="24"/>
        </w:rPr>
        <w:t xml:space="preserve">orking </w:t>
      </w:r>
      <w:r w:rsidR="00E54FC2" w:rsidRPr="00C020C2">
        <w:rPr>
          <w:color w:val="000000" w:themeColor="text1"/>
          <w:szCs w:val="24"/>
        </w:rPr>
        <w:t>g</w:t>
      </w:r>
      <w:r w:rsidRPr="00C020C2">
        <w:rPr>
          <w:color w:val="000000" w:themeColor="text1"/>
          <w:szCs w:val="24"/>
        </w:rPr>
        <w:t xml:space="preserve">roup reports, and SDG-related research </w:t>
      </w:r>
      <w:r w:rsidR="00491BE9" w:rsidRPr="00C020C2">
        <w:rPr>
          <w:color w:val="000000" w:themeColor="text1"/>
          <w:szCs w:val="24"/>
        </w:rPr>
        <w:t>across</w:t>
      </w:r>
      <w:r w:rsidRPr="00C020C2">
        <w:rPr>
          <w:color w:val="000000" w:themeColor="text1"/>
          <w:szCs w:val="24"/>
        </w:rPr>
        <w:t xml:space="preserve"> the reporting period</w:t>
      </w:r>
      <w:r w:rsidR="7F1FAF1B" w:rsidRPr="00C020C2">
        <w:rPr>
          <w:color w:val="000000" w:themeColor="text1"/>
          <w:szCs w:val="24"/>
        </w:rPr>
        <w:t xml:space="preserve"> </w:t>
      </w:r>
      <w:r w:rsidRPr="00C020C2">
        <w:rPr>
          <w:color w:val="000000" w:themeColor="text1"/>
          <w:szCs w:val="24"/>
        </w:rPr>
        <w:t>include</w:t>
      </w:r>
      <w:r w:rsidR="7F1FAF1B" w:rsidRPr="00C020C2">
        <w:rPr>
          <w:color w:val="000000" w:themeColor="text1"/>
          <w:szCs w:val="24"/>
        </w:rPr>
        <w:t xml:space="preserve">: </w:t>
      </w:r>
    </w:p>
    <w:p w14:paraId="6444F9A1" w14:textId="3767265C" w:rsidR="0011293F" w:rsidRPr="00C020C2" w:rsidRDefault="008832E5" w:rsidP="00A8341A">
      <w:pPr>
        <w:pStyle w:val="ListParagraph"/>
        <w:numPr>
          <w:ilvl w:val="0"/>
          <w:numId w:val="23"/>
        </w:numPr>
        <w:ind w:left="714" w:hanging="357"/>
        <w:contextualSpacing/>
        <w:rPr>
          <w:color w:val="000000" w:themeColor="text1"/>
          <w:sz w:val="24"/>
          <w:szCs w:val="24"/>
        </w:rPr>
      </w:pPr>
      <w:r w:rsidRPr="00C020C2">
        <w:rPr>
          <w:color w:val="000000" w:themeColor="text1"/>
          <w:sz w:val="24"/>
          <w:szCs w:val="24"/>
        </w:rPr>
        <w:t xml:space="preserve">The </w:t>
      </w:r>
      <w:hyperlink r:id="rId144" w:history="1">
        <w:r w:rsidR="7F1FAF1B" w:rsidRPr="00C020C2">
          <w:rPr>
            <w:rStyle w:val="Hyperlink"/>
            <w:sz w:val="24"/>
            <w:szCs w:val="24"/>
          </w:rPr>
          <w:t>State of Broadband Report</w:t>
        </w:r>
        <w:r w:rsidRPr="00C020C2">
          <w:rPr>
            <w:rStyle w:val="Hyperlink"/>
            <w:sz w:val="24"/>
            <w:szCs w:val="24"/>
          </w:rPr>
          <w:t xml:space="preserve"> 2022</w:t>
        </w:r>
      </w:hyperlink>
      <w:r w:rsidR="641032BA" w:rsidRPr="00C020C2">
        <w:rPr>
          <w:color w:val="000000" w:themeColor="text1"/>
          <w:sz w:val="24"/>
          <w:szCs w:val="24"/>
        </w:rPr>
        <w:t xml:space="preserve">, </w:t>
      </w:r>
      <w:r w:rsidR="641032BA" w:rsidRPr="00C020C2">
        <w:rPr>
          <w:i/>
          <w:color w:val="000000" w:themeColor="text1"/>
          <w:sz w:val="24"/>
          <w:szCs w:val="24"/>
        </w:rPr>
        <w:t>Accelerating Broadband for New Realities</w:t>
      </w:r>
      <w:r w:rsidR="641032BA" w:rsidRPr="00C020C2">
        <w:rPr>
          <w:color w:val="000000" w:themeColor="text1"/>
          <w:sz w:val="24"/>
          <w:szCs w:val="24"/>
        </w:rPr>
        <w:t xml:space="preserve">, </w:t>
      </w:r>
      <w:r w:rsidRPr="00C020C2">
        <w:rPr>
          <w:color w:val="000000" w:themeColor="text1"/>
          <w:sz w:val="24"/>
          <w:szCs w:val="24"/>
        </w:rPr>
        <w:t>the Commission’s annual flagship report</w:t>
      </w:r>
      <w:r w:rsidR="641032BA" w:rsidRPr="00C020C2">
        <w:rPr>
          <w:color w:val="000000" w:themeColor="text1"/>
          <w:sz w:val="24"/>
          <w:szCs w:val="24"/>
        </w:rPr>
        <w:t>.</w:t>
      </w:r>
    </w:p>
    <w:p w14:paraId="49EBE420" w14:textId="128270E2" w:rsidR="00D23B1B" w:rsidRPr="00C020C2" w:rsidRDefault="0011293F" w:rsidP="00A8341A">
      <w:pPr>
        <w:pStyle w:val="ListParagraph"/>
        <w:numPr>
          <w:ilvl w:val="0"/>
          <w:numId w:val="23"/>
        </w:numPr>
        <w:ind w:left="714" w:hanging="357"/>
        <w:contextualSpacing/>
        <w:rPr>
          <w:rFonts w:eastAsia="Calibri" w:cs="Calibri"/>
          <w:sz w:val="24"/>
          <w:szCs w:val="24"/>
        </w:rPr>
      </w:pPr>
      <w:r w:rsidRPr="00C020C2">
        <w:rPr>
          <w:sz w:val="24"/>
          <w:szCs w:val="24"/>
        </w:rPr>
        <w:t>Three</w:t>
      </w:r>
      <w:r w:rsidR="7F1FAF1B" w:rsidRPr="00C020C2">
        <w:rPr>
          <w:sz w:val="24"/>
          <w:szCs w:val="24"/>
        </w:rPr>
        <w:t xml:space="preserve"> </w:t>
      </w:r>
      <w:r w:rsidR="00E54FC2" w:rsidRPr="00C020C2">
        <w:rPr>
          <w:sz w:val="24"/>
          <w:szCs w:val="24"/>
        </w:rPr>
        <w:t xml:space="preserve">open statements </w:t>
      </w:r>
      <w:r w:rsidR="7F1FAF1B" w:rsidRPr="00C020C2">
        <w:rPr>
          <w:sz w:val="24"/>
          <w:szCs w:val="24"/>
        </w:rPr>
        <w:t>to UN processes and events</w:t>
      </w:r>
      <w:r w:rsidRPr="00C020C2">
        <w:rPr>
          <w:sz w:val="24"/>
          <w:szCs w:val="24"/>
        </w:rPr>
        <w:t xml:space="preserve"> (</w:t>
      </w:r>
      <w:hyperlink r:id="rId145" w:history="1">
        <w:r w:rsidRPr="00C020C2">
          <w:rPr>
            <w:rStyle w:val="Hyperlink"/>
            <w:sz w:val="24"/>
            <w:szCs w:val="24"/>
          </w:rPr>
          <w:t>TES</w:t>
        </w:r>
      </w:hyperlink>
      <w:r w:rsidRPr="00C020C2">
        <w:rPr>
          <w:sz w:val="24"/>
          <w:szCs w:val="24"/>
        </w:rPr>
        <w:t xml:space="preserve">, </w:t>
      </w:r>
      <w:hyperlink r:id="rId146" w:history="1">
        <w:r w:rsidRPr="00C020C2">
          <w:rPr>
            <w:rStyle w:val="Hyperlink"/>
            <w:sz w:val="24"/>
            <w:szCs w:val="24"/>
          </w:rPr>
          <w:t>HLPF</w:t>
        </w:r>
      </w:hyperlink>
      <w:r w:rsidRPr="00C020C2">
        <w:rPr>
          <w:sz w:val="24"/>
          <w:szCs w:val="24"/>
        </w:rPr>
        <w:t xml:space="preserve">, </w:t>
      </w:r>
      <w:hyperlink r:id="rId147" w:history="1">
        <w:r w:rsidRPr="00C020C2">
          <w:rPr>
            <w:rStyle w:val="Hyperlink"/>
            <w:sz w:val="24"/>
            <w:szCs w:val="24"/>
          </w:rPr>
          <w:t>LDC5</w:t>
        </w:r>
      </w:hyperlink>
      <w:r w:rsidRPr="00C020C2">
        <w:rPr>
          <w:sz w:val="24"/>
          <w:szCs w:val="24"/>
        </w:rPr>
        <w:t xml:space="preserve">), </w:t>
      </w:r>
      <w:hyperlink r:id="rId148" w:history="1">
        <w:r w:rsidR="7F1FAF1B" w:rsidRPr="00C020C2">
          <w:rPr>
            <w:rStyle w:val="Hyperlink"/>
            <w:sz w:val="24"/>
            <w:szCs w:val="24"/>
          </w:rPr>
          <w:t>SDG4 research compilation</w:t>
        </w:r>
      </w:hyperlink>
      <w:r w:rsidR="00491BE9" w:rsidRPr="00C020C2">
        <w:rPr>
          <w:sz w:val="24"/>
          <w:szCs w:val="24"/>
        </w:rPr>
        <w:t xml:space="preserve"> on Quality Education</w:t>
      </w:r>
      <w:r w:rsidR="00D23B1B" w:rsidRPr="00C020C2">
        <w:rPr>
          <w:sz w:val="24"/>
          <w:szCs w:val="24"/>
        </w:rPr>
        <w:t xml:space="preserve"> and </w:t>
      </w:r>
      <w:hyperlink r:id="rId149" w:history="1">
        <w:r w:rsidR="00D23B1B" w:rsidRPr="00C020C2">
          <w:rPr>
            <w:rStyle w:val="Hyperlink"/>
            <w:sz w:val="24"/>
            <w:szCs w:val="24"/>
          </w:rPr>
          <w:t>Recommendations on SDG5: Gender Equality</w:t>
        </w:r>
      </w:hyperlink>
      <w:r w:rsidR="00551DC0" w:rsidRPr="00C020C2">
        <w:rPr>
          <w:sz w:val="24"/>
          <w:szCs w:val="24"/>
        </w:rPr>
        <w:t xml:space="preserve">. </w:t>
      </w:r>
    </w:p>
    <w:p w14:paraId="0453D55B" w14:textId="2789FD10" w:rsidR="006444E5" w:rsidRPr="00C020C2" w:rsidRDefault="00D23B1B" w:rsidP="00A8341A">
      <w:pPr>
        <w:pStyle w:val="ListParagraph"/>
        <w:numPr>
          <w:ilvl w:val="0"/>
          <w:numId w:val="23"/>
        </w:numPr>
        <w:ind w:left="714" w:hanging="357"/>
        <w:contextualSpacing/>
        <w:rPr>
          <w:rFonts w:eastAsia="Calibri" w:cs="Calibri"/>
          <w:sz w:val="24"/>
          <w:szCs w:val="24"/>
        </w:rPr>
      </w:pPr>
      <w:r w:rsidRPr="00C020C2">
        <w:rPr>
          <w:rFonts w:eastAsia="Calibri" w:cs="Calibri"/>
          <w:sz w:val="24"/>
          <w:szCs w:val="24"/>
        </w:rPr>
        <w:t>Seven</w:t>
      </w:r>
      <w:r w:rsidR="75C53682" w:rsidRPr="00C020C2">
        <w:rPr>
          <w:rFonts w:eastAsia="Calibri" w:cs="Calibri"/>
          <w:sz w:val="24"/>
          <w:szCs w:val="24"/>
        </w:rPr>
        <w:t xml:space="preserve"> </w:t>
      </w:r>
      <w:r w:rsidR="00E54FC2" w:rsidRPr="00C020C2">
        <w:rPr>
          <w:rFonts w:eastAsia="Calibri" w:cs="Calibri"/>
          <w:sz w:val="24"/>
          <w:szCs w:val="24"/>
        </w:rPr>
        <w:t>working groups</w:t>
      </w:r>
      <w:r w:rsidRPr="00C020C2">
        <w:rPr>
          <w:rFonts w:eastAsia="Calibri" w:cs="Calibri"/>
          <w:sz w:val="24"/>
          <w:szCs w:val="24"/>
        </w:rPr>
        <w:t>,</w:t>
      </w:r>
      <w:r w:rsidR="75C53682" w:rsidRPr="00C020C2">
        <w:rPr>
          <w:rFonts w:eastAsia="Calibri" w:cs="Calibri"/>
          <w:sz w:val="24"/>
          <w:szCs w:val="24"/>
        </w:rPr>
        <w:t xml:space="preserve"> with </w:t>
      </w:r>
      <w:r w:rsidRPr="00C020C2">
        <w:rPr>
          <w:rFonts w:eastAsia="Calibri" w:cs="Calibri"/>
          <w:sz w:val="24"/>
          <w:szCs w:val="24"/>
        </w:rPr>
        <w:t xml:space="preserve">three </w:t>
      </w:r>
      <w:r w:rsidR="75C53682" w:rsidRPr="00C020C2">
        <w:rPr>
          <w:rFonts w:eastAsia="Calibri" w:cs="Calibri"/>
          <w:sz w:val="24"/>
          <w:szCs w:val="24"/>
        </w:rPr>
        <w:t>complet</w:t>
      </w:r>
      <w:r w:rsidRPr="00C020C2">
        <w:rPr>
          <w:rFonts w:eastAsia="Calibri" w:cs="Calibri"/>
          <w:sz w:val="24"/>
          <w:szCs w:val="24"/>
        </w:rPr>
        <w:t>ing</w:t>
      </w:r>
      <w:r w:rsidR="75C53682" w:rsidRPr="00C020C2">
        <w:rPr>
          <w:rFonts w:eastAsia="Calibri" w:cs="Calibri"/>
          <w:sz w:val="24"/>
          <w:szCs w:val="24"/>
        </w:rPr>
        <w:t xml:space="preserve"> </w:t>
      </w:r>
      <w:r w:rsidRPr="00C020C2">
        <w:rPr>
          <w:rFonts w:eastAsia="Calibri" w:cs="Calibri"/>
          <w:sz w:val="24"/>
          <w:szCs w:val="24"/>
        </w:rPr>
        <w:t xml:space="preserve">their </w:t>
      </w:r>
      <w:r w:rsidR="75C53682" w:rsidRPr="00C020C2">
        <w:rPr>
          <w:rFonts w:eastAsia="Calibri" w:cs="Calibri"/>
          <w:sz w:val="24"/>
          <w:szCs w:val="24"/>
        </w:rPr>
        <w:t xml:space="preserve">work: </w:t>
      </w:r>
      <w:hyperlink r:id="rId150" w:history="1">
        <w:r w:rsidR="75C53682" w:rsidRPr="00C020C2">
          <w:rPr>
            <w:rStyle w:val="Hyperlink"/>
            <w:rFonts w:eastAsia="Calibri" w:cs="Calibri"/>
            <w:sz w:val="24"/>
            <w:szCs w:val="24"/>
          </w:rPr>
          <w:t>AI capacity building</w:t>
        </w:r>
      </w:hyperlink>
      <w:r w:rsidR="75C53682" w:rsidRPr="00C020C2">
        <w:rPr>
          <w:rFonts w:eastAsia="Calibri" w:cs="Calibri"/>
          <w:sz w:val="24"/>
          <w:szCs w:val="24"/>
        </w:rPr>
        <w:t xml:space="preserve">, </w:t>
      </w:r>
      <w:hyperlink r:id="rId151" w:history="1">
        <w:r w:rsidR="75C53682" w:rsidRPr="00C020C2">
          <w:rPr>
            <w:rStyle w:val="Hyperlink"/>
            <w:rFonts w:eastAsia="Calibri" w:cs="Calibri"/>
            <w:sz w:val="24"/>
            <w:szCs w:val="24"/>
          </w:rPr>
          <w:t>smartphone access</w:t>
        </w:r>
      </w:hyperlink>
      <w:r w:rsidR="75C53682" w:rsidRPr="00C020C2">
        <w:rPr>
          <w:rFonts w:eastAsia="Calibri" w:cs="Calibri"/>
          <w:sz w:val="24"/>
          <w:szCs w:val="24"/>
        </w:rPr>
        <w:t xml:space="preserve">, and </w:t>
      </w:r>
      <w:hyperlink r:id="rId152" w:history="1">
        <w:r w:rsidR="75C53682" w:rsidRPr="00C020C2">
          <w:rPr>
            <w:rStyle w:val="Hyperlink"/>
            <w:rFonts w:eastAsia="Calibri" w:cs="Calibri"/>
            <w:sz w:val="24"/>
            <w:szCs w:val="24"/>
          </w:rPr>
          <w:t>virtual health and care</w:t>
        </w:r>
      </w:hyperlink>
      <w:r w:rsidR="75C53682" w:rsidRPr="00C020C2">
        <w:rPr>
          <w:rFonts w:eastAsia="Calibri" w:cs="Calibri"/>
          <w:sz w:val="24"/>
          <w:szCs w:val="24"/>
        </w:rPr>
        <w:t xml:space="preserve">. </w:t>
      </w:r>
      <w:r w:rsidRPr="00C020C2">
        <w:rPr>
          <w:rFonts w:eastAsia="Calibri" w:cs="Calibri"/>
          <w:sz w:val="24"/>
          <w:szCs w:val="24"/>
        </w:rPr>
        <w:t>Two</w:t>
      </w:r>
      <w:r w:rsidR="75C53682" w:rsidRPr="00C020C2">
        <w:rPr>
          <w:rFonts w:eastAsia="Calibri" w:cs="Calibri"/>
          <w:sz w:val="24"/>
          <w:szCs w:val="24"/>
        </w:rPr>
        <w:t xml:space="preserve"> </w:t>
      </w:r>
      <w:r w:rsidR="00E54FC2" w:rsidRPr="00C020C2">
        <w:rPr>
          <w:rFonts w:eastAsia="Calibri" w:cs="Calibri"/>
          <w:sz w:val="24"/>
          <w:szCs w:val="24"/>
        </w:rPr>
        <w:t xml:space="preserve">working groups </w:t>
      </w:r>
      <w:r w:rsidRPr="00C020C2">
        <w:rPr>
          <w:rFonts w:eastAsia="Calibri" w:cs="Calibri"/>
          <w:sz w:val="24"/>
          <w:szCs w:val="24"/>
        </w:rPr>
        <w:t xml:space="preserve">are </w:t>
      </w:r>
      <w:r w:rsidR="256B4D89" w:rsidRPr="00C020C2">
        <w:rPr>
          <w:rFonts w:eastAsia="Calibri" w:cs="Calibri"/>
          <w:sz w:val="24"/>
          <w:szCs w:val="24"/>
        </w:rPr>
        <w:t>in</w:t>
      </w:r>
      <w:r w:rsidR="75C53682" w:rsidRPr="00C020C2">
        <w:rPr>
          <w:rFonts w:eastAsia="Calibri" w:cs="Calibri"/>
          <w:sz w:val="24"/>
          <w:szCs w:val="24"/>
        </w:rPr>
        <w:t xml:space="preserve"> progress</w:t>
      </w:r>
      <w:r w:rsidR="67E79429" w:rsidRPr="00C020C2">
        <w:rPr>
          <w:rFonts w:eastAsia="Calibri" w:cs="Calibri"/>
          <w:sz w:val="24"/>
          <w:szCs w:val="24"/>
        </w:rPr>
        <w:t>:</w:t>
      </w:r>
      <w:r w:rsidR="75C53682" w:rsidRPr="00C020C2">
        <w:rPr>
          <w:rFonts w:eastAsia="Calibri" w:cs="Calibri"/>
          <w:sz w:val="24"/>
          <w:szCs w:val="24"/>
        </w:rPr>
        <w:t xml:space="preserve"> </w:t>
      </w:r>
      <w:hyperlink r:id="rId153" w:history="1">
        <w:r w:rsidR="75C53682" w:rsidRPr="00C020C2">
          <w:rPr>
            <w:rStyle w:val="Hyperlink"/>
            <w:rFonts w:eastAsia="Calibri" w:cs="Calibri"/>
            <w:sz w:val="24"/>
            <w:szCs w:val="24"/>
          </w:rPr>
          <w:t>data for learning</w:t>
        </w:r>
      </w:hyperlink>
      <w:r w:rsidR="75C53682" w:rsidRPr="00C020C2">
        <w:rPr>
          <w:rFonts w:eastAsia="Calibri" w:cs="Calibri"/>
          <w:sz w:val="24"/>
          <w:szCs w:val="24"/>
        </w:rPr>
        <w:t xml:space="preserve"> and </w:t>
      </w:r>
      <w:hyperlink r:id="rId154" w:history="1">
        <w:r w:rsidR="75C53682" w:rsidRPr="00C020C2">
          <w:rPr>
            <w:rStyle w:val="Hyperlink"/>
            <w:rFonts w:eastAsia="Calibri" w:cs="Calibri"/>
            <w:sz w:val="24"/>
            <w:szCs w:val="24"/>
          </w:rPr>
          <w:t>connecting MSMEs</w:t>
        </w:r>
      </w:hyperlink>
      <w:r w:rsidR="35C1B440" w:rsidRPr="00C020C2">
        <w:rPr>
          <w:rFonts w:eastAsia="Calibri" w:cs="Calibri"/>
          <w:sz w:val="24"/>
          <w:szCs w:val="24"/>
        </w:rPr>
        <w:t xml:space="preserve">. </w:t>
      </w:r>
    </w:p>
    <w:p w14:paraId="10F5DA62" w14:textId="6094E710" w:rsidR="006444E5" w:rsidRPr="00C020C2" w:rsidRDefault="00D23B1B" w:rsidP="00EE21B1">
      <w:pPr>
        <w:spacing w:after="120" w:line="257" w:lineRule="auto"/>
        <w:jc w:val="both"/>
        <w:rPr>
          <w:color w:val="000000" w:themeColor="text1"/>
          <w:szCs w:val="24"/>
        </w:rPr>
      </w:pPr>
      <w:r w:rsidRPr="00C020C2">
        <w:rPr>
          <w:color w:val="000000" w:themeColor="text1"/>
          <w:szCs w:val="24"/>
        </w:rPr>
        <w:t>Strategic outreach:</w:t>
      </w:r>
      <w:r w:rsidR="006444E5" w:rsidRPr="00C020C2">
        <w:rPr>
          <w:color w:val="000000" w:themeColor="text1"/>
          <w:szCs w:val="24"/>
        </w:rPr>
        <w:t xml:space="preserve"> the Commission gained </w:t>
      </w:r>
      <w:r w:rsidRPr="00C020C2">
        <w:rPr>
          <w:color w:val="000000" w:themeColor="text1"/>
          <w:szCs w:val="24"/>
        </w:rPr>
        <w:t xml:space="preserve">over </w:t>
      </w:r>
      <w:r w:rsidR="006444E5" w:rsidRPr="00C020C2">
        <w:rPr>
          <w:color w:val="000000" w:themeColor="text1"/>
          <w:szCs w:val="24"/>
        </w:rPr>
        <w:t xml:space="preserve">600 newsletter subscribers, </w:t>
      </w:r>
      <w:r w:rsidRPr="00C020C2">
        <w:rPr>
          <w:color w:val="000000" w:themeColor="text1"/>
          <w:szCs w:val="24"/>
        </w:rPr>
        <w:t xml:space="preserve">has more than </w:t>
      </w:r>
      <w:r w:rsidR="006444E5" w:rsidRPr="00C020C2">
        <w:rPr>
          <w:color w:val="000000" w:themeColor="text1"/>
          <w:szCs w:val="24"/>
        </w:rPr>
        <w:t>11</w:t>
      </w:r>
      <w:r w:rsidRPr="00C020C2">
        <w:rPr>
          <w:color w:val="000000" w:themeColor="text1"/>
          <w:szCs w:val="24"/>
        </w:rPr>
        <w:t xml:space="preserve"> </w:t>
      </w:r>
      <w:r w:rsidR="006444E5" w:rsidRPr="00C020C2">
        <w:rPr>
          <w:color w:val="000000" w:themeColor="text1"/>
          <w:szCs w:val="24"/>
        </w:rPr>
        <w:t>000 combined followers on Twitter, LinkedIn, and Facebook</w:t>
      </w:r>
      <w:r w:rsidR="00AA798D" w:rsidRPr="00C020C2">
        <w:rPr>
          <w:color w:val="000000" w:themeColor="text1"/>
          <w:szCs w:val="24"/>
        </w:rPr>
        <w:t>. O</w:t>
      </w:r>
      <w:r w:rsidRPr="00C020C2">
        <w:rPr>
          <w:color w:val="000000" w:themeColor="text1"/>
          <w:szCs w:val="24"/>
        </w:rPr>
        <w:t xml:space="preserve">ver 26 </w:t>
      </w:r>
      <w:r w:rsidR="006444E5" w:rsidRPr="00C020C2">
        <w:rPr>
          <w:color w:val="000000" w:themeColor="text1"/>
          <w:szCs w:val="24"/>
        </w:rPr>
        <w:t xml:space="preserve">000 readers have downloaded reports </w:t>
      </w:r>
      <w:r w:rsidRPr="00C020C2">
        <w:rPr>
          <w:color w:val="000000" w:themeColor="text1"/>
          <w:szCs w:val="24"/>
        </w:rPr>
        <w:t>in the reporting period</w:t>
      </w:r>
      <w:r w:rsidR="006444E5" w:rsidRPr="00C020C2">
        <w:rPr>
          <w:color w:val="000000" w:themeColor="text1"/>
          <w:szCs w:val="24"/>
        </w:rPr>
        <w:t>.</w:t>
      </w:r>
    </w:p>
    <w:p w14:paraId="5DFB5447" w14:textId="247B3CBE" w:rsidR="0011467A" w:rsidRPr="00C020C2" w:rsidRDefault="0011467A" w:rsidP="00A8341A">
      <w:pPr>
        <w:keepNext/>
        <w:keepLines/>
        <w:spacing w:after="120"/>
        <w:ind w:left="567" w:hanging="567"/>
        <w:outlineLvl w:val="4"/>
        <w:rPr>
          <w:b/>
          <w:szCs w:val="24"/>
        </w:rPr>
      </w:pPr>
      <w:r w:rsidRPr="00C020C2">
        <w:rPr>
          <w:b/>
          <w:szCs w:val="24"/>
        </w:rPr>
        <w:t xml:space="preserve">EQUALS – promoting access, skills and ICT leadership for women and </w:t>
      </w:r>
      <w:proofErr w:type="gramStart"/>
      <w:r w:rsidRPr="00C020C2">
        <w:rPr>
          <w:b/>
          <w:szCs w:val="24"/>
        </w:rPr>
        <w:t>girls</w:t>
      </w:r>
      <w:proofErr w:type="gramEnd"/>
    </w:p>
    <w:p w14:paraId="6BB1556A" w14:textId="52D0F40F" w:rsidR="4B11700A" w:rsidRPr="00C020C2" w:rsidRDefault="4B11700A" w:rsidP="00A8341A">
      <w:pPr>
        <w:spacing w:after="120"/>
        <w:jc w:val="both"/>
        <w:rPr>
          <w:rFonts w:eastAsia="Calibri" w:cs="Calibri"/>
          <w:szCs w:val="24"/>
        </w:rPr>
      </w:pPr>
      <w:r w:rsidRPr="00C020C2">
        <w:rPr>
          <w:rFonts w:eastAsia="Calibri" w:cs="Calibri"/>
          <w:szCs w:val="24"/>
        </w:rPr>
        <w:t xml:space="preserve">As a co-founding partner of the </w:t>
      </w:r>
      <w:hyperlink r:id="rId155" w:history="1">
        <w:r w:rsidRPr="00C020C2">
          <w:rPr>
            <w:rStyle w:val="Hyperlink"/>
            <w:rFonts w:eastAsia="Calibri" w:cs="Calibri"/>
            <w:szCs w:val="24"/>
          </w:rPr>
          <w:t>EQUALS</w:t>
        </w:r>
      </w:hyperlink>
      <w:r w:rsidRPr="00C020C2">
        <w:rPr>
          <w:rFonts w:eastAsia="Calibri" w:cs="Calibri"/>
          <w:szCs w:val="24"/>
        </w:rPr>
        <w:t xml:space="preserve"> Global Partnership for Gender Equality in the Digital Age, and as the partnership’s host agency, ITU supported efforts in the Access, Skills, Leadership and Research Coalitions in 2022, including becoming co-leader of the Skills Coalition with GSMA. EQUALS </w:t>
      </w:r>
      <w:r w:rsidR="00AA798D" w:rsidRPr="00C020C2">
        <w:rPr>
          <w:rFonts w:eastAsia="Calibri" w:cs="Calibri"/>
          <w:szCs w:val="24"/>
        </w:rPr>
        <w:t>has</w:t>
      </w:r>
      <w:r w:rsidRPr="00C020C2">
        <w:rPr>
          <w:rFonts w:eastAsia="Calibri" w:cs="Calibri"/>
          <w:szCs w:val="24"/>
        </w:rPr>
        <w:t xml:space="preserve"> 113 partners representing private sector, civil</w:t>
      </w:r>
      <w:r w:rsidR="305BB05D" w:rsidRPr="00C020C2">
        <w:rPr>
          <w:rFonts w:eastAsia="Calibri" w:cs="Calibri"/>
          <w:szCs w:val="24"/>
        </w:rPr>
        <w:t xml:space="preserve"> society, academia, international </w:t>
      </w:r>
      <w:proofErr w:type="gramStart"/>
      <w:r w:rsidR="305BB05D" w:rsidRPr="00C020C2">
        <w:rPr>
          <w:rFonts w:eastAsia="Calibri" w:cs="Calibri"/>
          <w:szCs w:val="24"/>
        </w:rPr>
        <w:t>organizations</w:t>
      </w:r>
      <w:proofErr w:type="gramEnd"/>
      <w:r w:rsidR="305BB05D" w:rsidRPr="00C020C2">
        <w:rPr>
          <w:rFonts w:eastAsia="Calibri" w:cs="Calibri"/>
          <w:szCs w:val="24"/>
        </w:rPr>
        <w:t xml:space="preserve"> and UN agencies. </w:t>
      </w:r>
    </w:p>
    <w:p w14:paraId="1FBAD3AC" w14:textId="14AF137C" w:rsidR="4B11700A" w:rsidRPr="00C020C2" w:rsidRDefault="00AA798D" w:rsidP="00A8341A">
      <w:pPr>
        <w:spacing w:after="120"/>
        <w:jc w:val="both"/>
        <w:rPr>
          <w:rFonts w:eastAsia="Calibri" w:cs="Calibri"/>
          <w:szCs w:val="24"/>
        </w:rPr>
      </w:pPr>
      <w:r w:rsidRPr="00C020C2">
        <w:rPr>
          <w:rFonts w:eastAsia="Calibri" w:cs="Calibri"/>
          <w:szCs w:val="24"/>
        </w:rPr>
        <w:lastRenderedPageBreak/>
        <w:t xml:space="preserve">With </w:t>
      </w:r>
      <w:r w:rsidR="4B11700A" w:rsidRPr="00C020C2">
        <w:rPr>
          <w:rFonts w:eastAsia="Calibri" w:cs="Calibri"/>
          <w:szCs w:val="24"/>
        </w:rPr>
        <w:t xml:space="preserve">partners, ITU promoted the new EQUALS </w:t>
      </w:r>
      <w:hyperlink r:id="rId156" w:history="1">
        <w:r w:rsidR="4B11700A" w:rsidRPr="00C020C2">
          <w:rPr>
            <w:rStyle w:val="Hyperlink"/>
            <w:rFonts w:eastAsia="Calibri" w:cs="Calibri"/>
            <w:szCs w:val="24"/>
          </w:rPr>
          <w:t>Her Digital Skills</w:t>
        </w:r>
      </w:hyperlink>
      <w:r w:rsidR="4B11700A" w:rsidRPr="00C020C2">
        <w:rPr>
          <w:rFonts w:eastAsia="Calibri" w:cs="Calibri"/>
          <w:szCs w:val="24"/>
        </w:rPr>
        <w:t xml:space="preserve"> initiative,</w:t>
      </w:r>
      <w:r w:rsidRPr="00C020C2">
        <w:rPr>
          <w:rFonts w:eastAsia="Calibri" w:cs="Calibri"/>
          <w:szCs w:val="24"/>
        </w:rPr>
        <w:t xml:space="preserve"> the goal of which is to </w:t>
      </w:r>
      <w:r w:rsidR="4B11700A" w:rsidRPr="00C020C2">
        <w:rPr>
          <w:rFonts w:eastAsia="Calibri" w:cs="Calibri"/>
          <w:szCs w:val="24"/>
        </w:rPr>
        <w:t>reach</w:t>
      </w:r>
      <w:r w:rsidRPr="00C020C2">
        <w:rPr>
          <w:rFonts w:eastAsia="Calibri" w:cs="Calibri"/>
          <w:szCs w:val="24"/>
        </w:rPr>
        <w:t xml:space="preserve"> </w:t>
      </w:r>
      <w:r w:rsidR="4B11700A" w:rsidRPr="00C020C2">
        <w:rPr>
          <w:rFonts w:eastAsia="Calibri" w:cs="Calibri"/>
          <w:szCs w:val="24"/>
        </w:rPr>
        <w:t>1 million girls and women by 2026</w:t>
      </w:r>
      <w:r w:rsidRPr="00C020C2">
        <w:rPr>
          <w:rFonts w:eastAsia="Calibri" w:cs="Calibri"/>
          <w:szCs w:val="24"/>
        </w:rPr>
        <w:t xml:space="preserve">. This involves </w:t>
      </w:r>
      <w:r w:rsidR="4B11700A" w:rsidRPr="00C020C2">
        <w:rPr>
          <w:rFonts w:eastAsia="Calibri" w:cs="Calibri"/>
          <w:szCs w:val="24"/>
        </w:rPr>
        <w:t xml:space="preserve">digital skills </w:t>
      </w:r>
      <w:hyperlink r:id="rId157" w:history="1">
        <w:r w:rsidR="4B11700A" w:rsidRPr="00C020C2">
          <w:rPr>
            <w:rStyle w:val="Hyperlink"/>
            <w:rFonts w:eastAsia="Calibri" w:cs="Calibri"/>
            <w:szCs w:val="24"/>
          </w:rPr>
          <w:t>workshops</w:t>
        </w:r>
      </w:hyperlink>
      <w:r w:rsidR="4B11700A" w:rsidRPr="00C020C2">
        <w:rPr>
          <w:rFonts w:eastAsia="Calibri" w:cs="Calibri"/>
          <w:szCs w:val="24"/>
        </w:rPr>
        <w:t xml:space="preserve">, </w:t>
      </w:r>
      <w:hyperlink r:id="rId158" w:history="1">
        <w:r w:rsidR="4B11700A" w:rsidRPr="00C020C2">
          <w:rPr>
            <w:rStyle w:val="Hyperlink"/>
            <w:rFonts w:eastAsia="Calibri" w:cs="Calibri"/>
            <w:szCs w:val="24"/>
          </w:rPr>
          <w:t>e-mentoring</w:t>
        </w:r>
      </w:hyperlink>
      <w:r w:rsidR="4B11700A" w:rsidRPr="00C020C2">
        <w:rPr>
          <w:rFonts w:eastAsia="Calibri" w:cs="Calibri"/>
          <w:szCs w:val="24"/>
        </w:rPr>
        <w:t xml:space="preserve"> with established tech professionals, and a certif</w:t>
      </w:r>
      <w:r w:rsidRPr="00C020C2">
        <w:rPr>
          <w:rFonts w:eastAsia="Calibri" w:cs="Calibri"/>
          <w:szCs w:val="24"/>
        </w:rPr>
        <w:t>ication</w:t>
      </w:r>
      <w:r w:rsidR="4B11700A" w:rsidRPr="00C020C2">
        <w:rPr>
          <w:rFonts w:eastAsia="Calibri" w:cs="Calibri"/>
          <w:szCs w:val="24"/>
        </w:rPr>
        <w:t xml:space="preserve"> </w:t>
      </w:r>
      <w:hyperlink r:id="rId159" w:history="1">
        <w:r w:rsidR="4B11700A" w:rsidRPr="00C020C2">
          <w:rPr>
            <w:rStyle w:val="Hyperlink"/>
            <w:rFonts w:eastAsia="Calibri" w:cs="Calibri"/>
            <w:szCs w:val="24"/>
          </w:rPr>
          <w:t>badge program</w:t>
        </w:r>
      </w:hyperlink>
      <w:r w:rsidR="4B11700A" w:rsidRPr="00C020C2">
        <w:rPr>
          <w:rFonts w:eastAsia="Calibri" w:cs="Calibri"/>
          <w:szCs w:val="24"/>
        </w:rPr>
        <w:t xml:space="preserve">. In </w:t>
      </w:r>
      <w:r w:rsidR="6F61DE74" w:rsidRPr="00C020C2">
        <w:rPr>
          <w:rFonts w:eastAsia="Calibri" w:cs="Calibri"/>
          <w:szCs w:val="24"/>
        </w:rPr>
        <w:t>the reporting period</w:t>
      </w:r>
      <w:r w:rsidR="4B11700A" w:rsidRPr="00C020C2">
        <w:rPr>
          <w:rFonts w:eastAsia="Calibri" w:cs="Calibri"/>
          <w:szCs w:val="24"/>
        </w:rPr>
        <w:t>, 1</w:t>
      </w:r>
      <w:r w:rsidR="3EAC6FEF" w:rsidRPr="00C020C2">
        <w:rPr>
          <w:rFonts w:eastAsia="Calibri" w:cs="Calibri"/>
          <w:szCs w:val="24"/>
        </w:rPr>
        <w:t>4</w:t>
      </w:r>
      <w:r w:rsidR="4B11700A" w:rsidRPr="00C020C2">
        <w:rPr>
          <w:rFonts w:eastAsia="Calibri" w:cs="Calibri"/>
          <w:szCs w:val="24"/>
        </w:rPr>
        <w:t xml:space="preserve"> workshops </w:t>
      </w:r>
      <w:r w:rsidR="3A2BAEF5" w:rsidRPr="00C020C2">
        <w:rPr>
          <w:rFonts w:eastAsia="Calibri" w:cs="Calibri"/>
          <w:szCs w:val="24"/>
        </w:rPr>
        <w:t>and</w:t>
      </w:r>
      <w:r w:rsidR="4B11700A" w:rsidRPr="00C020C2">
        <w:rPr>
          <w:rFonts w:eastAsia="Calibri" w:cs="Calibri"/>
          <w:szCs w:val="24"/>
        </w:rPr>
        <w:t xml:space="preserve"> e‐mentoring cycles were delivered covering 15 countries and benefiting more than 1</w:t>
      </w:r>
      <w:r w:rsidR="00457322" w:rsidRPr="00C020C2">
        <w:rPr>
          <w:rFonts w:eastAsia="Calibri" w:cs="Calibri"/>
          <w:szCs w:val="24"/>
        </w:rPr>
        <w:t xml:space="preserve"> </w:t>
      </w:r>
      <w:r w:rsidR="4B11700A" w:rsidRPr="00C020C2">
        <w:rPr>
          <w:rFonts w:eastAsia="Calibri" w:cs="Calibri"/>
          <w:szCs w:val="24"/>
        </w:rPr>
        <w:t>000 young girls trained and mentored.</w:t>
      </w:r>
    </w:p>
    <w:p w14:paraId="2E932BB2" w14:textId="1B8B26D5" w:rsidR="4B11700A" w:rsidRPr="00C020C2" w:rsidRDefault="4B11700A" w:rsidP="00A8341A">
      <w:pPr>
        <w:spacing w:after="120"/>
        <w:jc w:val="both"/>
        <w:rPr>
          <w:rFonts w:eastAsia="Calibri" w:cs="Calibri"/>
          <w:szCs w:val="24"/>
        </w:rPr>
      </w:pPr>
      <w:r w:rsidRPr="00C020C2">
        <w:rPr>
          <w:rFonts w:eastAsia="Calibri" w:cs="Calibri"/>
          <w:szCs w:val="24"/>
        </w:rPr>
        <w:t xml:space="preserve">In December 2022, the annual </w:t>
      </w:r>
      <w:hyperlink r:id="rId160" w:history="1">
        <w:r w:rsidRPr="00C020C2">
          <w:rPr>
            <w:rStyle w:val="Hyperlink"/>
            <w:rFonts w:eastAsia="Calibri" w:cs="Calibri"/>
            <w:szCs w:val="24"/>
          </w:rPr>
          <w:t>Equals in Tech Awards</w:t>
        </w:r>
      </w:hyperlink>
      <w:r w:rsidRPr="00C020C2">
        <w:rPr>
          <w:rFonts w:eastAsia="Calibri" w:cs="Calibri"/>
          <w:szCs w:val="24"/>
        </w:rPr>
        <w:t xml:space="preserve">, recognized six winners for outstanding initiatives </w:t>
      </w:r>
      <w:r w:rsidR="00AA798D" w:rsidRPr="00C020C2">
        <w:rPr>
          <w:rFonts w:eastAsia="Calibri" w:cs="Calibri"/>
          <w:szCs w:val="24"/>
        </w:rPr>
        <w:t xml:space="preserve">designed </w:t>
      </w:r>
      <w:r w:rsidRPr="00C020C2">
        <w:rPr>
          <w:rFonts w:eastAsia="Calibri" w:cs="Calibri"/>
          <w:szCs w:val="24"/>
        </w:rPr>
        <w:t xml:space="preserve">to bridge the gender digital divide. The ceremony was held at ITU headquarters in Geneva, in the context of the first annual Partner2Connect meeting. Winners were selected from </w:t>
      </w:r>
      <w:r w:rsidR="00712633" w:rsidRPr="00C020C2">
        <w:rPr>
          <w:rFonts w:eastAsia="Calibri" w:cs="Calibri"/>
          <w:szCs w:val="24"/>
        </w:rPr>
        <w:t xml:space="preserve">over </w:t>
      </w:r>
      <w:r w:rsidRPr="00C020C2">
        <w:rPr>
          <w:rFonts w:eastAsia="Calibri" w:cs="Calibri"/>
          <w:szCs w:val="24"/>
        </w:rPr>
        <w:t>155 finalists representing more than 55 countries.</w:t>
      </w:r>
    </w:p>
    <w:p w14:paraId="39EA0A97" w14:textId="122DA063" w:rsidR="00EC69B9" w:rsidRPr="00C020C2" w:rsidRDefault="5A6249B4" w:rsidP="00A8341A">
      <w:pPr>
        <w:spacing w:after="120"/>
        <w:jc w:val="both"/>
        <w:rPr>
          <w:rFonts w:eastAsia="Calibri"/>
        </w:rPr>
      </w:pPr>
      <w:r w:rsidRPr="00C020C2">
        <w:rPr>
          <w:rFonts w:eastAsia="Calibri"/>
        </w:rPr>
        <w:t>The ITU-EIF</w:t>
      </w:r>
      <w:r w:rsidR="00C42C3A" w:rsidRPr="00C020C2">
        <w:rPr>
          <w:rStyle w:val="FootnoteReference"/>
          <w:rFonts w:eastAsia="Calibri"/>
        </w:rPr>
        <w:footnoteReference w:id="3"/>
      </w:r>
      <w:r w:rsidRPr="00C020C2">
        <w:rPr>
          <w:rFonts w:eastAsia="Calibri"/>
        </w:rPr>
        <w:t xml:space="preserve">-EQUALS </w:t>
      </w:r>
      <w:hyperlink r:id="rId161">
        <w:r w:rsidRPr="00C020C2">
          <w:rPr>
            <w:rStyle w:val="Hyperlink"/>
            <w:rFonts w:eastAsia="Calibri"/>
          </w:rPr>
          <w:t>joint initiative</w:t>
        </w:r>
      </w:hyperlink>
      <w:r w:rsidRPr="00C020C2">
        <w:rPr>
          <w:rFonts w:eastAsia="Calibri"/>
        </w:rPr>
        <w:t xml:space="preserve"> “Tech as a Driver of Women’s Economic Opportunity” continued to present digital skills workshops, mentoring, and online entrepreneurship support to women in the coffee, tea, fashion and textiles sectors in Burundi, Haiti and Ethiopia in 2022</w:t>
      </w:r>
      <w:r w:rsidR="49D802BB" w:rsidRPr="00C020C2">
        <w:rPr>
          <w:rFonts w:eastAsia="Calibri"/>
        </w:rPr>
        <w:t xml:space="preserve"> and 2023</w:t>
      </w:r>
      <w:r w:rsidRPr="00C020C2">
        <w:rPr>
          <w:rFonts w:eastAsia="Calibri"/>
        </w:rPr>
        <w:t>.</w:t>
      </w:r>
      <w:r w:rsidR="3565EBB0" w:rsidRPr="00C020C2">
        <w:rPr>
          <w:rFonts w:eastAsia="Calibri"/>
        </w:rPr>
        <w:t xml:space="preserve"> During the reporting period</w:t>
      </w:r>
      <w:r w:rsidRPr="00C020C2">
        <w:rPr>
          <w:rFonts w:eastAsia="Calibri"/>
        </w:rPr>
        <w:t xml:space="preserve">, </w:t>
      </w:r>
      <w:r w:rsidR="3827CAD9" w:rsidRPr="00C020C2">
        <w:rPr>
          <w:rFonts w:eastAsia="Calibri"/>
        </w:rPr>
        <w:t>18</w:t>
      </w:r>
      <w:r w:rsidRPr="00C020C2">
        <w:rPr>
          <w:rFonts w:eastAsia="Calibri"/>
        </w:rPr>
        <w:t xml:space="preserve"> workshops were held in these three target countries</w:t>
      </w:r>
      <w:r w:rsidR="5FD7F3DD" w:rsidRPr="00C020C2">
        <w:rPr>
          <w:rFonts w:eastAsia="Calibri"/>
        </w:rPr>
        <w:t xml:space="preserve"> and at the global level</w:t>
      </w:r>
      <w:r w:rsidRPr="00C020C2">
        <w:rPr>
          <w:rFonts w:eastAsia="Calibri"/>
        </w:rPr>
        <w:t xml:space="preserve">, reaching </w:t>
      </w:r>
      <w:r w:rsidR="1E651D9B" w:rsidRPr="00C020C2">
        <w:rPr>
          <w:rFonts w:eastAsia="Calibri"/>
        </w:rPr>
        <w:t>over 800</w:t>
      </w:r>
      <w:r w:rsidRPr="00C020C2">
        <w:rPr>
          <w:rFonts w:eastAsia="Calibri"/>
        </w:rPr>
        <w:t xml:space="preserve"> participants, including women entrepreneurs, young women, public officials, civil society, </w:t>
      </w:r>
      <w:r w:rsidR="2A255F5D" w:rsidRPr="00C020C2">
        <w:rPr>
          <w:rFonts w:eastAsia="Calibri"/>
        </w:rPr>
        <w:t xml:space="preserve">the </w:t>
      </w:r>
      <w:r w:rsidRPr="00C020C2">
        <w:rPr>
          <w:rFonts w:eastAsia="Calibri"/>
        </w:rPr>
        <w:t>private sector, and others.</w:t>
      </w:r>
    </w:p>
    <w:p w14:paraId="0DDD0023" w14:textId="21FE7563" w:rsidR="0011467A" w:rsidRPr="00C020C2" w:rsidRDefault="0011467A" w:rsidP="00A8341A">
      <w:pPr>
        <w:keepNext/>
        <w:keepLines/>
        <w:spacing w:after="120"/>
        <w:ind w:left="567" w:hanging="567"/>
        <w:jc w:val="both"/>
        <w:outlineLvl w:val="4"/>
        <w:rPr>
          <w:b/>
          <w:szCs w:val="24"/>
        </w:rPr>
      </w:pPr>
      <w:r w:rsidRPr="00C020C2">
        <w:rPr>
          <w:b/>
          <w:szCs w:val="24"/>
        </w:rPr>
        <w:t>Giga – working since 2019 to connect every school to the Internet</w:t>
      </w:r>
    </w:p>
    <w:p w14:paraId="725AF81B" w14:textId="5A7C56F1" w:rsidR="0011467A" w:rsidRPr="00C020C2" w:rsidRDefault="45FDB6F3" w:rsidP="00A8341A">
      <w:pPr>
        <w:spacing w:after="120"/>
        <w:jc w:val="both"/>
        <w:rPr>
          <w:rFonts w:asciiTheme="minorHAnsi" w:eastAsia="Calibri" w:hAnsiTheme="minorHAnsi" w:cstheme="minorBidi"/>
        </w:rPr>
      </w:pPr>
      <w:r w:rsidRPr="00C020C2">
        <w:rPr>
          <w:rFonts w:asciiTheme="minorHAnsi" w:hAnsiTheme="minorHAnsi" w:cstheme="minorBidi"/>
          <w:shd w:val="clear" w:color="auto" w:fill="FCFCFC"/>
        </w:rPr>
        <w:t xml:space="preserve">To date, </w:t>
      </w:r>
      <w:hyperlink r:id="rId162" w:history="1">
        <w:r w:rsidRPr="00C020C2">
          <w:rPr>
            <w:rStyle w:val="Hyperlink"/>
          </w:rPr>
          <w:t>Giga</w:t>
        </w:r>
      </w:hyperlink>
      <w:r w:rsidRPr="00C020C2">
        <w:rPr>
          <w:rFonts w:asciiTheme="minorHAnsi" w:hAnsiTheme="minorHAnsi" w:cstheme="minorBidi"/>
          <w:shd w:val="clear" w:color="auto" w:fill="FCFCFC"/>
        </w:rPr>
        <w:t xml:space="preserve"> has mapped </w:t>
      </w:r>
      <w:r w:rsidR="00021B47" w:rsidRPr="00C020C2">
        <w:rPr>
          <w:rFonts w:asciiTheme="minorHAnsi" w:hAnsiTheme="minorHAnsi" w:cstheme="minorBidi"/>
          <w:shd w:val="clear" w:color="auto" w:fill="FCFCFC"/>
        </w:rPr>
        <w:t>2.1 million schools in 136 countries</w:t>
      </w:r>
      <w:r w:rsidR="00F24BFA" w:rsidRPr="00C020C2">
        <w:rPr>
          <w:rFonts w:asciiTheme="minorHAnsi" w:hAnsiTheme="minorHAnsi" w:cstheme="minorBidi"/>
          <w:shd w:val="clear" w:color="auto" w:fill="FCFCFC"/>
        </w:rPr>
        <w:t xml:space="preserve"> </w:t>
      </w:r>
      <w:r w:rsidR="61F07B69" w:rsidRPr="00C020C2">
        <w:rPr>
          <w:rFonts w:asciiTheme="minorHAnsi" w:hAnsiTheme="minorHAnsi" w:cstheme="minorBidi"/>
          <w:shd w:val="clear" w:color="auto" w:fill="FCFCFC"/>
        </w:rPr>
        <w:t>in an</w:t>
      </w:r>
      <w:r w:rsidRPr="00C020C2">
        <w:rPr>
          <w:rFonts w:asciiTheme="minorHAnsi" w:hAnsiTheme="minorHAnsi" w:cstheme="minorBidi"/>
          <w:shd w:val="clear" w:color="auto" w:fill="FCFCFC"/>
        </w:rPr>
        <w:t xml:space="preserve"> open source platform that provides a real-time display of access and needs for funders, governments and service providers. Since the </w:t>
      </w:r>
      <w:r w:rsidR="2A255F5D" w:rsidRPr="00C020C2">
        <w:rPr>
          <w:rFonts w:asciiTheme="minorHAnsi" w:hAnsiTheme="minorHAnsi" w:cstheme="minorBidi"/>
          <w:shd w:val="clear" w:color="auto" w:fill="FCFCFC"/>
        </w:rPr>
        <w:t xml:space="preserve">initiative’s </w:t>
      </w:r>
      <w:r w:rsidRPr="00C020C2">
        <w:rPr>
          <w:rFonts w:asciiTheme="minorHAnsi" w:hAnsiTheme="minorHAnsi" w:cstheme="minorBidi"/>
          <w:shd w:val="clear" w:color="auto" w:fill="FCFCFC"/>
        </w:rPr>
        <w:t xml:space="preserve">launch, more than 2.1 million students have been connected to the </w:t>
      </w:r>
      <w:r w:rsidR="2A255F5D" w:rsidRPr="00C020C2">
        <w:rPr>
          <w:rFonts w:asciiTheme="minorHAnsi" w:hAnsiTheme="minorHAnsi" w:cstheme="minorBidi"/>
          <w:shd w:val="clear" w:color="auto" w:fill="FCFCFC"/>
        </w:rPr>
        <w:t xml:space="preserve">Internet </w:t>
      </w:r>
      <w:r w:rsidRPr="00C020C2">
        <w:rPr>
          <w:rFonts w:asciiTheme="minorHAnsi" w:hAnsiTheme="minorHAnsi" w:cstheme="minorBidi"/>
          <w:shd w:val="clear" w:color="auto" w:fill="FCFCFC"/>
        </w:rPr>
        <w:t>in over 5</w:t>
      </w:r>
      <w:r w:rsidR="2A255F5D" w:rsidRPr="00C020C2">
        <w:rPr>
          <w:rFonts w:asciiTheme="minorHAnsi" w:hAnsiTheme="minorHAnsi" w:cstheme="minorBidi"/>
          <w:shd w:val="clear" w:color="auto" w:fill="FCFCFC"/>
        </w:rPr>
        <w:t xml:space="preserve"> </w:t>
      </w:r>
      <w:r w:rsidRPr="00C020C2">
        <w:rPr>
          <w:rFonts w:asciiTheme="minorHAnsi" w:hAnsiTheme="minorHAnsi" w:cstheme="minorBidi"/>
          <w:shd w:val="clear" w:color="auto" w:fill="FCFCFC"/>
        </w:rPr>
        <w:t>000 schools across Africa, Central Asia, Latin America and the Eastern Caribbean.</w:t>
      </w:r>
    </w:p>
    <w:p w14:paraId="0E1CDE73" w14:textId="18DB0AEA" w:rsidR="0011467A" w:rsidRPr="00C020C2" w:rsidRDefault="0011467A" w:rsidP="00A8341A">
      <w:pPr>
        <w:keepNext/>
        <w:keepLines/>
        <w:spacing w:after="120"/>
        <w:ind w:left="567" w:hanging="567"/>
        <w:outlineLvl w:val="4"/>
        <w:rPr>
          <w:b/>
        </w:rPr>
      </w:pPr>
      <w:r w:rsidRPr="00C020C2">
        <w:rPr>
          <w:b/>
        </w:rPr>
        <w:t xml:space="preserve">ITU and </w:t>
      </w:r>
      <w:r w:rsidR="009E4733" w:rsidRPr="00C020C2">
        <w:rPr>
          <w:b/>
        </w:rPr>
        <w:t>WHO</w:t>
      </w:r>
      <w:r w:rsidRPr="00C020C2">
        <w:rPr>
          <w:b/>
        </w:rPr>
        <w:t xml:space="preserve"> partnering on Artificial Intelligence for Health</w:t>
      </w:r>
    </w:p>
    <w:p w14:paraId="10AF7660" w14:textId="6F204BB7" w:rsidR="00643DCD" w:rsidRPr="00C020C2" w:rsidRDefault="19072EE6" w:rsidP="00A8341A">
      <w:pPr>
        <w:pStyle w:val="paragraph"/>
        <w:shd w:val="clear" w:color="auto" w:fill="FFFFFF" w:themeFill="background1"/>
        <w:spacing w:before="120" w:beforeAutospacing="0" w:after="120" w:afterAutospacing="0"/>
        <w:jc w:val="both"/>
        <w:textAlignment w:val="baseline"/>
        <w:rPr>
          <w:rFonts w:asciiTheme="minorHAnsi" w:hAnsiTheme="minorHAnsi" w:cstheme="minorBidi"/>
        </w:rPr>
      </w:pPr>
      <w:r w:rsidRPr="00C020C2">
        <w:rPr>
          <w:rStyle w:val="normaltextrun"/>
          <w:rFonts w:asciiTheme="minorHAnsi" w:hAnsiTheme="minorHAnsi" w:cstheme="minorBidi"/>
        </w:rPr>
        <w:t>The ITU/WHO Focus Group on Artificial Intelligence for Health (</w:t>
      </w:r>
      <w:hyperlink r:id="rId163">
        <w:r w:rsidRPr="00C020C2">
          <w:rPr>
            <w:rStyle w:val="Hyperlink"/>
            <w:rFonts w:asciiTheme="minorHAnsi" w:hAnsiTheme="minorHAnsi" w:cstheme="minorBidi"/>
          </w:rPr>
          <w:t>FG-AI4H</w:t>
        </w:r>
      </w:hyperlink>
      <w:r w:rsidRPr="00C020C2">
        <w:rPr>
          <w:rStyle w:val="normaltextrun"/>
          <w:rFonts w:asciiTheme="minorHAnsi" w:hAnsiTheme="minorHAnsi" w:cstheme="minorBidi"/>
        </w:rPr>
        <w:t xml:space="preserve">) </w:t>
      </w:r>
      <w:r w:rsidR="0067013E" w:rsidRPr="00C020C2">
        <w:rPr>
          <w:rStyle w:val="normaltextrun"/>
          <w:rFonts w:asciiTheme="minorHAnsi" w:hAnsiTheme="minorHAnsi" w:cstheme="minorBidi"/>
        </w:rPr>
        <w:t xml:space="preserve">worked </w:t>
      </w:r>
      <w:r w:rsidRPr="00C020C2">
        <w:rPr>
          <w:rStyle w:val="normaltextrun"/>
          <w:rFonts w:asciiTheme="minorHAnsi" w:hAnsiTheme="minorHAnsi" w:cstheme="minorBidi"/>
        </w:rPr>
        <w:t xml:space="preserve">in partnership with the </w:t>
      </w:r>
      <w:r w:rsidR="4EDDC4AA" w:rsidRPr="00C020C2">
        <w:rPr>
          <w:rStyle w:val="normaltextrun"/>
          <w:rFonts w:asciiTheme="minorHAnsi" w:hAnsiTheme="minorHAnsi" w:cstheme="minorBidi"/>
        </w:rPr>
        <w:t>World Health Organization (</w:t>
      </w:r>
      <w:r w:rsidRPr="00C020C2">
        <w:rPr>
          <w:rStyle w:val="normaltextrun"/>
          <w:rFonts w:asciiTheme="minorHAnsi" w:hAnsiTheme="minorHAnsi" w:cstheme="minorBidi"/>
        </w:rPr>
        <w:t>WHO</w:t>
      </w:r>
      <w:r w:rsidR="4EDDC4AA" w:rsidRPr="00C020C2">
        <w:rPr>
          <w:rStyle w:val="normaltextrun"/>
          <w:rFonts w:asciiTheme="minorHAnsi" w:hAnsiTheme="minorHAnsi" w:cstheme="minorBidi"/>
        </w:rPr>
        <w:t>)</w:t>
      </w:r>
      <w:r w:rsidRPr="00C020C2">
        <w:rPr>
          <w:rStyle w:val="normaltextrun"/>
          <w:rFonts w:asciiTheme="minorHAnsi" w:hAnsiTheme="minorHAnsi" w:cstheme="minorBidi"/>
        </w:rPr>
        <w:t xml:space="preserve"> to establish a standardized assessment framework </w:t>
      </w:r>
      <w:r w:rsidR="6D01DFE3" w:rsidRPr="00C020C2">
        <w:rPr>
          <w:rStyle w:val="normaltextrun"/>
          <w:rFonts w:asciiTheme="minorHAnsi" w:hAnsiTheme="minorHAnsi" w:cstheme="minorBidi"/>
        </w:rPr>
        <w:t>that evaluates</w:t>
      </w:r>
      <w:r w:rsidRPr="00C020C2">
        <w:rPr>
          <w:rStyle w:val="normaltextrun"/>
          <w:rFonts w:asciiTheme="minorHAnsi" w:hAnsiTheme="minorHAnsi" w:cstheme="minorBidi"/>
        </w:rPr>
        <w:t xml:space="preserve"> AI-based methods for health, diagnosis, triage or treatment decisions. Since July 2022, the group has finalized 15 additional deliverables, and plans to finalize several </w:t>
      </w:r>
      <w:r w:rsidR="6D01DFE3" w:rsidRPr="00C020C2">
        <w:rPr>
          <w:rStyle w:val="normaltextrun"/>
          <w:rFonts w:asciiTheme="minorHAnsi" w:hAnsiTheme="minorHAnsi" w:cstheme="minorBidi"/>
        </w:rPr>
        <w:t xml:space="preserve">more </w:t>
      </w:r>
      <w:r w:rsidRPr="00C020C2">
        <w:rPr>
          <w:rStyle w:val="normaltextrun"/>
          <w:rFonts w:asciiTheme="minorHAnsi" w:hAnsiTheme="minorHAnsi" w:cstheme="minorBidi"/>
        </w:rPr>
        <w:t xml:space="preserve">by July 2023. </w:t>
      </w:r>
      <w:r w:rsidRPr="00C020C2">
        <w:rPr>
          <w:rStyle w:val="eop"/>
          <w:rFonts w:asciiTheme="minorHAnsi" w:hAnsiTheme="minorHAnsi" w:cstheme="minorBidi"/>
        </w:rPr>
        <w:t> </w:t>
      </w:r>
    </w:p>
    <w:p w14:paraId="7CE57C24" w14:textId="35749635" w:rsidR="00643DCD" w:rsidRPr="00C020C2" w:rsidRDefault="19072EE6" w:rsidP="00A8341A">
      <w:pPr>
        <w:pStyle w:val="paragraph"/>
        <w:spacing w:before="120" w:beforeAutospacing="0" w:after="120" w:afterAutospacing="0"/>
        <w:jc w:val="both"/>
        <w:textAlignment w:val="baseline"/>
        <w:rPr>
          <w:rStyle w:val="normaltextrun"/>
          <w:rFonts w:asciiTheme="minorHAnsi" w:hAnsiTheme="minorHAnsi" w:cstheme="minorBidi"/>
        </w:rPr>
      </w:pPr>
      <w:r w:rsidRPr="00C020C2">
        <w:rPr>
          <w:rStyle w:val="normaltextrun"/>
          <w:rFonts w:asciiTheme="minorHAnsi" w:hAnsiTheme="minorHAnsi" w:cstheme="minorBidi"/>
        </w:rPr>
        <w:t xml:space="preserve">In addition to the standards that the Focus Group has produced, it has been using grants </w:t>
      </w:r>
      <w:r w:rsidR="4EDDC4AA" w:rsidRPr="00C020C2">
        <w:rPr>
          <w:rStyle w:val="normaltextrun"/>
          <w:rFonts w:asciiTheme="minorHAnsi" w:hAnsiTheme="minorHAnsi" w:cstheme="minorBidi"/>
        </w:rPr>
        <w:t xml:space="preserve">(approximately CHF </w:t>
      </w:r>
      <w:r w:rsidRPr="00C020C2">
        <w:rPr>
          <w:rStyle w:val="normaltextrun"/>
          <w:rFonts w:asciiTheme="minorHAnsi" w:hAnsiTheme="minorHAnsi" w:cstheme="minorBidi"/>
        </w:rPr>
        <w:t xml:space="preserve">600K) from </w:t>
      </w:r>
      <w:proofErr w:type="spellStart"/>
      <w:r w:rsidRPr="00C020C2">
        <w:rPr>
          <w:rStyle w:val="normaltextrun"/>
          <w:rFonts w:asciiTheme="minorHAnsi" w:hAnsiTheme="minorHAnsi" w:cstheme="minorBidi"/>
        </w:rPr>
        <w:t>Fondation</w:t>
      </w:r>
      <w:proofErr w:type="spellEnd"/>
      <w:r w:rsidRPr="00C020C2">
        <w:rPr>
          <w:rStyle w:val="normaltextrun"/>
          <w:rFonts w:asciiTheme="minorHAnsi" w:hAnsiTheme="minorHAnsi" w:cstheme="minorBidi"/>
        </w:rPr>
        <w:t xml:space="preserve"> </w:t>
      </w:r>
      <w:proofErr w:type="spellStart"/>
      <w:r w:rsidRPr="00C020C2">
        <w:rPr>
          <w:rStyle w:val="normaltextrun"/>
          <w:rFonts w:asciiTheme="minorHAnsi" w:hAnsiTheme="minorHAnsi" w:cstheme="minorBidi"/>
        </w:rPr>
        <w:t>Botnar</w:t>
      </w:r>
      <w:proofErr w:type="spellEnd"/>
      <w:r w:rsidRPr="00C020C2">
        <w:rPr>
          <w:rStyle w:val="normaltextrun"/>
          <w:rFonts w:asciiTheme="minorHAnsi" w:hAnsiTheme="minorHAnsi" w:cstheme="minorBidi"/>
        </w:rPr>
        <w:t xml:space="preserve"> to build a modular (</w:t>
      </w:r>
      <w:proofErr w:type="spellStart"/>
      <w:r w:rsidRPr="00C020C2">
        <w:rPr>
          <w:rStyle w:val="normaltextrun"/>
          <w:rFonts w:asciiTheme="minorHAnsi" w:hAnsiTheme="minorHAnsi" w:cstheme="minorBidi"/>
        </w:rPr>
        <w:t>DevSecOps</w:t>
      </w:r>
      <w:proofErr w:type="spellEnd"/>
      <w:r w:rsidRPr="00C020C2">
        <w:rPr>
          <w:rStyle w:val="normaltextrun"/>
          <w:rFonts w:asciiTheme="minorHAnsi" w:hAnsiTheme="minorHAnsi" w:cstheme="minorBidi"/>
        </w:rPr>
        <w:t>) reference implementation of the standards, with a license</w:t>
      </w:r>
      <w:r w:rsidR="6D01DFE3" w:rsidRPr="00C020C2">
        <w:rPr>
          <w:rStyle w:val="normaltextrun"/>
          <w:rFonts w:asciiTheme="minorHAnsi" w:hAnsiTheme="minorHAnsi" w:cstheme="minorBidi"/>
        </w:rPr>
        <w:t xml:space="preserve"> permitting </w:t>
      </w:r>
      <w:r w:rsidRPr="00C020C2">
        <w:rPr>
          <w:rStyle w:val="normaltextrun"/>
          <w:rFonts w:asciiTheme="minorHAnsi" w:hAnsiTheme="minorHAnsi" w:cstheme="minorBidi"/>
        </w:rPr>
        <w:t>national medicine regulators and other to adapt at will. Additionally, the grants are used to fund</w:t>
      </w:r>
      <w:r w:rsidR="000C41F9" w:rsidRPr="00C020C2">
        <w:t xml:space="preserve"> </w:t>
      </w:r>
      <w:r w:rsidR="000C41F9" w:rsidRPr="00C020C2">
        <w:rPr>
          <w:rStyle w:val="normaltextrun"/>
          <w:rFonts w:asciiTheme="minorHAnsi" w:hAnsiTheme="minorHAnsi" w:cstheme="minorBidi"/>
        </w:rPr>
        <w:t>Low- or Middle-Income Country</w:t>
      </w:r>
      <w:r w:rsidRPr="00C020C2">
        <w:rPr>
          <w:rStyle w:val="normaltextrun"/>
          <w:rFonts w:asciiTheme="minorHAnsi" w:hAnsiTheme="minorHAnsi" w:cstheme="minorBidi"/>
        </w:rPr>
        <w:t xml:space="preserve"> </w:t>
      </w:r>
      <w:r w:rsidR="000C41F9" w:rsidRPr="00C020C2">
        <w:rPr>
          <w:rStyle w:val="normaltextrun"/>
          <w:rFonts w:asciiTheme="minorHAnsi" w:hAnsiTheme="minorHAnsi" w:cstheme="minorBidi"/>
        </w:rPr>
        <w:t>(</w:t>
      </w:r>
      <w:r w:rsidRPr="00C020C2">
        <w:rPr>
          <w:rStyle w:val="normaltextrun"/>
          <w:rFonts w:asciiTheme="minorHAnsi" w:hAnsiTheme="minorHAnsi" w:cstheme="minorBidi"/>
        </w:rPr>
        <w:t>LMIC</w:t>
      </w:r>
      <w:r w:rsidR="000C41F9" w:rsidRPr="00C020C2">
        <w:rPr>
          <w:rStyle w:val="normaltextrun"/>
          <w:rFonts w:asciiTheme="minorHAnsi" w:hAnsiTheme="minorHAnsi" w:cstheme="minorBidi"/>
        </w:rPr>
        <w:t>)</w:t>
      </w:r>
      <w:r w:rsidRPr="00C020C2">
        <w:rPr>
          <w:rStyle w:val="normaltextrun"/>
          <w:rFonts w:asciiTheme="minorHAnsi" w:hAnsiTheme="minorHAnsi" w:cstheme="minorBidi"/>
        </w:rPr>
        <w:t xml:space="preserve"> expert travel.  </w:t>
      </w:r>
    </w:p>
    <w:p w14:paraId="1CF9A29B" w14:textId="77777777" w:rsidR="0011467A" w:rsidRPr="00C020C2" w:rsidRDefault="0011467A" w:rsidP="00A8341A">
      <w:pPr>
        <w:keepNext/>
        <w:keepLines/>
        <w:spacing w:after="120"/>
        <w:outlineLvl w:val="4"/>
        <w:rPr>
          <w:b/>
        </w:rPr>
      </w:pPr>
      <w:r w:rsidRPr="00C020C2">
        <w:rPr>
          <w:b/>
        </w:rPr>
        <w:t>ITU, World Meteorological Organization and UNEP are examining the potential of leveraging AI for natural disaster management</w:t>
      </w:r>
    </w:p>
    <w:p w14:paraId="3761F74C" w14:textId="03C9D389" w:rsidR="0011467A" w:rsidRPr="00C020C2" w:rsidRDefault="0011467A" w:rsidP="00A8341A">
      <w:pPr>
        <w:spacing w:after="120"/>
        <w:jc w:val="both"/>
        <w:rPr>
          <w:lang w:eastAsia="zh-CN"/>
        </w:rPr>
      </w:pPr>
      <w:r w:rsidRPr="00C020C2">
        <w:rPr>
          <w:lang w:eastAsia="zh-CN"/>
        </w:rPr>
        <w:t xml:space="preserve">The </w:t>
      </w:r>
      <w:hyperlink r:id="rId164" w:history="1">
        <w:r w:rsidRPr="00C020C2">
          <w:rPr>
            <w:rStyle w:val="Hyperlink"/>
            <w:lang w:eastAsia="zh-CN"/>
          </w:rPr>
          <w:t>ITU/WMO/UNEP Focus Group on AI for Natural Disaster Management</w:t>
        </w:r>
      </w:hyperlink>
      <w:r w:rsidRPr="00C020C2">
        <w:rPr>
          <w:lang w:eastAsia="zh-CN"/>
        </w:rPr>
        <w:t xml:space="preserve"> held three meetings during the reporting period. Three deliverables were completed during the reporting period: 1) Technical Report - AI for Communications: Towards Natural Disaster Management; 2) Technical Report - Standardization Roadmap on Natural Disaster Management: Trends and Gaps in Standardization; and 3) Glossary - Artificial Intelligence for Natural Disaster Management.</w:t>
      </w:r>
    </w:p>
    <w:p w14:paraId="4458DEF9" w14:textId="23A6BBC6" w:rsidR="0011467A" w:rsidRPr="00C020C2" w:rsidRDefault="0011467A" w:rsidP="00A8341A">
      <w:pPr>
        <w:spacing w:after="120"/>
        <w:jc w:val="both"/>
      </w:pPr>
      <w:r w:rsidRPr="00C020C2">
        <w:rPr>
          <w:lang w:eastAsia="zh-CN"/>
        </w:rPr>
        <w:lastRenderedPageBreak/>
        <w:t xml:space="preserve">An </w:t>
      </w:r>
      <w:hyperlink r:id="rId165" w:history="1">
        <w:r w:rsidRPr="00C020C2">
          <w:rPr>
            <w:rStyle w:val="Hyperlink"/>
            <w:lang w:eastAsia="zh-CN"/>
          </w:rPr>
          <w:t>ITU /WMO/UNEP Workshop on Artificial Intelligence for Natural Disaster Management</w:t>
        </w:r>
      </w:hyperlink>
      <w:r w:rsidRPr="00C020C2">
        <w:rPr>
          <w:lang w:eastAsia="zh-CN"/>
        </w:rPr>
        <w:t xml:space="preserve"> was held in Athens, Greece on 24 October 2022. An ITU </w:t>
      </w:r>
      <w:hyperlink r:id="rId166" w:history="1">
        <w:r w:rsidR="009E4733" w:rsidRPr="00C020C2">
          <w:rPr>
            <w:rStyle w:val="Hyperlink"/>
            <w:lang w:eastAsia="zh-CN"/>
          </w:rPr>
          <w:t>webinar</w:t>
        </w:r>
      </w:hyperlink>
      <w:r w:rsidR="009E4733" w:rsidRPr="00C020C2">
        <w:rPr>
          <w:lang w:eastAsia="zh-CN"/>
        </w:rPr>
        <w:t xml:space="preserve"> </w:t>
      </w:r>
      <w:r w:rsidRPr="00C020C2">
        <w:rPr>
          <w:lang w:eastAsia="zh-CN"/>
        </w:rPr>
        <w:t xml:space="preserve">on </w:t>
      </w:r>
      <w:r w:rsidR="009E4733" w:rsidRPr="00C020C2">
        <w:rPr>
          <w:lang w:eastAsia="zh-CN"/>
        </w:rPr>
        <w:t>“</w:t>
      </w:r>
      <w:r w:rsidRPr="00C020C2">
        <w:rPr>
          <w:lang w:eastAsia="zh-CN"/>
        </w:rPr>
        <w:t>Fighting wildfires with AI-powered insights</w:t>
      </w:r>
      <w:r w:rsidR="009E4733" w:rsidRPr="00C020C2">
        <w:rPr>
          <w:lang w:eastAsia="zh-CN"/>
        </w:rPr>
        <w:t xml:space="preserve">” </w:t>
      </w:r>
      <w:r w:rsidRPr="00C020C2">
        <w:rPr>
          <w:lang w:eastAsia="zh-CN"/>
        </w:rPr>
        <w:t xml:space="preserve">is being organized </w:t>
      </w:r>
      <w:r w:rsidR="009E4733" w:rsidRPr="00C020C2">
        <w:rPr>
          <w:lang w:eastAsia="zh-CN"/>
        </w:rPr>
        <w:t>in</w:t>
      </w:r>
      <w:r w:rsidRPr="00C020C2">
        <w:rPr>
          <w:lang w:eastAsia="zh-CN"/>
        </w:rPr>
        <w:t xml:space="preserve"> April 2023.</w:t>
      </w:r>
    </w:p>
    <w:p w14:paraId="206ED16C" w14:textId="77777777" w:rsidR="0011467A" w:rsidRPr="00C020C2" w:rsidRDefault="0011467A" w:rsidP="00A8341A">
      <w:pPr>
        <w:keepNext/>
        <w:keepLines/>
        <w:spacing w:after="120"/>
        <w:outlineLvl w:val="4"/>
        <w:rPr>
          <w:b/>
        </w:rPr>
      </w:pPr>
      <w:r w:rsidRPr="00C020C2">
        <w:rPr>
          <w:b/>
        </w:rPr>
        <w:t>ITU and Food and Agriculture Organization cooperate closely on AI and IoT for Digital Agriculture</w:t>
      </w:r>
    </w:p>
    <w:p w14:paraId="777268E7" w14:textId="47FA2723" w:rsidR="0011467A" w:rsidRPr="00C020C2" w:rsidRDefault="0011467A" w:rsidP="00A8341A">
      <w:pPr>
        <w:shd w:val="clear" w:color="auto" w:fill="FFFFFF"/>
        <w:spacing w:after="120"/>
        <w:jc w:val="both"/>
        <w:rPr>
          <w:lang w:eastAsia="zh-CN"/>
        </w:rPr>
      </w:pPr>
      <w:r w:rsidRPr="00C020C2">
        <w:rPr>
          <w:lang w:eastAsia="zh-CN"/>
        </w:rPr>
        <w:t xml:space="preserve">The </w:t>
      </w:r>
      <w:hyperlink r:id="rId167" w:history="1">
        <w:r w:rsidRPr="00C020C2">
          <w:rPr>
            <w:rStyle w:val="Hyperlink"/>
            <w:lang w:eastAsia="zh-CN"/>
          </w:rPr>
          <w:t>ITU/FAO Focus Group on AI and IoT for Digital Agriculture</w:t>
        </w:r>
      </w:hyperlink>
      <w:r w:rsidRPr="00C020C2">
        <w:rPr>
          <w:lang w:eastAsia="zh-CN"/>
        </w:rPr>
        <w:t xml:space="preserve"> held three meetings during the reporting period. The </w:t>
      </w:r>
      <w:hyperlink r:id="rId168" w:tgtFrame="_blank" w:history="1">
        <w:r w:rsidRPr="00C020C2">
          <w:rPr>
            <w:rStyle w:val="Hyperlink"/>
            <w:lang w:eastAsia="zh-CN"/>
          </w:rPr>
          <w:t>ITU/FAO Workshop on “Digital Agriculture at Scale: Sustainable Food Systems with IoT and AI”</w:t>
        </w:r>
      </w:hyperlink>
      <w:r w:rsidRPr="00C020C2">
        <w:rPr>
          <w:lang w:eastAsia="zh-CN"/>
        </w:rPr>
        <w:t xml:space="preserve"> was held in </w:t>
      </w:r>
      <w:proofErr w:type="spellStart"/>
      <w:r w:rsidRPr="00C020C2">
        <w:rPr>
          <w:lang w:eastAsia="zh-CN"/>
        </w:rPr>
        <w:t>Seongnam</w:t>
      </w:r>
      <w:proofErr w:type="spellEnd"/>
      <w:r w:rsidRPr="00C020C2">
        <w:rPr>
          <w:lang w:eastAsia="zh-CN"/>
        </w:rPr>
        <w:t xml:space="preserve">, Korea (Rep. of) on 24 August 2022. </w:t>
      </w:r>
    </w:p>
    <w:p w14:paraId="7B2F601F" w14:textId="554D93BE" w:rsidR="0011467A" w:rsidRPr="00C020C2" w:rsidRDefault="0011467A" w:rsidP="00A8341A">
      <w:pPr>
        <w:shd w:val="clear" w:color="auto" w:fill="FFFFFF"/>
        <w:spacing w:after="120"/>
        <w:jc w:val="both"/>
      </w:pPr>
      <w:r w:rsidRPr="00C020C2">
        <w:rPr>
          <w:lang w:eastAsia="zh-CN"/>
        </w:rPr>
        <w:t xml:space="preserve">In the context of digital agriculture, two </w:t>
      </w:r>
      <w:r w:rsidR="00861BF8" w:rsidRPr="00C020C2">
        <w:rPr>
          <w:lang w:eastAsia="zh-CN"/>
        </w:rPr>
        <w:t xml:space="preserve">webinars </w:t>
      </w:r>
      <w:r w:rsidRPr="00C020C2">
        <w:rPr>
          <w:lang w:eastAsia="zh-CN"/>
        </w:rPr>
        <w:t>were held under the umbrella of the </w:t>
      </w:r>
      <w:hyperlink r:id="rId169" w:tgtFrame="_blank" w:history="1">
        <w:r w:rsidRPr="00C020C2">
          <w:rPr>
            <w:rStyle w:val="Hyperlink"/>
            <w:lang w:eastAsia="zh-CN"/>
          </w:rPr>
          <w:t>Digital Transformation Webinar Series</w:t>
        </w:r>
      </w:hyperlink>
      <w:r w:rsidRPr="00C020C2">
        <w:rPr>
          <w:lang w:eastAsia="zh-CN"/>
        </w:rPr>
        <w:t>, showcasing the ongoing work of FG-AI4A within this domain: February 2023 – </w:t>
      </w:r>
      <w:hyperlink r:id="rId170" w:tgtFrame="_blank" w:history="1">
        <w:r w:rsidRPr="00C020C2">
          <w:rPr>
            <w:rStyle w:val="Hyperlink"/>
            <w:lang w:eastAsia="zh-CN"/>
          </w:rPr>
          <w:t>Episode #21</w:t>
        </w:r>
      </w:hyperlink>
      <w:r w:rsidR="00BD06CA" w:rsidRPr="00C020C2">
        <w:rPr>
          <w:lang w:eastAsia="zh-CN"/>
        </w:rPr>
        <w:t>,</w:t>
      </w:r>
      <w:r w:rsidRPr="00C020C2">
        <w:rPr>
          <w:lang w:eastAsia="zh-CN"/>
        </w:rPr>
        <w:t xml:space="preserve"> Digital Agriculture: Driving Digital Transformation for Food Security (co-organized with FAO and ISO); and March 2023 – </w:t>
      </w:r>
      <w:hyperlink r:id="rId171" w:tgtFrame="_blank" w:history="1">
        <w:r w:rsidRPr="00C020C2">
          <w:rPr>
            <w:rStyle w:val="Hyperlink"/>
            <w:lang w:eastAsia="zh-CN"/>
          </w:rPr>
          <w:t>Episode #22</w:t>
        </w:r>
      </w:hyperlink>
      <w:r w:rsidR="00BD06CA" w:rsidRPr="00C020C2">
        <w:rPr>
          <w:lang w:eastAsia="zh-CN"/>
        </w:rPr>
        <w:t>,</w:t>
      </w:r>
      <w:r w:rsidRPr="00C020C2">
        <w:rPr>
          <w:lang w:eastAsia="zh-CN"/>
        </w:rPr>
        <w:t xml:space="preserve"> Digital water in smart sustainable cities (co-organized with UN-Water and WMO).</w:t>
      </w:r>
    </w:p>
    <w:p w14:paraId="694682C2" w14:textId="1C29C029" w:rsidR="0011467A" w:rsidRPr="00C020C2" w:rsidRDefault="002B38AA" w:rsidP="00EE21B1">
      <w:pPr>
        <w:pStyle w:val="Heading2"/>
        <w:spacing w:before="240" w:after="120"/>
        <w:rPr>
          <w:szCs w:val="24"/>
          <w:lang w:eastAsia="en-GB"/>
        </w:rPr>
      </w:pPr>
      <w:bookmarkStart w:id="59" w:name="_Toc37860464"/>
      <w:bookmarkStart w:id="60" w:name="_Toc37861225"/>
      <w:bookmarkStart w:id="61" w:name="_Toc37943348"/>
      <w:bookmarkStart w:id="62" w:name="_Toc137211297"/>
      <w:bookmarkStart w:id="63" w:name="Section_1_10"/>
      <w:r w:rsidRPr="00C020C2">
        <w:rPr>
          <w:szCs w:val="24"/>
          <w:lang w:eastAsia="en-GB"/>
        </w:rPr>
        <w:t>4</w:t>
      </w:r>
      <w:r w:rsidR="0011467A" w:rsidRPr="00C020C2">
        <w:rPr>
          <w:szCs w:val="24"/>
          <w:lang w:eastAsia="en-GB"/>
        </w:rPr>
        <w:t>.</w:t>
      </w:r>
      <w:r w:rsidRPr="00C020C2">
        <w:rPr>
          <w:szCs w:val="24"/>
          <w:lang w:eastAsia="en-GB"/>
        </w:rPr>
        <w:t>8</w:t>
      </w:r>
      <w:r w:rsidR="0011467A" w:rsidRPr="00C020C2">
        <w:rPr>
          <w:szCs w:val="24"/>
          <w:lang w:eastAsia="en-GB"/>
        </w:rPr>
        <w:tab/>
        <w:t>Seminars</w:t>
      </w:r>
      <w:r w:rsidR="006B02F7" w:rsidRPr="00C020C2">
        <w:rPr>
          <w:szCs w:val="24"/>
          <w:lang w:eastAsia="en-GB"/>
        </w:rPr>
        <w:t xml:space="preserve"> </w:t>
      </w:r>
      <w:r w:rsidR="000B2C4F" w:rsidRPr="00C020C2">
        <w:rPr>
          <w:szCs w:val="24"/>
          <w:lang w:eastAsia="en-GB"/>
        </w:rPr>
        <w:t>and</w:t>
      </w:r>
      <w:r w:rsidR="006B02F7" w:rsidRPr="00C020C2">
        <w:rPr>
          <w:szCs w:val="24"/>
          <w:lang w:eastAsia="en-GB"/>
        </w:rPr>
        <w:t xml:space="preserve"> </w:t>
      </w:r>
      <w:r w:rsidR="0011467A" w:rsidRPr="00C020C2">
        <w:rPr>
          <w:szCs w:val="24"/>
          <w:lang w:eastAsia="en-GB"/>
        </w:rPr>
        <w:t>workshops</w:t>
      </w:r>
      <w:bookmarkEnd w:id="59"/>
      <w:bookmarkEnd w:id="60"/>
      <w:bookmarkEnd w:id="61"/>
      <w:bookmarkEnd w:id="62"/>
      <w:r w:rsidR="0011467A" w:rsidRPr="00C020C2">
        <w:rPr>
          <w:szCs w:val="24"/>
          <w:lang w:eastAsia="en-GB"/>
        </w:rPr>
        <w:t xml:space="preserve"> </w:t>
      </w:r>
      <w:bookmarkEnd w:id="63"/>
    </w:p>
    <w:p w14:paraId="51133F31" w14:textId="77777777" w:rsidR="0011467A" w:rsidRPr="00C020C2" w:rsidRDefault="0011467A" w:rsidP="00A8341A">
      <w:pPr>
        <w:keepNext/>
        <w:keepLines/>
        <w:ind w:left="567" w:hanging="567"/>
        <w:outlineLvl w:val="4"/>
        <w:rPr>
          <w:b/>
          <w:szCs w:val="24"/>
        </w:rPr>
      </w:pPr>
      <w:r w:rsidRPr="00C020C2">
        <w:rPr>
          <w:b/>
          <w:szCs w:val="24"/>
        </w:rPr>
        <w:t>ITU-R</w:t>
      </w:r>
    </w:p>
    <w:p w14:paraId="6A6C1829" w14:textId="77777777" w:rsidR="0011467A" w:rsidRPr="00C020C2" w:rsidRDefault="0011467A" w:rsidP="00A8341A">
      <w:pPr>
        <w:jc w:val="both"/>
        <w:rPr>
          <w:rFonts w:eastAsia="Calibri"/>
          <w:color w:val="000000" w:themeColor="text1"/>
          <w:szCs w:val="24"/>
        </w:rPr>
      </w:pPr>
      <w:r w:rsidRPr="00C020C2">
        <w:rPr>
          <w:rFonts w:eastAsia="Calibri"/>
          <w:color w:val="000000" w:themeColor="text1"/>
          <w:szCs w:val="24"/>
        </w:rPr>
        <w:t>WRS-22 and RRS-22</w:t>
      </w:r>
    </w:p>
    <w:p w14:paraId="4FE7C32C" w14:textId="423F1810" w:rsidR="0011467A" w:rsidRPr="00C020C2" w:rsidRDefault="0011467A" w:rsidP="00A8341A">
      <w:pPr>
        <w:jc w:val="both"/>
        <w:rPr>
          <w:rFonts w:eastAsia="Calibri"/>
          <w:color w:val="000000" w:themeColor="text1"/>
          <w:szCs w:val="24"/>
        </w:rPr>
      </w:pPr>
      <w:r w:rsidRPr="00C020C2">
        <w:rPr>
          <w:rFonts w:eastAsia="Calibri"/>
          <w:color w:val="000000" w:themeColor="text1"/>
          <w:szCs w:val="24"/>
        </w:rPr>
        <w:t xml:space="preserve">In 2022, the ITU held one </w:t>
      </w:r>
      <w:hyperlink r:id="rId172" w:history="1">
        <w:r w:rsidRPr="00C020C2">
          <w:rPr>
            <w:rStyle w:val="Hyperlink"/>
            <w:rFonts w:eastAsia="Calibri"/>
            <w:szCs w:val="24"/>
          </w:rPr>
          <w:t>World Radiocommunication Seminar 2022</w:t>
        </w:r>
      </w:hyperlink>
      <w:r w:rsidRPr="00C020C2">
        <w:rPr>
          <w:rFonts w:eastAsia="Calibri"/>
          <w:color w:val="000000" w:themeColor="text1"/>
          <w:szCs w:val="24"/>
        </w:rPr>
        <w:t xml:space="preserve"> and three Regional Radiocommunication Seminars</w:t>
      </w:r>
      <w:r w:rsidR="00722E6A" w:rsidRPr="00C020C2">
        <w:rPr>
          <w:rFonts w:eastAsia="Calibri"/>
          <w:color w:val="000000" w:themeColor="text1"/>
          <w:szCs w:val="24"/>
        </w:rPr>
        <w:t xml:space="preserve">: </w:t>
      </w:r>
      <w:r w:rsidRPr="00C020C2">
        <w:rPr>
          <w:rFonts w:eastAsia="Calibri"/>
          <w:color w:val="000000" w:themeColor="text1"/>
          <w:szCs w:val="24"/>
        </w:rPr>
        <w:t xml:space="preserve">for the </w:t>
      </w:r>
      <w:hyperlink r:id="rId173" w:history="1">
        <w:r w:rsidRPr="00C020C2">
          <w:rPr>
            <w:rStyle w:val="Hyperlink"/>
            <w:rFonts w:eastAsia="Calibri"/>
            <w:szCs w:val="24"/>
          </w:rPr>
          <w:t>Arab States</w:t>
        </w:r>
      </w:hyperlink>
      <w:r w:rsidRPr="00C020C2">
        <w:rPr>
          <w:rFonts w:eastAsia="Calibri"/>
          <w:color w:val="000000" w:themeColor="text1"/>
          <w:szCs w:val="24"/>
        </w:rPr>
        <w:t xml:space="preserve">, </w:t>
      </w:r>
      <w:hyperlink r:id="rId174" w:history="1">
        <w:r w:rsidRPr="00C020C2">
          <w:rPr>
            <w:rStyle w:val="Hyperlink"/>
            <w:rFonts w:eastAsia="Calibri"/>
            <w:szCs w:val="24"/>
          </w:rPr>
          <w:t>Europe</w:t>
        </w:r>
      </w:hyperlink>
      <w:r w:rsidRPr="00C020C2">
        <w:rPr>
          <w:rFonts w:eastAsia="Calibri"/>
          <w:color w:val="000000" w:themeColor="text1"/>
          <w:szCs w:val="24"/>
        </w:rPr>
        <w:t xml:space="preserve"> and </w:t>
      </w:r>
      <w:hyperlink r:id="rId175" w:history="1">
        <w:r w:rsidRPr="00C020C2">
          <w:rPr>
            <w:rStyle w:val="Hyperlink"/>
            <w:rFonts w:eastAsia="Calibri"/>
            <w:szCs w:val="24"/>
          </w:rPr>
          <w:t>Asia-Pacific</w:t>
        </w:r>
      </w:hyperlink>
      <w:r w:rsidRPr="00C020C2">
        <w:rPr>
          <w:rFonts w:eastAsia="Calibri"/>
          <w:color w:val="000000" w:themeColor="text1"/>
          <w:szCs w:val="24"/>
        </w:rPr>
        <w:t xml:space="preserve">. These seminars dealt with the use of radio-frequency spectrum and satellite </w:t>
      </w:r>
      <w:proofErr w:type="gramStart"/>
      <w:r w:rsidRPr="00C020C2">
        <w:rPr>
          <w:rFonts w:eastAsia="Calibri"/>
          <w:color w:val="000000" w:themeColor="text1"/>
          <w:szCs w:val="24"/>
        </w:rPr>
        <w:t>orbits, and</w:t>
      </w:r>
      <w:proofErr w:type="gramEnd"/>
      <w:r w:rsidR="007F6BCA" w:rsidRPr="00C020C2">
        <w:rPr>
          <w:rFonts w:eastAsia="Calibri"/>
          <w:color w:val="000000" w:themeColor="text1"/>
          <w:szCs w:val="24"/>
        </w:rPr>
        <w:t xml:space="preserve"> focused on </w:t>
      </w:r>
      <w:r w:rsidRPr="00C020C2">
        <w:rPr>
          <w:rFonts w:eastAsia="Calibri"/>
          <w:color w:val="000000" w:themeColor="text1"/>
          <w:szCs w:val="24"/>
        </w:rPr>
        <w:t>the application of the ITU Radio Regulations. The</w:t>
      </w:r>
      <w:r w:rsidR="007F6BCA" w:rsidRPr="00C020C2">
        <w:rPr>
          <w:rFonts w:eastAsia="Calibri"/>
          <w:color w:val="000000" w:themeColor="text1"/>
          <w:szCs w:val="24"/>
        </w:rPr>
        <w:t xml:space="preserve"> seminars</w:t>
      </w:r>
      <w:r w:rsidRPr="00C020C2">
        <w:rPr>
          <w:rFonts w:eastAsia="Calibri"/>
          <w:color w:val="000000" w:themeColor="text1"/>
          <w:szCs w:val="24"/>
        </w:rPr>
        <w:t xml:space="preserve"> covered general radiocommunication-related matters, trends in radiocommunication services, the activities of the ITU-R Study Groups, the Radio Regulations Board, the Radiocommunication Assembly and World Radiocommunication Conference (WRC). The </w:t>
      </w:r>
      <w:r w:rsidR="00722E6A" w:rsidRPr="00C020C2">
        <w:rPr>
          <w:rFonts w:eastAsia="Calibri"/>
          <w:color w:val="000000" w:themeColor="text1"/>
          <w:szCs w:val="24"/>
        </w:rPr>
        <w:t xml:space="preserve">seminars </w:t>
      </w:r>
      <w:r w:rsidRPr="00C020C2">
        <w:rPr>
          <w:rFonts w:eastAsia="Calibri"/>
          <w:color w:val="000000" w:themeColor="text1"/>
          <w:szCs w:val="24"/>
        </w:rPr>
        <w:t xml:space="preserve">also included Terrestrial and Space Workshops that allowed participants to get a hands-on experience </w:t>
      </w:r>
      <w:r w:rsidR="007F6BCA" w:rsidRPr="00C020C2">
        <w:rPr>
          <w:rFonts w:eastAsia="Calibri"/>
          <w:color w:val="000000" w:themeColor="text1"/>
          <w:szCs w:val="24"/>
        </w:rPr>
        <w:t xml:space="preserve">of </w:t>
      </w:r>
      <w:r w:rsidRPr="00C020C2">
        <w:rPr>
          <w:rFonts w:eastAsia="Calibri"/>
          <w:color w:val="000000" w:themeColor="text1"/>
          <w:szCs w:val="24"/>
        </w:rPr>
        <w:t>ITU notification procedures</w:t>
      </w:r>
      <w:r w:rsidR="007F6BCA" w:rsidRPr="00C020C2">
        <w:rPr>
          <w:rFonts w:eastAsia="Calibri"/>
          <w:color w:val="000000" w:themeColor="text1"/>
          <w:szCs w:val="24"/>
        </w:rPr>
        <w:t>,</w:t>
      </w:r>
      <w:r w:rsidRPr="00C020C2">
        <w:rPr>
          <w:rFonts w:eastAsia="Calibri"/>
          <w:color w:val="000000" w:themeColor="text1"/>
          <w:szCs w:val="24"/>
        </w:rPr>
        <w:t xml:space="preserve"> software, </w:t>
      </w:r>
      <w:proofErr w:type="gramStart"/>
      <w:r w:rsidRPr="00C020C2">
        <w:rPr>
          <w:rFonts w:eastAsia="Calibri"/>
          <w:color w:val="000000" w:themeColor="text1"/>
          <w:szCs w:val="24"/>
        </w:rPr>
        <w:t>databases</w:t>
      </w:r>
      <w:proofErr w:type="gramEnd"/>
      <w:r w:rsidRPr="00C020C2">
        <w:rPr>
          <w:rFonts w:eastAsia="Calibri"/>
          <w:color w:val="000000" w:themeColor="text1"/>
          <w:szCs w:val="24"/>
        </w:rPr>
        <w:t xml:space="preserve"> and electronic publications. Each seminar concluded with a Forum on radiocommunication trends of particular interest for each region.</w:t>
      </w:r>
    </w:p>
    <w:p w14:paraId="09374681" w14:textId="77777777" w:rsidR="0011467A" w:rsidRPr="00C020C2" w:rsidRDefault="0011467A" w:rsidP="00A8341A">
      <w:pPr>
        <w:keepNext/>
        <w:keepLines/>
        <w:ind w:left="567" w:hanging="567"/>
        <w:outlineLvl w:val="4"/>
        <w:rPr>
          <w:b/>
          <w:szCs w:val="24"/>
        </w:rPr>
      </w:pPr>
      <w:r w:rsidRPr="00C020C2">
        <w:rPr>
          <w:b/>
          <w:szCs w:val="24"/>
        </w:rPr>
        <w:t>ITU-T</w:t>
      </w:r>
    </w:p>
    <w:p w14:paraId="7CE6AEEE" w14:textId="2B232F1A" w:rsidR="0011467A" w:rsidRPr="00C020C2" w:rsidRDefault="0011467A" w:rsidP="00A8341A">
      <w:pPr>
        <w:jc w:val="both"/>
        <w:rPr>
          <w:rFonts w:eastAsia="Calibri"/>
          <w:szCs w:val="24"/>
        </w:rPr>
      </w:pPr>
      <w:r w:rsidRPr="00C020C2">
        <w:rPr>
          <w:rFonts w:eastAsia="Calibri"/>
          <w:szCs w:val="24"/>
        </w:rPr>
        <w:t xml:space="preserve">ITU-T held </w:t>
      </w:r>
      <w:r w:rsidRPr="00C020C2">
        <w:rPr>
          <w:rFonts w:eastAsia="Calibri"/>
          <w:bCs/>
          <w:szCs w:val="24"/>
        </w:rPr>
        <w:t>43 non-statutory</w:t>
      </w:r>
      <w:r w:rsidRPr="00C020C2">
        <w:rPr>
          <w:rFonts w:eastAsia="Calibri"/>
          <w:szCs w:val="24"/>
        </w:rPr>
        <w:t xml:space="preserve"> events including workshops, webinars, fora, </w:t>
      </w:r>
      <w:proofErr w:type="gramStart"/>
      <w:r w:rsidRPr="00C020C2">
        <w:rPr>
          <w:rFonts w:eastAsia="Calibri"/>
          <w:szCs w:val="24"/>
        </w:rPr>
        <w:t>seminars</w:t>
      </w:r>
      <w:proofErr w:type="gramEnd"/>
      <w:r w:rsidRPr="00C020C2">
        <w:rPr>
          <w:rFonts w:eastAsia="Calibri"/>
          <w:szCs w:val="24"/>
        </w:rPr>
        <w:t xml:space="preserve"> and symposiums within the reporting period</w:t>
      </w:r>
      <w:r w:rsidR="007F6BCA" w:rsidRPr="00C020C2">
        <w:rPr>
          <w:rFonts w:eastAsia="Calibri"/>
          <w:szCs w:val="24"/>
        </w:rPr>
        <w:t xml:space="preserve"> – </w:t>
      </w:r>
      <w:r w:rsidRPr="00C020C2">
        <w:rPr>
          <w:rFonts w:eastAsia="Calibri"/>
          <w:szCs w:val="24"/>
        </w:rPr>
        <w:t xml:space="preserve">23 of </w:t>
      </w:r>
      <w:r w:rsidR="007F6BCA" w:rsidRPr="00C020C2">
        <w:rPr>
          <w:rFonts w:eastAsia="Calibri"/>
          <w:szCs w:val="24"/>
        </w:rPr>
        <w:t>the events</w:t>
      </w:r>
      <w:r w:rsidRPr="00C020C2">
        <w:rPr>
          <w:rFonts w:eastAsia="Calibri"/>
          <w:szCs w:val="24"/>
        </w:rPr>
        <w:t xml:space="preserve"> were </w:t>
      </w:r>
      <w:r w:rsidR="00722E6A" w:rsidRPr="00C020C2">
        <w:rPr>
          <w:rFonts w:eastAsia="Calibri"/>
          <w:szCs w:val="24"/>
        </w:rPr>
        <w:t xml:space="preserve">organized </w:t>
      </w:r>
      <w:r w:rsidRPr="00C020C2">
        <w:rPr>
          <w:rFonts w:eastAsia="Calibri"/>
          <w:szCs w:val="24"/>
        </w:rPr>
        <w:t xml:space="preserve">with external entities. </w:t>
      </w:r>
    </w:p>
    <w:p w14:paraId="38D1C970" w14:textId="77777777" w:rsidR="0011467A" w:rsidRPr="00C020C2" w:rsidRDefault="0011467A" w:rsidP="00A8341A">
      <w:pPr>
        <w:jc w:val="both"/>
        <w:rPr>
          <w:rFonts w:eastAsia="Calibri"/>
          <w:szCs w:val="24"/>
        </w:rPr>
      </w:pPr>
      <w:r w:rsidRPr="00C020C2">
        <w:rPr>
          <w:rFonts w:eastAsia="Calibri"/>
          <w:szCs w:val="24"/>
        </w:rPr>
        <w:t>These events comprised of:</w:t>
      </w:r>
    </w:p>
    <w:p w14:paraId="63299398" w14:textId="7FD2B463" w:rsidR="0011467A" w:rsidRPr="00C020C2" w:rsidRDefault="0011467A" w:rsidP="00EE21B1">
      <w:pPr>
        <w:pStyle w:val="ListParagraph"/>
        <w:numPr>
          <w:ilvl w:val="0"/>
          <w:numId w:val="33"/>
        </w:numPr>
        <w:ind w:left="1077" w:hanging="357"/>
        <w:contextualSpacing/>
        <w:jc w:val="both"/>
        <w:rPr>
          <w:rFonts w:eastAsia="Calibri"/>
          <w:sz w:val="24"/>
          <w:szCs w:val="24"/>
        </w:rPr>
      </w:pPr>
      <w:r w:rsidRPr="00C020C2">
        <w:rPr>
          <w:rFonts w:eastAsia="Calibri"/>
          <w:iCs/>
          <w:sz w:val="24"/>
          <w:szCs w:val="24"/>
        </w:rPr>
        <w:t>21</w:t>
      </w:r>
      <w:r w:rsidRPr="00C020C2">
        <w:rPr>
          <w:rFonts w:eastAsia="Calibri"/>
          <w:sz w:val="24"/>
          <w:szCs w:val="24"/>
        </w:rPr>
        <w:t xml:space="preserve"> fully virtual events, with a total of </w:t>
      </w:r>
      <w:r w:rsidR="00722E6A" w:rsidRPr="00C020C2">
        <w:rPr>
          <w:rFonts w:eastAsia="Calibri"/>
          <w:sz w:val="24"/>
          <w:szCs w:val="24"/>
        </w:rPr>
        <w:t xml:space="preserve">2 794 </w:t>
      </w:r>
      <w:r w:rsidRPr="00C020C2">
        <w:rPr>
          <w:rFonts w:eastAsia="Calibri"/>
          <w:sz w:val="24"/>
          <w:szCs w:val="24"/>
        </w:rPr>
        <w:t xml:space="preserve">attendees. </w:t>
      </w:r>
    </w:p>
    <w:p w14:paraId="4D101A1D" w14:textId="515F2E2E" w:rsidR="0011467A" w:rsidRPr="00C020C2" w:rsidRDefault="0011467A" w:rsidP="00EE21B1">
      <w:pPr>
        <w:pStyle w:val="ListParagraph"/>
        <w:numPr>
          <w:ilvl w:val="0"/>
          <w:numId w:val="33"/>
        </w:numPr>
        <w:ind w:left="1077" w:hanging="357"/>
        <w:contextualSpacing/>
        <w:jc w:val="both"/>
        <w:rPr>
          <w:rFonts w:eastAsia="Calibri"/>
          <w:sz w:val="24"/>
          <w:szCs w:val="24"/>
        </w:rPr>
      </w:pPr>
      <w:r w:rsidRPr="00C020C2">
        <w:rPr>
          <w:rFonts w:eastAsia="Calibri"/>
          <w:iCs/>
          <w:sz w:val="24"/>
          <w:szCs w:val="24"/>
        </w:rPr>
        <w:t xml:space="preserve">19 </w:t>
      </w:r>
      <w:r w:rsidRPr="00C020C2">
        <w:rPr>
          <w:rFonts w:eastAsia="Calibri"/>
          <w:sz w:val="24"/>
          <w:szCs w:val="24"/>
        </w:rPr>
        <w:t xml:space="preserve">physical events with remote participation, with a total of </w:t>
      </w:r>
      <w:r w:rsidR="00722E6A" w:rsidRPr="00C020C2">
        <w:rPr>
          <w:rFonts w:eastAsia="Calibri"/>
          <w:sz w:val="24"/>
          <w:szCs w:val="24"/>
        </w:rPr>
        <w:t xml:space="preserve">3 051 </w:t>
      </w:r>
      <w:r w:rsidRPr="00C020C2">
        <w:rPr>
          <w:rFonts w:eastAsia="Calibri"/>
          <w:sz w:val="24"/>
          <w:szCs w:val="24"/>
        </w:rPr>
        <w:t>attendees.</w:t>
      </w:r>
    </w:p>
    <w:p w14:paraId="7DC6B9F3" w14:textId="77777777" w:rsidR="0011467A" w:rsidRPr="00C020C2" w:rsidRDefault="0011467A" w:rsidP="00EE21B1">
      <w:pPr>
        <w:pStyle w:val="ListParagraph"/>
        <w:numPr>
          <w:ilvl w:val="0"/>
          <w:numId w:val="33"/>
        </w:numPr>
        <w:ind w:left="1077" w:hanging="357"/>
        <w:contextualSpacing/>
        <w:jc w:val="both"/>
        <w:rPr>
          <w:rFonts w:eastAsia="Calibri"/>
          <w:sz w:val="24"/>
          <w:szCs w:val="24"/>
        </w:rPr>
      </w:pPr>
      <w:r w:rsidRPr="00C020C2">
        <w:rPr>
          <w:rFonts w:eastAsia="Calibri"/>
          <w:iCs/>
          <w:sz w:val="24"/>
          <w:szCs w:val="24"/>
        </w:rPr>
        <w:t xml:space="preserve">3 </w:t>
      </w:r>
      <w:r w:rsidRPr="00C020C2">
        <w:rPr>
          <w:rFonts w:eastAsia="Calibri"/>
          <w:sz w:val="24"/>
          <w:szCs w:val="24"/>
        </w:rPr>
        <w:t xml:space="preserve">fully physical events, with a total of 244 attendees. </w:t>
      </w:r>
    </w:p>
    <w:p w14:paraId="2C796B9D" w14:textId="5CF2C137" w:rsidR="0011467A" w:rsidRPr="00C020C2" w:rsidRDefault="59700F11" w:rsidP="00A8341A">
      <w:pPr>
        <w:jc w:val="both"/>
        <w:rPr>
          <w:rFonts w:eastAsia="Calibri"/>
          <w:szCs w:val="24"/>
        </w:rPr>
      </w:pPr>
      <w:r w:rsidRPr="00C020C2">
        <w:rPr>
          <w:rFonts w:eastAsia="Calibri"/>
          <w:szCs w:val="24"/>
        </w:rPr>
        <w:t xml:space="preserve">A highlight in terms of participation was the </w:t>
      </w:r>
      <w:hyperlink r:id="rId176">
        <w:r w:rsidRPr="00C020C2">
          <w:rPr>
            <w:rStyle w:val="Hyperlink"/>
            <w:rFonts w:eastAsia="Calibri"/>
            <w:szCs w:val="24"/>
          </w:rPr>
          <w:t>2</w:t>
        </w:r>
        <w:r w:rsidRPr="00C020C2">
          <w:rPr>
            <w:rStyle w:val="Hyperlink"/>
            <w:rFonts w:eastAsia="Calibri"/>
            <w:szCs w:val="24"/>
            <w:vertAlign w:val="superscript"/>
          </w:rPr>
          <w:t>nd</w:t>
        </w:r>
        <w:r w:rsidRPr="00C020C2">
          <w:rPr>
            <w:rStyle w:val="Hyperlink"/>
            <w:rFonts w:eastAsia="Calibri"/>
            <w:szCs w:val="24"/>
          </w:rPr>
          <w:t xml:space="preserve"> edition of the DC</w:t>
        </w:r>
        <w:r w:rsidRPr="00C020C2">
          <w:rPr>
            <w:rStyle w:val="Hyperlink"/>
            <w:rFonts w:eastAsia="Calibri"/>
            <w:szCs w:val="24"/>
            <w:vertAlign w:val="superscript"/>
          </w:rPr>
          <w:t>3</w:t>
        </w:r>
        <w:r w:rsidRPr="00C020C2">
          <w:rPr>
            <w:rStyle w:val="Hyperlink"/>
            <w:rFonts w:eastAsia="Calibri"/>
            <w:szCs w:val="24"/>
          </w:rPr>
          <w:t xml:space="preserve"> Conference</w:t>
        </w:r>
      </w:hyperlink>
      <w:r w:rsidR="00175FA2" w:rsidRPr="00C020C2">
        <w:rPr>
          <w:rStyle w:val="Hyperlink"/>
          <w:rFonts w:eastAsia="Calibri"/>
          <w:szCs w:val="24"/>
        </w:rPr>
        <w:t xml:space="preserve"> (From Cryptocurrencies to Central Bank Digital Currencies)</w:t>
      </w:r>
      <w:r w:rsidRPr="00C020C2">
        <w:rPr>
          <w:rFonts w:eastAsia="Calibri"/>
          <w:szCs w:val="24"/>
        </w:rPr>
        <w:t xml:space="preserve"> which took place from 24</w:t>
      </w:r>
      <w:r w:rsidR="483694B5" w:rsidRPr="00C020C2">
        <w:rPr>
          <w:rFonts w:eastAsia="Calibri"/>
          <w:szCs w:val="24"/>
        </w:rPr>
        <w:t>-</w:t>
      </w:r>
      <w:r w:rsidRPr="00C020C2">
        <w:rPr>
          <w:rFonts w:eastAsia="Calibri"/>
          <w:szCs w:val="24"/>
        </w:rPr>
        <w:t xml:space="preserve">27 January 2023. Its 11 sessions attracted </w:t>
      </w:r>
      <w:r w:rsidR="17D3DD47" w:rsidRPr="00C020C2">
        <w:rPr>
          <w:rFonts w:eastAsia="Calibri"/>
          <w:szCs w:val="24"/>
        </w:rPr>
        <w:t xml:space="preserve">1 226 </w:t>
      </w:r>
      <w:r w:rsidRPr="00C020C2">
        <w:rPr>
          <w:rFonts w:eastAsia="Calibri"/>
          <w:szCs w:val="24"/>
        </w:rPr>
        <w:t>remote participants.</w:t>
      </w:r>
      <w:r w:rsidR="0011467A" w:rsidRPr="00C020C2">
        <w:rPr>
          <w:szCs w:val="24"/>
        </w:rPr>
        <w:br/>
      </w:r>
      <w:r w:rsidRPr="00C020C2">
        <w:rPr>
          <w:rFonts w:eastAsia="Calibri"/>
          <w:szCs w:val="24"/>
        </w:rPr>
        <w:t xml:space="preserve">More information about these events can be accessed on the event webpages for the years </w:t>
      </w:r>
      <w:hyperlink r:id="rId177">
        <w:r w:rsidRPr="00C020C2">
          <w:rPr>
            <w:rStyle w:val="Hyperlink"/>
            <w:rFonts w:eastAsia="Calibri"/>
            <w:szCs w:val="24"/>
          </w:rPr>
          <w:t>2023</w:t>
        </w:r>
      </w:hyperlink>
      <w:r w:rsidRPr="00C020C2">
        <w:rPr>
          <w:rFonts w:eastAsia="Calibri"/>
          <w:szCs w:val="24"/>
        </w:rPr>
        <w:t xml:space="preserve"> and </w:t>
      </w:r>
      <w:hyperlink r:id="rId178">
        <w:r w:rsidRPr="00C020C2">
          <w:rPr>
            <w:rStyle w:val="Hyperlink"/>
            <w:rFonts w:eastAsia="Calibri"/>
            <w:szCs w:val="24"/>
          </w:rPr>
          <w:t>2022</w:t>
        </w:r>
      </w:hyperlink>
      <w:r w:rsidRPr="00C020C2">
        <w:rPr>
          <w:rFonts w:eastAsia="Calibri"/>
          <w:szCs w:val="24"/>
        </w:rPr>
        <w:t>, respectively.</w:t>
      </w:r>
    </w:p>
    <w:p w14:paraId="49223F20" w14:textId="77777777" w:rsidR="0011467A" w:rsidRPr="00C020C2" w:rsidRDefault="0011467A" w:rsidP="00A8341A">
      <w:pPr>
        <w:rPr>
          <w:szCs w:val="24"/>
        </w:rPr>
      </w:pPr>
      <w:bookmarkStart w:id="64" w:name="_Hlk72319163"/>
      <w:r w:rsidRPr="00C020C2">
        <w:rPr>
          <w:szCs w:val="24"/>
        </w:rPr>
        <w:t>ITU-D</w:t>
      </w:r>
    </w:p>
    <w:p w14:paraId="2D5450D3" w14:textId="77777777" w:rsidR="001914FB" w:rsidRPr="00C020C2" w:rsidRDefault="001914FB" w:rsidP="00A8341A">
      <w:pPr>
        <w:shd w:val="clear" w:color="auto" w:fill="FFFFFF"/>
        <w:jc w:val="both"/>
        <w:rPr>
          <w:rFonts w:eastAsia="Calibri"/>
          <w:szCs w:val="24"/>
        </w:rPr>
      </w:pPr>
      <w:bookmarkStart w:id="65" w:name="_Toc37860465"/>
      <w:bookmarkStart w:id="66" w:name="_Toc37861226"/>
      <w:bookmarkStart w:id="67" w:name="_Toc37943349"/>
      <w:bookmarkStart w:id="68" w:name="Section_1_11"/>
      <w:bookmarkEnd w:id="64"/>
      <w:r w:rsidRPr="00C020C2">
        <w:rPr>
          <w:rFonts w:eastAsia="Calibri"/>
          <w:szCs w:val="24"/>
        </w:rPr>
        <w:t xml:space="preserve">ITU-D held 66 non-statutory events during 2022 including workshops, information sessions, symposia, </w:t>
      </w:r>
      <w:proofErr w:type="gramStart"/>
      <w:r w:rsidRPr="00C020C2">
        <w:rPr>
          <w:rFonts w:eastAsia="Calibri"/>
          <w:szCs w:val="24"/>
        </w:rPr>
        <w:t>seminars</w:t>
      </w:r>
      <w:proofErr w:type="gramEnd"/>
      <w:r w:rsidRPr="00C020C2">
        <w:rPr>
          <w:rFonts w:eastAsia="Calibri"/>
          <w:szCs w:val="24"/>
        </w:rPr>
        <w:t xml:space="preserve"> and fora, some of them open to a global audience, while others limited to regional participants. </w:t>
      </w:r>
    </w:p>
    <w:p w14:paraId="16AD7098" w14:textId="7E4DB5B1" w:rsidR="001914FB" w:rsidRPr="00C020C2" w:rsidRDefault="0074E383" w:rsidP="00A8341A">
      <w:pPr>
        <w:shd w:val="clear" w:color="auto" w:fill="FFFFFF" w:themeFill="background1"/>
        <w:jc w:val="both"/>
        <w:rPr>
          <w:rFonts w:asciiTheme="minorHAnsi" w:eastAsia="Calibri" w:hAnsiTheme="minorHAnsi" w:cstheme="minorHAnsi"/>
        </w:rPr>
      </w:pPr>
      <w:r w:rsidRPr="00C020C2">
        <w:rPr>
          <w:rFonts w:asciiTheme="minorHAnsi" w:eastAsia="Calibri" w:hAnsiTheme="minorHAnsi" w:cstheme="minorHAnsi"/>
        </w:rPr>
        <w:lastRenderedPageBreak/>
        <w:t xml:space="preserve">Although 2022 saw a return to physical events, not all of them were physical or exclusively so.  ITU-D held eight fully physical events, 15 physical events with remote participation and 43 fully </w:t>
      </w:r>
      <w:r w:rsidR="00213FC8" w:rsidRPr="00C020C2">
        <w:rPr>
          <w:rFonts w:asciiTheme="minorHAnsi" w:eastAsia="Calibri" w:hAnsiTheme="minorHAnsi" w:cstheme="minorHAnsi"/>
        </w:rPr>
        <w:t xml:space="preserve">virtual </w:t>
      </w:r>
      <w:r w:rsidRPr="00C020C2">
        <w:rPr>
          <w:rFonts w:asciiTheme="minorHAnsi" w:eastAsia="Calibri" w:hAnsiTheme="minorHAnsi" w:cstheme="minorHAnsi"/>
        </w:rPr>
        <w:t>ones.</w:t>
      </w:r>
    </w:p>
    <w:p w14:paraId="16C524B4" w14:textId="77777777" w:rsidR="001914FB" w:rsidRPr="00C020C2" w:rsidRDefault="001914FB" w:rsidP="00A8341A">
      <w:pPr>
        <w:shd w:val="clear" w:color="auto" w:fill="FFFFFF"/>
        <w:jc w:val="both"/>
        <w:rPr>
          <w:rFonts w:asciiTheme="minorHAnsi" w:hAnsiTheme="minorHAnsi" w:cstheme="minorHAnsi"/>
        </w:rPr>
      </w:pPr>
      <w:r w:rsidRPr="00C020C2">
        <w:rPr>
          <w:rFonts w:asciiTheme="minorHAnsi" w:hAnsiTheme="minorHAnsi" w:cstheme="minorHAnsi"/>
        </w:rPr>
        <w:t>The above events covered all the ITU-D priorities.  During the first part of 2022, they were based on the Buenos Aires Action Plan, while the Kigali Action Plan was the basis of the work after WTDC-22.</w:t>
      </w:r>
    </w:p>
    <w:p w14:paraId="0A6458F3" w14:textId="65B27781" w:rsidR="0011467A" w:rsidRPr="00C020C2" w:rsidRDefault="002B38AA" w:rsidP="00EE21B1">
      <w:pPr>
        <w:pStyle w:val="Heading3"/>
        <w:spacing w:before="240" w:after="120"/>
        <w:rPr>
          <w:rFonts w:asciiTheme="minorHAnsi" w:hAnsiTheme="minorHAnsi" w:cstheme="minorHAnsi"/>
        </w:rPr>
      </w:pPr>
      <w:bookmarkStart w:id="69" w:name="_Toc137211298"/>
      <w:r w:rsidRPr="00C020C2">
        <w:rPr>
          <w:rFonts w:asciiTheme="minorHAnsi" w:hAnsiTheme="minorHAnsi" w:cstheme="minorHAnsi"/>
          <w:lang w:eastAsia="en-GB"/>
        </w:rPr>
        <w:t>4</w:t>
      </w:r>
      <w:r w:rsidR="0011467A" w:rsidRPr="00C020C2">
        <w:rPr>
          <w:rFonts w:asciiTheme="minorHAnsi" w:hAnsiTheme="minorHAnsi" w:cstheme="minorHAnsi"/>
          <w:lang w:eastAsia="en-GB"/>
        </w:rPr>
        <w:t>.9</w:t>
      </w:r>
      <w:r w:rsidR="0011467A" w:rsidRPr="00C020C2">
        <w:rPr>
          <w:rFonts w:asciiTheme="minorHAnsi" w:hAnsiTheme="minorHAnsi" w:cstheme="minorHAnsi"/>
          <w:lang w:eastAsia="en-GB"/>
        </w:rPr>
        <w:tab/>
        <w:t>Key events</w:t>
      </w:r>
      <w:bookmarkEnd w:id="65"/>
      <w:bookmarkEnd w:id="66"/>
      <w:bookmarkEnd w:id="67"/>
      <w:bookmarkEnd w:id="68"/>
      <w:bookmarkEnd w:id="69"/>
    </w:p>
    <w:p w14:paraId="4CD8C98D" w14:textId="77777777" w:rsidR="0011467A" w:rsidRPr="00C020C2" w:rsidRDefault="0011467A" w:rsidP="00A8341A">
      <w:pPr>
        <w:rPr>
          <w:rFonts w:asciiTheme="minorHAnsi" w:eastAsia="Calibri" w:hAnsiTheme="minorHAnsi" w:cstheme="minorHAnsi"/>
          <w:b/>
          <w:lang w:eastAsia="en-GB"/>
        </w:rPr>
      </w:pPr>
      <w:r w:rsidRPr="00C020C2">
        <w:rPr>
          <w:rFonts w:asciiTheme="minorHAnsi" w:eastAsia="Calibri" w:hAnsiTheme="minorHAnsi" w:cstheme="minorHAnsi"/>
          <w:b/>
          <w:lang w:eastAsia="en-GB"/>
        </w:rPr>
        <w:t>WSIS Forum</w:t>
      </w:r>
    </w:p>
    <w:p w14:paraId="33B8F652" w14:textId="65DE2D6B" w:rsidR="0011467A" w:rsidRPr="00C020C2" w:rsidRDefault="00C020C2" w:rsidP="00A8341A">
      <w:pPr>
        <w:jc w:val="both"/>
        <w:rPr>
          <w:rFonts w:asciiTheme="minorHAnsi" w:eastAsia="Calibri" w:hAnsiTheme="minorHAnsi" w:cstheme="minorHAnsi"/>
        </w:rPr>
      </w:pPr>
      <w:hyperlink r:id="rId179">
        <w:r w:rsidR="59700F11" w:rsidRPr="00C020C2">
          <w:rPr>
            <w:rStyle w:val="Hyperlink"/>
            <w:rFonts w:asciiTheme="minorHAnsi" w:eastAsia="Calibri" w:hAnsiTheme="minorHAnsi" w:cstheme="minorHAnsi"/>
          </w:rPr>
          <w:t>WSIS Forum 2023</w:t>
        </w:r>
      </w:hyperlink>
      <w:r w:rsidR="59700F11" w:rsidRPr="00C020C2">
        <w:rPr>
          <w:rFonts w:asciiTheme="minorHAnsi" w:eastAsia="Calibri" w:hAnsiTheme="minorHAnsi" w:cstheme="minorHAnsi"/>
        </w:rPr>
        <w:t xml:space="preserve">, </w:t>
      </w:r>
      <w:r w:rsidR="483694B5" w:rsidRPr="00C020C2">
        <w:rPr>
          <w:rFonts w:asciiTheme="minorHAnsi" w:eastAsia="Calibri" w:hAnsiTheme="minorHAnsi" w:cstheme="minorHAnsi"/>
        </w:rPr>
        <w:t>held from</w:t>
      </w:r>
      <w:r w:rsidR="59700F11" w:rsidRPr="00C020C2">
        <w:rPr>
          <w:rFonts w:asciiTheme="minorHAnsi" w:eastAsia="Calibri" w:hAnsiTheme="minorHAnsi" w:cstheme="minorHAnsi"/>
        </w:rPr>
        <w:t xml:space="preserve"> 13-17 March</w:t>
      </w:r>
      <w:r w:rsidR="483694B5" w:rsidRPr="00C020C2">
        <w:rPr>
          <w:rFonts w:asciiTheme="minorHAnsi" w:eastAsia="Calibri" w:hAnsiTheme="minorHAnsi" w:cstheme="minorHAnsi"/>
        </w:rPr>
        <w:t xml:space="preserve"> under the theme </w:t>
      </w:r>
      <w:r w:rsidR="483694B5" w:rsidRPr="00C020C2">
        <w:rPr>
          <w:rFonts w:asciiTheme="minorHAnsi" w:eastAsia="Calibri" w:hAnsiTheme="minorHAnsi" w:cstheme="minorHAnsi"/>
          <w:i/>
          <w:iCs/>
        </w:rPr>
        <w:t>WSIS Action Lines for building back better and accelerating the achievement of the SDGs</w:t>
      </w:r>
      <w:r w:rsidR="483694B5" w:rsidRPr="00C020C2">
        <w:rPr>
          <w:rFonts w:asciiTheme="minorHAnsi" w:eastAsia="Calibri" w:hAnsiTheme="minorHAnsi" w:cstheme="minorHAnsi"/>
        </w:rPr>
        <w:t>,</w:t>
      </w:r>
      <w:r w:rsidR="59700F11" w:rsidRPr="00C020C2">
        <w:rPr>
          <w:rFonts w:asciiTheme="minorHAnsi" w:eastAsia="Calibri" w:hAnsiTheme="minorHAnsi" w:cstheme="minorHAnsi"/>
        </w:rPr>
        <w:t xml:space="preserve"> </w:t>
      </w:r>
      <w:r w:rsidR="483694B5" w:rsidRPr="00C020C2">
        <w:rPr>
          <w:rFonts w:asciiTheme="minorHAnsi" w:eastAsia="Calibri" w:hAnsiTheme="minorHAnsi" w:cstheme="minorHAnsi"/>
        </w:rPr>
        <w:t>drew</w:t>
      </w:r>
      <w:r w:rsidR="59700F11" w:rsidRPr="00C020C2">
        <w:rPr>
          <w:rFonts w:asciiTheme="minorHAnsi" w:eastAsia="Calibri" w:hAnsiTheme="minorHAnsi" w:cstheme="minorHAnsi"/>
        </w:rPr>
        <w:t xml:space="preserve"> over 2</w:t>
      </w:r>
      <w:r w:rsidR="483694B5" w:rsidRPr="00C020C2">
        <w:rPr>
          <w:rFonts w:asciiTheme="minorHAnsi" w:eastAsia="Calibri" w:hAnsiTheme="minorHAnsi" w:cstheme="minorHAnsi"/>
        </w:rPr>
        <w:t xml:space="preserve"> </w:t>
      </w:r>
      <w:r w:rsidR="59700F11" w:rsidRPr="00C020C2">
        <w:rPr>
          <w:rFonts w:asciiTheme="minorHAnsi" w:eastAsia="Calibri" w:hAnsiTheme="minorHAnsi" w:cstheme="minorHAnsi"/>
        </w:rPr>
        <w:t xml:space="preserve">700 participants attending both onsite and remotely. </w:t>
      </w:r>
      <w:r w:rsidR="483694B5" w:rsidRPr="00C020C2">
        <w:rPr>
          <w:rFonts w:asciiTheme="minorHAnsi" w:eastAsia="Calibri" w:hAnsiTheme="minorHAnsi" w:cstheme="minorHAnsi"/>
        </w:rPr>
        <w:t>Over</w:t>
      </w:r>
      <w:r w:rsidR="59700F11" w:rsidRPr="00C020C2">
        <w:rPr>
          <w:rFonts w:asciiTheme="minorHAnsi" w:eastAsia="Calibri" w:hAnsiTheme="minorHAnsi" w:cstheme="minorHAnsi"/>
        </w:rPr>
        <w:t xml:space="preserve"> 600 participants used the networking tool </w:t>
      </w:r>
      <w:proofErr w:type="spellStart"/>
      <w:r w:rsidR="59700F11" w:rsidRPr="00C020C2">
        <w:rPr>
          <w:rFonts w:asciiTheme="minorHAnsi" w:eastAsia="Calibri" w:hAnsiTheme="minorHAnsi" w:cstheme="minorHAnsi"/>
        </w:rPr>
        <w:t>imeetyou@wsis</w:t>
      </w:r>
      <w:proofErr w:type="spellEnd"/>
      <w:r w:rsidR="59700F11" w:rsidRPr="00C020C2">
        <w:rPr>
          <w:rFonts w:asciiTheme="minorHAnsi" w:eastAsia="Calibri" w:hAnsiTheme="minorHAnsi" w:cstheme="minorHAnsi"/>
        </w:rPr>
        <w:t xml:space="preserve"> to connect and engage with others</w:t>
      </w:r>
      <w:r w:rsidR="00640469" w:rsidRPr="00C020C2">
        <w:rPr>
          <w:rFonts w:asciiTheme="minorHAnsi" w:eastAsia="Calibri" w:hAnsiTheme="minorHAnsi" w:cstheme="minorHAnsi"/>
        </w:rPr>
        <w:t xml:space="preserve"> (via LinkedIn platform)</w:t>
      </w:r>
      <w:r w:rsidR="59700F11" w:rsidRPr="00C020C2">
        <w:rPr>
          <w:rFonts w:asciiTheme="minorHAnsi" w:eastAsia="Calibri" w:hAnsiTheme="minorHAnsi" w:cstheme="minorHAnsi"/>
        </w:rPr>
        <w:t>. The week comprised over 250 sessions, with innovative formats that included open</w:t>
      </w:r>
      <w:r w:rsidR="1324748D" w:rsidRPr="00C020C2">
        <w:rPr>
          <w:rFonts w:asciiTheme="minorHAnsi" w:eastAsia="Calibri" w:hAnsiTheme="minorHAnsi" w:cstheme="minorHAnsi"/>
        </w:rPr>
        <w:t>-</w:t>
      </w:r>
      <w:r w:rsidR="59700F11" w:rsidRPr="00C020C2">
        <w:rPr>
          <w:rFonts w:asciiTheme="minorHAnsi" w:eastAsia="Calibri" w:hAnsiTheme="minorHAnsi" w:cstheme="minorHAnsi"/>
        </w:rPr>
        <w:t xml:space="preserve">space conversations, </w:t>
      </w:r>
      <w:r w:rsidR="483694B5" w:rsidRPr="00C020C2">
        <w:rPr>
          <w:rFonts w:asciiTheme="minorHAnsi" w:eastAsia="Calibri" w:hAnsiTheme="minorHAnsi" w:cstheme="minorHAnsi"/>
        </w:rPr>
        <w:t xml:space="preserve">knowledge </w:t>
      </w:r>
      <w:r w:rsidR="59700F11" w:rsidRPr="00C020C2">
        <w:rPr>
          <w:rFonts w:asciiTheme="minorHAnsi" w:eastAsia="Calibri" w:hAnsiTheme="minorHAnsi" w:cstheme="minorHAnsi"/>
        </w:rPr>
        <w:t>cafes and roundtable dialogues, attract</w:t>
      </w:r>
      <w:r w:rsidR="483694B5" w:rsidRPr="00C020C2">
        <w:rPr>
          <w:rFonts w:asciiTheme="minorHAnsi" w:eastAsia="Calibri" w:hAnsiTheme="minorHAnsi" w:cstheme="minorHAnsi"/>
        </w:rPr>
        <w:t>ing</w:t>
      </w:r>
      <w:r w:rsidR="59700F11" w:rsidRPr="00C020C2">
        <w:rPr>
          <w:rFonts w:asciiTheme="minorHAnsi" w:eastAsia="Calibri" w:hAnsiTheme="minorHAnsi" w:cstheme="minorHAnsi"/>
        </w:rPr>
        <w:t xml:space="preserve"> participants from existing and new communities from over 150 countries worldwide. The high-level track </w:t>
      </w:r>
      <w:r w:rsidR="1324748D" w:rsidRPr="00C020C2">
        <w:rPr>
          <w:rFonts w:asciiTheme="minorHAnsi" w:eastAsia="Calibri" w:hAnsiTheme="minorHAnsi" w:cstheme="minorHAnsi"/>
        </w:rPr>
        <w:t>saw participation from</w:t>
      </w:r>
      <w:r w:rsidR="59700F11" w:rsidRPr="00C020C2">
        <w:rPr>
          <w:rFonts w:asciiTheme="minorHAnsi" w:eastAsia="Calibri" w:hAnsiTheme="minorHAnsi" w:cstheme="minorHAnsi"/>
        </w:rPr>
        <w:t xml:space="preserve"> 46 </w:t>
      </w:r>
      <w:r w:rsidR="483694B5" w:rsidRPr="00C020C2">
        <w:rPr>
          <w:rFonts w:asciiTheme="minorHAnsi" w:eastAsia="Calibri" w:hAnsiTheme="minorHAnsi" w:cstheme="minorHAnsi"/>
        </w:rPr>
        <w:t>ministers</w:t>
      </w:r>
      <w:r w:rsidR="59700F11" w:rsidRPr="00C020C2">
        <w:rPr>
          <w:rFonts w:asciiTheme="minorHAnsi" w:eastAsia="Calibri" w:hAnsiTheme="minorHAnsi" w:cstheme="minorHAnsi"/>
        </w:rPr>
        <w:t xml:space="preserve">, 50 </w:t>
      </w:r>
      <w:r w:rsidR="483694B5" w:rsidRPr="00C020C2">
        <w:rPr>
          <w:rFonts w:asciiTheme="minorHAnsi" w:eastAsia="Calibri" w:hAnsiTheme="minorHAnsi" w:cstheme="minorHAnsi"/>
        </w:rPr>
        <w:t>ambassadors</w:t>
      </w:r>
      <w:r w:rsidR="59700F11" w:rsidRPr="00C020C2">
        <w:rPr>
          <w:rFonts w:asciiTheme="minorHAnsi" w:eastAsia="Calibri" w:hAnsiTheme="minorHAnsi" w:cstheme="minorHAnsi"/>
        </w:rPr>
        <w:t xml:space="preserve">, and 15 </w:t>
      </w:r>
      <w:r w:rsidR="483694B5" w:rsidRPr="00C020C2">
        <w:rPr>
          <w:rFonts w:asciiTheme="minorHAnsi" w:eastAsia="Calibri" w:hAnsiTheme="minorHAnsi" w:cstheme="minorHAnsi"/>
        </w:rPr>
        <w:t xml:space="preserve">mayors </w:t>
      </w:r>
      <w:r w:rsidR="59700F11" w:rsidRPr="00C020C2">
        <w:rPr>
          <w:rFonts w:asciiTheme="minorHAnsi" w:eastAsia="Calibri" w:hAnsiTheme="minorHAnsi" w:cstheme="minorHAnsi"/>
        </w:rPr>
        <w:t>from countries around the world</w:t>
      </w:r>
      <w:r w:rsidR="726F36E6" w:rsidRPr="00C020C2">
        <w:rPr>
          <w:rFonts w:asciiTheme="minorHAnsi" w:eastAsia="Calibri" w:hAnsiTheme="minorHAnsi" w:cstheme="minorHAnsi"/>
        </w:rPr>
        <w:t xml:space="preserve"> to </w:t>
      </w:r>
      <w:r w:rsidR="59700F11" w:rsidRPr="00C020C2">
        <w:rPr>
          <w:rFonts w:asciiTheme="minorHAnsi" w:eastAsia="Calibri" w:hAnsiTheme="minorHAnsi" w:cstheme="minorHAnsi"/>
        </w:rPr>
        <w:t xml:space="preserve">discuss implementation of the WSIS process and its Action Lines, advancement of the </w:t>
      </w:r>
      <w:r w:rsidR="726F36E6" w:rsidRPr="00C020C2">
        <w:rPr>
          <w:rFonts w:asciiTheme="minorHAnsi" w:eastAsia="Calibri" w:hAnsiTheme="minorHAnsi" w:cstheme="minorHAnsi"/>
        </w:rPr>
        <w:t>SDGs</w:t>
      </w:r>
      <w:r w:rsidR="59700F11" w:rsidRPr="00C020C2">
        <w:rPr>
          <w:rFonts w:asciiTheme="minorHAnsi" w:eastAsia="Calibri" w:hAnsiTheme="minorHAnsi" w:cstheme="minorHAnsi"/>
        </w:rPr>
        <w:t xml:space="preserve">, </w:t>
      </w:r>
      <w:r w:rsidR="726F36E6" w:rsidRPr="00C020C2">
        <w:rPr>
          <w:rFonts w:asciiTheme="minorHAnsi" w:eastAsia="Calibri" w:hAnsiTheme="minorHAnsi" w:cstheme="minorHAnsi"/>
        </w:rPr>
        <w:t xml:space="preserve">and contributions </w:t>
      </w:r>
      <w:r w:rsidR="59700F11" w:rsidRPr="00C020C2">
        <w:rPr>
          <w:rFonts w:asciiTheme="minorHAnsi" w:eastAsia="Calibri" w:hAnsiTheme="minorHAnsi" w:cstheme="minorHAnsi"/>
        </w:rPr>
        <w:t xml:space="preserve">to </w:t>
      </w:r>
      <w:hyperlink r:id="rId180">
        <w:r w:rsidR="59700F11" w:rsidRPr="00C020C2">
          <w:rPr>
            <w:rStyle w:val="Hyperlink"/>
            <w:rFonts w:asciiTheme="minorHAnsi" w:eastAsia="Calibri" w:hAnsiTheme="minorHAnsi" w:cstheme="minorHAnsi"/>
          </w:rPr>
          <w:t>Global Digital Compact</w:t>
        </w:r>
      </w:hyperlink>
      <w:r w:rsidR="59700F11" w:rsidRPr="00C020C2">
        <w:rPr>
          <w:rFonts w:asciiTheme="minorHAnsi" w:eastAsia="Calibri" w:hAnsiTheme="minorHAnsi" w:cstheme="minorHAnsi"/>
        </w:rPr>
        <w:t xml:space="preserve"> and other global processes. The event recognized outstanding contributions in the field of </w:t>
      </w:r>
      <w:r w:rsidR="726F36E6" w:rsidRPr="00C020C2">
        <w:rPr>
          <w:rFonts w:asciiTheme="minorHAnsi" w:eastAsia="Calibri" w:hAnsiTheme="minorHAnsi" w:cstheme="minorHAnsi"/>
        </w:rPr>
        <w:t>ICT</w:t>
      </w:r>
      <w:r w:rsidR="59700F11" w:rsidRPr="00C020C2">
        <w:rPr>
          <w:rFonts w:asciiTheme="minorHAnsi" w:eastAsia="Calibri" w:hAnsiTheme="minorHAnsi" w:cstheme="minorHAnsi"/>
        </w:rPr>
        <w:t xml:space="preserve"> by awarding stakeholders for their contributions to various topics, including innovation in healthy ageing, digital service design, </w:t>
      </w:r>
      <w:r w:rsidR="726F36E6" w:rsidRPr="00C020C2">
        <w:rPr>
          <w:rFonts w:asciiTheme="minorHAnsi" w:eastAsia="Calibri" w:hAnsiTheme="minorHAnsi" w:cstheme="minorHAnsi"/>
        </w:rPr>
        <w:t xml:space="preserve">Generation Connect, </w:t>
      </w:r>
      <w:r w:rsidR="59700F11" w:rsidRPr="00C020C2">
        <w:rPr>
          <w:rFonts w:asciiTheme="minorHAnsi" w:eastAsia="Calibri" w:hAnsiTheme="minorHAnsi" w:cstheme="minorHAnsi"/>
        </w:rPr>
        <w:t xml:space="preserve">and </w:t>
      </w:r>
      <w:hyperlink r:id="rId181">
        <w:r w:rsidR="59700F11" w:rsidRPr="00C020C2">
          <w:rPr>
            <w:rFonts w:asciiTheme="minorHAnsi" w:eastAsia="Calibri" w:hAnsiTheme="minorHAnsi" w:cstheme="minorHAnsi"/>
          </w:rPr>
          <w:t>e-government</w:t>
        </w:r>
      </w:hyperlink>
      <w:r w:rsidR="59700F11" w:rsidRPr="00C020C2">
        <w:rPr>
          <w:rFonts w:asciiTheme="minorHAnsi" w:eastAsia="Calibri" w:hAnsiTheme="minorHAnsi" w:cstheme="minorHAnsi"/>
        </w:rPr>
        <w:t xml:space="preserve"> activities. Virtual workshops will continue in April and May 2023.</w:t>
      </w:r>
    </w:p>
    <w:p w14:paraId="0146018F" w14:textId="4EABEF1A" w:rsidR="0011467A" w:rsidRPr="00C020C2" w:rsidRDefault="0011467A" w:rsidP="00A8341A">
      <w:pPr>
        <w:jc w:val="both"/>
        <w:rPr>
          <w:rFonts w:asciiTheme="minorHAnsi" w:eastAsia="Calibri" w:hAnsiTheme="minorHAnsi" w:cstheme="minorHAnsi"/>
        </w:rPr>
      </w:pPr>
      <w:r w:rsidRPr="00C020C2">
        <w:rPr>
          <w:rFonts w:asciiTheme="minorHAnsi" w:eastAsia="Calibri" w:hAnsiTheme="minorHAnsi" w:cstheme="minorHAnsi"/>
        </w:rPr>
        <w:t xml:space="preserve">ITU announced winners of the </w:t>
      </w:r>
      <w:hyperlink r:id="rId182" w:history="1">
        <w:r w:rsidRPr="00C020C2">
          <w:rPr>
            <w:rStyle w:val="Hyperlink"/>
            <w:rFonts w:asciiTheme="minorHAnsi" w:eastAsia="Calibri" w:hAnsiTheme="minorHAnsi" w:cstheme="minorHAnsi"/>
          </w:rPr>
          <w:t>WSIS Prizes 2023</w:t>
        </w:r>
      </w:hyperlink>
      <w:r w:rsidRPr="00C020C2">
        <w:rPr>
          <w:rFonts w:asciiTheme="minorHAnsi" w:eastAsia="Calibri" w:hAnsiTheme="minorHAnsi" w:cstheme="minorHAnsi"/>
        </w:rPr>
        <w:t xml:space="preserve"> </w:t>
      </w:r>
      <w:r w:rsidR="007F6BCA" w:rsidRPr="00C020C2">
        <w:rPr>
          <w:rFonts w:asciiTheme="minorHAnsi" w:eastAsia="Calibri" w:hAnsiTheme="minorHAnsi" w:cstheme="minorHAnsi"/>
        </w:rPr>
        <w:t>for</w:t>
      </w:r>
      <w:r w:rsidRPr="00C020C2">
        <w:rPr>
          <w:rFonts w:asciiTheme="minorHAnsi" w:eastAsia="Calibri" w:hAnsiTheme="minorHAnsi" w:cstheme="minorHAnsi"/>
        </w:rPr>
        <w:t xml:space="preserve"> projects linking digital transformation to sustainable development across 11 internationally recognized action lines. O</w:t>
      </w:r>
      <w:r w:rsidR="00B87BBC" w:rsidRPr="00C020C2">
        <w:rPr>
          <w:rFonts w:asciiTheme="minorHAnsi" w:eastAsia="Calibri" w:hAnsiTheme="minorHAnsi" w:cstheme="minorHAnsi"/>
        </w:rPr>
        <w:t xml:space="preserve">f </w:t>
      </w:r>
      <w:r w:rsidRPr="00C020C2">
        <w:rPr>
          <w:rFonts w:asciiTheme="minorHAnsi" w:eastAsia="Calibri" w:hAnsiTheme="minorHAnsi" w:cstheme="minorHAnsi"/>
        </w:rPr>
        <w:t>900 submitted projects, 360 were nominated for online voting, while 18 Winners and 72 Champions were selected based on 1</w:t>
      </w:r>
      <w:r w:rsidR="00B87BBC" w:rsidRPr="00C020C2">
        <w:rPr>
          <w:rFonts w:asciiTheme="minorHAnsi" w:eastAsia="Calibri" w:hAnsiTheme="minorHAnsi" w:cstheme="minorHAnsi"/>
        </w:rPr>
        <w:t>.</w:t>
      </w:r>
      <w:r w:rsidRPr="00C020C2">
        <w:rPr>
          <w:rFonts w:asciiTheme="minorHAnsi" w:eastAsia="Calibri" w:hAnsiTheme="minorHAnsi" w:cstheme="minorHAnsi"/>
        </w:rPr>
        <w:t xml:space="preserve">5 million votes cast. Prizes were awarded on 14 March 2023 and the list of </w:t>
      </w:r>
      <w:r w:rsidR="007F6BCA" w:rsidRPr="00C020C2">
        <w:rPr>
          <w:rFonts w:asciiTheme="minorHAnsi" w:eastAsia="Calibri" w:hAnsiTheme="minorHAnsi" w:cstheme="minorHAnsi"/>
        </w:rPr>
        <w:t xml:space="preserve">prize-winners </w:t>
      </w:r>
      <w:r w:rsidRPr="00C020C2">
        <w:rPr>
          <w:rFonts w:asciiTheme="minorHAnsi" w:eastAsia="Calibri" w:hAnsiTheme="minorHAnsi" w:cstheme="minorHAnsi"/>
        </w:rPr>
        <w:t xml:space="preserve">is available </w:t>
      </w:r>
      <w:r w:rsidR="00B87BBC" w:rsidRPr="00C020C2">
        <w:rPr>
          <w:rFonts w:asciiTheme="minorHAnsi" w:eastAsia="Calibri" w:hAnsiTheme="minorHAnsi" w:cstheme="minorHAnsi"/>
        </w:rPr>
        <w:t xml:space="preserve">on </w:t>
      </w:r>
      <w:r w:rsidRPr="00C020C2">
        <w:rPr>
          <w:rFonts w:asciiTheme="minorHAnsi" w:eastAsia="Calibri" w:hAnsiTheme="minorHAnsi" w:cstheme="minorHAnsi"/>
        </w:rPr>
        <w:t>the website.</w:t>
      </w:r>
    </w:p>
    <w:p w14:paraId="2AE6FAE0" w14:textId="15351E3F" w:rsidR="0011467A" w:rsidRPr="00C020C2" w:rsidRDefault="00C020C2" w:rsidP="00A8341A">
      <w:pPr>
        <w:jc w:val="both"/>
        <w:rPr>
          <w:rFonts w:asciiTheme="minorHAnsi" w:eastAsia="Calibri" w:hAnsiTheme="minorHAnsi" w:cstheme="minorHAnsi"/>
        </w:rPr>
      </w:pPr>
      <w:hyperlink r:id="rId183" w:history="1">
        <w:r w:rsidR="0011467A" w:rsidRPr="00C020C2">
          <w:rPr>
            <w:rStyle w:val="Hyperlink"/>
            <w:rFonts w:asciiTheme="minorHAnsi" w:eastAsia="Calibri" w:hAnsiTheme="minorHAnsi" w:cstheme="minorHAnsi"/>
          </w:rPr>
          <w:t>WSIS Stocktaking</w:t>
        </w:r>
      </w:hyperlink>
      <w:r w:rsidR="0011467A" w:rsidRPr="00C020C2">
        <w:rPr>
          <w:rFonts w:asciiTheme="minorHAnsi" w:eastAsia="Calibri" w:hAnsiTheme="minorHAnsi" w:cstheme="minorHAnsi"/>
        </w:rPr>
        <w:t xml:space="preserve"> continues to exercise its role as a major international repository of </w:t>
      </w:r>
      <w:r w:rsidR="00337430" w:rsidRPr="00C020C2">
        <w:rPr>
          <w:rFonts w:asciiTheme="minorHAnsi" w:eastAsia="Calibri" w:hAnsiTheme="minorHAnsi" w:cstheme="minorHAnsi"/>
        </w:rPr>
        <w:t xml:space="preserve">impactful </w:t>
      </w:r>
      <w:r w:rsidR="0011467A" w:rsidRPr="00C020C2">
        <w:rPr>
          <w:rFonts w:asciiTheme="minorHAnsi" w:eastAsia="Calibri" w:hAnsiTheme="minorHAnsi" w:cstheme="minorHAnsi"/>
        </w:rPr>
        <w:t>ICT practices that contribut</w:t>
      </w:r>
      <w:r w:rsidR="00337430" w:rsidRPr="00C020C2">
        <w:rPr>
          <w:rFonts w:asciiTheme="minorHAnsi" w:eastAsia="Calibri" w:hAnsiTheme="minorHAnsi" w:cstheme="minorHAnsi"/>
        </w:rPr>
        <w:t xml:space="preserve">e </w:t>
      </w:r>
      <w:r w:rsidR="0011467A" w:rsidRPr="00C020C2">
        <w:rPr>
          <w:rFonts w:asciiTheme="minorHAnsi" w:eastAsia="Calibri" w:hAnsiTheme="minorHAnsi" w:cstheme="minorHAnsi"/>
        </w:rPr>
        <w:t xml:space="preserve">to </w:t>
      </w:r>
      <w:r w:rsidR="00B87BBC" w:rsidRPr="00C020C2">
        <w:rPr>
          <w:rFonts w:asciiTheme="minorHAnsi" w:eastAsia="Calibri" w:hAnsiTheme="minorHAnsi" w:cstheme="minorHAnsi"/>
        </w:rPr>
        <w:t xml:space="preserve">the </w:t>
      </w:r>
      <w:r w:rsidR="0011467A" w:rsidRPr="00C020C2">
        <w:rPr>
          <w:rFonts w:asciiTheme="minorHAnsi" w:eastAsia="Calibri" w:hAnsiTheme="minorHAnsi" w:cstheme="minorHAnsi"/>
        </w:rPr>
        <w:t xml:space="preserve">development and advancement of the </w:t>
      </w:r>
      <w:r w:rsidR="00B87BBC" w:rsidRPr="00C020C2">
        <w:rPr>
          <w:rFonts w:asciiTheme="minorHAnsi" w:eastAsia="Calibri" w:hAnsiTheme="minorHAnsi" w:cstheme="minorHAnsi"/>
        </w:rPr>
        <w:t>SDGs</w:t>
      </w:r>
      <w:r w:rsidR="0011467A" w:rsidRPr="00C020C2">
        <w:rPr>
          <w:rFonts w:asciiTheme="minorHAnsi" w:eastAsia="Calibri" w:hAnsiTheme="minorHAnsi" w:cstheme="minorHAnsi"/>
        </w:rPr>
        <w:t>. So far, more than 15</w:t>
      </w:r>
      <w:r w:rsidR="00B87BBC" w:rsidRPr="00C020C2">
        <w:rPr>
          <w:rFonts w:asciiTheme="minorHAnsi" w:eastAsia="Calibri" w:hAnsiTheme="minorHAnsi" w:cstheme="minorHAnsi"/>
        </w:rPr>
        <w:t xml:space="preserve"> </w:t>
      </w:r>
      <w:r w:rsidR="0011467A" w:rsidRPr="00C020C2">
        <w:rPr>
          <w:rFonts w:asciiTheme="minorHAnsi" w:eastAsia="Calibri" w:hAnsiTheme="minorHAnsi" w:cstheme="minorHAnsi"/>
        </w:rPr>
        <w:t xml:space="preserve">000 entries have been collected since 2004, when ITU started to coordinate this segment of the WSIS process, including this </w:t>
      </w:r>
      <w:r w:rsidR="00B87BBC" w:rsidRPr="00C020C2">
        <w:rPr>
          <w:rFonts w:asciiTheme="minorHAnsi" w:eastAsia="Calibri" w:hAnsiTheme="minorHAnsi" w:cstheme="minorHAnsi"/>
        </w:rPr>
        <w:t xml:space="preserve">year’s </w:t>
      </w:r>
      <w:r w:rsidR="0011467A" w:rsidRPr="00C020C2">
        <w:rPr>
          <w:rFonts w:asciiTheme="minorHAnsi" w:eastAsia="Calibri" w:hAnsiTheme="minorHAnsi" w:cstheme="minorHAnsi"/>
        </w:rPr>
        <w:t>1</w:t>
      </w:r>
      <w:r w:rsidR="00B87BBC" w:rsidRPr="00C020C2">
        <w:rPr>
          <w:rFonts w:asciiTheme="minorHAnsi" w:eastAsia="Calibri" w:hAnsiTheme="minorHAnsi" w:cstheme="minorHAnsi"/>
        </w:rPr>
        <w:t xml:space="preserve"> </w:t>
      </w:r>
      <w:r w:rsidR="0011467A" w:rsidRPr="00C020C2">
        <w:rPr>
          <w:rFonts w:asciiTheme="minorHAnsi" w:eastAsia="Calibri" w:hAnsiTheme="minorHAnsi" w:cstheme="minorHAnsi"/>
        </w:rPr>
        <w:t xml:space="preserve">200 entries. </w:t>
      </w:r>
      <w:r w:rsidR="00B87BBC" w:rsidRPr="00C020C2">
        <w:rPr>
          <w:rFonts w:asciiTheme="minorHAnsi" w:eastAsia="Calibri" w:hAnsiTheme="minorHAnsi" w:cstheme="minorHAnsi"/>
        </w:rPr>
        <w:t xml:space="preserve">The </w:t>
      </w:r>
      <w:r w:rsidR="0011467A" w:rsidRPr="00C020C2">
        <w:rPr>
          <w:rFonts w:asciiTheme="minorHAnsi" w:eastAsia="Calibri" w:hAnsiTheme="minorHAnsi" w:cstheme="minorHAnsi"/>
        </w:rPr>
        <w:t xml:space="preserve">Global Report for 2023 is being drafted and will be published in May 2023, following the conclusion of this </w:t>
      </w:r>
      <w:r w:rsidR="00B87BBC" w:rsidRPr="00C020C2">
        <w:rPr>
          <w:rFonts w:asciiTheme="minorHAnsi" w:eastAsia="Calibri" w:hAnsiTheme="minorHAnsi" w:cstheme="minorHAnsi"/>
        </w:rPr>
        <w:t xml:space="preserve">year’s </w:t>
      </w:r>
      <w:r w:rsidR="0011467A" w:rsidRPr="00C020C2">
        <w:rPr>
          <w:rFonts w:asciiTheme="minorHAnsi" w:eastAsia="Calibri" w:hAnsiTheme="minorHAnsi" w:cstheme="minorHAnsi"/>
        </w:rPr>
        <w:t xml:space="preserve">WSIS Forum. </w:t>
      </w:r>
    </w:p>
    <w:p w14:paraId="7A332FCC" w14:textId="77777777" w:rsidR="0011467A" w:rsidRPr="00C020C2" w:rsidRDefault="0011467A" w:rsidP="00EE21B1">
      <w:pPr>
        <w:rPr>
          <w:rFonts w:asciiTheme="minorHAnsi" w:eastAsia="Calibri" w:hAnsiTheme="minorHAnsi" w:cstheme="minorHAnsi"/>
          <w:lang w:eastAsia="en-GB"/>
        </w:rPr>
      </w:pPr>
      <w:r w:rsidRPr="00C020C2">
        <w:rPr>
          <w:rFonts w:asciiTheme="minorHAnsi" w:eastAsia="Calibri" w:hAnsiTheme="minorHAnsi" w:cstheme="minorHAnsi"/>
          <w:b/>
          <w:lang w:eastAsia="en-GB"/>
        </w:rPr>
        <w:t>ITU Kaleidoscope</w:t>
      </w:r>
    </w:p>
    <w:p w14:paraId="400E2DB4" w14:textId="2725DBE3" w:rsidR="0011467A" w:rsidRPr="00C020C2" w:rsidRDefault="0011467A" w:rsidP="00EE21B1">
      <w:pPr>
        <w:rPr>
          <w:rFonts w:asciiTheme="minorHAnsi" w:eastAsia="Calibri" w:hAnsiTheme="minorHAnsi" w:cstheme="minorHAnsi"/>
        </w:rPr>
      </w:pPr>
      <w:r w:rsidRPr="00C020C2">
        <w:rPr>
          <w:rFonts w:asciiTheme="minorHAnsi" w:eastAsia="Calibri" w:hAnsiTheme="minorHAnsi" w:cstheme="minorHAnsi"/>
        </w:rPr>
        <w:t xml:space="preserve">Innovation to match the world’s growing metaverse ambitions was in focus at Kaleidoscope 2022: </w:t>
      </w:r>
      <w:hyperlink r:id="rId184" w:history="1">
        <w:r w:rsidRPr="00C020C2">
          <w:rPr>
            <w:rStyle w:val="Hyperlink"/>
            <w:rFonts w:asciiTheme="minorHAnsi" w:hAnsiTheme="minorHAnsi" w:cstheme="minorHAnsi"/>
            <w:szCs w:val="24"/>
            <w:lang w:eastAsia="en-GB"/>
          </w:rPr>
          <w:t>Extended reality − How to boost quality of experience and interoperability</w:t>
        </w:r>
      </w:hyperlink>
      <w:r w:rsidRPr="00C020C2">
        <w:rPr>
          <w:rStyle w:val="Hyperlink"/>
          <w:rFonts w:asciiTheme="minorHAnsi" w:hAnsiTheme="minorHAnsi" w:cstheme="minorHAnsi"/>
          <w:szCs w:val="24"/>
          <w:lang w:eastAsia="en-GB"/>
        </w:rPr>
        <w:t>.</w:t>
      </w:r>
      <w:r w:rsidRPr="00C020C2">
        <w:rPr>
          <w:rFonts w:asciiTheme="minorHAnsi" w:eastAsia="Calibri" w:hAnsiTheme="minorHAnsi" w:cstheme="minorHAnsi"/>
        </w:rPr>
        <w:t xml:space="preserve"> </w:t>
      </w:r>
      <w:r w:rsidR="00397ACB" w:rsidRPr="00C020C2">
        <w:rPr>
          <w:rFonts w:asciiTheme="minorHAnsi" w:eastAsia="Calibri" w:hAnsiTheme="minorHAnsi" w:cstheme="minorHAnsi"/>
        </w:rPr>
        <w:t>H</w:t>
      </w:r>
      <w:r w:rsidRPr="00C020C2">
        <w:rPr>
          <w:rFonts w:asciiTheme="minorHAnsi" w:eastAsia="Calibri" w:hAnsiTheme="minorHAnsi" w:cstheme="minorHAnsi"/>
        </w:rPr>
        <w:t>osted by the Ministry of Communications and Digitalisation, Ghana, and coordinated locally by the Ghana-India Kofi Annan Centre of Excellence in ICT, the conference took place at the National Communications Authority in Accra from 7</w:t>
      </w:r>
      <w:r w:rsidR="00397ACB" w:rsidRPr="00C020C2">
        <w:rPr>
          <w:rFonts w:asciiTheme="minorHAnsi" w:eastAsia="Calibri" w:hAnsiTheme="minorHAnsi" w:cstheme="minorHAnsi"/>
        </w:rPr>
        <w:t>-</w:t>
      </w:r>
      <w:r w:rsidRPr="00C020C2">
        <w:rPr>
          <w:rFonts w:asciiTheme="minorHAnsi" w:eastAsia="Calibri" w:hAnsiTheme="minorHAnsi" w:cstheme="minorHAnsi"/>
        </w:rPr>
        <w:t xml:space="preserve">9 December. The </w:t>
      </w:r>
      <w:hyperlink r:id="rId185" w:tgtFrame="_blank" w:history="1">
        <w:r w:rsidRPr="00C020C2">
          <w:rPr>
            <w:rFonts w:asciiTheme="minorHAnsi" w:eastAsia="Calibri" w:hAnsiTheme="minorHAnsi" w:cstheme="minorHAnsi"/>
          </w:rPr>
          <w:t>programme</w:t>
        </w:r>
      </w:hyperlink>
      <w:r w:rsidRPr="00C020C2">
        <w:rPr>
          <w:rFonts w:asciiTheme="minorHAnsi" w:eastAsia="Calibri" w:hAnsiTheme="minorHAnsi" w:cstheme="minorHAnsi"/>
        </w:rPr>
        <w:t xml:space="preserve"> featured four keynote sessions, an invited paper, an invited talk, three paper sessions, one video demo, and a students’ exhibit.</w:t>
      </w:r>
    </w:p>
    <w:p w14:paraId="7AFC313F" w14:textId="77777777" w:rsidR="0011467A" w:rsidRPr="00C020C2" w:rsidRDefault="0011467A" w:rsidP="00EE21B1">
      <w:pPr>
        <w:rPr>
          <w:rFonts w:asciiTheme="minorHAnsi" w:eastAsia="Calibri" w:hAnsiTheme="minorHAnsi" w:cstheme="minorHAnsi"/>
          <w:lang w:eastAsia="en-GB"/>
        </w:rPr>
      </w:pPr>
      <w:bookmarkStart w:id="70" w:name="_AI_for_Good"/>
      <w:bookmarkStart w:id="71" w:name="AI_for_good"/>
      <w:bookmarkEnd w:id="70"/>
      <w:r w:rsidRPr="00C020C2">
        <w:rPr>
          <w:rFonts w:asciiTheme="minorHAnsi" w:eastAsia="Calibri" w:hAnsiTheme="minorHAnsi" w:cstheme="minorHAnsi"/>
          <w:b/>
          <w:lang w:eastAsia="en-GB"/>
        </w:rPr>
        <w:t>AI for Good</w:t>
      </w:r>
      <w:bookmarkEnd w:id="71"/>
      <w:r w:rsidRPr="00C020C2">
        <w:rPr>
          <w:rFonts w:asciiTheme="minorHAnsi" w:eastAsia="Calibri" w:hAnsiTheme="minorHAnsi" w:cstheme="minorHAnsi"/>
          <w:b/>
          <w:lang w:eastAsia="en-GB"/>
        </w:rPr>
        <w:t xml:space="preserve"> </w:t>
      </w:r>
    </w:p>
    <w:p w14:paraId="54B300D4" w14:textId="5D826AB0" w:rsidR="00E5077D" w:rsidRPr="00C020C2" w:rsidRDefault="00C020C2" w:rsidP="00A8341A">
      <w:pPr>
        <w:pStyle w:val="paragraph"/>
        <w:spacing w:before="120" w:beforeAutospacing="0" w:after="0" w:afterAutospacing="0"/>
        <w:jc w:val="both"/>
        <w:textAlignment w:val="baseline"/>
        <w:rPr>
          <w:rFonts w:asciiTheme="minorHAnsi" w:hAnsiTheme="minorHAnsi" w:cstheme="minorHAnsi"/>
        </w:rPr>
      </w:pPr>
      <w:hyperlink r:id="rId186" w:history="1">
        <w:r w:rsidR="00E5077D" w:rsidRPr="00C020C2">
          <w:rPr>
            <w:rStyle w:val="Hyperlink"/>
            <w:rFonts w:asciiTheme="minorHAnsi" w:hAnsiTheme="minorHAnsi" w:cstheme="minorHAnsi"/>
          </w:rPr>
          <w:t>AI for Good</w:t>
        </w:r>
      </w:hyperlink>
      <w:r w:rsidR="00E5077D" w:rsidRPr="00C020C2">
        <w:rPr>
          <w:rStyle w:val="normaltextrun"/>
          <w:rFonts w:asciiTheme="minorHAnsi" w:hAnsiTheme="minorHAnsi" w:cstheme="minorHAnsi"/>
          <w:sz w:val="22"/>
          <w:szCs w:val="22"/>
        </w:rPr>
        <w:t xml:space="preserve"> </w:t>
      </w:r>
      <w:r w:rsidR="00E5077D" w:rsidRPr="00C020C2">
        <w:rPr>
          <w:rStyle w:val="normaltextrun"/>
          <w:rFonts w:asciiTheme="minorHAnsi" w:hAnsiTheme="minorHAnsi" w:cstheme="minorHAnsi"/>
        </w:rPr>
        <w:t xml:space="preserve">is the leading action-oriented, global </w:t>
      </w:r>
      <w:r w:rsidR="00397ACB" w:rsidRPr="00C020C2">
        <w:rPr>
          <w:rStyle w:val="normaltextrun"/>
          <w:rFonts w:asciiTheme="minorHAnsi" w:hAnsiTheme="minorHAnsi" w:cstheme="minorHAnsi"/>
        </w:rPr>
        <w:t xml:space="preserve">and </w:t>
      </w:r>
      <w:r w:rsidR="00E5077D" w:rsidRPr="00C020C2">
        <w:rPr>
          <w:rStyle w:val="normaltextrun"/>
          <w:rFonts w:asciiTheme="minorHAnsi" w:hAnsiTheme="minorHAnsi" w:cstheme="minorHAnsi"/>
        </w:rPr>
        <w:t xml:space="preserve">inclusive United Nations platform on AI. Its goal is to identify practical applications of AI to advance the </w:t>
      </w:r>
      <w:r w:rsidR="00397ACB" w:rsidRPr="00C020C2">
        <w:rPr>
          <w:rStyle w:val="normaltextrun"/>
          <w:rFonts w:asciiTheme="minorHAnsi" w:hAnsiTheme="minorHAnsi" w:cstheme="minorHAnsi"/>
        </w:rPr>
        <w:t>SDGs</w:t>
      </w:r>
      <w:r w:rsidR="00E5077D" w:rsidRPr="00C020C2">
        <w:rPr>
          <w:rStyle w:val="normaltextrun"/>
          <w:rFonts w:asciiTheme="minorHAnsi" w:hAnsiTheme="minorHAnsi" w:cstheme="minorHAnsi"/>
        </w:rPr>
        <w:t xml:space="preserve"> and scale those solutions for global impact. </w:t>
      </w:r>
      <w:r w:rsidR="00397ACB" w:rsidRPr="00C020C2">
        <w:rPr>
          <w:rStyle w:val="normaltextrun"/>
          <w:rFonts w:asciiTheme="minorHAnsi" w:hAnsiTheme="minorHAnsi" w:cstheme="minorHAnsi"/>
        </w:rPr>
        <w:t>Its work covers</w:t>
      </w:r>
      <w:r w:rsidR="00E5077D" w:rsidRPr="00C020C2">
        <w:rPr>
          <w:rStyle w:val="normaltextrun"/>
          <w:rFonts w:asciiTheme="minorHAnsi" w:hAnsiTheme="minorHAnsi" w:cstheme="minorHAnsi"/>
        </w:rPr>
        <w:t xml:space="preserve"> three streams (Learn, Build, Connect). For the complete list</w:t>
      </w:r>
      <w:r w:rsidR="00E5077D" w:rsidRPr="00C020C2">
        <w:rPr>
          <w:rStyle w:val="normaltextrun"/>
          <w:rFonts w:ascii="Calibri" w:hAnsi="Calibri" w:cs="Calibri"/>
        </w:rPr>
        <w:t xml:space="preserve"> </w:t>
      </w:r>
      <w:r w:rsidR="00E5077D" w:rsidRPr="00C020C2">
        <w:rPr>
          <w:rStyle w:val="normaltextrun"/>
          <w:rFonts w:asciiTheme="minorHAnsi" w:hAnsiTheme="minorHAnsi" w:cstheme="minorHAnsi"/>
        </w:rPr>
        <w:lastRenderedPageBreak/>
        <w:t xml:space="preserve">of service offerings, please visit </w:t>
      </w:r>
      <w:hyperlink r:id="rId187" w:history="1">
        <w:r w:rsidR="00E5077D" w:rsidRPr="00C020C2">
          <w:rPr>
            <w:rStyle w:val="Hyperlink"/>
            <w:rFonts w:asciiTheme="minorHAnsi" w:hAnsiTheme="minorHAnsi" w:cstheme="minorHAnsi"/>
          </w:rPr>
          <w:t>this page</w:t>
        </w:r>
      </w:hyperlink>
      <w:r w:rsidR="00E5077D" w:rsidRPr="00C020C2">
        <w:rPr>
          <w:rStyle w:val="normaltextrun"/>
          <w:rFonts w:asciiTheme="minorHAnsi" w:hAnsiTheme="minorHAnsi" w:cstheme="minorHAnsi"/>
        </w:rPr>
        <w:t xml:space="preserve">. These service offerings are available for all UN partners to play an active role in moving the needle towards achieving the </w:t>
      </w:r>
      <w:r w:rsidR="00397ACB" w:rsidRPr="00C020C2">
        <w:rPr>
          <w:rStyle w:val="normaltextrun"/>
          <w:rFonts w:asciiTheme="minorHAnsi" w:hAnsiTheme="minorHAnsi" w:cstheme="minorHAnsi"/>
        </w:rPr>
        <w:t>SDGs</w:t>
      </w:r>
      <w:r w:rsidR="00E5077D" w:rsidRPr="00C020C2">
        <w:rPr>
          <w:rStyle w:val="normaltextrun"/>
          <w:rFonts w:asciiTheme="minorHAnsi" w:hAnsiTheme="minorHAnsi" w:cstheme="minorHAnsi"/>
        </w:rPr>
        <w:t>.</w:t>
      </w:r>
    </w:p>
    <w:p w14:paraId="42A3FABF" w14:textId="36012549" w:rsidR="00E5077D" w:rsidRPr="00C020C2" w:rsidRDefault="00E5077D" w:rsidP="00A8341A">
      <w:pPr>
        <w:pStyle w:val="paragraph"/>
        <w:spacing w:before="120" w:beforeAutospacing="0" w:after="0" w:afterAutospacing="0"/>
        <w:jc w:val="both"/>
        <w:textAlignment w:val="baseline"/>
        <w:rPr>
          <w:rFonts w:asciiTheme="minorHAnsi" w:hAnsiTheme="minorHAnsi" w:cstheme="minorHAnsi"/>
        </w:rPr>
      </w:pPr>
      <w:r w:rsidRPr="00C020C2">
        <w:rPr>
          <w:rStyle w:val="findhit"/>
          <w:rFonts w:asciiTheme="minorHAnsi" w:hAnsiTheme="minorHAnsi" w:cstheme="minorHAnsi"/>
        </w:rPr>
        <w:t>AI for Good</w:t>
      </w:r>
      <w:r w:rsidRPr="00C020C2">
        <w:rPr>
          <w:rStyle w:val="normaltextrun"/>
          <w:rFonts w:asciiTheme="minorHAnsi" w:hAnsiTheme="minorHAnsi" w:cstheme="minorHAnsi"/>
        </w:rPr>
        <w:t xml:space="preserve"> consists of an all-year online program which in 2022 broadcast over 160 webinars, and the annual in-person </w:t>
      </w:r>
      <w:r w:rsidRPr="00C020C2">
        <w:rPr>
          <w:rStyle w:val="findhit"/>
          <w:rFonts w:asciiTheme="minorHAnsi" w:hAnsiTheme="minorHAnsi" w:cstheme="minorHAnsi"/>
        </w:rPr>
        <w:t>AI for Good</w:t>
      </w:r>
      <w:r w:rsidRPr="00C020C2">
        <w:rPr>
          <w:rStyle w:val="normaltextrun"/>
          <w:rFonts w:asciiTheme="minorHAnsi" w:hAnsiTheme="minorHAnsi" w:cstheme="minorHAnsi"/>
        </w:rPr>
        <w:t xml:space="preserve"> Global Summit. The </w:t>
      </w:r>
      <w:hyperlink r:id="rId188" w:history="1">
        <w:r w:rsidRPr="00C020C2">
          <w:rPr>
            <w:rStyle w:val="Hyperlink"/>
            <w:rFonts w:asciiTheme="minorHAnsi" w:hAnsiTheme="minorHAnsi" w:cstheme="minorHAnsi"/>
          </w:rPr>
          <w:t>AI for Good</w:t>
        </w:r>
        <w:r w:rsidRPr="00C020C2">
          <w:rPr>
            <w:rStyle w:val="Hyperlink"/>
            <w:rFonts w:asciiTheme="minorHAnsi" w:hAnsiTheme="minorHAnsi" w:cstheme="minorHAnsi"/>
            <w:b/>
            <w:bCs/>
          </w:rPr>
          <w:t xml:space="preserve"> </w:t>
        </w:r>
        <w:r w:rsidRPr="00C020C2">
          <w:rPr>
            <w:rStyle w:val="Hyperlink"/>
            <w:rFonts w:asciiTheme="minorHAnsi" w:hAnsiTheme="minorHAnsi" w:cstheme="minorHAnsi"/>
          </w:rPr>
          <w:t>Global Summit</w:t>
        </w:r>
      </w:hyperlink>
      <w:r w:rsidRPr="00C020C2">
        <w:rPr>
          <w:rStyle w:val="normaltextrun"/>
          <w:rFonts w:asciiTheme="minorHAnsi" w:hAnsiTheme="minorHAnsi" w:cstheme="minorHAnsi"/>
        </w:rPr>
        <w:t xml:space="preserve"> is organized by ITU together with 40 partner UN agencies and co-convened by the </w:t>
      </w:r>
      <w:r w:rsidR="00FA1249" w:rsidRPr="00C020C2">
        <w:rPr>
          <w:rStyle w:val="normaltextrun"/>
          <w:rFonts w:asciiTheme="minorHAnsi" w:hAnsiTheme="minorHAnsi" w:cstheme="minorHAnsi"/>
        </w:rPr>
        <w:t xml:space="preserve">Government </w:t>
      </w:r>
      <w:r w:rsidRPr="00C020C2">
        <w:rPr>
          <w:rStyle w:val="normaltextrun"/>
          <w:rFonts w:asciiTheme="minorHAnsi" w:hAnsiTheme="minorHAnsi" w:cstheme="minorHAnsi"/>
        </w:rPr>
        <w:t xml:space="preserve">of Switzerland. The upcoming </w:t>
      </w:r>
      <w:hyperlink r:id="rId189" w:history="1">
        <w:r w:rsidRPr="00C020C2">
          <w:rPr>
            <w:rStyle w:val="Hyperlink"/>
            <w:rFonts w:asciiTheme="minorHAnsi" w:hAnsiTheme="minorHAnsi" w:cstheme="minorHAnsi"/>
          </w:rPr>
          <w:t>AI for Good Global Summit 2023</w:t>
        </w:r>
      </w:hyperlink>
      <w:r w:rsidRPr="00C020C2">
        <w:rPr>
          <w:rStyle w:val="normaltextrun"/>
          <w:rFonts w:asciiTheme="minorHAnsi" w:hAnsiTheme="minorHAnsi" w:cstheme="minorHAnsi"/>
        </w:rPr>
        <w:t xml:space="preserve"> (6-7 July, Geneva) </w:t>
      </w:r>
      <w:r w:rsidR="00FA1249" w:rsidRPr="00C020C2">
        <w:rPr>
          <w:rStyle w:val="normaltextrun"/>
          <w:rFonts w:asciiTheme="minorHAnsi" w:hAnsiTheme="minorHAnsi" w:cstheme="minorHAnsi"/>
        </w:rPr>
        <w:t xml:space="preserve">will bring together over </w:t>
      </w:r>
      <w:r w:rsidRPr="00C020C2">
        <w:rPr>
          <w:rStyle w:val="normaltextrun"/>
          <w:rFonts w:asciiTheme="minorHAnsi" w:hAnsiTheme="minorHAnsi" w:cstheme="minorHAnsi"/>
        </w:rPr>
        <w:t>3</w:t>
      </w:r>
      <w:r w:rsidR="00FA1249" w:rsidRPr="00C020C2">
        <w:rPr>
          <w:rStyle w:val="normaltextrun"/>
          <w:rFonts w:asciiTheme="minorHAnsi" w:hAnsiTheme="minorHAnsi" w:cstheme="minorHAnsi"/>
        </w:rPr>
        <w:t xml:space="preserve"> </w:t>
      </w:r>
      <w:r w:rsidRPr="00C020C2">
        <w:rPr>
          <w:rStyle w:val="normaltextrun"/>
          <w:rFonts w:asciiTheme="minorHAnsi" w:hAnsiTheme="minorHAnsi" w:cstheme="minorHAnsi"/>
        </w:rPr>
        <w:t>000 participants and online participation from the over 15</w:t>
      </w:r>
      <w:r w:rsidR="00457108" w:rsidRPr="00C020C2">
        <w:rPr>
          <w:rStyle w:val="normaltextrun"/>
          <w:rFonts w:asciiTheme="minorHAnsi" w:hAnsiTheme="minorHAnsi" w:cstheme="minorHAnsi"/>
        </w:rPr>
        <w:t xml:space="preserve"> </w:t>
      </w:r>
      <w:r w:rsidRPr="00C020C2">
        <w:rPr>
          <w:rStyle w:val="normaltextrun"/>
          <w:rFonts w:asciiTheme="minorHAnsi" w:hAnsiTheme="minorHAnsi" w:cstheme="minorHAnsi"/>
        </w:rPr>
        <w:t xml:space="preserve">000 members of the </w:t>
      </w:r>
      <w:hyperlink r:id="rId190" w:history="1">
        <w:r w:rsidRPr="00C020C2">
          <w:rPr>
            <w:rStyle w:val="Hyperlink"/>
            <w:rFonts w:asciiTheme="minorHAnsi" w:hAnsiTheme="minorHAnsi" w:cstheme="minorHAnsi"/>
          </w:rPr>
          <w:t>AI for Good Neural Network</w:t>
        </w:r>
      </w:hyperlink>
      <w:r w:rsidRPr="00C020C2">
        <w:rPr>
          <w:rStyle w:val="normaltextrun"/>
          <w:rFonts w:asciiTheme="minorHAnsi" w:hAnsiTheme="minorHAnsi" w:cstheme="minorHAnsi"/>
        </w:rPr>
        <w:t>, making it the world’s most inclusive AI solutions and matchmaking event.</w:t>
      </w:r>
    </w:p>
    <w:p w14:paraId="27D749BB" w14:textId="02F1907F" w:rsidR="00E5077D" w:rsidRPr="00C020C2" w:rsidRDefault="00E5077D" w:rsidP="00A8341A">
      <w:pPr>
        <w:pStyle w:val="paragraph"/>
        <w:spacing w:before="120" w:beforeAutospacing="0" w:after="0" w:afterAutospacing="0"/>
        <w:jc w:val="both"/>
        <w:textAlignment w:val="baseline"/>
        <w:rPr>
          <w:rStyle w:val="normaltextrun"/>
          <w:rFonts w:asciiTheme="minorHAnsi" w:hAnsiTheme="minorHAnsi" w:cstheme="minorHAnsi"/>
        </w:rPr>
      </w:pPr>
      <w:r w:rsidRPr="00C020C2">
        <w:rPr>
          <w:rStyle w:val="normaltextrun"/>
          <w:rFonts w:asciiTheme="minorHAnsi" w:hAnsiTheme="minorHAnsi" w:cstheme="minorHAnsi"/>
        </w:rPr>
        <w:t>The AI for Good Neural Network</w:t>
      </w:r>
      <w:r w:rsidR="005021B4" w:rsidRPr="00C020C2">
        <w:rPr>
          <w:rStyle w:val="normaltextrun"/>
          <w:rFonts w:asciiTheme="minorHAnsi" w:hAnsiTheme="minorHAnsi" w:cstheme="minorHAnsi"/>
        </w:rPr>
        <w:t>,</w:t>
      </w:r>
      <w:r w:rsidRPr="00C020C2">
        <w:rPr>
          <w:rStyle w:val="normaltextrun"/>
          <w:rFonts w:asciiTheme="minorHAnsi" w:hAnsiTheme="minorHAnsi" w:cstheme="minorHAnsi"/>
        </w:rPr>
        <w:t xml:space="preserve"> an AI-powered smart matchmaking community platform</w:t>
      </w:r>
      <w:r w:rsidR="005021B4" w:rsidRPr="00C020C2">
        <w:rPr>
          <w:rStyle w:val="normaltextrun"/>
          <w:rFonts w:asciiTheme="minorHAnsi" w:hAnsiTheme="minorHAnsi" w:cstheme="minorHAnsi"/>
        </w:rPr>
        <w:t xml:space="preserve"> that expands on the AI for Good programme,</w:t>
      </w:r>
      <w:r w:rsidRPr="00C020C2">
        <w:rPr>
          <w:rStyle w:val="normaltextrun"/>
          <w:rFonts w:asciiTheme="minorHAnsi" w:hAnsiTheme="minorHAnsi" w:cstheme="minorHAnsi"/>
        </w:rPr>
        <w:t xml:space="preserve"> offers content and collaboration opportunities aligned to each of the 17 SDGs. The smart</w:t>
      </w:r>
      <w:r w:rsidR="00337430" w:rsidRPr="00C020C2">
        <w:rPr>
          <w:rStyle w:val="normaltextrun"/>
          <w:rFonts w:asciiTheme="minorHAnsi" w:hAnsiTheme="minorHAnsi" w:cstheme="minorHAnsi"/>
        </w:rPr>
        <w:t>,</w:t>
      </w:r>
      <w:r w:rsidRPr="00C020C2">
        <w:rPr>
          <w:rStyle w:val="normaltextrun"/>
          <w:rFonts w:asciiTheme="minorHAnsi" w:hAnsiTheme="minorHAnsi" w:cstheme="minorHAnsi"/>
        </w:rPr>
        <w:t xml:space="preserve"> matching mechanism – designed according to the principles of the </w:t>
      </w:r>
      <w:hyperlink r:id="rId191" w:history="1">
        <w:r w:rsidRPr="00C020C2">
          <w:rPr>
            <w:rStyle w:val="Hyperlink"/>
            <w:rFonts w:asciiTheme="minorHAnsi" w:hAnsiTheme="minorHAnsi" w:cstheme="minorHAnsi"/>
          </w:rPr>
          <w:t>Global Initiative in AI and Data Commons</w:t>
        </w:r>
      </w:hyperlink>
      <w:r w:rsidRPr="00C020C2">
        <w:rPr>
          <w:rStyle w:val="normaltextrun"/>
          <w:rFonts w:asciiTheme="minorHAnsi" w:hAnsiTheme="minorHAnsi" w:cstheme="minorHAnsi"/>
        </w:rPr>
        <w:t xml:space="preserve"> – connects AI innovators to anyone with an AI-related problem, as a step towards globally scaled AI solutions. </w:t>
      </w:r>
      <w:r w:rsidR="007C3635" w:rsidRPr="00C020C2">
        <w:rPr>
          <w:rStyle w:val="normaltextrun"/>
          <w:rFonts w:asciiTheme="minorHAnsi" w:hAnsiTheme="minorHAnsi" w:cstheme="minorHAnsi"/>
        </w:rPr>
        <w:t>S</w:t>
      </w:r>
      <w:r w:rsidRPr="00C020C2">
        <w:rPr>
          <w:rStyle w:val="normaltextrun"/>
          <w:rFonts w:asciiTheme="minorHAnsi" w:hAnsiTheme="minorHAnsi" w:cstheme="minorHAnsi"/>
        </w:rPr>
        <w:t>olution</w:t>
      </w:r>
      <w:r w:rsidR="007C3635" w:rsidRPr="00C020C2">
        <w:rPr>
          <w:rStyle w:val="normaltextrun"/>
          <w:rFonts w:asciiTheme="minorHAnsi" w:hAnsiTheme="minorHAnsi" w:cstheme="minorHAnsi"/>
        </w:rPr>
        <w:t>s aim</w:t>
      </w:r>
      <w:r w:rsidRPr="00C020C2">
        <w:rPr>
          <w:rStyle w:val="normaltextrun"/>
          <w:rFonts w:asciiTheme="minorHAnsi" w:hAnsiTheme="minorHAnsi" w:cstheme="minorHAnsi"/>
        </w:rPr>
        <w:t xml:space="preserve"> to stimulate unprecedented cooperation across borders and boundaries, foster impactful SDG-focused partnerships in the field of AI, and directly serve Goal 17: Revitalize the global partnership for sustainable development.</w:t>
      </w:r>
    </w:p>
    <w:p w14:paraId="6659A468" w14:textId="209FCD41" w:rsidR="00441C61" w:rsidRPr="00C020C2" w:rsidRDefault="00441C61" w:rsidP="002A7955">
      <w:pPr>
        <w:pStyle w:val="Heading1"/>
        <w:numPr>
          <w:ilvl w:val="0"/>
          <w:numId w:val="13"/>
        </w:numPr>
        <w:spacing w:before="240" w:after="120"/>
        <w:ind w:left="567" w:hanging="567"/>
        <w:rPr>
          <w:rFonts w:asciiTheme="minorHAnsi" w:hAnsiTheme="minorHAnsi" w:cstheme="minorHAnsi"/>
          <w:sz w:val="24"/>
          <w:szCs w:val="24"/>
        </w:rPr>
      </w:pPr>
      <w:bookmarkStart w:id="72" w:name="_Toc137211299"/>
      <w:r w:rsidRPr="00C020C2">
        <w:rPr>
          <w:rFonts w:asciiTheme="minorHAnsi" w:hAnsiTheme="minorHAnsi" w:cstheme="minorHAnsi"/>
          <w:sz w:val="24"/>
          <w:szCs w:val="24"/>
        </w:rPr>
        <w:t>Report on the implementation of PP Res</w:t>
      </w:r>
      <w:r w:rsidR="00454493" w:rsidRPr="00C020C2">
        <w:rPr>
          <w:rFonts w:asciiTheme="minorHAnsi" w:hAnsiTheme="minorHAnsi" w:cstheme="minorHAnsi"/>
          <w:sz w:val="24"/>
          <w:szCs w:val="24"/>
        </w:rPr>
        <w:t>olutions</w:t>
      </w:r>
      <w:bookmarkEnd w:id="72"/>
    </w:p>
    <w:p w14:paraId="63A61CFF" w14:textId="55C78FCA" w:rsidR="00454493" w:rsidRPr="00C020C2" w:rsidRDefault="2A635D36" w:rsidP="00A8341A">
      <w:pPr>
        <w:rPr>
          <w:rFonts w:asciiTheme="minorHAnsi" w:hAnsiTheme="minorHAnsi" w:cstheme="minorHAnsi"/>
          <w:szCs w:val="24"/>
        </w:rPr>
      </w:pPr>
      <w:r w:rsidRPr="00C020C2">
        <w:rPr>
          <w:rFonts w:asciiTheme="minorHAnsi" w:hAnsiTheme="minorHAnsi" w:cstheme="minorHAnsi"/>
          <w:szCs w:val="24"/>
        </w:rPr>
        <w:t>A web-based platform has b</w:t>
      </w:r>
      <w:r w:rsidR="1A42FE32" w:rsidRPr="00C020C2">
        <w:rPr>
          <w:rFonts w:asciiTheme="minorHAnsi" w:hAnsiTheme="minorHAnsi" w:cstheme="minorHAnsi"/>
          <w:szCs w:val="24"/>
        </w:rPr>
        <w:t>e</w:t>
      </w:r>
      <w:r w:rsidRPr="00C020C2">
        <w:rPr>
          <w:rFonts w:asciiTheme="minorHAnsi" w:hAnsiTheme="minorHAnsi" w:cstheme="minorHAnsi"/>
          <w:szCs w:val="24"/>
        </w:rPr>
        <w:t xml:space="preserve">en created to present </w:t>
      </w:r>
      <w:r w:rsidR="1A42FE32" w:rsidRPr="00C020C2">
        <w:rPr>
          <w:rFonts w:asciiTheme="minorHAnsi" w:hAnsiTheme="minorHAnsi" w:cstheme="minorHAnsi"/>
          <w:szCs w:val="24"/>
        </w:rPr>
        <w:t xml:space="preserve">the implementation of </w:t>
      </w:r>
      <w:r w:rsidRPr="00C020C2">
        <w:rPr>
          <w:rFonts w:asciiTheme="minorHAnsi" w:hAnsiTheme="minorHAnsi" w:cstheme="minorHAnsi"/>
          <w:szCs w:val="24"/>
        </w:rPr>
        <w:t xml:space="preserve">PP Resolutions requesting regular reporting to Council (see </w:t>
      </w:r>
      <w:hyperlink r:id="rId192" w:history="1">
        <w:r w:rsidRPr="00C020C2">
          <w:rPr>
            <w:rStyle w:val="Hyperlink"/>
            <w:rFonts w:asciiTheme="minorHAnsi" w:hAnsiTheme="minorHAnsi" w:cstheme="minorHAnsi"/>
            <w:szCs w:val="24"/>
          </w:rPr>
          <w:t>here</w:t>
        </w:r>
      </w:hyperlink>
      <w:r w:rsidRPr="00C020C2">
        <w:rPr>
          <w:rFonts w:asciiTheme="minorHAnsi" w:hAnsiTheme="minorHAnsi" w:cstheme="minorHAnsi"/>
          <w:szCs w:val="24"/>
        </w:rPr>
        <w:t>)</w:t>
      </w:r>
      <w:r w:rsidR="057AB5F5" w:rsidRPr="00C020C2">
        <w:rPr>
          <w:rFonts w:asciiTheme="minorHAnsi" w:hAnsiTheme="minorHAnsi" w:cstheme="minorHAnsi"/>
          <w:szCs w:val="24"/>
        </w:rPr>
        <w:t>.</w:t>
      </w:r>
    </w:p>
    <w:p w14:paraId="51CD5CC2" w14:textId="730E8D3C" w:rsidR="00EE21B1" w:rsidRPr="00454493" w:rsidRDefault="00EE21B1" w:rsidP="00EE21B1">
      <w:pPr>
        <w:spacing w:before="840"/>
        <w:jc w:val="center"/>
      </w:pPr>
      <w:r w:rsidRPr="00C020C2">
        <w:t>___________________</w:t>
      </w:r>
    </w:p>
    <w:sectPr w:rsidR="00EE21B1" w:rsidRPr="00454493" w:rsidSect="00F15918">
      <w:headerReference w:type="default" r:id="rId193"/>
      <w:footerReference w:type="default" r:id="rId194"/>
      <w:headerReference w:type="first" r:id="rId195"/>
      <w:footerReference w:type="first" r:id="rId196"/>
      <w:pgSz w:w="11907" w:h="16834"/>
      <w:pgMar w:top="1134" w:right="1418" w:bottom="1134"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FDFD" w14:textId="77777777" w:rsidR="004D06FD" w:rsidRDefault="004D06FD">
      <w:r>
        <w:separator/>
      </w:r>
    </w:p>
  </w:endnote>
  <w:endnote w:type="continuationSeparator" w:id="0">
    <w:p w14:paraId="6F7F440C" w14:textId="77777777" w:rsidR="004D06FD" w:rsidRDefault="004D06FD">
      <w:r>
        <w:continuationSeparator/>
      </w:r>
    </w:p>
  </w:endnote>
  <w:endnote w:type="continuationNotice" w:id="1">
    <w:p w14:paraId="5A58CF2F" w14:textId="77777777" w:rsidR="004D06FD" w:rsidRDefault="004D06F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E38D4" w:rsidRPr="00784011" w14:paraId="4412FC94" w14:textId="77777777" w:rsidTr="00F2477C">
      <w:trPr>
        <w:jc w:val="center"/>
      </w:trPr>
      <w:tc>
        <w:tcPr>
          <w:tcW w:w="1803" w:type="dxa"/>
          <w:vAlign w:val="center"/>
        </w:tcPr>
        <w:p w14:paraId="2CA7F094" w14:textId="24508714" w:rsidR="00DE38D4" w:rsidRDefault="00DE38D4" w:rsidP="00DE38D4">
          <w:pPr>
            <w:pStyle w:val="Header"/>
            <w:jc w:val="left"/>
            <w:rPr>
              <w:noProof/>
            </w:rPr>
          </w:pPr>
          <w:r>
            <w:rPr>
              <w:noProof/>
            </w:rPr>
            <w:t>DPS 521069</w:t>
          </w:r>
        </w:p>
      </w:tc>
      <w:tc>
        <w:tcPr>
          <w:tcW w:w="8261" w:type="dxa"/>
        </w:tcPr>
        <w:p w14:paraId="41C52B18" w14:textId="77777777" w:rsidR="00DE38D4" w:rsidRPr="00E06FD5" w:rsidRDefault="00DE38D4" w:rsidP="00DE38D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35</w:t>
          </w:r>
          <w:r w:rsidRPr="00623AE3">
            <w:rPr>
              <w:bCs/>
            </w:rPr>
            <w:t>-E</w:t>
          </w:r>
          <w:r>
            <w:rPr>
              <w:bCs/>
            </w:rPr>
            <w:tab/>
          </w:r>
          <w:r>
            <w:fldChar w:fldCharType="begin"/>
          </w:r>
          <w:r>
            <w:instrText>PAGE</w:instrText>
          </w:r>
          <w:r>
            <w:fldChar w:fldCharType="separate"/>
          </w:r>
          <w:r>
            <w:rPr>
              <w:noProof/>
            </w:rPr>
            <w:t>12</w:t>
          </w:r>
          <w:r>
            <w:rPr>
              <w:noProof/>
            </w:rPr>
            <w:fldChar w:fldCharType="end"/>
          </w:r>
        </w:p>
      </w:tc>
    </w:tr>
  </w:tbl>
  <w:p w14:paraId="1DDCB4D1" w14:textId="77777777" w:rsidR="00DE38D4" w:rsidRDefault="00DE3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E38D4" w:rsidRPr="00784011" w14:paraId="3DB49CD1" w14:textId="77777777" w:rsidTr="00F2477C">
      <w:trPr>
        <w:jc w:val="center"/>
      </w:trPr>
      <w:tc>
        <w:tcPr>
          <w:tcW w:w="1803" w:type="dxa"/>
          <w:vAlign w:val="center"/>
        </w:tcPr>
        <w:p w14:paraId="124C1120" w14:textId="77777777" w:rsidR="00DE38D4" w:rsidRDefault="00C020C2" w:rsidP="00DE38D4">
          <w:pPr>
            <w:pStyle w:val="Header"/>
            <w:jc w:val="left"/>
            <w:rPr>
              <w:noProof/>
            </w:rPr>
          </w:pPr>
          <w:hyperlink r:id="rId1" w:history="1">
            <w:r w:rsidR="00DE38D4" w:rsidRPr="00A514A4">
              <w:rPr>
                <w:rStyle w:val="Hyperlink"/>
                <w:szCs w:val="14"/>
                <w:u w:val="none"/>
              </w:rPr>
              <w:t>www.itu.int/council</w:t>
            </w:r>
          </w:hyperlink>
        </w:p>
      </w:tc>
      <w:tc>
        <w:tcPr>
          <w:tcW w:w="8261" w:type="dxa"/>
        </w:tcPr>
        <w:p w14:paraId="0B39A67C" w14:textId="177EF218" w:rsidR="00DE38D4" w:rsidRPr="00E06FD5" w:rsidRDefault="00DE38D4" w:rsidP="00DE38D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35</w:t>
          </w:r>
          <w:r w:rsidRPr="00623AE3">
            <w:rPr>
              <w:bCs/>
            </w:rPr>
            <w:t>-E</w:t>
          </w:r>
          <w:r>
            <w:rPr>
              <w:bCs/>
            </w:rPr>
            <w:tab/>
          </w:r>
          <w:r>
            <w:fldChar w:fldCharType="begin"/>
          </w:r>
          <w:r>
            <w:instrText>PAGE</w:instrText>
          </w:r>
          <w:r>
            <w:fldChar w:fldCharType="separate"/>
          </w:r>
          <w:r>
            <w:rPr>
              <w:noProof/>
            </w:rPr>
            <w:t>3</w:t>
          </w:r>
          <w:r>
            <w:rPr>
              <w:noProof/>
            </w:rPr>
            <w:fldChar w:fldCharType="end"/>
          </w:r>
        </w:p>
      </w:tc>
    </w:tr>
  </w:tbl>
  <w:p w14:paraId="4D694B77" w14:textId="10D5828D" w:rsidR="00F454CA" w:rsidRPr="004840A5" w:rsidRDefault="00F454CA" w:rsidP="008A31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454CA" w:rsidRPr="00784011" w14:paraId="3C2EDA0B" w14:textId="77777777" w:rsidTr="008A31FD">
      <w:trPr>
        <w:jc w:val="center"/>
      </w:trPr>
      <w:tc>
        <w:tcPr>
          <w:tcW w:w="1803" w:type="dxa"/>
          <w:vAlign w:val="center"/>
        </w:tcPr>
        <w:p w14:paraId="3FDA5160" w14:textId="066CE46E" w:rsidR="00F454CA" w:rsidRDefault="00F454CA" w:rsidP="00EE49E8">
          <w:pPr>
            <w:pStyle w:val="Header"/>
            <w:jc w:val="left"/>
            <w:rPr>
              <w:noProof/>
            </w:rPr>
          </w:pPr>
          <w:r>
            <w:rPr>
              <w:noProof/>
            </w:rPr>
            <w:t xml:space="preserve">DPS </w:t>
          </w:r>
          <w:r w:rsidR="00EE21B1">
            <w:rPr>
              <w:noProof/>
            </w:rPr>
            <w:t>521069</w:t>
          </w:r>
        </w:p>
      </w:tc>
      <w:tc>
        <w:tcPr>
          <w:tcW w:w="8261" w:type="dxa"/>
        </w:tcPr>
        <w:p w14:paraId="35709C74" w14:textId="6C56701E" w:rsidR="00F454CA" w:rsidRPr="00E06FD5" w:rsidRDefault="00F454CA"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57503">
            <w:rPr>
              <w:bCs/>
            </w:rPr>
            <w:t>35</w:t>
          </w:r>
          <w:r w:rsidRPr="00623AE3">
            <w:rPr>
              <w:bCs/>
            </w:rPr>
            <w:t>-E</w:t>
          </w:r>
          <w:r>
            <w:rPr>
              <w:bCs/>
            </w:rPr>
            <w:tab/>
          </w:r>
          <w:r>
            <w:fldChar w:fldCharType="begin"/>
          </w:r>
          <w:r>
            <w:instrText>PAGE</w:instrText>
          </w:r>
          <w:r>
            <w:fldChar w:fldCharType="separate"/>
          </w:r>
          <w:r w:rsidR="00424197">
            <w:rPr>
              <w:noProof/>
            </w:rPr>
            <w:t>12</w:t>
          </w:r>
          <w:r>
            <w:rPr>
              <w:noProof/>
            </w:rPr>
            <w:fldChar w:fldCharType="end"/>
          </w:r>
        </w:p>
      </w:tc>
    </w:tr>
  </w:tbl>
  <w:p w14:paraId="6C6FB1E8" w14:textId="77777777" w:rsidR="00F454CA" w:rsidRPr="00DB1936" w:rsidRDefault="00F454CA"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E38D4" w:rsidRPr="00784011" w14:paraId="1FA07B22" w14:textId="77777777" w:rsidTr="00F2477C">
      <w:trPr>
        <w:jc w:val="center"/>
      </w:trPr>
      <w:tc>
        <w:tcPr>
          <w:tcW w:w="1803" w:type="dxa"/>
          <w:vAlign w:val="center"/>
        </w:tcPr>
        <w:p w14:paraId="73E86B95" w14:textId="77777777" w:rsidR="00DE38D4" w:rsidRDefault="00DE38D4" w:rsidP="00DE38D4">
          <w:pPr>
            <w:pStyle w:val="Header"/>
            <w:jc w:val="left"/>
            <w:rPr>
              <w:noProof/>
            </w:rPr>
          </w:pPr>
          <w:r>
            <w:rPr>
              <w:noProof/>
            </w:rPr>
            <w:t>DPS 521069</w:t>
          </w:r>
        </w:p>
      </w:tc>
      <w:tc>
        <w:tcPr>
          <w:tcW w:w="8261" w:type="dxa"/>
        </w:tcPr>
        <w:p w14:paraId="36741D9A" w14:textId="77777777" w:rsidR="00DE38D4" w:rsidRPr="00E06FD5" w:rsidRDefault="00DE38D4" w:rsidP="00DE38D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35</w:t>
          </w:r>
          <w:r w:rsidRPr="00623AE3">
            <w:rPr>
              <w:bCs/>
            </w:rPr>
            <w:t>-E</w:t>
          </w:r>
          <w:r>
            <w:rPr>
              <w:bCs/>
            </w:rPr>
            <w:tab/>
          </w:r>
          <w:r>
            <w:fldChar w:fldCharType="begin"/>
          </w:r>
          <w:r>
            <w:instrText>PAGE</w:instrText>
          </w:r>
          <w:r>
            <w:fldChar w:fldCharType="separate"/>
          </w:r>
          <w:r>
            <w:rPr>
              <w:noProof/>
            </w:rPr>
            <w:t>12</w:t>
          </w:r>
          <w:r>
            <w:rPr>
              <w:noProof/>
            </w:rPr>
            <w:fldChar w:fldCharType="end"/>
          </w:r>
        </w:p>
      </w:tc>
    </w:tr>
  </w:tbl>
  <w:p w14:paraId="7A1F1124" w14:textId="77777777" w:rsidR="00F454CA" w:rsidRPr="00623AE3" w:rsidRDefault="00F454CA"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DDEF" w14:textId="77777777" w:rsidR="004D06FD" w:rsidRDefault="004D06FD">
      <w:r>
        <w:t>____________________</w:t>
      </w:r>
    </w:p>
  </w:footnote>
  <w:footnote w:type="continuationSeparator" w:id="0">
    <w:p w14:paraId="077D3A61" w14:textId="77777777" w:rsidR="004D06FD" w:rsidRDefault="004D06FD">
      <w:r>
        <w:continuationSeparator/>
      </w:r>
    </w:p>
  </w:footnote>
  <w:footnote w:type="continuationNotice" w:id="1">
    <w:p w14:paraId="1A2513A3" w14:textId="77777777" w:rsidR="004D06FD" w:rsidRDefault="004D06FD">
      <w:pPr>
        <w:spacing w:before="0"/>
      </w:pPr>
    </w:p>
  </w:footnote>
  <w:footnote w:id="2">
    <w:p w14:paraId="0F96AF07" w14:textId="3DDBCB05" w:rsidR="00691679" w:rsidRPr="002A7955" w:rsidRDefault="00691679">
      <w:pPr>
        <w:pStyle w:val="FootnoteText"/>
        <w:rPr>
          <w:sz w:val="20"/>
          <w:lang w:val="en-US"/>
        </w:rPr>
      </w:pPr>
      <w:r w:rsidRPr="002A7955">
        <w:rPr>
          <w:rStyle w:val="FootnoteReference"/>
          <w:sz w:val="20"/>
        </w:rPr>
        <w:footnoteRef/>
      </w:r>
      <w:r w:rsidRPr="002A7955">
        <w:rPr>
          <w:sz w:val="20"/>
        </w:rPr>
        <w:t xml:space="preserve"> </w:t>
      </w:r>
      <w:r w:rsidR="00A07E1E" w:rsidRPr="002A7955">
        <w:rPr>
          <w:sz w:val="20"/>
        </w:rPr>
        <w:t xml:space="preserve">ITU, </w:t>
      </w:r>
      <w:r w:rsidRPr="002A7955">
        <w:rPr>
          <w:sz w:val="20"/>
        </w:rPr>
        <w:t xml:space="preserve">in collaboration with the African Telecommunication Union (ATU), </w:t>
      </w:r>
      <w:r w:rsidR="00A07E1E" w:rsidRPr="002A7955">
        <w:rPr>
          <w:sz w:val="20"/>
        </w:rPr>
        <w:t>launched</w:t>
      </w:r>
      <w:r w:rsidRPr="002A7955">
        <w:rPr>
          <w:sz w:val="20"/>
        </w:rPr>
        <w:t xml:space="preserve"> a process for the optimization of the GE84 Plan for African countries</w:t>
      </w:r>
      <w:r w:rsidR="00A07E1E" w:rsidRPr="002A7955">
        <w:rPr>
          <w:sz w:val="20"/>
        </w:rPr>
        <w:t xml:space="preserve"> to achieve an efficient use of the 87.5-108 MHz (FM) band for analogue sound broadcasting and to allocate new frequencies to FM broadcasting to meet the increasing need for additional frequencies </w:t>
      </w:r>
    </w:p>
  </w:footnote>
  <w:footnote w:id="3">
    <w:p w14:paraId="4A05D247" w14:textId="7C778443" w:rsidR="00C42C3A" w:rsidRPr="00A8341A" w:rsidRDefault="00C42C3A">
      <w:pPr>
        <w:pStyle w:val="FootnoteText"/>
        <w:rPr>
          <w:sz w:val="20"/>
          <w:lang w:val="en-US"/>
        </w:rPr>
      </w:pPr>
      <w:r w:rsidRPr="00A8341A">
        <w:rPr>
          <w:rStyle w:val="FootnoteReference"/>
          <w:sz w:val="20"/>
        </w:rPr>
        <w:footnoteRef/>
      </w:r>
      <w:r w:rsidRPr="00A8341A">
        <w:rPr>
          <w:sz w:val="20"/>
        </w:rPr>
        <w:t xml:space="preserve"> The </w:t>
      </w:r>
      <w:r w:rsidR="004478C1" w:rsidRPr="00A8341A">
        <w:rPr>
          <w:sz w:val="20"/>
        </w:rPr>
        <w:t>Enhanced Integrated Framework (</w:t>
      </w:r>
      <w:r w:rsidRPr="00A8341A">
        <w:rPr>
          <w:sz w:val="20"/>
        </w:rPr>
        <w:t>EIF</w:t>
      </w:r>
      <w:r w:rsidR="004478C1" w:rsidRPr="00A8341A">
        <w:rPr>
          <w:sz w:val="20"/>
        </w:rPr>
        <w:t>)</w:t>
      </w:r>
      <w:r w:rsidR="00D51D0C" w:rsidRPr="00A8341A">
        <w:rPr>
          <w:sz w:val="20"/>
        </w:rPr>
        <w:t xml:space="preserve"> is a</w:t>
      </w:r>
      <w:r w:rsidRPr="00A8341A">
        <w:rPr>
          <w:sz w:val="20"/>
        </w:rPr>
        <w:t xml:space="preserve"> partnership of 51 countries, 24 donors and eight partner agencies works closely with governments, development organizations and civil society to assist least developed countries (LDCs) use trade as an engine for development and poverty reduction</w:t>
      </w:r>
      <w:r w:rsidR="00A8341A">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B622" w14:textId="77777777" w:rsidR="00F454CA" w:rsidRPr="00FC54BD" w:rsidRDefault="00F454CA" w:rsidP="008A31FD">
    <w:pPr>
      <w:pStyle w:val="Header"/>
      <w:rPr>
        <w:lang w:val="en-US"/>
      </w:rPr>
    </w:pPr>
    <w:r>
      <w:rPr>
        <w:color w:val="0F5288"/>
        <w:szCs w:val="18"/>
      </w:rPr>
      <w:t>Report on the implementation of the strategic plan and activities of the Union</w:t>
    </w:r>
  </w:p>
  <w:p w14:paraId="3B4C30DC" w14:textId="77777777" w:rsidR="00F454CA" w:rsidRDefault="00F454CA" w:rsidP="008A31FD">
    <w:pPr>
      <w:pStyle w:val="Header"/>
      <w:rPr>
        <w:lang w:val="en-US"/>
      </w:rPr>
    </w:pPr>
  </w:p>
  <w:p w14:paraId="77C9B2BA" w14:textId="77777777" w:rsidR="00DE38D4" w:rsidRPr="00673405" w:rsidRDefault="00DE38D4" w:rsidP="008A31F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E38D4" w:rsidRPr="00784011" w14:paraId="353CA051" w14:textId="77777777" w:rsidTr="00F2477C">
      <w:trPr>
        <w:trHeight w:val="1104"/>
        <w:jc w:val="center"/>
      </w:trPr>
      <w:tc>
        <w:tcPr>
          <w:tcW w:w="4390" w:type="dxa"/>
          <w:vAlign w:val="center"/>
        </w:tcPr>
        <w:p w14:paraId="72E36003" w14:textId="0DFE1995" w:rsidR="00DE38D4" w:rsidRPr="009621F8" w:rsidRDefault="00DE38D4" w:rsidP="00DE38D4">
          <w:pPr>
            <w:pStyle w:val="Header"/>
            <w:jc w:val="left"/>
            <w:rPr>
              <w:rFonts w:ascii="Arial" w:hAnsi="Arial" w:cs="Arial"/>
              <w:b/>
              <w:bCs/>
              <w:color w:val="009CD6"/>
              <w:sz w:val="36"/>
              <w:szCs w:val="36"/>
            </w:rPr>
          </w:pPr>
          <w:bookmarkStart w:id="8" w:name="_Hlk68810887"/>
          <w:r>
            <w:rPr>
              <w:noProof/>
              <w:lang w:val="fr-FR" w:eastAsia="fr-FR"/>
            </w:rPr>
            <w:drawing>
              <wp:inline distT="0" distB="0" distL="0" distR="0" wp14:anchorId="71DF0BF4" wp14:editId="2EEFAF99">
                <wp:extent cx="1906471" cy="53417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17E73C84" w14:textId="77777777" w:rsidR="00DE38D4" w:rsidRDefault="00DE38D4" w:rsidP="00DE38D4">
          <w:pPr>
            <w:pStyle w:val="Header"/>
            <w:jc w:val="right"/>
            <w:rPr>
              <w:rFonts w:ascii="Arial" w:hAnsi="Arial" w:cs="Arial"/>
              <w:b/>
              <w:bCs/>
              <w:color w:val="009CD6"/>
              <w:szCs w:val="18"/>
            </w:rPr>
          </w:pPr>
        </w:p>
        <w:p w14:paraId="1D095D4F" w14:textId="77777777" w:rsidR="00DE38D4" w:rsidRDefault="00DE38D4" w:rsidP="00DE38D4">
          <w:pPr>
            <w:pStyle w:val="Header"/>
            <w:jc w:val="right"/>
            <w:rPr>
              <w:rFonts w:ascii="Arial" w:hAnsi="Arial" w:cs="Arial"/>
              <w:b/>
              <w:bCs/>
              <w:color w:val="009CD6"/>
              <w:szCs w:val="18"/>
            </w:rPr>
          </w:pPr>
        </w:p>
        <w:p w14:paraId="0B4D72E0" w14:textId="77777777" w:rsidR="00DE38D4" w:rsidRPr="00784011" w:rsidRDefault="00DE38D4" w:rsidP="00DE38D4">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65FCC8AC" w14:textId="68282E83" w:rsidR="00F454CA" w:rsidRPr="00FC54BD" w:rsidRDefault="00DE38D4" w:rsidP="008A31FD">
    <w:pPr>
      <w:pStyle w:val="Header"/>
      <w:rPr>
        <w:lang w:val="en-US"/>
      </w:rPr>
    </w:pPr>
    <w:r w:rsidRPr="00802C2C">
      <w:rPr>
        <w:rFonts w:ascii="Avenir Nxt2 W1G Medium" w:eastAsia="Avenir Nxt2 W1G Medium" w:hAnsi="Avenir Nxt2 W1G Medium" w:cs="Avenir Nxt2 W1G Medium"/>
        <w:noProof/>
        <w:lang w:val="fr-FR" w:eastAsia="fr-FR"/>
      </w:rPr>
      <mc:AlternateContent>
        <mc:Choice Requires="wps">
          <w:drawing>
            <wp:anchor distT="0" distB="0" distL="114300" distR="114300" simplePos="0" relativeHeight="251659264" behindDoc="0" locked="0" layoutInCell="1" allowOverlap="1" wp14:anchorId="348D0F8D" wp14:editId="4AA5E3D3">
              <wp:simplePos x="0" y="0"/>
              <wp:positionH relativeFrom="page">
                <wp:posOffset>36195</wp:posOffset>
              </wp:positionH>
              <wp:positionV relativeFrom="topMargin">
                <wp:posOffset>516255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293E66">
            <v:rect id="Rectangle 5" style="position:absolute;margin-left:2.85pt;margin-top:40.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7641F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">
              <w10:wrap anchorx="page" anchory="margin"/>
            </v:rect>
          </w:pict>
        </mc:Fallback>
      </mc:AlternateContent>
    </w:r>
  </w:p>
  <w:bookmarkEnd w:id="8"/>
  <w:p w14:paraId="2DAB6D0A" w14:textId="69B976B8" w:rsidR="00F454CA" w:rsidRPr="004840A5" w:rsidRDefault="00F454C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9937" w14:textId="77777777" w:rsidR="00DE38D4" w:rsidRPr="00FC54BD" w:rsidRDefault="00DE38D4" w:rsidP="008A31FD">
    <w:pPr>
      <w:pStyle w:val="Header"/>
      <w:rPr>
        <w:lang w:val="en-US"/>
      </w:rPr>
    </w:pPr>
    <w:r>
      <w:rPr>
        <w:color w:val="0F5288"/>
        <w:szCs w:val="18"/>
      </w:rPr>
      <w:t>Report on the implementation of the strategic plan and activities of the Union</w:t>
    </w:r>
  </w:p>
  <w:p w14:paraId="0940899B" w14:textId="77777777" w:rsidR="00DE38D4" w:rsidRPr="00673405" w:rsidRDefault="00DE38D4" w:rsidP="008A31FD">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BDC9" w14:textId="708D495D" w:rsidR="00F454CA" w:rsidRDefault="00DE38D4">
    <w:pPr>
      <w:pStyle w:val="Header"/>
    </w:pPr>
    <w:r>
      <w:rPr>
        <w:color w:val="0F5288"/>
        <w:szCs w:val="18"/>
      </w:rPr>
      <w:t>Report on the implementation of the strategic plan and activities of the Union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9203"/>
    <w:multiLevelType w:val="hybridMultilevel"/>
    <w:tmpl w:val="FFFFFFFF"/>
    <w:lvl w:ilvl="0" w:tplc="8398D02E">
      <w:start w:val="1"/>
      <w:numFmt w:val="bullet"/>
      <w:lvlText w:val=""/>
      <w:lvlJc w:val="left"/>
      <w:pPr>
        <w:ind w:left="720" w:hanging="360"/>
      </w:pPr>
      <w:rPr>
        <w:rFonts w:ascii="Symbol" w:hAnsi="Symbol" w:hint="default"/>
      </w:rPr>
    </w:lvl>
    <w:lvl w:ilvl="1" w:tplc="1A70991C">
      <w:start w:val="1"/>
      <w:numFmt w:val="bullet"/>
      <w:lvlText w:val="o"/>
      <w:lvlJc w:val="left"/>
      <w:pPr>
        <w:ind w:left="1440" w:hanging="360"/>
      </w:pPr>
      <w:rPr>
        <w:rFonts w:ascii="Courier New" w:hAnsi="Courier New" w:hint="default"/>
      </w:rPr>
    </w:lvl>
    <w:lvl w:ilvl="2" w:tplc="61BE4B52">
      <w:start w:val="1"/>
      <w:numFmt w:val="bullet"/>
      <w:lvlText w:val=""/>
      <w:lvlJc w:val="left"/>
      <w:pPr>
        <w:ind w:left="2160" w:hanging="360"/>
      </w:pPr>
      <w:rPr>
        <w:rFonts w:ascii="Wingdings" w:hAnsi="Wingdings" w:hint="default"/>
      </w:rPr>
    </w:lvl>
    <w:lvl w:ilvl="3" w:tplc="E8D23CB6">
      <w:start w:val="1"/>
      <w:numFmt w:val="bullet"/>
      <w:lvlText w:val=""/>
      <w:lvlJc w:val="left"/>
      <w:pPr>
        <w:ind w:left="2880" w:hanging="360"/>
      </w:pPr>
      <w:rPr>
        <w:rFonts w:ascii="Symbol" w:hAnsi="Symbol" w:hint="default"/>
      </w:rPr>
    </w:lvl>
    <w:lvl w:ilvl="4" w:tplc="80EA0C74">
      <w:start w:val="1"/>
      <w:numFmt w:val="bullet"/>
      <w:lvlText w:val="o"/>
      <w:lvlJc w:val="left"/>
      <w:pPr>
        <w:ind w:left="3600" w:hanging="360"/>
      </w:pPr>
      <w:rPr>
        <w:rFonts w:ascii="Courier New" w:hAnsi="Courier New" w:hint="default"/>
      </w:rPr>
    </w:lvl>
    <w:lvl w:ilvl="5" w:tplc="07CC8246">
      <w:start w:val="1"/>
      <w:numFmt w:val="bullet"/>
      <w:lvlText w:val=""/>
      <w:lvlJc w:val="left"/>
      <w:pPr>
        <w:ind w:left="4320" w:hanging="360"/>
      </w:pPr>
      <w:rPr>
        <w:rFonts w:ascii="Wingdings" w:hAnsi="Wingdings" w:hint="default"/>
      </w:rPr>
    </w:lvl>
    <w:lvl w:ilvl="6" w:tplc="31A4D4CE">
      <w:start w:val="1"/>
      <w:numFmt w:val="bullet"/>
      <w:lvlText w:val=""/>
      <w:lvlJc w:val="left"/>
      <w:pPr>
        <w:ind w:left="5040" w:hanging="360"/>
      </w:pPr>
      <w:rPr>
        <w:rFonts w:ascii="Symbol" w:hAnsi="Symbol" w:hint="default"/>
      </w:rPr>
    </w:lvl>
    <w:lvl w:ilvl="7" w:tplc="77EAE0F6">
      <w:start w:val="1"/>
      <w:numFmt w:val="bullet"/>
      <w:lvlText w:val="o"/>
      <w:lvlJc w:val="left"/>
      <w:pPr>
        <w:ind w:left="5760" w:hanging="360"/>
      </w:pPr>
      <w:rPr>
        <w:rFonts w:ascii="Courier New" w:hAnsi="Courier New" w:hint="default"/>
      </w:rPr>
    </w:lvl>
    <w:lvl w:ilvl="8" w:tplc="EAAEAAF8">
      <w:start w:val="1"/>
      <w:numFmt w:val="bullet"/>
      <w:lvlText w:val=""/>
      <w:lvlJc w:val="left"/>
      <w:pPr>
        <w:ind w:left="6480" w:hanging="360"/>
      </w:pPr>
      <w:rPr>
        <w:rFonts w:ascii="Wingdings" w:hAnsi="Wingdings" w:hint="default"/>
      </w:rPr>
    </w:lvl>
  </w:abstractNum>
  <w:abstractNum w:abstractNumId="1" w15:restartNumberingAfterBreak="0">
    <w:nsid w:val="031732ED"/>
    <w:multiLevelType w:val="hybridMultilevel"/>
    <w:tmpl w:val="CA989E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4D12DF5"/>
    <w:multiLevelType w:val="hybridMultilevel"/>
    <w:tmpl w:val="618A54AA"/>
    <w:lvl w:ilvl="0" w:tplc="69DA4CF4">
      <w:start w:val="1"/>
      <w:numFmt w:val="bullet"/>
      <w:lvlText w:val=""/>
      <w:lvlJc w:val="left"/>
      <w:pPr>
        <w:ind w:left="720" w:hanging="360"/>
      </w:pPr>
      <w:rPr>
        <w:rFonts w:ascii="Symbol" w:hAnsi="Symbol" w:hint="default"/>
      </w:rPr>
    </w:lvl>
    <w:lvl w:ilvl="1" w:tplc="B2E22A3E">
      <w:start w:val="1"/>
      <w:numFmt w:val="bullet"/>
      <w:lvlText w:val="o"/>
      <w:lvlJc w:val="left"/>
      <w:pPr>
        <w:ind w:left="1440" w:hanging="360"/>
      </w:pPr>
      <w:rPr>
        <w:rFonts w:ascii="Courier New" w:hAnsi="Courier New" w:hint="default"/>
      </w:rPr>
    </w:lvl>
    <w:lvl w:ilvl="2" w:tplc="12FC980A">
      <w:start w:val="1"/>
      <w:numFmt w:val="bullet"/>
      <w:lvlText w:val=""/>
      <w:lvlJc w:val="left"/>
      <w:pPr>
        <w:ind w:left="2160" w:hanging="360"/>
      </w:pPr>
      <w:rPr>
        <w:rFonts w:ascii="Wingdings" w:hAnsi="Wingdings" w:hint="default"/>
      </w:rPr>
    </w:lvl>
    <w:lvl w:ilvl="3" w:tplc="5C4C67BE">
      <w:start w:val="1"/>
      <w:numFmt w:val="bullet"/>
      <w:lvlText w:val=""/>
      <w:lvlJc w:val="left"/>
      <w:pPr>
        <w:ind w:left="2880" w:hanging="360"/>
      </w:pPr>
      <w:rPr>
        <w:rFonts w:ascii="Symbol" w:hAnsi="Symbol" w:hint="default"/>
      </w:rPr>
    </w:lvl>
    <w:lvl w:ilvl="4" w:tplc="536AA22C">
      <w:start w:val="1"/>
      <w:numFmt w:val="bullet"/>
      <w:lvlText w:val="o"/>
      <w:lvlJc w:val="left"/>
      <w:pPr>
        <w:ind w:left="3600" w:hanging="360"/>
      </w:pPr>
      <w:rPr>
        <w:rFonts w:ascii="Courier New" w:hAnsi="Courier New" w:hint="default"/>
      </w:rPr>
    </w:lvl>
    <w:lvl w:ilvl="5" w:tplc="F866EF50">
      <w:start w:val="1"/>
      <w:numFmt w:val="bullet"/>
      <w:lvlText w:val=""/>
      <w:lvlJc w:val="left"/>
      <w:pPr>
        <w:ind w:left="4320" w:hanging="360"/>
      </w:pPr>
      <w:rPr>
        <w:rFonts w:ascii="Wingdings" w:hAnsi="Wingdings" w:hint="default"/>
      </w:rPr>
    </w:lvl>
    <w:lvl w:ilvl="6" w:tplc="7AFCA058">
      <w:start w:val="1"/>
      <w:numFmt w:val="bullet"/>
      <w:lvlText w:val=""/>
      <w:lvlJc w:val="left"/>
      <w:pPr>
        <w:ind w:left="5040" w:hanging="360"/>
      </w:pPr>
      <w:rPr>
        <w:rFonts w:ascii="Symbol" w:hAnsi="Symbol" w:hint="default"/>
      </w:rPr>
    </w:lvl>
    <w:lvl w:ilvl="7" w:tplc="B7EC6CE6">
      <w:start w:val="1"/>
      <w:numFmt w:val="bullet"/>
      <w:lvlText w:val="o"/>
      <w:lvlJc w:val="left"/>
      <w:pPr>
        <w:ind w:left="5760" w:hanging="360"/>
      </w:pPr>
      <w:rPr>
        <w:rFonts w:ascii="Courier New" w:hAnsi="Courier New" w:hint="default"/>
      </w:rPr>
    </w:lvl>
    <w:lvl w:ilvl="8" w:tplc="26B41120">
      <w:start w:val="1"/>
      <w:numFmt w:val="bullet"/>
      <w:lvlText w:val=""/>
      <w:lvlJc w:val="left"/>
      <w:pPr>
        <w:ind w:left="6480" w:hanging="360"/>
      </w:pPr>
      <w:rPr>
        <w:rFonts w:ascii="Wingdings" w:hAnsi="Wingdings" w:hint="default"/>
      </w:rPr>
    </w:lvl>
  </w:abstractNum>
  <w:abstractNum w:abstractNumId="3" w15:restartNumberingAfterBreak="0">
    <w:nsid w:val="0F42BD9C"/>
    <w:multiLevelType w:val="hybridMultilevel"/>
    <w:tmpl w:val="6E504B6C"/>
    <w:lvl w:ilvl="0" w:tplc="CA5E35DE">
      <w:start w:val="1"/>
      <w:numFmt w:val="bullet"/>
      <w:lvlText w:val="-"/>
      <w:lvlJc w:val="left"/>
      <w:pPr>
        <w:ind w:left="720" w:hanging="360"/>
      </w:pPr>
      <w:rPr>
        <w:rFonts w:ascii="Calibri, sans-serif" w:hAnsi="Calibri, sans-serif" w:hint="default"/>
      </w:rPr>
    </w:lvl>
    <w:lvl w:ilvl="1" w:tplc="E550CDA8">
      <w:start w:val="1"/>
      <w:numFmt w:val="bullet"/>
      <w:lvlText w:val="o"/>
      <w:lvlJc w:val="left"/>
      <w:pPr>
        <w:ind w:left="1440" w:hanging="360"/>
      </w:pPr>
      <w:rPr>
        <w:rFonts w:ascii="Courier New" w:hAnsi="Courier New" w:hint="default"/>
      </w:rPr>
    </w:lvl>
    <w:lvl w:ilvl="2" w:tplc="1B02A4FA">
      <w:start w:val="1"/>
      <w:numFmt w:val="bullet"/>
      <w:lvlText w:val=""/>
      <w:lvlJc w:val="left"/>
      <w:pPr>
        <w:ind w:left="2160" w:hanging="360"/>
      </w:pPr>
      <w:rPr>
        <w:rFonts w:ascii="Wingdings" w:hAnsi="Wingdings" w:hint="default"/>
      </w:rPr>
    </w:lvl>
    <w:lvl w:ilvl="3" w:tplc="AEC68AFC">
      <w:start w:val="1"/>
      <w:numFmt w:val="bullet"/>
      <w:lvlText w:val=""/>
      <w:lvlJc w:val="left"/>
      <w:pPr>
        <w:ind w:left="2880" w:hanging="360"/>
      </w:pPr>
      <w:rPr>
        <w:rFonts w:ascii="Symbol" w:hAnsi="Symbol" w:hint="default"/>
      </w:rPr>
    </w:lvl>
    <w:lvl w:ilvl="4" w:tplc="6CB62142">
      <w:start w:val="1"/>
      <w:numFmt w:val="bullet"/>
      <w:lvlText w:val="o"/>
      <w:lvlJc w:val="left"/>
      <w:pPr>
        <w:ind w:left="3600" w:hanging="360"/>
      </w:pPr>
      <w:rPr>
        <w:rFonts w:ascii="Courier New" w:hAnsi="Courier New" w:hint="default"/>
      </w:rPr>
    </w:lvl>
    <w:lvl w:ilvl="5" w:tplc="2FD2F51C">
      <w:start w:val="1"/>
      <w:numFmt w:val="bullet"/>
      <w:lvlText w:val=""/>
      <w:lvlJc w:val="left"/>
      <w:pPr>
        <w:ind w:left="4320" w:hanging="360"/>
      </w:pPr>
      <w:rPr>
        <w:rFonts w:ascii="Wingdings" w:hAnsi="Wingdings" w:hint="default"/>
      </w:rPr>
    </w:lvl>
    <w:lvl w:ilvl="6" w:tplc="B3DA45FA">
      <w:start w:val="1"/>
      <w:numFmt w:val="bullet"/>
      <w:lvlText w:val=""/>
      <w:lvlJc w:val="left"/>
      <w:pPr>
        <w:ind w:left="5040" w:hanging="360"/>
      </w:pPr>
      <w:rPr>
        <w:rFonts w:ascii="Symbol" w:hAnsi="Symbol" w:hint="default"/>
      </w:rPr>
    </w:lvl>
    <w:lvl w:ilvl="7" w:tplc="F0208416">
      <w:start w:val="1"/>
      <w:numFmt w:val="bullet"/>
      <w:lvlText w:val="o"/>
      <w:lvlJc w:val="left"/>
      <w:pPr>
        <w:ind w:left="5760" w:hanging="360"/>
      </w:pPr>
      <w:rPr>
        <w:rFonts w:ascii="Courier New" w:hAnsi="Courier New" w:hint="default"/>
      </w:rPr>
    </w:lvl>
    <w:lvl w:ilvl="8" w:tplc="CD7C8D60">
      <w:start w:val="1"/>
      <w:numFmt w:val="bullet"/>
      <w:lvlText w:val=""/>
      <w:lvlJc w:val="left"/>
      <w:pPr>
        <w:ind w:left="6480" w:hanging="360"/>
      </w:pPr>
      <w:rPr>
        <w:rFonts w:ascii="Wingdings" w:hAnsi="Wingdings" w:hint="default"/>
      </w:rPr>
    </w:lvl>
  </w:abstractNum>
  <w:abstractNum w:abstractNumId="4" w15:restartNumberingAfterBreak="0">
    <w:nsid w:val="10C17B6F"/>
    <w:multiLevelType w:val="hybridMultilevel"/>
    <w:tmpl w:val="FC306574"/>
    <w:lvl w:ilvl="0" w:tplc="B672D66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113B6"/>
    <w:multiLevelType w:val="hybridMultilevel"/>
    <w:tmpl w:val="9CBECCDC"/>
    <w:lvl w:ilvl="0" w:tplc="55CAAEC0">
      <w:start w:val="1"/>
      <w:numFmt w:val="bullet"/>
      <w:pStyle w:val="boxbullet"/>
      <w:lvlText w:val="•"/>
      <w:lvlJc w:val="left"/>
      <w:pPr>
        <w:tabs>
          <w:tab w:val="num" w:pos="720"/>
        </w:tabs>
        <w:ind w:left="720" w:hanging="360"/>
      </w:pPr>
      <w:rPr>
        <w:rFonts w:ascii="Arial" w:hAnsi="Arial" w:hint="default"/>
      </w:rPr>
    </w:lvl>
    <w:lvl w:ilvl="1" w:tplc="C9D0C296">
      <w:numFmt w:val="bullet"/>
      <w:pStyle w:val="Boxbullet2"/>
      <w:lvlText w:val="–"/>
      <w:lvlJc w:val="left"/>
      <w:pPr>
        <w:tabs>
          <w:tab w:val="num" w:pos="1440"/>
        </w:tabs>
        <w:ind w:left="1440" w:hanging="360"/>
      </w:pPr>
      <w:rPr>
        <w:rFonts w:ascii="Arial" w:hAnsi="Arial" w:hint="default"/>
      </w:rPr>
    </w:lvl>
    <w:lvl w:ilvl="2" w:tplc="6B3AEB26" w:tentative="1">
      <w:start w:val="1"/>
      <w:numFmt w:val="bullet"/>
      <w:lvlText w:val="•"/>
      <w:lvlJc w:val="left"/>
      <w:pPr>
        <w:tabs>
          <w:tab w:val="num" w:pos="2160"/>
        </w:tabs>
        <w:ind w:left="2160" w:hanging="360"/>
      </w:pPr>
      <w:rPr>
        <w:rFonts w:ascii="Arial" w:hAnsi="Arial" w:hint="default"/>
      </w:rPr>
    </w:lvl>
    <w:lvl w:ilvl="3" w:tplc="9E5A5CAE" w:tentative="1">
      <w:start w:val="1"/>
      <w:numFmt w:val="bullet"/>
      <w:lvlText w:val="•"/>
      <w:lvlJc w:val="left"/>
      <w:pPr>
        <w:tabs>
          <w:tab w:val="num" w:pos="2880"/>
        </w:tabs>
        <w:ind w:left="2880" w:hanging="360"/>
      </w:pPr>
      <w:rPr>
        <w:rFonts w:ascii="Arial" w:hAnsi="Arial" w:hint="default"/>
      </w:rPr>
    </w:lvl>
    <w:lvl w:ilvl="4" w:tplc="DD3CF324" w:tentative="1">
      <w:start w:val="1"/>
      <w:numFmt w:val="bullet"/>
      <w:lvlText w:val="•"/>
      <w:lvlJc w:val="left"/>
      <w:pPr>
        <w:tabs>
          <w:tab w:val="num" w:pos="3600"/>
        </w:tabs>
        <w:ind w:left="3600" w:hanging="360"/>
      </w:pPr>
      <w:rPr>
        <w:rFonts w:ascii="Arial" w:hAnsi="Arial" w:hint="default"/>
      </w:rPr>
    </w:lvl>
    <w:lvl w:ilvl="5" w:tplc="67CEA002" w:tentative="1">
      <w:start w:val="1"/>
      <w:numFmt w:val="bullet"/>
      <w:lvlText w:val="•"/>
      <w:lvlJc w:val="left"/>
      <w:pPr>
        <w:tabs>
          <w:tab w:val="num" w:pos="4320"/>
        </w:tabs>
        <w:ind w:left="4320" w:hanging="360"/>
      </w:pPr>
      <w:rPr>
        <w:rFonts w:ascii="Arial" w:hAnsi="Arial" w:hint="default"/>
      </w:rPr>
    </w:lvl>
    <w:lvl w:ilvl="6" w:tplc="D9E47C00" w:tentative="1">
      <w:start w:val="1"/>
      <w:numFmt w:val="bullet"/>
      <w:lvlText w:val="•"/>
      <w:lvlJc w:val="left"/>
      <w:pPr>
        <w:tabs>
          <w:tab w:val="num" w:pos="5040"/>
        </w:tabs>
        <w:ind w:left="5040" w:hanging="360"/>
      </w:pPr>
      <w:rPr>
        <w:rFonts w:ascii="Arial" w:hAnsi="Arial" w:hint="default"/>
      </w:rPr>
    </w:lvl>
    <w:lvl w:ilvl="7" w:tplc="6FDEFE32" w:tentative="1">
      <w:start w:val="1"/>
      <w:numFmt w:val="bullet"/>
      <w:lvlText w:val="•"/>
      <w:lvlJc w:val="left"/>
      <w:pPr>
        <w:tabs>
          <w:tab w:val="num" w:pos="5760"/>
        </w:tabs>
        <w:ind w:left="5760" w:hanging="360"/>
      </w:pPr>
      <w:rPr>
        <w:rFonts w:ascii="Arial" w:hAnsi="Arial" w:hint="default"/>
      </w:rPr>
    </w:lvl>
    <w:lvl w:ilvl="8" w:tplc="784425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4B6F4A"/>
    <w:multiLevelType w:val="hybridMultilevel"/>
    <w:tmpl w:val="BADC34C0"/>
    <w:lvl w:ilvl="0" w:tplc="0ED417A4">
      <w:start w:val="1"/>
      <w:numFmt w:val="bullet"/>
      <w:lvlText w:val="-"/>
      <w:lvlJc w:val="left"/>
      <w:pPr>
        <w:ind w:left="720" w:hanging="360"/>
      </w:pPr>
      <w:rPr>
        <w:rFonts w:ascii="Calibri, sans-serif" w:hAnsi="Calibri, sans-serif" w:hint="default"/>
      </w:rPr>
    </w:lvl>
    <w:lvl w:ilvl="1" w:tplc="62884F74">
      <w:start w:val="1"/>
      <w:numFmt w:val="bullet"/>
      <w:lvlText w:val="o"/>
      <w:lvlJc w:val="left"/>
      <w:pPr>
        <w:ind w:left="1440" w:hanging="360"/>
      </w:pPr>
      <w:rPr>
        <w:rFonts w:ascii="Courier New" w:hAnsi="Courier New" w:hint="default"/>
      </w:rPr>
    </w:lvl>
    <w:lvl w:ilvl="2" w:tplc="8392E630">
      <w:start w:val="1"/>
      <w:numFmt w:val="bullet"/>
      <w:lvlText w:val=""/>
      <w:lvlJc w:val="left"/>
      <w:pPr>
        <w:ind w:left="2160" w:hanging="360"/>
      </w:pPr>
      <w:rPr>
        <w:rFonts w:ascii="Wingdings" w:hAnsi="Wingdings" w:hint="default"/>
      </w:rPr>
    </w:lvl>
    <w:lvl w:ilvl="3" w:tplc="4FBC6F08">
      <w:start w:val="1"/>
      <w:numFmt w:val="bullet"/>
      <w:lvlText w:val=""/>
      <w:lvlJc w:val="left"/>
      <w:pPr>
        <w:ind w:left="2880" w:hanging="360"/>
      </w:pPr>
      <w:rPr>
        <w:rFonts w:ascii="Symbol" w:hAnsi="Symbol" w:hint="default"/>
      </w:rPr>
    </w:lvl>
    <w:lvl w:ilvl="4" w:tplc="0742AAE4">
      <w:start w:val="1"/>
      <w:numFmt w:val="bullet"/>
      <w:lvlText w:val="o"/>
      <w:lvlJc w:val="left"/>
      <w:pPr>
        <w:ind w:left="3600" w:hanging="360"/>
      </w:pPr>
      <w:rPr>
        <w:rFonts w:ascii="Courier New" w:hAnsi="Courier New" w:hint="default"/>
      </w:rPr>
    </w:lvl>
    <w:lvl w:ilvl="5" w:tplc="61D835D6">
      <w:start w:val="1"/>
      <w:numFmt w:val="bullet"/>
      <w:lvlText w:val=""/>
      <w:lvlJc w:val="left"/>
      <w:pPr>
        <w:ind w:left="4320" w:hanging="360"/>
      </w:pPr>
      <w:rPr>
        <w:rFonts w:ascii="Wingdings" w:hAnsi="Wingdings" w:hint="default"/>
      </w:rPr>
    </w:lvl>
    <w:lvl w:ilvl="6" w:tplc="C59A1A1E">
      <w:start w:val="1"/>
      <w:numFmt w:val="bullet"/>
      <w:lvlText w:val=""/>
      <w:lvlJc w:val="left"/>
      <w:pPr>
        <w:ind w:left="5040" w:hanging="360"/>
      </w:pPr>
      <w:rPr>
        <w:rFonts w:ascii="Symbol" w:hAnsi="Symbol" w:hint="default"/>
      </w:rPr>
    </w:lvl>
    <w:lvl w:ilvl="7" w:tplc="60CCFCC8">
      <w:start w:val="1"/>
      <w:numFmt w:val="bullet"/>
      <w:lvlText w:val="o"/>
      <w:lvlJc w:val="left"/>
      <w:pPr>
        <w:ind w:left="5760" w:hanging="360"/>
      </w:pPr>
      <w:rPr>
        <w:rFonts w:ascii="Courier New" w:hAnsi="Courier New" w:hint="default"/>
      </w:rPr>
    </w:lvl>
    <w:lvl w:ilvl="8" w:tplc="14AC4F3A">
      <w:start w:val="1"/>
      <w:numFmt w:val="bullet"/>
      <w:lvlText w:val=""/>
      <w:lvlJc w:val="left"/>
      <w:pPr>
        <w:ind w:left="6480" w:hanging="360"/>
      </w:pPr>
      <w:rPr>
        <w:rFonts w:ascii="Wingdings" w:hAnsi="Wingdings" w:hint="default"/>
      </w:rPr>
    </w:lvl>
  </w:abstractNum>
  <w:abstractNum w:abstractNumId="7" w15:restartNumberingAfterBreak="0">
    <w:nsid w:val="25E902CF"/>
    <w:multiLevelType w:val="hybridMultilevel"/>
    <w:tmpl w:val="D228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9" w15:restartNumberingAfterBreak="0">
    <w:nsid w:val="2F230542"/>
    <w:multiLevelType w:val="multilevel"/>
    <w:tmpl w:val="D508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851705"/>
    <w:multiLevelType w:val="hybridMultilevel"/>
    <w:tmpl w:val="AFFE3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2AFF99"/>
    <w:multiLevelType w:val="hybridMultilevel"/>
    <w:tmpl w:val="9CC60678"/>
    <w:lvl w:ilvl="0" w:tplc="9A96ECF2">
      <w:start w:val="1"/>
      <w:numFmt w:val="bullet"/>
      <w:lvlText w:val=""/>
      <w:lvlJc w:val="left"/>
      <w:pPr>
        <w:ind w:left="720" w:hanging="360"/>
      </w:pPr>
      <w:rPr>
        <w:rFonts w:ascii="Symbol" w:hAnsi="Symbol" w:hint="default"/>
      </w:rPr>
    </w:lvl>
    <w:lvl w:ilvl="1" w:tplc="8D4877F2">
      <w:start w:val="1"/>
      <w:numFmt w:val="bullet"/>
      <w:lvlText w:val="o"/>
      <w:lvlJc w:val="left"/>
      <w:pPr>
        <w:ind w:left="1440" w:hanging="360"/>
      </w:pPr>
      <w:rPr>
        <w:rFonts w:ascii="Courier New" w:hAnsi="Courier New" w:hint="default"/>
      </w:rPr>
    </w:lvl>
    <w:lvl w:ilvl="2" w:tplc="FEB2A120">
      <w:start w:val="1"/>
      <w:numFmt w:val="bullet"/>
      <w:lvlText w:val=""/>
      <w:lvlJc w:val="left"/>
      <w:pPr>
        <w:ind w:left="2160" w:hanging="360"/>
      </w:pPr>
      <w:rPr>
        <w:rFonts w:ascii="Wingdings" w:hAnsi="Wingdings" w:hint="default"/>
      </w:rPr>
    </w:lvl>
    <w:lvl w:ilvl="3" w:tplc="B2005528">
      <w:start w:val="1"/>
      <w:numFmt w:val="bullet"/>
      <w:lvlText w:val=""/>
      <w:lvlJc w:val="left"/>
      <w:pPr>
        <w:ind w:left="2880" w:hanging="360"/>
      </w:pPr>
      <w:rPr>
        <w:rFonts w:ascii="Symbol" w:hAnsi="Symbol" w:hint="default"/>
      </w:rPr>
    </w:lvl>
    <w:lvl w:ilvl="4" w:tplc="3DB4A518">
      <w:start w:val="1"/>
      <w:numFmt w:val="bullet"/>
      <w:lvlText w:val="o"/>
      <w:lvlJc w:val="left"/>
      <w:pPr>
        <w:ind w:left="3600" w:hanging="360"/>
      </w:pPr>
      <w:rPr>
        <w:rFonts w:ascii="Courier New" w:hAnsi="Courier New" w:hint="default"/>
      </w:rPr>
    </w:lvl>
    <w:lvl w:ilvl="5" w:tplc="20746C66">
      <w:start w:val="1"/>
      <w:numFmt w:val="bullet"/>
      <w:lvlText w:val=""/>
      <w:lvlJc w:val="left"/>
      <w:pPr>
        <w:ind w:left="4320" w:hanging="360"/>
      </w:pPr>
      <w:rPr>
        <w:rFonts w:ascii="Wingdings" w:hAnsi="Wingdings" w:hint="default"/>
      </w:rPr>
    </w:lvl>
    <w:lvl w:ilvl="6" w:tplc="22FC9942">
      <w:start w:val="1"/>
      <w:numFmt w:val="bullet"/>
      <w:lvlText w:val=""/>
      <w:lvlJc w:val="left"/>
      <w:pPr>
        <w:ind w:left="5040" w:hanging="360"/>
      </w:pPr>
      <w:rPr>
        <w:rFonts w:ascii="Symbol" w:hAnsi="Symbol" w:hint="default"/>
      </w:rPr>
    </w:lvl>
    <w:lvl w:ilvl="7" w:tplc="011A8D98">
      <w:start w:val="1"/>
      <w:numFmt w:val="bullet"/>
      <w:lvlText w:val="o"/>
      <w:lvlJc w:val="left"/>
      <w:pPr>
        <w:ind w:left="5760" w:hanging="360"/>
      </w:pPr>
      <w:rPr>
        <w:rFonts w:ascii="Courier New" w:hAnsi="Courier New" w:hint="default"/>
      </w:rPr>
    </w:lvl>
    <w:lvl w:ilvl="8" w:tplc="8FA887C0">
      <w:start w:val="1"/>
      <w:numFmt w:val="bullet"/>
      <w:lvlText w:val=""/>
      <w:lvlJc w:val="left"/>
      <w:pPr>
        <w:ind w:left="6480" w:hanging="360"/>
      </w:pPr>
      <w:rPr>
        <w:rFonts w:ascii="Wingdings" w:hAnsi="Wingdings" w:hint="default"/>
      </w:rPr>
    </w:lvl>
  </w:abstractNum>
  <w:abstractNum w:abstractNumId="12" w15:restartNumberingAfterBreak="0">
    <w:nsid w:val="3F13081E"/>
    <w:multiLevelType w:val="hybridMultilevel"/>
    <w:tmpl w:val="5426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A4A30"/>
    <w:multiLevelType w:val="hybridMultilevel"/>
    <w:tmpl w:val="9BA6B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114957"/>
    <w:multiLevelType w:val="multilevel"/>
    <w:tmpl w:val="AE8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C114B2"/>
    <w:multiLevelType w:val="hybridMultilevel"/>
    <w:tmpl w:val="538CA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415D03"/>
    <w:multiLevelType w:val="multilevel"/>
    <w:tmpl w:val="22A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F4AABC"/>
    <w:multiLevelType w:val="hybridMultilevel"/>
    <w:tmpl w:val="FFFFFFFF"/>
    <w:lvl w:ilvl="0" w:tplc="15FA9958">
      <w:start w:val="1"/>
      <w:numFmt w:val="bullet"/>
      <w:lvlText w:val="·"/>
      <w:lvlJc w:val="left"/>
      <w:pPr>
        <w:ind w:left="720" w:hanging="360"/>
      </w:pPr>
      <w:rPr>
        <w:rFonts w:ascii="Symbol" w:hAnsi="Symbol" w:hint="default"/>
      </w:rPr>
    </w:lvl>
    <w:lvl w:ilvl="1" w:tplc="61F0A6E4">
      <w:start w:val="1"/>
      <w:numFmt w:val="bullet"/>
      <w:lvlText w:val="o"/>
      <w:lvlJc w:val="left"/>
      <w:pPr>
        <w:ind w:left="1440" w:hanging="360"/>
      </w:pPr>
      <w:rPr>
        <w:rFonts w:ascii="Courier New" w:hAnsi="Courier New" w:hint="default"/>
      </w:rPr>
    </w:lvl>
    <w:lvl w:ilvl="2" w:tplc="F75C28D2">
      <w:start w:val="1"/>
      <w:numFmt w:val="bullet"/>
      <w:lvlText w:val=""/>
      <w:lvlJc w:val="left"/>
      <w:pPr>
        <w:ind w:left="2160" w:hanging="360"/>
      </w:pPr>
      <w:rPr>
        <w:rFonts w:ascii="Wingdings" w:hAnsi="Wingdings" w:hint="default"/>
      </w:rPr>
    </w:lvl>
    <w:lvl w:ilvl="3" w:tplc="874020A4">
      <w:start w:val="1"/>
      <w:numFmt w:val="bullet"/>
      <w:lvlText w:val=""/>
      <w:lvlJc w:val="left"/>
      <w:pPr>
        <w:ind w:left="2880" w:hanging="360"/>
      </w:pPr>
      <w:rPr>
        <w:rFonts w:ascii="Symbol" w:hAnsi="Symbol" w:hint="default"/>
      </w:rPr>
    </w:lvl>
    <w:lvl w:ilvl="4" w:tplc="77E27824">
      <w:start w:val="1"/>
      <w:numFmt w:val="bullet"/>
      <w:lvlText w:val="o"/>
      <w:lvlJc w:val="left"/>
      <w:pPr>
        <w:ind w:left="3600" w:hanging="360"/>
      </w:pPr>
      <w:rPr>
        <w:rFonts w:ascii="Courier New" w:hAnsi="Courier New" w:hint="default"/>
      </w:rPr>
    </w:lvl>
    <w:lvl w:ilvl="5" w:tplc="730AA9AC">
      <w:start w:val="1"/>
      <w:numFmt w:val="bullet"/>
      <w:lvlText w:val=""/>
      <w:lvlJc w:val="left"/>
      <w:pPr>
        <w:ind w:left="4320" w:hanging="360"/>
      </w:pPr>
      <w:rPr>
        <w:rFonts w:ascii="Wingdings" w:hAnsi="Wingdings" w:hint="default"/>
      </w:rPr>
    </w:lvl>
    <w:lvl w:ilvl="6" w:tplc="B360FDC8">
      <w:start w:val="1"/>
      <w:numFmt w:val="bullet"/>
      <w:lvlText w:val=""/>
      <w:lvlJc w:val="left"/>
      <w:pPr>
        <w:ind w:left="5040" w:hanging="360"/>
      </w:pPr>
      <w:rPr>
        <w:rFonts w:ascii="Symbol" w:hAnsi="Symbol" w:hint="default"/>
      </w:rPr>
    </w:lvl>
    <w:lvl w:ilvl="7" w:tplc="8F400EE8">
      <w:start w:val="1"/>
      <w:numFmt w:val="bullet"/>
      <w:lvlText w:val="o"/>
      <w:lvlJc w:val="left"/>
      <w:pPr>
        <w:ind w:left="5760" w:hanging="360"/>
      </w:pPr>
      <w:rPr>
        <w:rFonts w:ascii="Courier New" w:hAnsi="Courier New" w:hint="default"/>
      </w:rPr>
    </w:lvl>
    <w:lvl w:ilvl="8" w:tplc="5CEAED46">
      <w:start w:val="1"/>
      <w:numFmt w:val="bullet"/>
      <w:lvlText w:val=""/>
      <w:lvlJc w:val="left"/>
      <w:pPr>
        <w:ind w:left="6480" w:hanging="360"/>
      </w:pPr>
      <w:rPr>
        <w:rFonts w:ascii="Wingdings" w:hAnsi="Wingdings" w:hint="default"/>
      </w:rPr>
    </w:lvl>
  </w:abstractNum>
  <w:abstractNum w:abstractNumId="18" w15:restartNumberingAfterBreak="0">
    <w:nsid w:val="5B1E62EF"/>
    <w:multiLevelType w:val="hybridMultilevel"/>
    <w:tmpl w:val="7A347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E22F7C"/>
    <w:multiLevelType w:val="multilevel"/>
    <w:tmpl w:val="A66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FB5C9F"/>
    <w:multiLevelType w:val="hybridMultilevel"/>
    <w:tmpl w:val="F80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E21C9"/>
    <w:multiLevelType w:val="hybridMultilevel"/>
    <w:tmpl w:val="FFFFFFFF"/>
    <w:lvl w:ilvl="0" w:tplc="CCEE5B3E">
      <w:start w:val="1"/>
      <w:numFmt w:val="bullet"/>
      <w:lvlText w:val="·"/>
      <w:lvlJc w:val="left"/>
      <w:pPr>
        <w:ind w:left="720" w:hanging="360"/>
      </w:pPr>
      <w:rPr>
        <w:rFonts w:ascii="Symbol" w:hAnsi="Symbol" w:hint="default"/>
      </w:rPr>
    </w:lvl>
    <w:lvl w:ilvl="1" w:tplc="C23C0EB8">
      <w:start w:val="1"/>
      <w:numFmt w:val="bullet"/>
      <w:lvlText w:val="o"/>
      <w:lvlJc w:val="left"/>
      <w:pPr>
        <w:ind w:left="1440" w:hanging="360"/>
      </w:pPr>
      <w:rPr>
        <w:rFonts w:ascii="Courier New" w:hAnsi="Courier New" w:hint="default"/>
      </w:rPr>
    </w:lvl>
    <w:lvl w:ilvl="2" w:tplc="13A89A12">
      <w:start w:val="1"/>
      <w:numFmt w:val="bullet"/>
      <w:lvlText w:val=""/>
      <w:lvlJc w:val="left"/>
      <w:pPr>
        <w:ind w:left="2160" w:hanging="360"/>
      </w:pPr>
      <w:rPr>
        <w:rFonts w:ascii="Wingdings" w:hAnsi="Wingdings" w:hint="default"/>
      </w:rPr>
    </w:lvl>
    <w:lvl w:ilvl="3" w:tplc="4F90DB46">
      <w:start w:val="1"/>
      <w:numFmt w:val="bullet"/>
      <w:lvlText w:val=""/>
      <w:lvlJc w:val="left"/>
      <w:pPr>
        <w:ind w:left="2880" w:hanging="360"/>
      </w:pPr>
      <w:rPr>
        <w:rFonts w:ascii="Symbol" w:hAnsi="Symbol" w:hint="default"/>
      </w:rPr>
    </w:lvl>
    <w:lvl w:ilvl="4" w:tplc="8FAAFAB0">
      <w:start w:val="1"/>
      <w:numFmt w:val="bullet"/>
      <w:lvlText w:val="o"/>
      <w:lvlJc w:val="left"/>
      <w:pPr>
        <w:ind w:left="3600" w:hanging="360"/>
      </w:pPr>
      <w:rPr>
        <w:rFonts w:ascii="Courier New" w:hAnsi="Courier New" w:hint="default"/>
      </w:rPr>
    </w:lvl>
    <w:lvl w:ilvl="5" w:tplc="D2549002">
      <w:start w:val="1"/>
      <w:numFmt w:val="bullet"/>
      <w:lvlText w:val=""/>
      <w:lvlJc w:val="left"/>
      <w:pPr>
        <w:ind w:left="4320" w:hanging="360"/>
      </w:pPr>
      <w:rPr>
        <w:rFonts w:ascii="Wingdings" w:hAnsi="Wingdings" w:hint="default"/>
      </w:rPr>
    </w:lvl>
    <w:lvl w:ilvl="6" w:tplc="39BC2D16">
      <w:start w:val="1"/>
      <w:numFmt w:val="bullet"/>
      <w:lvlText w:val=""/>
      <w:lvlJc w:val="left"/>
      <w:pPr>
        <w:ind w:left="5040" w:hanging="360"/>
      </w:pPr>
      <w:rPr>
        <w:rFonts w:ascii="Symbol" w:hAnsi="Symbol" w:hint="default"/>
      </w:rPr>
    </w:lvl>
    <w:lvl w:ilvl="7" w:tplc="FCD0733E">
      <w:start w:val="1"/>
      <w:numFmt w:val="bullet"/>
      <w:lvlText w:val="o"/>
      <w:lvlJc w:val="left"/>
      <w:pPr>
        <w:ind w:left="5760" w:hanging="360"/>
      </w:pPr>
      <w:rPr>
        <w:rFonts w:ascii="Courier New" w:hAnsi="Courier New" w:hint="default"/>
      </w:rPr>
    </w:lvl>
    <w:lvl w:ilvl="8" w:tplc="9B069E9C">
      <w:start w:val="1"/>
      <w:numFmt w:val="bullet"/>
      <w:lvlText w:val=""/>
      <w:lvlJc w:val="left"/>
      <w:pPr>
        <w:ind w:left="6480" w:hanging="360"/>
      </w:pPr>
      <w:rPr>
        <w:rFonts w:ascii="Wingdings" w:hAnsi="Wingdings" w:hint="default"/>
      </w:rPr>
    </w:lvl>
  </w:abstractNum>
  <w:abstractNum w:abstractNumId="22" w15:restartNumberingAfterBreak="0">
    <w:nsid w:val="69F65C08"/>
    <w:multiLevelType w:val="hybridMultilevel"/>
    <w:tmpl w:val="C25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A3039"/>
    <w:multiLevelType w:val="hybridMultilevel"/>
    <w:tmpl w:val="6F3257F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4" w15:restartNumberingAfterBreak="0">
    <w:nsid w:val="6E270690"/>
    <w:multiLevelType w:val="hybridMultilevel"/>
    <w:tmpl w:val="C78E2334"/>
    <w:lvl w:ilvl="0" w:tplc="FE6E6332">
      <w:start w:val="1"/>
      <w:numFmt w:val="bullet"/>
      <w:lvlText w:val="-"/>
      <w:lvlJc w:val="left"/>
      <w:pPr>
        <w:ind w:left="720" w:hanging="360"/>
      </w:pPr>
      <w:rPr>
        <w:rFonts w:ascii="Calibri, sans-serif" w:hAnsi="Calibri, sans-serif" w:hint="default"/>
      </w:rPr>
    </w:lvl>
    <w:lvl w:ilvl="1" w:tplc="F848A2DC">
      <w:start w:val="1"/>
      <w:numFmt w:val="bullet"/>
      <w:lvlText w:val="o"/>
      <w:lvlJc w:val="left"/>
      <w:pPr>
        <w:ind w:left="1440" w:hanging="360"/>
      </w:pPr>
      <w:rPr>
        <w:rFonts w:ascii="Courier New" w:hAnsi="Courier New" w:hint="default"/>
      </w:rPr>
    </w:lvl>
    <w:lvl w:ilvl="2" w:tplc="854E60A6">
      <w:start w:val="1"/>
      <w:numFmt w:val="bullet"/>
      <w:lvlText w:val=""/>
      <w:lvlJc w:val="left"/>
      <w:pPr>
        <w:ind w:left="2160" w:hanging="360"/>
      </w:pPr>
      <w:rPr>
        <w:rFonts w:ascii="Wingdings" w:hAnsi="Wingdings" w:hint="default"/>
      </w:rPr>
    </w:lvl>
    <w:lvl w:ilvl="3" w:tplc="4CB2D8A0">
      <w:start w:val="1"/>
      <w:numFmt w:val="bullet"/>
      <w:lvlText w:val=""/>
      <w:lvlJc w:val="left"/>
      <w:pPr>
        <w:ind w:left="2880" w:hanging="360"/>
      </w:pPr>
      <w:rPr>
        <w:rFonts w:ascii="Symbol" w:hAnsi="Symbol" w:hint="default"/>
      </w:rPr>
    </w:lvl>
    <w:lvl w:ilvl="4" w:tplc="060EC848">
      <w:start w:val="1"/>
      <w:numFmt w:val="bullet"/>
      <w:lvlText w:val="o"/>
      <w:lvlJc w:val="left"/>
      <w:pPr>
        <w:ind w:left="3600" w:hanging="360"/>
      </w:pPr>
      <w:rPr>
        <w:rFonts w:ascii="Courier New" w:hAnsi="Courier New" w:hint="default"/>
      </w:rPr>
    </w:lvl>
    <w:lvl w:ilvl="5" w:tplc="2C368D08">
      <w:start w:val="1"/>
      <w:numFmt w:val="bullet"/>
      <w:lvlText w:val=""/>
      <w:lvlJc w:val="left"/>
      <w:pPr>
        <w:ind w:left="4320" w:hanging="360"/>
      </w:pPr>
      <w:rPr>
        <w:rFonts w:ascii="Wingdings" w:hAnsi="Wingdings" w:hint="default"/>
      </w:rPr>
    </w:lvl>
    <w:lvl w:ilvl="6" w:tplc="021AE116">
      <w:start w:val="1"/>
      <w:numFmt w:val="bullet"/>
      <w:lvlText w:val=""/>
      <w:lvlJc w:val="left"/>
      <w:pPr>
        <w:ind w:left="5040" w:hanging="360"/>
      </w:pPr>
      <w:rPr>
        <w:rFonts w:ascii="Symbol" w:hAnsi="Symbol" w:hint="default"/>
      </w:rPr>
    </w:lvl>
    <w:lvl w:ilvl="7" w:tplc="BAAA9B12">
      <w:start w:val="1"/>
      <w:numFmt w:val="bullet"/>
      <w:lvlText w:val="o"/>
      <w:lvlJc w:val="left"/>
      <w:pPr>
        <w:ind w:left="5760" w:hanging="360"/>
      </w:pPr>
      <w:rPr>
        <w:rFonts w:ascii="Courier New" w:hAnsi="Courier New" w:hint="default"/>
      </w:rPr>
    </w:lvl>
    <w:lvl w:ilvl="8" w:tplc="9DEE436A">
      <w:start w:val="1"/>
      <w:numFmt w:val="bullet"/>
      <w:lvlText w:val=""/>
      <w:lvlJc w:val="left"/>
      <w:pPr>
        <w:ind w:left="6480" w:hanging="360"/>
      </w:pPr>
      <w:rPr>
        <w:rFonts w:ascii="Wingdings" w:hAnsi="Wingdings" w:hint="default"/>
      </w:rPr>
    </w:lvl>
  </w:abstractNum>
  <w:abstractNum w:abstractNumId="25" w15:restartNumberingAfterBreak="0">
    <w:nsid w:val="71EC4BB3"/>
    <w:multiLevelType w:val="hybridMultilevel"/>
    <w:tmpl w:val="D3C8176E"/>
    <w:lvl w:ilvl="0" w:tplc="19AEA076">
      <w:start w:val="1"/>
      <w:numFmt w:val="bullet"/>
      <w:lvlText w:val="-"/>
      <w:lvlJc w:val="left"/>
      <w:pPr>
        <w:ind w:left="720" w:hanging="360"/>
      </w:pPr>
      <w:rPr>
        <w:rFonts w:ascii="Calibri, sans-serif" w:hAnsi="Calibri, sans-serif" w:hint="default"/>
      </w:rPr>
    </w:lvl>
    <w:lvl w:ilvl="1" w:tplc="795E8D5A">
      <w:start w:val="1"/>
      <w:numFmt w:val="bullet"/>
      <w:lvlText w:val="o"/>
      <w:lvlJc w:val="left"/>
      <w:pPr>
        <w:ind w:left="1440" w:hanging="360"/>
      </w:pPr>
      <w:rPr>
        <w:rFonts w:ascii="Courier New" w:hAnsi="Courier New" w:hint="default"/>
      </w:rPr>
    </w:lvl>
    <w:lvl w:ilvl="2" w:tplc="3280CFF4">
      <w:start w:val="1"/>
      <w:numFmt w:val="bullet"/>
      <w:lvlText w:val=""/>
      <w:lvlJc w:val="left"/>
      <w:pPr>
        <w:ind w:left="2160" w:hanging="360"/>
      </w:pPr>
      <w:rPr>
        <w:rFonts w:ascii="Wingdings" w:hAnsi="Wingdings" w:hint="default"/>
      </w:rPr>
    </w:lvl>
    <w:lvl w:ilvl="3" w:tplc="5A68C9A2">
      <w:start w:val="1"/>
      <w:numFmt w:val="bullet"/>
      <w:lvlText w:val=""/>
      <w:lvlJc w:val="left"/>
      <w:pPr>
        <w:ind w:left="2880" w:hanging="360"/>
      </w:pPr>
      <w:rPr>
        <w:rFonts w:ascii="Symbol" w:hAnsi="Symbol" w:hint="default"/>
      </w:rPr>
    </w:lvl>
    <w:lvl w:ilvl="4" w:tplc="E5324F1C">
      <w:start w:val="1"/>
      <w:numFmt w:val="bullet"/>
      <w:lvlText w:val="o"/>
      <w:lvlJc w:val="left"/>
      <w:pPr>
        <w:ind w:left="3600" w:hanging="360"/>
      </w:pPr>
      <w:rPr>
        <w:rFonts w:ascii="Courier New" w:hAnsi="Courier New" w:hint="default"/>
      </w:rPr>
    </w:lvl>
    <w:lvl w:ilvl="5" w:tplc="57C0BAC2">
      <w:start w:val="1"/>
      <w:numFmt w:val="bullet"/>
      <w:lvlText w:val=""/>
      <w:lvlJc w:val="left"/>
      <w:pPr>
        <w:ind w:left="4320" w:hanging="360"/>
      </w:pPr>
      <w:rPr>
        <w:rFonts w:ascii="Wingdings" w:hAnsi="Wingdings" w:hint="default"/>
      </w:rPr>
    </w:lvl>
    <w:lvl w:ilvl="6" w:tplc="44166B04">
      <w:start w:val="1"/>
      <w:numFmt w:val="bullet"/>
      <w:lvlText w:val=""/>
      <w:lvlJc w:val="left"/>
      <w:pPr>
        <w:ind w:left="5040" w:hanging="360"/>
      </w:pPr>
      <w:rPr>
        <w:rFonts w:ascii="Symbol" w:hAnsi="Symbol" w:hint="default"/>
      </w:rPr>
    </w:lvl>
    <w:lvl w:ilvl="7" w:tplc="035E9800">
      <w:start w:val="1"/>
      <w:numFmt w:val="bullet"/>
      <w:lvlText w:val="o"/>
      <w:lvlJc w:val="left"/>
      <w:pPr>
        <w:ind w:left="5760" w:hanging="360"/>
      </w:pPr>
      <w:rPr>
        <w:rFonts w:ascii="Courier New" w:hAnsi="Courier New" w:hint="default"/>
      </w:rPr>
    </w:lvl>
    <w:lvl w:ilvl="8" w:tplc="BC6C28AC">
      <w:start w:val="1"/>
      <w:numFmt w:val="bullet"/>
      <w:lvlText w:val=""/>
      <w:lvlJc w:val="left"/>
      <w:pPr>
        <w:ind w:left="6480" w:hanging="360"/>
      </w:pPr>
      <w:rPr>
        <w:rFonts w:ascii="Wingdings" w:hAnsi="Wingdings" w:hint="default"/>
      </w:rPr>
    </w:lvl>
  </w:abstractNum>
  <w:abstractNum w:abstractNumId="26" w15:restartNumberingAfterBreak="0">
    <w:nsid w:val="73177AED"/>
    <w:multiLevelType w:val="hybridMultilevel"/>
    <w:tmpl w:val="3B82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0B4FF0"/>
    <w:multiLevelType w:val="hybridMultilevel"/>
    <w:tmpl w:val="FFFFFFFF"/>
    <w:lvl w:ilvl="0" w:tplc="EB40846A">
      <w:start w:val="1"/>
      <w:numFmt w:val="bullet"/>
      <w:lvlText w:val="·"/>
      <w:lvlJc w:val="left"/>
      <w:pPr>
        <w:ind w:left="720" w:hanging="360"/>
      </w:pPr>
      <w:rPr>
        <w:rFonts w:ascii="Symbol" w:hAnsi="Symbol" w:hint="default"/>
      </w:rPr>
    </w:lvl>
    <w:lvl w:ilvl="1" w:tplc="4D68EA2E">
      <w:start w:val="1"/>
      <w:numFmt w:val="bullet"/>
      <w:lvlText w:val="o"/>
      <w:lvlJc w:val="left"/>
      <w:pPr>
        <w:ind w:left="1440" w:hanging="360"/>
      </w:pPr>
      <w:rPr>
        <w:rFonts w:ascii="Courier New" w:hAnsi="Courier New" w:hint="default"/>
      </w:rPr>
    </w:lvl>
    <w:lvl w:ilvl="2" w:tplc="98FC6E78">
      <w:start w:val="1"/>
      <w:numFmt w:val="bullet"/>
      <w:lvlText w:val=""/>
      <w:lvlJc w:val="left"/>
      <w:pPr>
        <w:ind w:left="2160" w:hanging="360"/>
      </w:pPr>
      <w:rPr>
        <w:rFonts w:ascii="Wingdings" w:hAnsi="Wingdings" w:hint="default"/>
      </w:rPr>
    </w:lvl>
    <w:lvl w:ilvl="3" w:tplc="8988AC2A">
      <w:start w:val="1"/>
      <w:numFmt w:val="bullet"/>
      <w:lvlText w:val=""/>
      <w:lvlJc w:val="left"/>
      <w:pPr>
        <w:ind w:left="2880" w:hanging="360"/>
      </w:pPr>
      <w:rPr>
        <w:rFonts w:ascii="Symbol" w:hAnsi="Symbol" w:hint="default"/>
      </w:rPr>
    </w:lvl>
    <w:lvl w:ilvl="4" w:tplc="619655EC">
      <w:start w:val="1"/>
      <w:numFmt w:val="bullet"/>
      <w:lvlText w:val="o"/>
      <w:lvlJc w:val="left"/>
      <w:pPr>
        <w:ind w:left="3600" w:hanging="360"/>
      </w:pPr>
      <w:rPr>
        <w:rFonts w:ascii="Courier New" w:hAnsi="Courier New" w:hint="default"/>
      </w:rPr>
    </w:lvl>
    <w:lvl w:ilvl="5" w:tplc="8F74DD86">
      <w:start w:val="1"/>
      <w:numFmt w:val="bullet"/>
      <w:lvlText w:val=""/>
      <w:lvlJc w:val="left"/>
      <w:pPr>
        <w:ind w:left="4320" w:hanging="360"/>
      </w:pPr>
      <w:rPr>
        <w:rFonts w:ascii="Wingdings" w:hAnsi="Wingdings" w:hint="default"/>
      </w:rPr>
    </w:lvl>
    <w:lvl w:ilvl="6" w:tplc="DA6AC4AC">
      <w:start w:val="1"/>
      <w:numFmt w:val="bullet"/>
      <w:lvlText w:val=""/>
      <w:lvlJc w:val="left"/>
      <w:pPr>
        <w:ind w:left="5040" w:hanging="360"/>
      </w:pPr>
      <w:rPr>
        <w:rFonts w:ascii="Symbol" w:hAnsi="Symbol" w:hint="default"/>
      </w:rPr>
    </w:lvl>
    <w:lvl w:ilvl="7" w:tplc="A50EB680">
      <w:start w:val="1"/>
      <w:numFmt w:val="bullet"/>
      <w:lvlText w:val="o"/>
      <w:lvlJc w:val="left"/>
      <w:pPr>
        <w:ind w:left="5760" w:hanging="360"/>
      </w:pPr>
      <w:rPr>
        <w:rFonts w:ascii="Courier New" w:hAnsi="Courier New" w:hint="default"/>
      </w:rPr>
    </w:lvl>
    <w:lvl w:ilvl="8" w:tplc="C0FAD55E">
      <w:start w:val="1"/>
      <w:numFmt w:val="bullet"/>
      <w:lvlText w:val=""/>
      <w:lvlJc w:val="left"/>
      <w:pPr>
        <w:ind w:left="6480" w:hanging="360"/>
      </w:pPr>
      <w:rPr>
        <w:rFonts w:ascii="Wingdings" w:hAnsi="Wingdings" w:hint="default"/>
      </w:rPr>
    </w:lvl>
  </w:abstractNum>
  <w:abstractNum w:abstractNumId="28" w15:restartNumberingAfterBreak="0">
    <w:nsid w:val="77A83EEE"/>
    <w:multiLevelType w:val="hybridMultilevel"/>
    <w:tmpl w:val="E5FCB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8829F9"/>
    <w:multiLevelType w:val="hybridMultilevel"/>
    <w:tmpl w:val="78885A54"/>
    <w:lvl w:ilvl="0" w:tplc="9A760DB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02876E"/>
    <w:multiLevelType w:val="hybridMultilevel"/>
    <w:tmpl w:val="1646BD68"/>
    <w:lvl w:ilvl="0" w:tplc="F5AA29E8">
      <w:start w:val="1"/>
      <w:numFmt w:val="bullet"/>
      <w:lvlText w:val="-"/>
      <w:lvlJc w:val="left"/>
      <w:pPr>
        <w:ind w:left="720" w:hanging="360"/>
      </w:pPr>
      <w:rPr>
        <w:rFonts w:ascii="Calibri, sans-serif" w:hAnsi="Calibri, sans-serif" w:hint="default"/>
      </w:rPr>
    </w:lvl>
    <w:lvl w:ilvl="1" w:tplc="3278728C">
      <w:start w:val="1"/>
      <w:numFmt w:val="bullet"/>
      <w:lvlText w:val="o"/>
      <w:lvlJc w:val="left"/>
      <w:pPr>
        <w:ind w:left="1440" w:hanging="360"/>
      </w:pPr>
      <w:rPr>
        <w:rFonts w:ascii="Courier New" w:hAnsi="Courier New" w:hint="default"/>
      </w:rPr>
    </w:lvl>
    <w:lvl w:ilvl="2" w:tplc="F24C08F4">
      <w:start w:val="1"/>
      <w:numFmt w:val="bullet"/>
      <w:lvlText w:val=""/>
      <w:lvlJc w:val="left"/>
      <w:pPr>
        <w:ind w:left="2160" w:hanging="360"/>
      </w:pPr>
      <w:rPr>
        <w:rFonts w:ascii="Wingdings" w:hAnsi="Wingdings" w:hint="default"/>
      </w:rPr>
    </w:lvl>
    <w:lvl w:ilvl="3" w:tplc="D252307C">
      <w:start w:val="1"/>
      <w:numFmt w:val="bullet"/>
      <w:lvlText w:val=""/>
      <w:lvlJc w:val="left"/>
      <w:pPr>
        <w:ind w:left="2880" w:hanging="360"/>
      </w:pPr>
      <w:rPr>
        <w:rFonts w:ascii="Symbol" w:hAnsi="Symbol" w:hint="default"/>
      </w:rPr>
    </w:lvl>
    <w:lvl w:ilvl="4" w:tplc="6AE2DABE">
      <w:start w:val="1"/>
      <w:numFmt w:val="bullet"/>
      <w:lvlText w:val="o"/>
      <w:lvlJc w:val="left"/>
      <w:pPr>
        <w:ind w:left="3600" w:hanging="360"/>
      </w:pPr>
      <w:rPr>
        <w:rFonts w:ascii="Courier New" w:hAnsi="Courier New" w:hint="default"/>
      </w:rPr>
    </w:lvl>
    <w:lvl w:ilvl="5" w:tplc="5366E07A">
      <w:start w:val="1"/>
      <w:numFmt w:val="bullet"/>
      <w:lvlText w:val=""/>
      <w:lvlJc w:val="left"/>
      <w:pPr>
        <w:ind w:left="4320" w:hanging="360"/>
      </w:pPr>
      <w:rPr>
        <w:rFonts w:ascii="Wingdings" w:hAnsi="Wingdings" w:hint="default"/>
      </w:rPr>
    </w:lvl>
    <w:lvl w:ilvl="6" w:tplc="3800B7BA">
      <w:start w:val="1"/>
      <w:numFmt w:val="bullet"/>
      <w:lvlText w:val=""/>
      <w:lvlJc w:val="left"/>
      <w:pPr>
        <w:ind w:left="5040" w:hanging="360"/>
      </w:pPr>
      <w:rPr>
        <w:rFonts w:ascii="Symbol" w:hAnsi="Symbol" w:hint="default"/>
      </w:rPr>
    </w:lvl>
    <w:lvl w:ilvl="7" w:tplc="06CAEAE4">
      <w:start w:val="1"/>
      <w:numFmt w:val="bullet"/>
      <w:lvlText w:val="o"/>
      <w:lvlJc w:val="left"/>
      <w:pPr>
        <w:ind w:left="5760" w:hanging="360"/>
      </w:pPr>
      <w:rPr>
        <w:rFonts w:ascii="Courier New" w:hAnsi="Courier New" w:hint="default"/>
      </w:rPr>
    </w:lvl>
    <w:lvl w:ilvl="8" w:tplc="D1A643CC">
      <w:start w:val="1"/>
      <w:numFmt w:val="bullet"/>
      <w:lvlText w:val=""/>
      <w:lvlJc w:val="left"/>
      <w:pPr>
        <w:ind w:left="6480" w:hanging="360"/>
      </w:pPr>
      <w:rPr>
        <w:rFonts w:ascii="Wingdings" w:hAnsi="Wingdings" w:hint="default"/>
      </w:rPr>
    </w:lvl>
  </w:abstractNum>
  <w:abstractNum w:abstractNumId="31" w15:restartNumberingAfterBreak="0">
    <w:nsid w:val="7BDE35D5"/>
    <w:multiLevelType w:val="hybridMultilevel"/>
    <w:tmpl w:val="A69E7F94"/>
    <w:lvl w:ilvl="0" w:tplc="6F00D5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F42F515"/>
    <w:multiLevelType w:val="hybridMultilevel"/>
    <w:tmpl w:val="28BC30AC"/>
    <w:lvl w:ilvl="0" w:tplc="9BE2C0DE">
      <w:start w:val="1"/>
      <w:numFmt w:val="bullet"/>
      <w:lvlText w:val=""/>
      <w:lvlJc w:val="left"/>
      <w:pPr>
        <w:ind w:left="720" w:hanging="360"/>
      </w:pPr>
      <w:rPr>
        <w:rFonts w:ascii="Symbol" w:hAnsi="Symbol" w:hint="default"/>
      </w:rPr>
    </w:lvl>
    <w:lvl w:ilvl="1" w:tplc="84064A54">
      <w:start w:val="1"/>
      <w:numFmt w:val="bullet"/>
      <w:lvlText w:val="o"/>
      <w:lvlJc w:val="left"/>
      <w:pPr>
        <w:ind w:left="1440" w:hanging="360"/>
      </w:pPr>
      <w:rPr>
        <w:rFonts w:ascii="Courier New" w:hAnsi="Courier New" w:hint="default"/>
      </w:rPr>
    </w:lvl>
    <w:lvl w:ilvl="2" w:tplc="DA7E951A">
      <w:start w:val="1"/>
      <w:numFmt w:val="bullet"/>
      <w:lvlText w:val=""/>
      <w:lvlJc w:val="left"/>
      <w:pPr>
        <w:ind w:left="2160" w:hanging="360"/>
      </w:pPr>
      <w:rPr>
        <w:rFonts w:ascii="Wingdings" w:hAnsi="Wingdings" w:hint="default"/>
      </w:rPr>
    </w:lvl>
    <w:lvl w:ilvl="3" w:tplc="7E34029E">
      <w:start w:val="1"/>
      <w:numFmt w:val="bullet"/>
      <w:lvlText w:val=""/>
      <w:lvlJc w:val="left"/>
      <w:pPr>
        <w:ind w:left="2880" w:hanging="360"/>
      </w:pPr>
      <w:rPr>
        <w:rFonts w:ascii="Symbol" w:hAnsi="Symbol" w:hint="default"/>
      </w:rPr>
    </w:lvl>
    <w:lvl w:ilvl="4" w:tplc="D7902956">
      <w:start w:val="1"/>
      <w:numFmt w:val="bullet"/>
      <w:lvlText w:val="o"/>
      <w:lvlJc w:val="left"/>
      <w:pPr>
        <w:ind w:left="3600" w:hanging="360"/>
      </w:pPr>
      <w:rPr>
        <w:rFonts w:ascii="Courier New" w:hAnsi="Courier New" w:hint="default"/>
      </w:rPr>
    </w:lvl>
    <w:lvl w:ilvl="5" w:tplc="4A1CAC1A">
      <w:start w:val="1"/>
      <w:numFmt w:val="bullet"/>
      <w:lvlText w:val=""/>
      <w:lvlJc w:val="left"/>
      <w:pPr>
        <w:ind w:left="4320" w:hanging="360"/>
      </w:pPr>
      <w:rPr>
        <w:rFonts w:ascii="Wingdings" w:hAnsi="Wingdings" w:hint="default"/>
      </w:rPr>
    </w:lvl>
    <w:lvl w:ilvl="6" w:tplc="CDFA7A4E">
      <w:start w:val="1"/>
      <w:numFmt w:val="bullet"/>
      <w:lvlText w:val=""/>
      <w:lvlJc w:val="left"/>
      <w:pPr>
        <w:ind w:left="5040" w:hanging="360"/>
      </w:pPr>
      <w:rPr>
        <w:rFonts w:ascii="Symbol" w:hAnsi="Symbol" w:hint="default"/>
      </w:rPr>
    </w:lvl>
    <w:lvl w:ilvl="7" w:tplc="A8123D72">
      <w:start w:val="1"/>
      <w:numFmt w:val="bullet"/>
      <w:lvlText w:val="o"/>
      <w:lvlJc w:val="left"/>
      <w:pPr>
        <w:ind w:left="5760" w:hanging="360"/>
      </w:pPr>
      <w:rPr>
        <w:rFonts w:ascii="Courier New" w:hAnsi="Courier New" w:hint="default"/>
      </w:rPr>
    </w:lvl>
    <w:lvl w:ilvl="8" w:tplc="A574F2DE">
      <w:start w:val="1"/>
      <w:numFmt w:val="bullet"/>
      <w:lvlText w:val=""/>
      <w:lvlJc w:val="left"/>
      <w:pPr>
        <w:ind w:left="6480" w:hanging="360"/>
      </w:pPr>
      <w:rPr>
        <w:rFonts w:ascii="Wingdings" w:hAnsi="Wingdings" w:hint="default"/>
      </w:rPr>
    </w:lvl>
  </w:abstractNum>
  <w:abstractNum w:abstractNumId="33" w15:restartNumberingAfterBreak="0">
    <w:nsid w:val="7FC908BF"/>
    <w:multiLevelType w:val="multilevel"/>
    <w:tmpl w:val="7C9CEFE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37320082">
    <w:abstractNumId w:val="6"/>
  </w:num>
  <w:num w:numId="2" w16cid:durableId="455953877">
    <w:abstractNumId w:val="24"/>
  </w:num>
  <w:num w:numId="3" w16cid:durableId="1182479080">
    <w:abstractNumId w:val="25"/>
  </w:num>
  <w:num w:numId="4" w16cid:durableId="1434857857">
    <w:abstractNumId w:val="3"/>
  </w:num>
  <w:num w:numId="5" w16cid:durableId="1664817129">
    <w:abstractNumId w:val="30"/>
  </w:num>
  <w:num w:numId="6" w16cid:durableId="906040374">
    <w:abstractNumId w:val="17"/>
  </w:num>
  <w:num w:numId="7" w16cid:durableId="2115469250">
    <w:abstractNumId w:val="21"/>
  </w:num>
  <w:num w:numId="8" w16cid:durableId="1903177000">
    <w:abstractNumId w:val="27"/>
  </w:num>
  <w:num w:numId="9" w16cid:durableId="1322271786">
    <w:abstractNumId w:val="0"/>
  </w:num>
  <w:num w:numId="10" w16cid:durableId="1390573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8687172">
    <w:abstractNumId w:val="5"/>
  </w:num>
  <w:num w:numId="12" w16cid:durableId="1674146018">
    <w:abstractNumId w:val="31"/>
  </w:num>
  <w:num w:numId="13" w16cid:durableId="1825393827">
    <w:abstractNumId w:val="4"/>
  </w:num>
  <w:num w:numId="14" w16cid:durableId="907571803">
    <w:abstractNumId w:val="7"/>
  </w:num>
  <w:num w:numId="15" w16cid:durableId="2005818516">
    <w:abstractNumId w:val="10"/>
  </w:num>
  <w:num w:numId="16" w16cid:durableId="806123939">
    <w:abstractNumId w:val="29"/>
  </w:num>
  <w:num w:numId="17" w16cid:durableId="316031977">
    <w:abstractNumId w:val="22"/>
  </w:num>
  <w:num w:numId="18" w16cid:durableId="967123894">
    <w:abstractNumId w:val="33"/>
  </w:num>
  <w:num w:numId="19" w16cid:durableId="1278372546">
    <w:abstractNumId w:val="16"/>
  </w:num>
  <w:num w:numId="20" w16cid:durableId="338197853">
    <w:abstractNumId w:val="9"/>
  </w:num>
  <w:num w:numId="21" w16cid:durableId="1331641835">
    <w:abstractNumId w:val="19"/>
  </w:num>
  <w:num w:numId="22" w16cid:durableId="627660179">
    <w:abstractNumId w:val="14"/>
  </w:num>
  <w:num w:numId="23" w16cid:durableId="581988046">
    <w:abstractNumId w:val="32"/>
  </w:num>
  <w:num w:numId="24" w16cid:durableId="1140462178">
    <w:abstractNumId w:val="11"/>
  </w:num>
  <w:num w:numId="25" w16cid:durableId="2020884731">
    <w:abstractNumId w:val="2"/>
  </w:num>
  <w:num w:numId="26" w16cid:durableId="39862483">
    <w:abstractNumId w:val="20"/>
  </w:num>
  <w:num w:numId="27" w16cid:durableId="1171019434">
    <w:abstractNumId w:val="26"/>
  </w:num>
  <w:num w:numId="28" w16cid:durableId="1139107952">
    <w:abstractNumId w:val="13"/>
  </w:num>
  <w:num w:numId="29" w16cid:durableId="1265268629">
    <w:abstractNumId w:val="23"/>
  </w:num>
  <w:num w:numId="30" w16cid:durableId="423766602">
    <w:abstractNumId w:val="28"/>
  </w:num>
  <w:num w:numId="31" w16cid:durableId="46993939">
    <w:abstractNumId w:val="18"/>
  </w:num>
  <w:num w:numId="32" w16cid:durableId="1759328663">
    <w:abstractNumId w:val="15"/>
  </w:num>
  <w:num w:numId="33" w16cid:durableId="2091463892">
    <w:abstractNumId w:val="1"/>
  </w:num>
  <w:num w:numId="34" w16cid:durableId="413208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862126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MDY0NDW0NDezNDJT0lEKTi0uzszPAykwNKgFAInSxA8tAAAA"/>
  </w:docVars>
  <w:rsids>
    <w:rsidRoot w:val="00A54171"/>
    <w:rsid w:val="00016786"/>
    <w:rsid w:val="000210D4"/>
    <w:rsid w:val="00021B47"/>
    <w:rsid w:val="00030A5C"/>
    <w:rsid w:val="0003373E"/>
    <w:rsid w:val="000375FA"/>
    <w:rsid w:val="00037A60"/>
    <w:rsid w:val="00040811"/>
    <w:rsid w:val="00045423"/>
    <w:rsid w:val="00045AD8"/>
    <w:rsid w:val="00047347"/>
    <w:rsid w:val="00050622"/>
    <w:rsid w:val="00050DC7"/>
    <w:rsid w:val="00051C1A"/>
    <w:rsid w:val="000571DC"/>
    <w:rsid w:val="00063016"/>
    <w:rsid w:val="00066795"/>
    <w:rsid w:val="000670FE"/>
    <w:rsid w:val="00067CD2"/>
    <w:rsid w:val="00073065"/>
    <w:rsid w:val="00075801"/>
    <w:rsid w:val="000769CC"/>
    <w:rsid w:val="00076AF6"/>
    <w:rsid w:val="0008274F"/>
    <w:rsid w:val="00084C08"/>
    <w:rsid w:val="00085CF2"/>
    <w:rsid w:val="0009048C"/>
    <w:rsid w:val="00095214"/>
    <w:rsid w:val="000967A4"/>
    <w:rsid w:val="000A4F82"/>
    <w:rsid w:val="000B1705"/>
    <w:rsid w:val="000B246B"/>
    <w:rsid w:val="000B2C4F"/>
    <w:rsid w:val="000B47E3"/>
    <w:rsid w:val="000B66E3"/>
    <w:rsid w:val="000C08E5"/>
    <w:rsid w:val="000C18FA"/>
    <w:rsid w:val="000C362E"/>
    <w:rsid w:val="000C3A9B"/>
    <w:rsid w:val="000C41F9"/>
    <w:rsid w:val="000C4FFF"/>
    <w:rsid w:val="000D09B3"/>
    <w:rsid w:val="000D5D39"/>
    <w:rsid w:val="000D75B2"/>
    <w:rsid w:val="000E0D4E"/>
    <w:rsid w:val="000E10E3"/>
    <w:rsid w:val="000E27D1"/>
    <w:rsid w:val="000E5137"/>
    <w:rsid w:val="000E5713"/>
    <w:rsid w:val="000F05C9"/>
    <w:rsid w:val="000F25F9"/>
    <w:rsid w:val="000F2E77"/>
    <w:rsid w:val="00103453"/>
    <w:rsid w:val="00105AD6"/>
    <w:rsid w:val="00106133"/>
    <w:rsid w:val="001121F5"/>
    <w:rsid w:val="0011293F"/>
    <w:rsid w:val="0011467A"/>
    <w:rsid w:val="00116BBB"/>
    <w:rsid w:val="00117411"/>
    <w:rsid w:val="00123884"/>
    <w:rsid w:val="00124CD3"/>
    <w:rsid w:val="001400DC"/>
    <w:rsid w:val="001401CC"/>
    <w:rsid w:val="00140CE1"/>
    <w:rsid w:val="00143394"/>
    <w:rsid w:val="00144D42"/>
    <w:rsid w:val="00146F32"/>
    <w:rsid w:val="00161E55"/>
    <w:rsid w:val="001640A3"/>
    <w:rsid w:val="0016427A"/>
    <w:rsid w:val="00167E09"/>
    <w:rsid w:val="00174357"/>
    <w:rsid w:val="00174489"/>
    <w:rsid w:val="0017539C"/>
    <w:rsid w:val="00175AC2"/>
    <w:rsid w:val="00175FA2"/>
    <w:rsid w:val="0017609F"/>
    <w:rsid w:val="00176D1E"/>
    <w:rsid w:val="00177C78"/>
    <w:rsid w:val="00182C0F"/>
    <w:rsid w:val="001914FB"/>
    <w:rsid w:val="00192147"/>
    <w:rsid w:val="00192411"/>
    <w:rsid w:val="0019479D"/>
    <w:rsid w:val="001A0588"/>
    <w:rsid w:val="001A1E34"/>
    <w:rsid w:val="001A2ABD"/>
    <w:rsid w:val="001A7D1D"/>
    <w:rsid w:val="001B3508"/>
    <w:rsid w:val="001B51DD"/>
    <w:rsid w:val="001B7083"/>
    <w:rsid w:val="001B7267"/>
    <w:rsid w:val="001B7DD4"/>
    <w:rsid w:val="001B7EB1"/>
    <w:rsid w:val="001C628E"/>
    <w:rsid w:val="001C7CE9"/>
    <w:rsid w:val="001D0EAB"/>
    <w:rsid w:val="001D2ED1"/>
    <w:rsid w:val="001E0F7B"/>
    <w:rsid w:val="001E14B6"/>
    <w:rsid w:val="001E701A"/>
    <w:rsid w:val="001F23AD"/>
    <w:rsid w:val="001F37B6"/>
    <w:rsid w:val="001F4EC4"/>
    <w:rsid w:val="001F5E6A"/>
    <w:rsid w:val="001F5F1D"/>
    <w:rsid w:val="001F69A7"/>
    <w:rsid w:val="001F6DF7"/>
    <w:rsid w:val="001F75A2"/>
    <w:rsid w:val="002050B4"/>
    <w:rsid w:val="002119FD"/>
    <w:rsid w:val="00212B78"/>
    <w:rsid w:val="002130E0"/>
    <w:rsid w:val="002138C0"/>
    <w:rsid w:val="00213FC8"/>
    <w:rsid w:val="0021411A"/>
    <w:rsid w:val="00215ACC"/>
    <w:rsid w:val="002174D5"/>
    <w:rsid w:val="00223E67"/>
    <w:rsid w:val="00224338"/>
    <w:rsid w:val="002358EB"/>
    <w:rsid w:val="002454CD"/>
    <w:rsid w:val="00252507"/>
    <w:rsid w:val="00253902"/>
    <w:rsid w:val="00255F36"/>
    <w:rsid w:val="00264425"/>
    <w:rsid w:val="00265875"/>
    <w:rsid w:val="00265D61"/>
    <w:rsid w:val="0026659A"/>
    <w:rsid w:val="00267EC0"/>
    <w:rsid w:val="00271A7D"/>
    <w:rsid w:val="0027303B"/>
    <w:rsid w:val="002738F4"/>
    <w:rsid w:val="0027532E"/>
    <w:rsid w:val="002761C7"/>
    <w:rsid w:val="00280439"/>
    <w:rsid w:val="0028109B"/>
    <w:rsid w:val="00281C4B"/>
    <w:rsid w:val="00290B1D"/>
    <w:rsid w:val="002925C6"/>
    <w:rsid w:val="002930A1"/>
    <w:rsid w:val="002A2188"/>
    <w:rsid w:val="002A3C84"/>
    <w:rsid w:val="002A481C"/>
    <w:rsid w:val="002A5D19"/>
    <w:rsid w:val="002A66B9"/>
    <w:rsid w:val="002A7955"/>
    <w:rsid w:val="002B1F58"/>
    <w:rsid w:val="002B2074"/>
    <w:rsid w:val="002B38AA"/>
    <w:rsid w:val="002B5EF7"/>
    <w:rsid w:val="002B60EA"/>
    <w:rsid w:val="002C0367"/>
    <w:rsid w:val="002C188D"/>
    <w:rsid w:val="002C1A27"/>
    <w:rsid w:val="002C1C7A"/>
    <w:rsid w:val="002C54E2"/>
    <w:rsid w:val="002C6341"/>
    <w:rsid w:val="002C76FC"/>
    <w:rsid w:val="002C7C1E"/>
    <w:rsid w:val="002D2923"/>
    <w:rsid w:val="002D41DE"/>
    <w:rsid w:val="002E182F"/>
    <w:rsid w:val="002E38D4"/>
    <w:rsid w:val="002E4D0A"/>
    <w:rsid w:val="002F1C51"/>
    <w:rsid w:val="002F3A1C"/>
    <w:rsid w:val="002F4672"/>
    <w:rsid w:val="002FF80D"/>
    <w:rsid w:val="0030160F"/>
    <w:rsid w:val="00304FA1"/>
    <w:rsid w:val="00306C91"/>
    <w:rsid w:val="00320223"/>
    <w:rsid w:val="003206AA"/>
    <w:rsid w:val="00322D0D"/>
    <w:rsid w:val="003262F5"/>
    <w:rsid w:val="00331A37"/>
    <w:rsid w:val="00332404"/>
    <w:rsid w:val="00333589"/>
    <w:rsid w:val="00333C0F"/>
    <w:rsid w:val="00337104"/>
    <w:rsid w:val="0033720E"/>
    <w:rsid w:val="00337430"/>
    <w:rsid w:val="00342507"/>
    <w:rsid w:val="00342E73"/>
    <w:rsid w:val="00347812"/>
    <w:rsid w:val="003505C7"/>
    <w:rsid w:val="003513F0"/>
    <w:rsid w:val="00351FC5"/>
    <w:rsid w:val="00356DAD"/>
    <w:rsid w:val="00361465"/>
    <w:rsid w:val="00361EF1"/>
    <w:rsid w:val="00363459"/>
    <w:rsid w:val="00364239"/>
    <w:rsid w:val="003777BE"/>
    <w:rsid w:val="0038313A"/>
    <w:rsid w:val="003877F5"/>
    <w:rsid w:val="003878D1"/>
    <w:rsid w:val="00392ABF"/>
    <w:rsid w:val="003942D4"/>
    <w:rsid w:val="00394398"/>
    <w:rsid w:val="003958A8"/>
    <w:rsid w:val="00397ACB"/>
    <w:rsid w:val="003B3732"/>
    <w:rsid w:val="003B3C6E"/>
    <w:rsid w:val="003B43F6"/>
    <w:rsid w:val="003B43F8"/>
    <w:rsid w:val="003B5B03"/>
    <w:rsid w:val="003C2533"/>
    <w:rsid w:val="003D4E8A"/>
    <w:rsid w:val="003D5613"/>
    <w:rsid w:val="003D5A7F"/>
    <w:rsid w:val="003E2B11"/>
    <w:rsid w:val="003E75A6"/>
    <w:rsid w:val="003F1F99"/>
    <w:rsid w:val="003F4447"/>
    <w:rsid w:val="003F5288"/>
    <w:rsid w:val="003F6AF0"/>
    <w:rsid w:val="003F6FDB"/>
    <w:rsid w:val="004016A9"/>
    <w:rsid w:val="0040435A"/>
    <w:rsid w:val="00407826"/>
    <w:rsid w:val="00412B89"/>
    <w:rsid w:val="00416A24"/>
    <w:rsid w:val="0041716D"/>
    <w:rsid w:val="0042091B"/>
    <w:rsid w:val="00424197"/>
    <w:rsid w:val="00431D9E"/>
    <w:rsid w:val="00433CE8"/>
    <w:rsid w:val="00434A5C"/>
    <w:rsid w:val="00434C35"/>
    <w:rsid w:val="004351DB"/>
    <w:rsid w:val="00441C61"/>
    <w:rsid w:val="00447431"/>
    <w:rsid w:val="004478C1"/>
    <w:rsid w:val="00452CFD"/>
    <w:rsid w:val="0045376C"/>
    <w:rsid w:val="00454493"/>
    <w:rsid w:val="004544D9"/>
    <w:rsid w:val="0045495A"/>
    <w:rsid w:val="00457108"/>
    <w:rsid w:val="00457322"/>
    <w:rsid w:val="0046304C"/>
    <w:rsid w:val="00466D02"/>
    <w:rsid w:val="00472BAD"/>
    <w:rsid w:val="0047347B"/>
    <w:rsid w:val="00473C55"/>
    <w:rsid w:val="00474A0F"/>
    <w:rsid w:val="00476435"/>
    <w:rsid w:val="00476E7B"/>
    <w:rsid w:val="0047733C"/>
    <w:rsid w:val="00480E7C"/>
    <w:rsid w:val="00484009"/>
    <w:rsid w:val="00485EDA"/>
    <w:rsid w:val="00490E72"/>
    <w:rsid w:val="00491157"/>
    <w:rsid w:val="00491BE9"/>
    <w:rsid w:val="004921C8"/>
    <w:rsid w:val="00495B0B"/>
    <w:rsid w:val="004A1B8B"/>
    <w:rsid w:val="004A31F3"/>
    <w:rsid w:val="004A3B43"/>
    <w:rsid w:val="004A4441"/>
    <w:rsid w:val="004A4663"/>
    <w:rsid w:val="004A4F86"/>
    <w:rsid w:val="004B010B"/>
    <w:rsid w:val="004B19A9"/>
    <w:rsid w:val="004B2975"/>
    <w:rsid w:val="004B4521"/>
    <w:rsid w:val="004B6DF7"/>
    <w:rsid w:val="004B71FD"/>
    <w:rsid w:val="004C0563"/>
    <w:rsid w:val="004C1665"/>
    <w:rsid w:val="004C2714"/>
    <w:rsid w:val="004C30C0"/>
    <w:rsid w:val="004C36B2"/>
    <w:rsid w:val="004C373C"/>
    <w:rsid w:val="004C3DB1"/>
    <w:rsid w:val="004D06FD"/>
    <w:rsid w:val="004D1851"/>
    <w:rsid w:val="004D599D"/>
    <w:rsid w:val="004D62FC"/>
    <w:rsid w:val="004E0987"/>
    <w:rsid w:val="004E2EA5"/>
    <w:rsid w:val="004E3AEB"/>
    <w:rsid w:val="004E590C"/>
    <w:rsid w:val="004E7BE6"/>
    <w:rsid w:val="004F016E"/>
    <w:rsid w:val="004F20B3"/>
    <w:rsid w:val="004F4D54"/>
    <w:rsid w:val="004F7745"/>
    <w:rsid w:val="0050020A"/>
    <w:rsid w:val="005021B4"/>
    <w:rsid w:val="0050223C"/>
    <w:rsid w:val="00505CA4"/>
    <w:rsid w:val="00505E83"/>
    <w:rsid w:val="00506B32"/>
    <w:rsid w:val="00511A6D"/>
    <w:rsid w:val="005125E7"/>
    <w:rsid w:val="005149EB"/>
    <w:rsid w:val="00521BC2"/>
    <w:rsid w:val="005226FC"/>
    <w:rsid w:val="0052337D"/>
    <w:rsid w:val="005243FF"/>
    <w:rsid w:val="00524A45"/>
    <w:rsid w:val="00526716"/>
    <w:rsid w:val="00527167"/>
    <w:rsid w:val="005319EF"/>
    <w:rsid w:val="005345F8"/>
    <w:rsid w:val="00535690"/>
    <w:rsid w:val="00535CF0"/>
    <w:rsid w:val="00540D56"/>
    <w:rsid w:val="00541E17"/>
    <w:rsid w:val="005424B6"/>
    <w:rsid w:val="00542C6D"/>
    <w:rsid w:val="00544E88"/>
    <w:rsid w:val="00547186"/>
    <w:rsid w:val="00551DC0"/>
    <w:rsid w:val="005522B0"/>
    <w:rsid w:val="00552672"/>
    <w:rsid w:val="00553AA9"/>
    <w:rsid w:val="0055790A"/>
    <w:rsid w:val="00564FBC"/>
    <w:rsid w:val="005724DE"/>
    <w:rsid w:val="00572838"/>
    <w:rsid w:val="005755FC"/>
    <w:rsid w:val="005800BC"/>
    <w:rsid w:val="00582442"/>
    <w:rsid w:val="00582D5F"/>
    <w:rsid w:val="00585689"/>
    <w:rsid w:val="00585BC5"/>
    <w:rsid w:val="00586693"/>
    <w:rsid w:val="00586B47"/>
    <w:rsid w:val="00586FD9"/>
    <w:rsid w:val="00590585"/>
    <w:rsid w:val="00591D6C"/>
    <w:rsid w:val="005942B5"/>
    <w:rsid w:val="00595C91"/>
    <w:rsid w:val="00596A31"/>
    <w:rsid w:val="005A3404"/>
    <w:rsid w:val="005A7E58"/>
    <w:rsid w:val="005B122A"/>
    <w:rsid w:val="005B261C"/>
    <w:rsid w:val="005B3D91"/>
    <w:rsid w:val="005B6CAC"/>
    <w:rsid w:val="005B7E39"/>
    <w:rsid w:val="005C16F8"/>
    <w:rsid w:val="005C3E7C"/>
    <w:rsid w:val="005C4C21"/>
    <w:rsid w:val="005C4FD7"/>
    <w:rsid w:val="005D4089"/>
    <w:rsid w:val="005D5305"/>
    <w:rsid w:val="005E0583"/>
    <w:rsid w:val="005E1B33"/>
    <w:rsid w:val="005E208F"/>
    <w:rsid w:val="005F2929"/>
    <w:rsid w:val="005F3269"/>
    <w:rsid w:val="005F54ED"/>
    <w:rsid w:val="005F6004"/>
    <w:rsid w:val="006041B2"/>
    <w:rsid w:val="0060460E"/>
    <w:rsid w:val="00604E43"/>
    <w:rsid w:val="006105B0"/>
    <w:rsid w:val="006118DF"/>
    <w:rsid w:val="00613A3E"/>
    <w:rsid w:val="00616A0F"/>
    <w:rsid w:val="00616CA9"/>
    <w:rsid w:val="00621D4A"/>
    <w:rsid w:val="00622796"/>
    <w:rsid w:val="00623AE3"/>
    <w:rsid w:val="00627608"/>
    <w:rsid w:val="00632BE2"/>
    <w:rsid w:val="006355EE"/>
    <w:rsid w:val="00640469"/>
    <w:rsid w:val="00641A15"/>
    <w:rsid w:val="006428D9"/>
    <w:rsid w:val="00643DCD"/>
    <w:rsid w:val="006444E5"/>
    <w:rsid w:val="0064737F"/>
    <w:rsid w:val="006535F1"/>
    <w:rsid w:val="006538CD"/>
    <w:rsid w:val="0065557D"/>
    <w:rsid w:val="00660D50"/>
    <w:rsid w:val="00662984"/>
    <w:rsid w:val="0067013E"/>
    <w:rsid w:val="006716BB"/>
    <w:rsid w:val="00672840"/>
    <w:rsid w:val="006739C3"/>
    <w:rsid w:val="00675721"/>
    <w:rsid w:val="00675DE9"/>
    <w:rsid w:val="00677E60"/>
    <w:rsid w:val="00681A7C"/>
    <w:rsid w:val="00691679"/>
    <w:rsid w:val="006925DC"/>
    <w:rsid w:val="00693B5E"/>
    <w:rsid w:val="00693B8C"/>
    <w:rsid w:val="00697C2D"/>
    <w:rsid w:val="006A006D"/>
    <w:rsid w:val="006B02F7"/>
    <w:rsid w:val="006B1859"/>
    <w:rsid w:val="006B1FF6"/>
    <w:rsid w:val="006B28E3"/>
    <w:rsid w:val="006B6680"/>
    <w:rsid w:val="006B6DCC"/>
    <w:rsid w:val="006B738D"/>
    <w:rsid w:val="006C1E50"/>
    <w:rsid w:val="006C4F83"/>
    <w:rsid w:val="006C7C49"/>
    <w:rsid w:val="006D05AD"/>
    <w:rsid w:val="006D203B"/>
    <w:rsid w:val="006D29DC"/>
    <w:rsid w:val="006D2AEF"/>
    <w:rsid w:val="006D664A"/>
    <w:rsid w:val="006D6B77"/>
    <w:rsid w:val="006D7474"/>
    <w:rsid w:val="006E1029"/>
    <w:rsid w:val="006E1E1D"/>
    <w:rsid w:val="006E23FD"/>
    <w:rsid w:val="006F04EC"/>
    <w:rsid w:val="006F6E05"/>
    <w:rsid w:val="006F7A00"/>
    <w:rsid w:val="00700E60"/>
    <w:rsid w:val="00702DEF"/>
    <w:rsid w:val="00704E2E"/>
    <w:rsid w:val="0070656D"/>
    <w:rsid w:val="00706861"/>
    <w:rsid w:val="00710200"/>
    <w:rsid w:val="007114B3"/>
    <w:rsid w:val="00712633"/>
    <w:rsid w:val="0071445E"/>
    <w:rsid w:val="00714FBC"/>
    <w:rsid w:val="00716281"/>
    <w:rsid w:val="00716BE3"/>
    <w:rsid w:val="0072243D"/>
    <w:rsid w:val="00722E6A"/>
    <w:rsid w:val="00724FE0"/>
    <w:rsid w:val="007250CB"/>
    <w:rsid w:val="0072561F"/>
    <w:rsid w:val="007301C2"/>
    <w:rsid w:val="00733342"/>
    <w:rsid w:val="0073437F"/>
    <w:rsid w:val="00734AE0"/>
    <w:rsid w:val="007431CC"/>
    <w:rsid w:val="00744895"/>
    <w:rsid w:val="00744C5C"/>
    <w:rsid w:val="0074E383"/>
    <w:rsid w:val="0075051B"/>
    <w:rsid w:val="00753512"/>
    <w:rsid w:val="00754333"/>
    <w:rsid w:val="00758D0B"/>
    <w:rsid w:val="007739AA"/>
    <w:rsid w:val="00775E9F"/>
    <w:rsid w:val="0077771E"/>
    <w:rsid w:val="00784D46"/>
    <w:rsid w:val="00785114"/>
    <w:rsid w:val="00793188"/>
    <w:rsid w:val="00794675"/>
    <w:rsid w:val="00794D34"/>
    <w:rsid w:val="00797221"/>
    <w:rsid w:val="007A352A"/>
    <w:rsid w:val="007A500B"/>
    <w:rsid w:val="007A510A"/>
    <w:rsid w:val="007B44D1"/>
    <w:rsid w:val="007B4CA3"/>
    <w:rsid w:val="007C00FE"/>
    <w:rsid w:val="007C04C2"/>
    <w:rsid w:val="007C1BF9"/>
    <w:rsid w:val="007C3635"/>
    <w:rsid w:val="007C3721"/>
    <w:rsid w:val="007C7A69"/>
    <w:rsid w:val="007D5AB1"/>
    <w:rsid w:val="007D7500"/>
    <w:rsid w:val="007E1FD6"/>
    <w:rsid w:val="007E3F9E"/>
    <w:rsid w:val="007E6172"/>
    <w:rsid w:val="007E7B0D"/>
    <w:rsid w:val="007F18C1"/>
    <w:rsid w:val="007F6BCA"/>
    <w:rsid w:val="0080172C"/>
    <w:rsid w:val="00802091"/>
    <w:rsid w:val="00807F19"/>
    <w:rsid w:val="008110E9"/>
    <w:rsid w:val="008114E9"/>
    <w:rsid w:val="00813D17"/>
    <w:rsid w:val="00813E5E"/>
    <w:rsid w:val="0082575E"/>
    <w:rsid w:val="00833092"/>
    <w:rsid w:val="00833766"/>
    <w:rsid w:val="0083581B"/>
    <w:rsid w:val="0084156F"/>
    <w:rsid w:val="00845DE9"/>
    <w:rsid w:val="00852502"/>
    <w:rsid w:val="00852EA6"/>
    <w:rsid w:val="00853AEF"/>
    <w:rsid w:val="00854559"/>
    <w:rsid w:val="00854F63"/>
    <w:rsid w:val="008557B6"/>
    <w:rsid w:val="00857503"/>
    <w:rsid w:val="00861BF8"/>
    <w:rsid w:val="00863374"/>
    <w:rsid w:val="00863874"/>
    <w:rsid w:val="00864AFF"/>
    <w:rsid w:val="00865925"/>
    <w:rsid w:val="00870672"/>
    <w:rsid w:val="00876E62"/>
    <w:rsid w:val="00882252"/>
    <w:rsid w:val="008832E5"/>
    <w:rsid w:val="00885C20"/>
    <w:rsid w:val="008877C3"/>
    <w:rsid w:val="0089514E"/>
    <w:rsid w:val="00896305"/>
    <w:rsid w:val="008A00C7"/>
    <w:rsid w:val="008A31FD"/>
    <w:rsid w:val="008A46CD"/>
    <w:rsid w:val="008A7A72"/>
    <w:rsid w:val="008B1BA6"/>
    <w:rsid w:val="008B4A6A"/>
    <w:rsid w:val="008B67E7"/>
    <w:rsid w:val="008C2EA9"/>
    <w:rsid w:val="008C4347"/>
    <w:rsid w:val="008C4F81"/>
    <w:rsid w:val="008C587C"/>
    <w:rsid w:val="008C7E27"/>
    <w:rsid w:val="008D3AF4"/>
    <w:rsid w:val="008E4CD0"/>
    <w:rsid w:val="008E6606"/>
    <w:rsid w:val="008E7C0F"/>
    <w:rsid w:val="008F7448"/>
    <w:rsid w:val="0090147A"/>
    <w:rsid w:val="00907094"/>
    <w:rsid w:val="00911AF9"/>
    <w:rsid w:val="0091320F"/>
    <w:rsid w:val="009173EF"/>
    <w:rsid w:val="00917D9D"/>
    <w:rsid w:val="00917F36"/>
    <w:rsid w:val="00920BE4"/>
    <w:rsid w:val="0092503B"/>
    <w:rsid w:val="00932906"/>
    <w:rsid w:val="00933CCE"/>
    <w:rsid w:val="00935EE2"/>
    <w:rsid w:val="0093690A"/>
    <w:rsid w:val="00941618"/>
    <w:rsid w:val="009453CA"/>
    <w:rsid w:val="00945E15"/>
    <w:rsid w:val="00946F92"/>
    <w:rsid w:val="00950031"/>
    <w:rsid w:val="009535E1"/>
    <w:rsid w:val="00953BF5"/>
    <w:rsid w:val="00960E95"/>
    <w:rsid w:val="00961B0B"/>
    <w:rsid w:val="0096268F"/>
    <w:rsid w:val="009775C6"/>
    <w:rsid w:val="00982452"/>
    <w:rsid w:val="00984728"/>
    <w:rsid w:val="009878BB"/>
    <w:rsid w:val="00997FAC"/>
    <w:rsid w:val="009A2741"/>
    <w:rsid w:val="009A3976"/>
    <w:rsid w:val="009B180E"/>
    <w:rsid w:val="009B38C3"/>
    <w:rsid w:val="009C5189"/>
    <w:rsid w:val="009C53BC"/>
    <w:rsid w:val="009C6B81"/>
    <w:rsid w:val="009D5CAC"/>
    <w:rsid w:val="009D7061"/>
    <w:rsid w:val="009D7F89"/>
    <w:rsid w:val="009E17BD"/>
    <w:rsid w:val="009E3124"/>
    <w:rsid w:val="009E4733"/>
    <w:rsid w:val="009E485A"/>
    <w:rsid w:val="009F1A58"/>
    <w:rsid w:val="009F20DA"/>
    <w:rsid w:val="009F237A"/>
    <w:rsid w:val="00A01A62"/>
    <w:rsid w:val="00A01B9D"/>
    <w:rsid w:val="00A027C5"/>
    <w:rsid w:val="00A04CEC"/>
    <w:rsid w:val="00A07E1E"/>
    <w:rsid w:val="00A09116"/>
    <w:rsid w:val="00A13CF1"/>
    <w:rsid w:val="00A15880"/>
    <w:rsid w:val="00A22309"/>
    <w:rsid w:val="00A24A94"/>
    <w:rsid w:val="00A27166"/>
    <w:rsid w:val="00A27B1E"/>
    <w:rsid w:val="00A27F92"/>
    <w:rsid w:val="00A32257"/>
    <w:rsid w:val="00A36D20"/>
    <w:rsid w:val="00A44716"/>
    <w:rsid w:val="00A47DCC"/>
    <w:rsid w:val="00A514A4"/>
    <w:rsid w:val="00A5243F"/>
    <w:rsid w:val="00A531A0"/>
    <w:rsid w:val="00A54171"/>
    <w:rsid w:val="00A548C9"/>
    <w:rsid w:val="00A55622"/>
    <w:rsid w:val="00A558AC"/>
    <w:rsid w:val="00A60C88"/>
    <w:rsid w:val="00A62FC2"/>
    <w:rsid w:val="00A64D7F"/>
    <w:rsid w:val="00A67D34"/>
    <w:rsid w:val="00A72483"/>
    <w:rsid w:val="00A8341A"/>
    <w:rsid w:val="00A83502"/>
    <w:rsid w:val="00A83FB3"/>
    <w:rsid w:val="00A902AB"/>
    <w:rsid w:val="00A96081"/>
    <w:rsid w:val="00AA798D"/>
    <w:rsid w:val="00AB140B"/>
    <w:rsid w:val="00AB28B6"/>
    <w:rsid w:val="00AB2C65"/>
    <w:rsid w:val="00AC527C"/>
    <w:rsid w:val="00AC734C"/>
    <w:rsid w:val="00AC7FC2"/>
    <w:rsid w:val="00AD15B3"/>
    <w:rsid w:val="00AD3606"/>
    <w:rsid w:val="00AD4A3D"/>
    <w:rsid w:val="00AD7AA4"/>
    <w:rsid w:val="00AE3468"/>
    <w:rsid w:val="00AE657C"/>
    <w:rsid w:val="00AF1F84"/>
    <w:rsid w:val="00AF4E22"/>
    <w:rsid w:val="00AF6E49"/>
    <w:rsid w:val="00AF781B"/>
    <w:rsid w:val="00B04A67"/>
    <w:rsid w:val="00B0583C"/>
    <w:rsid w:val="00B07BE1"/>
    <w:rsid w:val="00B10C94"/>
    <w:rsid w:val="00B11696"/>
    <w:rsid w:val="00B13CB5"/>
    <w:rsid w:val="00B218DB"/>
    <w:rsid w:val="00B21A10"/>
    <w:rsid w:val="00B234FB"/>
    <w:rsid w:val="00B24A0B"/>
    <w:rsid w:val="00B3459F"/>
    <w:rsid w:val="00B364AD"/>
    <w:rsid w:val="00B40A81"/>
    <w:rsid w:val="00B41C48"/>
    <w:rsid w:val="00B44910"/>
    <w:rsid w:val="00B467BE"/>
    <w:rsid w:val="00B46FB0"/>
    <w:rsid w:val="00B4766D"/>
    <w:rsid w:val="00B47C41"/>
    <w:rsid w:val="00B51B45"/>
    <w:rsid w:val="00B55276"/>
    <w:rsid w:val="00B556C2"/>
    <w:rsid w:val="00B66FE2"/>
    <w:rsid w:val="00B710E0"/>
    <w:rsid w:val="00B71AB1"/>
    <w:rsid w:val="00B72267"/>
    <w:rsid w:val="00B72939"/>
    <w:rsid w:val="00B76EB6"/>
    <w:rsid w:val="00B7737B"/>
    <w:rsid w:val="00B77967"/>
    <w:rsid w:val="00B8093B"/>
    <w:rsid w:val="00B824C8"/>
    <w:rsid w:val="00B82BF4"/>
    <w:rsid w:val="00B84046"/>
    <w:rsid w:val="00B84B9D"/>
    <w:rsid w:val="00B84E90"/>
    <w:rsid w:val="00B87BBC"/>
    <w:rsid w:val="00B913FF"/>
    <w:rsid w:val="00B91D63"/>
    <w:rsid w:val="00BA1D37"/>
    <w:rsid w:val="00BB0A97"/>
    <w:rsid w:val="00BB4368"/>
    <w:rsid w:val="00BB75FC"/>
    <w:rsid w:val="00BB7A3A"/>
    <w:rsid w:val="00BC01A7"/>
    <w:rsid w:val="00BC14CC"/>
    <w:rsid w:val="00BC251A"/>
    <w:rsid w:val="00BC31A9"/>
    <w:rsid w:val="00BD032B"/>
    <w:rsid w:val="00BD06CA"/>
    <w:rsid w:val="00BD2088"/>
    <w:rsid w:val="00BD26EB"/>
    <w:rsid w:val="00BD4FF3"/>
    <w:rsid w:val="00BD67E0"/>
    <w:rsid w:val="00BD74AE"/>
    <w:rsid w:val="00BE0DD3"/>
    <w:rsid w:val="00BE2640"/>
    <w:rsid w:val="00BE32AE"/>
    <w:rsid w:val="00BE64DC"/>
    <w:rsid w:val="00BF15B4"/>
    <w:rsid w:val="00BF4536"/>
    <w:rsid w:val="00C01189"/>
    <w:rsid w:val="00C020C2"/>
    <w:rsid w:val="00C02E06"/>
    <w:rsid w:val="00C0405B"/>
    <w:rsid w:val="00C04396"/>
    <w:rsid w:val="00C161C0"/>
    <w:rsid w:val="00C175D4"/>
    <w:rsid w:val="00C20AFC"/>
    <w:rsid w:val="00C257F0"/>
    <w:rsid w:val="00C25A84"/>
    <w:rsid w:val="00C26D5E"/>
    <w:rsid w:val="00C323FD"/>
    <w:rsid w:val="00C374DE"/>
    <w:rsid w:val="00C42C3A"/>
    <w:rsid w:val="00C456F1"/>
    <w:rsid w:val="00C47AD4"/>
    <w:rsid w:val="00C50BEE"/>
    <w:rsid w:val="00C529A2"/>
    <w:rsid w:val="00C52D81"/>
    <w:rsid w:val="00C55198"/>
    <w:rsid w:val="00C55C07"/>
    <w:rsid w:val="00C55F20"/>
    <w:rsid w:val="00C61714"/>
    <w:rsid w:val="00C63DFD"/>
    <w:rsid w:val="00C649A3"/>
    <w:rsid w:val="00C65681"/>
    <w:rsid w:val="00C70219"/>
    <w:rsid w:val="00C724C2"/>
    <w:rsid w:val="00C73BBC"/>
    <w:rsid w:val="00C75F26"/>
    <w:rsid w:val="00C77948"/>
    <w:rsid w:val="00C86275"/>
    <w:rsid w:val="00C91B1D"/>
    <w:rsid w:val="00C96358"/>
    <w:rsid w:val="00C97371"/>
    <w:rsid w:val="00CA0DA4"/>
    <w:rsid w:val="00CA17F1"/>
    <w:rsid w:val="00CA6393"/>
    <w:rsid w:val="00CA7BD4"/>
    <w:rsid w:val="00CB1672"/>
    <w:rsid w:val="00CB18FF"/>
    <w:rsid w:val="00CB42E5"/>
    <w:rsid w:val="00CB6998"/>
    <w:rsid w:val="00CB6F2A"/>
    <w:rsid w:val="00CC088E"/>
    <w:rsid w:val="00CC6A01"/>
    <w:rsid w:val="00CC6B81"/>
    <w:rsid w:val="00CD0C08"/>
    <w:rsid w:val="00CD5457"/>
    <w:rsid w:val="00CD682E"/>
    <w:rsid w:val="00CE03FB"/>
    <w:rsid w:val="00CE117C"/>
    <w:rsid w:val="00CE3AAC"/>
    <w:rsid w:val="00CE433C"/>
    <w:rsid w:val="00CE46AB"/>
    <w:rsid w:val="00CE748F"/>
    <w:rsid w:val="00CF0161"/>
    <w:rsid w:val="00CF33F3"/>
    <w:rsid w:val="00CF49E4"/>
    <w:rsid w:val="00D06183"/>
    <w:rsid w:val="00D14FE7"/>
    <w:rsid w:val="00D15CC8"/>
    <w:rsid w:val="00D16E76"/>
    <w:rsid w:val="00D1770E"/>
    <w:rsid w:val="00D22C42"/>
    <w:rsid w:val="00D23B1B"/>
    <w:rsid w:val="00D241C5"/>
    <w:rsid w:val="00D26E4A"/>
    <w:rsid w:val="00D35292"/>
    <w:rsid w:val="00D364FA"/>
    <w:rsid w:val="00D4309F"/>
    <w:rsid w:val="00D46C0F"/>
    <w:rsid w:val="00D473AD"/>
    <w:rsid w:val="00D51D0C"/>
    <w:rsid w:val="00D53CFA"/>
    <w:rsid w:val="00D55F20"/>
    <w:rsid w:val="00D62FBD"/>
    <w:rsid w:val="00D638BE"/>
    <w:rsid w:val="00D64E6D"/>
    <w:rsid w:val="00D65041"/>
    <w:rsid w:val="00D67AD7"/>
    <w:rsid w:val="00D71CC3"/>
    <w:rsid w:val="00D7213D"/>
    <w:rsid w:val="00D74AA0"/>
    <w:rsid w:val="00D778FA"/>
    <w:rsid w:val="00D91F4C"/>
    <w:rsid w:val="00D937D0"/>
    <w:rsid w:val="00D972F0"/>
    <w:rsid w:val="00DA0330"/>
    <w:rsid w:val="00DA4379"/>
    <w:rsid w:val="00DA6279"/>
    <w:rsid w:val="00DB1839"/>
    <w:rsid w:val="00DB1936"/>
    <w:rsid w:val="00DB2DE1"/>
    <w:rsid w:val="00DB2EBA"/>
    <w:rsid w:val="00DB384B"/>
    <w:rsid w:val="00DB717E"/>
    <w:rsid w:val="00DC0D39"/>
    <w:rsid w:val="00DC0F60"/>
    <w:rsid w:val="00DC493D"/>
    <w:rsid w:val="00DD2CE6"/>
    <w:rsid w:val="00DD309B"/>
    <w:rsid w:val="00DD4274"/>
    <w:rsid w:val="00DD56A0"/>
    <w:rsid w:val="00DD6BFD"/>
    <w:rsid w:val="00DE08D8"/>
    <w:rsid w:val="00DE34C3"/>
    <w:rsid w:val="00DE38D4"/>
    <w:rsid w:val="00DF0189"/>
    <w:rsid w:val="00DF5D4F"/>
    <w:rsid w:val="00E01849"/>
    <w:rsid w:val="00E03E42"/>
    <w:rsid w:val="00E057D3"/>
    <w:rsid w:val="00E06FD5"/>
    <w:rsid w:val="00E10B74"/>
    <w:rsid w:val="00E10E80"/>
    <w:rsid w:val="00E124F0"/>
    <w:rsid w:val="00E164E3"/>
    <w:rsid w:val="00E17855"/>
    <w:rsid w:val="00E215BC"/>
    <w:rsid w:val="00E23669"/>
    <w:rsid w:val="00E23A16"/>
    <w:rsid w:val="00E2EE8B"/>
    <w:rsid w:val="00E34A27"/>
    <w:rsid w:val="00E36EEE"/>
    <w:rsid w:val="00E40268"/>
    <w:rsid w:val="00E4027B"/>
    <w:rsid w:val="00E4330B"/>
    <w:rsid w:val="00E44C6F"/>
    <w:rsid w:val="00E5077D"/>
    <w:rsid w:val="00E52404"/>
    <w:rsid w:val="00E54FC2"/>
    <w:rsid w:val="00E57F10"/>
    <w:rsid w:val="00E60F04"/>
    <w:rsid w:val="00E62CDF"/>
    <w:rsid w:val="00E65B24"/>
    <w:rsid w:val="00E65C6C"/>
    <w:rsid w:val="00E704F7"/>
    <w:rsid w:val="00E722EC"/>
    <w:rsid w:val="00E77711"/>
    <w:rsid w:val="00E82456"/>
    <w:rsid w:val="00E84DBA"/>
    <w:rsid w:val="00E84F04"/>
    <w:rsid w:val="00E854E4"/>
    <w:rsid w:val="00E86DBF"/>
    <w:rsid w:val="00EA0A09"/>
    <w:rsid w:val="00EA33C9"/>
    <w:rsid w:val="00EA3AC5"/>
    <w:rsid w:val="00EA5CB6"/>
    <w:rsid w:val="00EB0B3A"/>
    <w:rsid w:val="00EB0D6F"/>
    <w:rsid w:val="00EB1407"/>
    <w:rsid w:val="00EB2232"/>
    <w:rsid w:val="00EB5BCB"/>
    <w:rsid w:val="00EB7ABA"/>
    <w:rsid w:val="00EC0BAF"/>
    <w:rsid w:val="00EC5337"/>
    <w:rsid w:val="00EC5D01"/>
    <w:rsid w:val="00EC667C"/>
    <w:rsid w:val="00EC69B9"/>
    <w:rsid w:val="00ED2111"/>
    <w:rsid w:val="00EE21B1"/>
    <w:rsid w:val="00EE402D"/>
    <w:rsid w:val="00EE49E8"/>
    <w:rsid w:val="00EF1201"/>
    <w:rsid w:val="00EF1A90"/>
    <w:rsid w:val="00F004BA"/>
    <w:rsid w:val="00F0644D"/>
    <w:rsid w:val="00F0651C"/>
    <w:rsid w:val="00F06B0A"/>
    <w:rsid w:val="00F07787"/>
    <w:rsid w:val="00F0790F"/>
    <w:rsid w:val="00F10F7B"/>
    <w:rsid w:val="00F155B3"/>
    <w:rsid w:val="00F15918"/>
    <w:rsid w:val="00F16BAB"/>
    <w:rsid w:val="00F16EC2"/>
    <w:rsid w:val="00F2150A"/>
    <w:rsid w:val="00F231D8"/>
    <w:rsid w:val="00F24BFA"/>
    <w:rsid w:val="00F321D8"/>
    <w:rsid w:val="00F322C6"/>
    <w:rsid w:val="00F32B56"/>
    <w:rsid w:val="00F3365C"/>
    <w:rsid w:val="00F33C9A"/>
    <w:rsid w:val="00F4064A"/>
    <w:rsid w:val="00F40E65"/>
    <w:rsid w:val="00F431F9"/>
    <w:rsid w:val="00F44C00"/>
    <w:rsid w:val="00F454CA"/>
    <w:rsid w:val="00F46C5F"/>
    <w:rsid w:val="00F46FDB"/>
    <w:rsid w:val="00F47AD1"/>
    <w:rsid w:val="00F51B2C"/>
    <w:rsid w:val="00F549E0"/>
    <w:rsid w:val="00F603BB"/>
    <w:rsid w:val="00F632C0"/>
    <w:rsid w:val="00F654B3"/>
    <w:rsid w:val="00F66745"/>
    <w:rsid w:val="00F87A81"/>
    <w:rsid w:val="00F9059D"/>
    <w:rsid w:val="00F94A63"/>
    <w:rsid w:val="00F94F6D"/>
    <w:rsid w:val="00F95A0D"/>
    <w:rsid w:val="00F97CC3"/>
    <w:rsid w:val="00FA1249"/>
    <w:rsid w:val="00FA1C28"/>
    <w:rsid w:val="00FB1279"/>
    <w:rsid w:val="00FB41D8"/>
    <w:rsid w:val="00FB4591"/>
    <w:rsid w:val="00FB6B76"/>
    <w:rsid w:val="00FB7596"/>
    <w:rsid w:val="00FC03E0"/>
    <w:rsid w:val="00FD0508"/>
    <w:rsid w:val="00FD2865"/>
    <w:rsid w:val="00FD31F8"/>
    <w:rsid w:val="00FE36F7"/>
    <w:rsid w:val="00FE4077"/>
    <w:rsid w:val="00FE77D2"/>
    <w:rsid w:val="00FF0A01"/>
    <w:rsid w:val="00FF0E49"/>
    <w:rsid w:val="00FF5F60"/>
    <w:rsid w:val="00FF66C3"/>
    <w:rsid w:val="018FF786"/>
    <w:rsid w:val="0191917D"/>
    <w:rsid w:val="01A5C713"/>
    <w:rsid w:val="01C27836"/>
    <w:rsid w:val="01D0B150"/>
    <w:rsid w:val="02006AFA"/>
    <w:rsid w:val="03380659"/>
    <w:rsid w:val="03CBC175"/>
    <w:rsid w:val="03CC5BB9"/>
    <w:rsid w:val="04867D3D"/>
    <w:rsid w:val="04BD533E"/>
    <w:rsid w:val="04DF4DDA"/>
    <w:rsid w:val="04E56179"/>
    <w:rsid w:val="057AB5F5"/>
    <w:rsid w:val="057C19DE"/>
    <w:rsid w:val="05F57047"/>
    <w:rsid w:val="06288CC7"/>
    <w:rsid w:val="068E4C42"/>
    <w:rsid w:val="0700C6D3"/>
    <w:rsid w:val="0713639D"/>
    <w:rsid w:val="07510185"/>
    <w:rsid w:val="076C8287"/>
    <w:rsid w:val="076CD634"/>
    <w:rsid w:val="079140A8"/>
    <w:rsid w:val="07F9DF1C"/>
    <w:rsid w:val="081FE017"/>
    <w:rsid w:val="08C5DEEE"/>
    <w:rsid w:val="09D4CE41"/>
    <w:rsid w:val="0A17DDAA"/>
    <w:rsid w:val="0AFB2EB7"/>
    <w:rsid w:val="0AFBF982"/>
    <w:rsid w:val="0B1D36FB"/>
    <w:rsid w:val="0B64764E"/>
    <w:rsid w:val="0BAAB7BF"/>
    <w:rsid w:val="0BC8B435"/>
    <w:rsid w:val="0C3C8A5D"/>
    <w:rsid w:val="0C43369C"/>
    <w:rsid w:val="0C8EAFDE"/>
    <w:rsid w:val="0C98DB18"/>
    <w:rsid w:val="0CF4E2A6"/>
    <w:rsid w:val="0D32EB87"/>
    <w:rsid w:val="0D56F9F0"/>
    <w:rsid w:val="0D648496"/>
    <w:rsid w:val="0D82A228"/>
    <w:rsid w:val="0DAD44C3"/>
    <w:rsid w:val="0E448493"/>
    <w:rsid w:val="0E806EC2"/>
    <w:rsid w:val="0E96783E"/>
    <w:rsid w:val="0F0054F7"/>
    <w:rsid w:val="0F3C606C"/>
    <w:rsid w:val="0FDCFA85"/>
    <w:rsid w:val="1014387B"/>
    <w:rsid w:val="1028107C"/>
    <w:rsid w:val="105155D6"/>
    <w:rsid w:val="105838D0"/>
    <w:rsid w:val="10DAD19B"/>
    <w:rsid w:val="1106E40D"/>
    <w:rsid w:val="1148F88B"/>
    <w:rsid w:val="11E9E34F"/>
    <w:rsid w:val="11F40931"/>
    <w:rsid w:val="1216EF19"/>
    <w:rsid w:val="129492BB"/>
    <w:rsid w:val="1324748D"/>
    <w:rsid w:val="1386FDC9"/>
    <w:rsid w:val="138FD992"/>
    <w:rsid w:val="13AA0468"/>
    <w:rsid w:val="14126952"/>
    <w:rsid w:val="14312965"/>
    <w:rsid w:val="145561CB"/>
    <w:rsid w:val="147EF968"/>
    <w:rsid w:val="149640F5"/>
    <w:rsid w:val="14DCC5D0"/>
    <w:rsid w:val="150F781F"/>
    <w:rsid w:val="15282653"/>
    <w:rsid w:val="15F1322C"/>
    <w:rsid w:val="167760A6"/>
    <w:rsid w:val="16A389AC"/>
    <w:rsid w:val="16AAC685"/>
    <w:rsid w:val="17451F20"/>
    <w:rsid w:val="17465D35"/>
    <w:rsid w:val="1768CA27"/>
    <w:rsid w:val="17D3DD47"/>
    <w:rsid w:val="17E36CBD"/>
    <w:rsid w:val="18E528BB"/>
    <w:rsid w:val="19072EE6"/>
    <w:rsid w:val="1930752E"/>
    <w:rsid w:val="1991ABE4"/>
    <w:rsid w:val="199579AB"/>
    <w:rsid w:val="1A4232BD"/>
    <w:rsid w:val="1A42FE32"/>
    <w:rsid w:val="1A912850"/>
    <w:rsid w:val="1AF2DF03"/>
    <w:rsid w:val="1B271B5B"/>
    <w:rsid w:val="1C27982C"/>
    <w:rsid w:val="1C5CA3D3"/>
    <w:rsid w:val="1CD0DE09"/>
    <w:rsid w:val="1DA80498"/>
    <w:rsid w:val="1E651D9B"/>
    <w:rsid w:val="1E9017B3"/>
    <w:rsid w:val="1EE9F2D8"/>
    <w:rsid w:val="1EF20F10"/>
    <w:rsid w:val="1FF11357"/>
    <w:rsid w:val="20FEC7F5"/>
    <w:rsid w:val="2113E6F6"/>
    <w:rsid w:val="2115C1C5"/>
    <w:rsid w:val="2192CD6D"/>
    <w:rsid w:val="223F1EE4"/>
    <w:rsid w:val="2296D9B0"/>
    <w:rsid w:val="22BECE0E"/>
    <w:rsid w:val="2328B419"/>
    <w:rsid w:val="243A9797"/>
    <w:rsid w:val="2455B5A7"/>
    <w:rsid w:val="246BB05C"/>
    <w:rsid w:val="24C9EDF0"/>
    <w:rsid w:val="24D85E4A"/>
    <w:rsid w:val="256B4D89"/>
    <w:rsid w:val="25EF062A"/>
    <w:rsid w:val="2650F0FD"/>
    <w:rsid w:val="2682340C"/>
    <w:rsid w:val="26A02C5E"/>
    <w:rsid w:val="26A2206C"/>
    <w:rsid w:val="26BDB826"/>
    <w:rsid w:val="27723859"/>
    <w:rsid w:val="278A2633"/>
    <w:rsid w:val="279489B6"/>
    <w:rsid w:val="29E0B5CA"/>
    <w:rsid w:val="2A255F5D"/>
    <w:rsid w:val="2A2BFB15"/>
    <w:rsid w:val="2A5AA030"/>
    <w:rsid w:val="2A60440D"/>
    <w:rsid w:val="2A635D36"/>
    <w:rsid w:val="2A90B0BE"/>
    <w:rsid w:val="2AA9D91B"/>
    <w:rsid w:val="2B33C5FE"/>
    <w:rsid w:val="2B912949"/>
    <w:rsid w:val="2B9672B7"/>
    <w:rsid w:val="2B9EA95F"/>
    <w:rsid w:val="2B9FD46A"/>
    <w:rsid w:val="2C4B0A01"/>
    <w:rsid w:val="2C9966CF"/>
    <w:rsid w:val="2C9D7D21"/>
    <w:rsid w:val="2D091E0A"/>
    <w:rsid w:val="2D13D0AA"/>
    <w:rsid w:val="2D3C3D45"/>
    <w:rsid w:val="2D41FD4B"/>
    <w:rsid w:val="2D97E4CF"/>
    <w:rsid w:val="2DD9437E"/>
    <w:rsid w:val="2DE2BDC4"/>
    <w:rsid w:val="2E03F83B"/>
    <w:rsid w:val="2E611095"/>
    <w:rsid w:val="2E8D704F"/>
    <w:rsid w:val="2EB17659"/>
    <w:rsid w:val="2F0CE6EC"/>
    <w:rsid w:val="2F2B6303"/>
    <w:rsid w:val="2F79CAF8"/>
    <w:rsid w:val="30075680"/>
    <w:rsid w:val="305BB05D"/>
    <w:rsid w:val="30F2944B"/>
    <w:rsid w:val="312BC1ED"/>
    <w:rsid w:val="31A6C5DF"/>
    <w:rsid w:val="31C88B68"/>
    <w:rsid w:val="321E90A9"/>
    <w:rsid w:val="3276F8A6"/>
    <w:rsid w:val="3281EB5F"/>
    <w:rsid w:val="32C903A0"/>
    <w:rsid w:val="3342558B"/>
    <w:rsid w:val="3371A7FC"/>
    <w:rsid w:val="33DBA451"/>
    <w:rsid w:val="33ED6539"/>
    <w:rsid w:val="3412A8DB"/>
    <w:rsid w:val="34463E61"/>
    <w:rsid w:val="3450BB61"/>
    <w:rsid w:val="346A7DCC"/>
    <w:rsid w:val="349D487C"/>
    <w:rsid w:val="35053CF7"/>
    <w:rsid w:val="350F55E3"/>
    <w:rsid w:val="3528C8F6"/>
    <w:rsid w:val="354FC31E"/>
    <w:rsid w:val="35609763"/>
    <w:rsid w:val="3565EBB0"/>
    <w:rsid w:val="35847B48"/>
    <w:rsid w:val="358AE700"/>
    <w:rsid w:val="35A4F131"/>
    <w:rsid w:val="35C1B440"/>
    <w:rsid w:val="35EC8BC2"/>
    <w:rsid w:val="360E8A3E"/>
    <w:rsid w:val="3633BDA8"/>
    <w:rsid w:val="36538E56"/>
    <w:rsid w:val="36D4985E"/>
    <w:rsid w:val="36DC51AB"/>
    <w:rsid w:val="371E6A74"/>
    <w:rsid w:val="37585503"/>
    <w:rsid w:val="377386F7"/>
    <w:rsid w:val="3827CAD9"/>
    <w:rsid w:val="3872334F"/>
    <w:rsid w:val="3880A5B8"/>
    <w:rsid w:val="3906B9D4"/>
    <w:rsid w:val="397DD0A4"/>
    <w:rsid w:val="398E9E7B"/>
    <w:rsid w:val="39EA7CFE"/>
    <w:rsid w:val="3A21CC29"/>
    <w:rsid w:val="3A294118"/>
    <w:rsid w:val="3A2BAEF5"/>
    <w:rsid w:val="3A7D550E"/>
    <w:rsid w:val="3ACAB706"/>
    <w:rsid w:val="3B01FAE9"/>
    <w:rsid w:val="3B0DEAC6"/>
    <w:rsid w:val="3B5B927C"/>
    <w:rsid w:val="3B692ABA"/>
    <w:rsid w:val="3B816F1E"/>
    <w:rsid w:val="3B824468"/>
    <w:rsid w:val="3BBABFC4"/>
    <w:rsid w:val="3BDC0700"/>
    <w:rsid w:val="3C1947A2"/>
    <w:rsid w:val="3CBB3D81"/>
    <w:rsid w:val="3CCCA10F"/>
    <w:rsid w:val="3D1D3F7F"/>
    <w:rsid w:val="3D5438E9"/>
    <w:rsid w:val="3DC21E35"/>
    <w:rsid w:val="3DC63E74"/>
    <w:rsid w:val="3E1D4010"/>
    <w:rsid w:val="3EAC6FEF"/>
    <w:rsid w:val="3EF3C52C"/>
    <w:rsid w:val="3FA8BE26"/>
    <w:rsid w:val="3FE52FEF"/>
    <w:rsid w:val="3FF49E7A"/>
    <w:rsid w:val="4007B015"/>
    <w:rsid w:val="40963506"/>
    <w:rsid w:val="40E57A82"/>
    <w:rsid w:val="4119A1E1"/>
    <w:rsid w:val="4221C6D9"/>
    <w:rsid w:val="43BD973A"/>
    <w:rsid w:val="443AB16A"/>
    <w:rsid w:val="447CF26E"/>
    <w:rsid w:val="44F10C99"/>
    <w:rsid w:val="44F7E4B3"/>
    <w:rsid w:val="45285164"/>
    <w:rsid w:val="453A6EA3"/>
    <w:rsid w:val="45441B9A"/>
    <w:rsid w:val="45F1BC32"/>
    <w:rsid w:val="45FDB6F3"/>
    <w:rsid w:val="4611BB65"/>
    <w:rsid w:val="4630DB03"/>
    <w:rsid w:val="4641B133"/>
    <w:rsid w:val="464DA5F3"/>
    <w:rsid w:val="4657FAC3"/>
    <w:rsid w:val="4665D09E"/>
    <w:rsid w:val="466CB6BD"/>
    <w:rsid w:val="46E2AAA7"/>
    <w:rsid w:val="478C21D4"/>
    <w:rsid w:val="47D66334"/>
    <w:rsid w:val="483694B5"/>
    <w:rsid w:val="48491FF0"/>
    <w:rsid w:val="48749544"/>
    <w:rsid w:val="48C7F102"/>
    <w:rsid w:val="497C8551"/>
    <w:rsid w:val="49C055A4"/>
    <w:rsid w:val="49D802BB"/>
    <w:rsid w:val="4A1065A5"/>
    <w:rsid w:val="4A5E369F"/>
    <w:rsid w:val="4A77A228"/>
    <w:rsid w:val="4AB198D4"/>
    <w:rsid w:val="4ACA3A7D"/>
    <w:rsid w:val="4B11700A"/>
    <w:rsid w:val="4B2FE90F"/>
    <w:rsid w:val="4B5ED40A"/>
    <w:rsid w:val="4BFC1217"/>
    <w:rsid w:val="4C1B5DF9"/>
    <w:rsid w:val="4C24F99E"/>
    <w:rsid w:val="4C2B218F"/>
    <w:rsid w:val="4C2C0D99"/>
    <w:rsid w:val="4C30F603"/>
    <w:rsid w:val="4C7851C9"/>
    <w:rsid w:val="4CF75FA3"/>
    <w:rsid w:val="4D3B50CF"/>
    <w:rsid w:val="4DA11CC0"/>
    <w:rsid w:val="4DCD7673"/>
    <w:rsid w:val="4DD2E4E1"/>
    <w:rsid w:val="4E1BB3A2"/>
    <w:rsid w:val="4E1C5082"/>
    <w:rsid w:val="4E2D98B6"/>
    <w:rsid w:val="4EDDC4AA"/>
    <w:rsid w:val="4F0E9DFC"/>
    <w:rsid w:val="4F3278AA"/>
    <w:rsid w:val="4F70A186"/>
    <w:rsid w:val="4F7A3670"/>
    <w:rsid w:val="4FC7D234"/>
    <w:rsid w:val="502C927B"/>
    <w:rsid w:val="50641CEE"/>
    <w:rsid w:val="50C36193"/>
    <w:rsid w:val="50F28CBF"/>
    <w:rsid w:val="5107EC6A"/>
    <w:rsid w:val="512ADB22"/>
    <w:rsid w:val="51AC70A4"/>
    <w:rsid w:val="51E1E712"/>
    <w:rsid w:val="536D3C49"/>
    <w:rsid w:val="53A2FEDC"/>
    <w:rsid w:val="53BDA49F"/>
    <w:rsid w:val="53F7A1BA"/>
    <w:rsid w:val="547137C4"/>
    <w:rsid w:val="551F24C2"/>
    <w:rsid w:val="5580D2A5"/>
    <w:rsid w:val="55B8D5A8"/>
    <w:rsid w:val="565EFD18"/>
    <w:rsid w:val="566CC5DA"/>
    <w:rsid w:val="56DE0435"/>
    <w:rsid w:val="5743AFDA"/>
    <w:rsid w:val="57480088"/>
    <w:rsid w:val="57519A85"/>
    <w:rsid w:val="5799A4F2"/>
    <w:rsid w:val="57C61597"/>
    <w:rsid w:val="58130708"/>
    <w:rsid w:val="584B5367"/>
    <w:rsid w:val="5851E46C"/>
    <w:rsid w:val="5872FE38"/>
    <w:rsid w:val="58ED6AE6"/>
    <w:rsid w:val="5947FCCA"/>
    <w:rsid w:val="595C6B94"/>
    <w:rsid w:val="595FC4F9"/>
    <w:rsid w:val="59700F11"/>
    <w:rsid w:val="59A38581"/>
    <w:rsid w:val="5A0A82A0"/>
    <w:rsid w:val="5A2FEBA5"/>
    <w:rsid w:val="5A4AEA0E"/>
    <w:rsid w:val="5A6249B4"/>
    <w:rsid w:val="5B510A72"/>
    <w:rsid w:val="5B919A2C"/>
    <w:rsid w:val="5BE8BBF3"/>
    <w:rsid w:val="5C4E8EB2"/>
    <w:rsid w:val="5C7EE621"/>
    <w:rsid w:val="5CB61CC3"/>
    <w:rsid w:val="5D423200"/>
    <w:rsid w:val="5D8D4F12"/>
    <w:rsid w:val="5DC73AB3"/>
    <w:rsid w:val="5E23F538"/>
    <w:rsid w:val="5EB4861C"/>
    <w:rsid w:val="5EE9161A"/>
    <w:rsid w:val="5F8B26BA"/>
    <w:rsid w:val="5FBFAA05"/>
    <w:rsid w:val="5FD7F3DD"/>
    <w:rsid w:val="6152DD92"/>
    <w:rsid w:val="619203A1"/>
    <w:rsid w:val="61F07B69"/>
    <w:rsid w:val="632DD402"/>
    <w:rsid w:val="633FD01F"/>
    <w:rsid w:val="641032BA"/>
    <w:rsid w:val="643F9E29"/>
    <w:rsid w:val="64938782"/>
    <w:rsid w:val="64BDA77E"/>
    <w:rsid w:val="64F7E4DA"/>
    <w:rsid w:val="653BB4F0"/>
    <w:rsid w:val="6571D1BB"/>
    <w:rsid w:val="65829CD3"/>
    <w:rsid w:val="65CF99E9"/>
    <w:rsid w:val="65D06D60"/>
    <w:rsid w:val="666574C4"/>
    <w:rsid w:val="66AE5FA8"/>
    <w:rsid w:val="66E174DD"/>
    <w:rsid w:val="6715BF2B"/>
    <w:rsid w:val="67716C79"/>
    <w:rsid w:val="67C07CB2"/>
    <w:rsid w:val="67E79429"/>
    <w:rsid w:val="689A377F"/>
    <w:rsid w:val="690D54BA"/>
    <w:rsid w:val="69286CD6"/>
    <w:rsid w:val="696C580C"/>
    <w:rsid w:val="696F74EF"/>
    <w:rsid w:val="69B4A1B3"/>
    <w:rsid w:val="69F296FC"/>
    <w:rsid w:val="6A17C0CB"/>
    <w:rsid w:val="6A4FC2D1"/>
    <w:rsid w:val="6A76C91E"/>
    <w:rsid w:val="6A94141C"/>
    <w:rsid w:val="6AA0F1A7"/>
    <w:rsid w:val="6AE91953"/>
    <w:rsid w:val="6B154EB0"/>
    <w:rsid w:val="6B1747CF"/>
    <w:rsid w:val="6BD21082"/>
    <w:rsid w:val="6BFF11DC"/>
    <w:rsid w:val="6CA66298"/>
    <w:rsid w:val="6CAFE628"/>
    <w:rsid w:val="6CDCCACA"/>
    <w:rsid w:val="6CEAF04C"/>
    <w:rsid w:val="6D01DFE3"/>
    <w:rsid w:val="6D5AF018"/>
    <w:rsid w:val="6DB17575"/>
    <w:rsid w:val="6DBD551D"/>
    <w:rsid w:val="6DD3D1D8"/>
    <w:rsid w:val="6E367050"/>
    <w:rsid w:val="6E3E0419"/>
    <w:rsid w:val="6E7B03DA"/>
    <w:rsid w:val="6F4D7DCD"/>
    <w:rsid w:val="6F5D9C95"/>
    <w:rsid w:val="6F61DE74"/>
    <w:rsid w:val="6FC4DAFD"/>
    <w:rsid w:val="6FC89432"/>
    <w:rsid w:val="6FDE035A"/>
    <w:rsid w:val="7062FBE9"/>
    <w:rsid w:val="71313977"/>
    <w:rsid w:val="7173FE77"/>
    <w:rsid w:val="71842C9A"/>
    <w:rsid w:val="72415FCA"/>
    <w:rsid w:val="724D4EEA"/>
    <w:rsid w:val="7259FE0B"/>
    <w:rsid w:val="726F36E6"/>
    <w:rsid w:val="72924A6A"/>
    <w:rsid w:val="72FC7BBF"/>
    <w:rsid w:val="73CC20B4"/>
    <w:rsid w:val="7405E554"/>
    <w:rsid w:val="7422335D"/>
    <w:rsid w:val="74618854"/>
    <w:rsid w:val="74AD459D"/>
    <w:rsid w:val="753C0010"/>
    <w:rsid w:val="754FDEDA"/>
    <w:rsid w:val="75933600"/>
    <w:rsid w:val="75A039E6"/>
    <w:rsid w:val="75C53682"/>
    <w:rsid w:val="764915FE"/>
    <w:rsid w:val="7675D712"/>
    <w:rsid w:val="76933C0C"/>
    <w:rsid w:val="76B19B51"/>
    <w:rsid w:val="76B8A439"/>
    <w:rsid w:val="77A66020"/>
    <w:rsid w:val="77B66310"/>
    <w:rsid w:val="78904FE4"/>
    <w:rsid w:val="796BBD43"/>
    <w:rsid w:val="79B2D88B"/>
    <w:rsid w:val="79D4AC5A"/>
    <w:rsid w:val="7A058611"/>
    <w:rsid w:val="7A4D7EC6"/>
    <w:rsid w:val="7B48E56A"/>
    <w:rsid w:val="7C2B37DE"/>
    <w:rsid w:val="7D62C96D"/>
    <w:rsid w:val="7D9C6016"/>
    <w:rsid w:val="7DDC02AF"/>
    <w:rsid w:val="7E535E95"/>
    <w:rsid w:val="7E5856C3"/>
    <w:rsid w:val="7EFA0B3D"/>
    <w:rsid w:val="7F0B4806"/>
    <w:rsid w:val="7F1FAF1B"/>
    <w:rsid w:val="7F577438"/>
    <w:rsid w:val="7F6CF135"/>
    <w:rsid w:val="7F9C5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D9EA31AA-5A48-4AA9-BB9E-AD2026D8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link w:val="Heading3Char"/>
    <w:uiPriority w:val="9"/>
    <w:qFormat/>
    <w:rsid w:val="00813E5E"/>
    <w:pPr>
      <w:spacing w:before="200"/>
      <w:outlineLvl w:val="2"/>
    </w:pPr>
    <w:rPr>
      <w:sz w:val="24"/>
    </w:rPr>
  </w:style>
  <w:style w:type="paragraph" w:styleId="Heading4">
    <w:name w:val="heading 4"/>
    <w:basedOn w:val="Heading3"/>
    <w:next w:val="Normal"/>
    <w:link w:val="Heading4Char"/>
    <w:uiPriority w:val="9"/>
    <w:qFormat/>
    <w:rsid w:val="00813E5E"/>
    <w:pPr>
      <w:ind w:left="1134" w:hanging="1134"/>
      <w:outlineLvl w:val="3"/>
    </w:pPr>
  </w:style>
  <w:style w:type="paragraph" w:styleId="Heading5">
    <w:name w:val="heading 5"/>
    <w:basedOn w:val="Heading4"/>
    <w:next w:val="Normal"/>
    <w:link w:val="Heading5Char"/>
    <w:uiPriority w:val="9"/>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link w:val="Heading9Char"/>
    <w:uiPriority w:val="9"/>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级链,超????,하이퍼링크2,하이퍼링크21,超链接1,CEO_Hyperlink,超??级链Ú,fL????,fL?级,超??级链"/>
    <w:basedOn w:val="DefaultParagraphFont"/>
    <w:uiPriority w:val="99"/>
    <w:qForma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uiPriority w:val="39"/>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customStyle="1" w:styleId="findhit">
    <w:name w:val="findhit"/>
    <w:basedOn w:val="DefaultParagraphFont"/>
    <w:rsid w:val="00E5077D"/>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Heading1Char">
    <w:name w:val="Heading 1 Char"/>
    <w:basedOn w:val="DefaultParagraphFont"/>
    <w:link w:val="Heading1"/>
    <w:uiPriority w:val="9"/>
    <w:rsid w:val="0011467A"/>
    <w:rPr>
      <w:rFonts w:ascii="Calibri" w:hAnsi="Calibri"/>
      <w:b/>
      <w:sz w:val="28"/>
      <w:lang w:val="en-GB" w:eastAsia="en-US"/>
    </w:rPr>
  </w:style>
  <w:style w:type="character" w:customStyle="1" w:styleId="Heading2Char">
    <w:name w:val="Heading 2 Char"/>
    <w:basedOn w:val="DefaultParagraphFont"/>
    <w:link w:val="Heading2"/>
    <w:uiPriority w:val="9"/>
    <w:rsid w:val="0011467A"/>
    <w:rPr>
      <w:rFonts w:ascii="Calibri" w:hAnsi="Calibri"/>
      <w:b/>
      <w:sz w:val="24"/>
      <w:lang w:val="en-GB" w:eastAsia="en-US"/>
    </w:rPr>
  </w:style>
  <w:style w:type="paragraph" w:customStyle="1" w:styleId="msonormal0">
    <w:name w:val="msonormal"/>
    <w:basedOn w:val="Normal"/>
    <w:rsid w:val="0011467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paragraph">
    <w:name w:val="paragraph"/>
    <w:basedOn w:val="Normal"/>
    <w:rsid w:val="0011467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eop">
    <w:name w:val="eop"/>
    <w:basedOn w:val="DefaultParagraphFont"/>
    <w:rsid w:val="0011467A"/>
  </w:style>
  <w:style w:type="character" w:customStyle="1" w:styleId="textrun">
    <w:name w:val="textrun"/>
    <w:basedOn w:val="DefaultParagraphFont"/>
    <w:rsid w:val="0011467A"/>
  </w:style>
  <w:style w:type="character" w:customStyle="1" w:styleId="normaltextrun">
    <w:name w:val="normaltextrun"/>
    <w:basedOn w:val="DefaultParagraphFont"/>
    <w:rsid w:val="0011467A"/>
  </w:style>
  <w:style w:type="paragraph" w:customStyle="1" w:styleId="outlineelement">
    <w:name w:val="outlineelement"/>
    <w:basedOn w:val="Normal"/>
    <w:rsid w:val="0011467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trackchangetextdeletion">
    <w:name w:val="trackchangetextdeletion"/>
    <w:basedOn w:val="DefaultParagraphFont"/>
    <w:rsid w:val="0011467A"/>
  </w:style>
  <w:style w:type="character" w:customStyle="1" w:styleId="trackchangetextinsertion">
    <w:name w:val="trackchangetextinsertion"/>
    <w:basedOn w:val="DefaultParagraphFont"/>
    <w:rsid w:val="0011467A"/>
  </w:style>
  <w:style w:type="character" w:customStyle="1" w:styleId="fieldrange">
    <w:name w:val="fieldrange"/>
    <w:basedOn w:val="DefaultParagraphFont"/>
    <w:rsid w:val="0011467A"/>
  </w:style>
  <w:style w:type="character" w:customStyle="1" w:styleId="pagebreakblob">
    <w:name w:val="pagebreakblob"/>
    <w:basedOn w:val="DefaultParagraphFont"/>
    <w:rsid w:val="0011467A"/>
  </w:style>
  <w:style w:type="character" w:customStyle="1" w:styleId="pagebreakborderspan">
    <w:name w:val="pagebreakborderspan"/>
    <w:basedOn w:val="DefaultParagraphFont"/>
    <w:rsid w:val="0011467A"/>
  </w:style>
  <w:style w:type="character" w:customStyle="1" w:styleId="pagebreaktextspan">
    <w:name w:val="pagebreaktextspan"/>
    <w:basedOn w:val="DefaultParagraphFont"/>
    <w:rsid w:val="0011467A"/>
  </w:style>
  <w:style w:type="character" w:customStyle="1" w:styleId="superscript">
    <w:name w:val="superscript"/>
    <w:basedOn w:val="DefaultParagraphFont"/>
    <w:rsid w:val="0011467A"/>
  </w:style>
  <w:style w:type="character" w:customStyle="1" w:styleId="linebreakblob">
    <w:name w:val="linebreakblob"/>
    <w:basedOn w:val="DefaultParagraphFont"/>
    <w:rsid w:val="0011467A"/>
  </w:style>
  <w:style w:type="character" w:customStyle="1" w:styleId="bcx7">
    <w:name w:val="bcx7"/>
    <w:basedOn w:val="DefaultParagraphFont"/>
    <w:rsid w:val="0011467A"/>
  </w:style>
  <w:style w:type="character" w:customStyle="1" w:styleId="UnresolvedMention1">
    <w:name w:val="Unresolved Mention1"/>
    <w:basedOn w:val="DefaultParagraphFont"/>
    <w:uiPriority w:val="99"/>
    <w:unhideWhenUsed/>
    <w:rsid w:val="0011467A"/>
    <w:rPr>
      <w:color w:val="605E5C"/>
      <w:shd w:val="clear" w:color="auto" w:fill="E1DFDD"/>
    </w:rPr>
  </w:style>
  <w:style w:type="paragraph" w:styleId="Title">
    <w:name w:val="Title"/>
    <w:basedOn w:val="Normal"/>
    <w:next w:val="Normal"/>
    <w:link w:val="TitleChar"/>
    <w:uiPriority w:val="10"/>
    <w:qFormat/>
    <w:rsid w:val="0011467A"/>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67A"/>
    <w:rPr>
      <w:rFonts w:asciiTheme="majorHAnsi" w:eastAsiaTheme="majorEastAsia" w:hAnsiTheme="majorHAnsi" w:cstheme="majorBidi"/>
      <w:spacing w:val="-10"/>
      <w:kern w:val="28"/>
      <w:sz w:val="56"/>
      <w:szCs w:val="56"/>
      <w:lang w:val="en-GB" w:eastAsia="en-US"/>
    </w:rPr>
  </w:style>
  <w:style w:type="character" w:customStyle="1" w:styleId="scxw33153122">
    <w:name w:val="scxw33153122"/>
    <w:basedOn w:val="DefaultParagraphFont"/>
    <w:rsid w:val="0011467A"/>
  </w:style>
  <w:style w:type="character" w:customStyle="1" w:styleId="FooterChar">
    <w:name w:val="Footer Char"/>
    <w:basedOn w:val="DefaultParagraphFont"/>
    <w:link w:val="Footer"/>
    <w:uiPriority w:val="99"/>
    <w:rsid w:val="0011467A"/>
    <w:rPr>
      <w:rFonts w:ascii="Calibri" w:hAnsi="Calibri"/>
      <w:caps/>
      <w:noProof/>
      <w:sz w:val="16"/>
      <w:lang w:val="en-GB" w:eastAsia="en-US"/>
    </w:rPr>
  </w:style>
  <w:style w:type="paragraph" w:styleId="BalloonText">
    <w:name w:val="Balloon Text"/>
    <w:basedOn w:val="Normal"/>
    <w:link w:val="BalloonTextChar"/>
    <w:uiPriority w:val="99"/>
    <w:semiHidden/>
    <w:unhideWhenUsed/>
    <w:rsid w:val="0011467A"/>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1467A"/>
    <w:rPr>
      <w:rFonts w:ascii="Segoe UI" w:eastAsiaTheme="minorHAnsi" w:hAnsi="Segoe UI" w:cs="Segoe UI"/>
      <w:sz w:val="18"/>
      <w:szCs w:val="18"/>
      <w:lang w:val="en-GB" w:eastAsia="en-US"/>
    </w:rPr>
  </w:style>
  <w:style w:type="character" w:styleId="CommentReference">
    <w:name w:val="annotation reference"/>
    <w:uiPriority w:val="99"/>
    <w:rsid w:val="0011467A"/>
    <w:rPr>
      <w:sz w:val="16"/>
      <w:szCs w:val="16"/>
    </w:rPr>
  </w:style>
  <w:style w:type="paragraph" w:styleId="CommentText">
    <w:name w:val="annotation text"/>
    <w:basedOn w:val="Normal"/>
    <w:link w:val="CommentTextChar"/>
    <w:uiPriority w:val="99"/>
    <w:rsid w:val="0011467A"/>
    <w:pPr>
      <w:tabs>
        <w:tab w:val="clear" w:pos="567"/>
        <w:tab w:val="clear" w:pos="1134"/>
        <w:tab w:val="clear" w:pos="1701"/>
        <w:tab w:val="clear" w:pos="2268"/>
        <w:tab w:val="clear" w:pos="2835"/>
      </w:tabs>
      <w:overflowPunct/>
      <w:autoSpaceDE/>
      <w:autoSpaceDN/>
      <w:adjustRightInd/>
      <w:textAlignment w:val="auto"/>
    </w:pPr>
    <w:rPr>
      <w:rFonts w:eastAsiaTheme="minorEastAsia"/>
      <w:sz w:val="20"/>
      <w:szCs w:val="22"/>
      <w:lang w:val="en-US" w:eastAsia="fr-FR"/>
    </w:rPr>
  </w:style>
  <w:style w:type="character" w:customStyle="1" w:styleId="CommentTextChar">
    <w:name w:val="Comment Text Char"/>
    <w:basedOn w:val="DefaultParagraphFont"/>
    <w:link w:val="CommentText"/>
    <w:uiPriority w:val="99"/>
    <w:rsid w:val="0011467A"/>
    <w:rPr>
      <w:rFonts w:ascii="Calibri" w:eastAsiaTheme="minorEastAsia" w:hAnsi="Calibri"/>
      <w:szCs w:val="22"/>
      <w:lang w:eastAsia="fr-FR"/>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1467A"/>
    <w:pPr>
      <w:tabs>
        <w:tab w:val="clear" w:pos="567"/>
        <w:tab w:val="clear" w:pos="1134"/>
        <w:tab w:val="clear" w:pos="1701"/>
        <w:tab w:val="clear" w:pos="2268"/>
        <w:tab w:val="clear" w:pos="2835"/>
      </w:tabs>
      <w:overflowPunct/>
      <w:autoSpaceDE/>
      <w:autoSpaceDN/>
      <w:adjustRightInd/>
      <w:ind w:left="510"/>
      <w:textAlignment w:val="auto"/>
    </w:pPr>
    <w:rPr>
      <w:rFonts w:eastAsia="PMingLiU"/>
      <w:sz w:val="22"/>
      <w:szCs w:val="22"/>
      <w:lang w:val="en-US" w:eastAsia="zh-TW"/>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11467A"/>
    <w:rPr>
      <w:rFonts w:ascii="Calibri" w:eastAsia="PMingLiU" w:hAnsi="Calibri"/>
      <w:sz w:val="22"/>
      <w:szCs w:val="22"/>
      <w:lang w:eastAsia="zh-TW"/>
    </w:rPr>
  </w:style>
  <w:style w:type="paragraph" w:customStyle="1" w:styleId="Tableheadwhitecentred">
    <w:name w:val="Table head white centred"/>
    <w:basedOn w:val="Normal"/>
    <w:rsid w:val="0011467A"/>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val="en-US" w:eastAsia="fr-FR"/>
    </w:rPr>
  </w:style>
  <w:style w:type="paragraph" w:customStyle="1" w:styleId="boxtext">
    <w:name w:val="box_text"/>
    <w:basedOn w:val="Normal"/>
    <w:link w:val="boxtextChar"/>
    <w:rsid w:val="0011467A"/>
    <w:pPr>
      <w:tabs>
        <w:tab w:val="clear" w:pos="567"/>
        <w:tab w:val="clear" w:pos="1134"/>
        <w:tab w:val="clear" w:pos="1701"/>
        <w:tab w:val="clear" w:pos="2268"/>
        <w:tab w:val="clear" w:pos="2835"/>
      </w:tabs>
      <w:overflowPunct/>
      <w:autoSpaceDE/>
      <w:autoSpaceDN/>
      <w:adjustRightInd/>
      <w:spacing w:before="60" w:after="60"/>
      <w:textAlignment w:val="auto"/>
    </w:pPr>
    <w:rPr>
      <w:rFonts w:eastAsiaTheme="minorEastAsia" w:cs="Calibri"/>
      <w:sz w:val="22"/>
      <w:szCs w:val="22"/>
      <w:lang w:val="en-US" w:eastAsia="fr-FR"/>
    </w:rPr>
  </w:style>
  <w:style w:type="character" w:customStyle="1" w:styleId="boxtextChar">
    <w:name w:val="box_text Char"/>
    <w:basedOn w:val="DefaultParagraphFont"/>
    <w:link w:val="boxtext"/>
    <w:locked/>
    <w:rsid w:val="0011467A"/>
    <w:rPr>
      <w:rFonts w:ascii="Calibri" w:eastAsiaTheme="minorEastAsia" w:hAnsi="Calibri" w:cs="Calibri"/>
      <w:sz w:val="22"/>
      <w:szCs w:val="22"/>
      <w:lang w:eastAsia="fr-FR"/>
    </w:rPr>
  </w:style>
  <w:style w:type="paragraph" w:customStyle="1" w:styleId="Tabletextcentred">
    <w:name w:val="Table text centred"/>
    <w:basedOn w:val="Normal"/>
    <w:rsid w:val="0011467A"/>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eastAsia="fr-FR"/>
    </w:rPr>
  </w:style>
  <w:style w:type="paragraph" w:customStyle="1" w:styleId="Tabletextrightaligned">
    <w:name w:val="Table text right aligned"/>
    <w:basedOn w:val="Normal"/>
    <w:rsid w:val="0011467A"/>
    <w:pPr>
      <w:tabs>
        <w:tab w:val="clear" w:pos="567"/>
        <w:tab w:val="clear" w:pos="1134"/>
        <w:tab w:val="clear" w:pos="1701"/>
        <w:tab w:val="clear" w:pos="2268"/>
        <w:tab w:val="clear" w:pos="2835"/>
      </w:tabs>
      <w:overflowPunct/>
      <w:autoSpaceDE/>
      <w:autoSpaceDN/>
      <w:adjustRightInd/>
      <w:textAlignment w:val="auto"/>
    </w:pPr>
    <w:rPr>
      <w:rFonts w:eastAsiaTheme="minorEastAsia"/>
      <w:sz w:val="21"/>
      <w:szCs w:val="22"/>
      <w:lang w:eastAsia="fr-FR"/>
    </w:rPr>
  </w:style>
  <w:style w:type="table" w:styleId="ListTable3-Accent1">
    <w:name w:val="List Table 3 Accent 1"/>
    <w:basedOn w:val="TableNormal"/>
    <w:uiPriority w:val="48"/>
    <w:rsid w:val="0011467A"/>
    <w:rPr>
      <w:rFonts w:asciiTheme="minorHAnsi" w:eastAsiaTheme="minorHAnsi" w:hAnsiTheme="minorHAnsi" w:cstheme="minorBidi"/>
      <w:sz w:val="22"/>
      <w:szCs w:val="22"/>
      <w:lang w:val="en-GB"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link w:val="NormalWebChar"/>
    <w:uiPriority w:val="99"/>
    <w:rsid w:val="0011467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1"/>
      <w:szCs w:val="24"/>
      <w:lang w:val="en-US" w:eastAsia="zh-CN"/>
    </w:rPr>
  </w:style>
  <w:style w:type="character" w:customStyle="1" w:styleId="NormalWebChar">
    <w:name w:val="Normal (Web) Char"/>
    <w:link w:val="NormalWeb"/>
    <w:uiPriority w:val="99"/>
    <w:locked/>
    <w:rsid w:val="0011467A"/>
    <w:rPr>
      <w:rFonts w:ascii="Calibri" w:eastAsia="SimSun" w:hAnsi="Calibri"/>
      <w:sz w:val="21"/>
      <w:szCs w:val="24"/>
    </w:rPr>
  </w:style>
  <w:style w:type="paragraph" w:styleId="PlainText">
    <w:name w:val="Plain Text"/>
    <w:basedOn w:val="Normal"/>
    <w:link w:val="PlainTextChar"/>
    <w:uiPriority w:val="99"/>
    <w:unhideWhenUsed/>
    <w:rsid w:val="0011467A"/>
    <w:pPr>
      <w:tabs>
        <w:tab w:val="clear" w:pos="567"/>
        <w:tab w:val="clear" w:pos="1134"/>
        <w:tab w:val="clear" w:pos="1701"/>
        <w:tab w:val="clear" w:pos="2268"/>
        <w:tab w:val="clear" w:pos="2835"/>
      </w:tabs>
      <w:overflowPunct/>
      <w:autoSpaceDE/>
      <w:autoSpaceDN/>
      <w:adjustRightInd/>
      <w:spacing w:before="0"/>
      <w:textAlignment w:val="auto"/>
    </w:pPr>
    <w:rPr>
      <w:rFonts w:ascii="Courier New" w:eastAsia="SimSun" w:hAnsi="Courier New" w:cs="Courier New"/>
      <w:sz w:val="20"/>
      <w:szCs w:val="22"/>
      <w:lang w:val="en-US" w:eastAsia="zh-CN"/>
    </w:rPr>
  </w:style>
  <w:style w:type="character" w:customStyle="1" w:styleId="PlainTextChar">
    <w:name w:val="Plain Text Char"/>
    <w:basedOn w:val="DefaultParagraphFont"/>
    <w:link w:val="PlainText"/>
    <w:uiPriority w:val="99"/>
    <w:rsid w:val="0011467A"/>
    <w:rPr>
      <w:rFonts w:ascii="Courier New" w:eastAsia="SimSun" w:hAnsi="Courier New" w:cs="Courier New"/>
      <w:szCs w:val="22"/>
    </w:rPr>
  </w:style>
  <w:style w:type="character" w:styleId="Emphasis">
    <w:name w:val="Emphasis"/>
    <w:basedOn w:val="DefaultParagraphFont"/>
    <w:uiPriority w:val="20"/>
    <w:qFormat/>
    <w:rsid w:val="0011467A"/>
    <w:rPr>
      <w:i/>
      <w:iC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uiPriority w:val="99"/>
    <w:rsid w:val="0011467A"/>
    <w:rPr>
      <w:rFonts w:ascii="Calibri" w:hAnsi="Calibri"/>
      <w:sz w:val="24"/>
      <w:lang w:val="en-GB" w:eastAsia="en-US"/>
    </w:rPr>
  </w:style>
  <w:style w:type="character" w:customStyle="1" w:styleId="normalWSISChar">
    <w:name w:val="normal WSIS Char"/>
    <w:basedOn w:val="DefaultParagraphFont"/>
    <w:link w:val="normalWSIS"/>
    <w:locked/>
    <w:rsid w:val="0011467A"/>
    <w:rPr>
      <w:rFonts w:ascii="Calibri" w:eastAsia="SimSun" w:hAnsi="Calibri" w:cs="Arial"/>
    </w:rPr>
  </w:style>
  <w:style w:type="paragraph" w:customStyle="1" w:styleId="normalWSIS">
    <w:name w:val="normal WSIS"/>
    <w:basedOn w:val="ListParagraph"/>
    <w:link w:val="normalWSISChar"/>
    <w:qFormat/>
    <w:rsid w:val="0011467A"/>
    <w:pPr>
      <w:numPr>
        <w:numId w:val="10"/>
      </w:numPr>
      <w:tabs>
        <w:tab w:val="left" w:pos="426"/>
      </w:tabs>
      <w:spacing w:after="200"/>
    </w:pPr>
    <w:rPr>
      <w:rFonts w:eastAsia="SimSun" w:cs="Arial"/>
      <w:sz w:val="20"/>
      <w:szCs w:val="20"/>
      <w:lang w:eastAsia="zh-CN"/>
    </w:rPr>
  </w:style>
  <w:style w:type="paragraph" w:styleId="Revision">
    <w:name w:val="Revision"/>
    <w:hidden/>
    <w:uiPriority w:val="99"/>
    <w:semiHidden/>
    <w:rsid w:val="0011467A"/>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11467A"/>
    <w:pPr>
      <w:spacing w:before="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11467A"/>
    <w:rPr>
      <w:rFonts w:asciiTheme="minorHAnsi" w:eastAsiaTheme="minorHAnsi" w:hAnsiTheme="minorHAnsi" w:cstheme="minorBidi"/>
      <w:b/>
      <w:bCs/>
      <w:szCs w:val="22"/>
      <w:lang w:val="en-GB" w:eastAsia="en-US"/>
    </w:rPr>
  </w:style>
  <w:style w:type="character" w:customStyle="1" w:styleId="Mention1">
    <w:name w:val="Mention1"/>
    <w:basedOn w:val="DefaultParagraphFont"/>
    <w:uiPriority w:val="99"/>
    <w:unhideWhenUsed/>
    <w:rsid w:val="0011467A"/>
    <w:rPr>
      <w:color w:val="2B579A"/>
      <w:shd w:val="clear" w:color="auto" w:fill="E1DFDD"/>
    </w:rPr>
  </w:style>
  <w:style w:type="character" w:customStyle="1" w:styleId="Heading5Char">
    <w:name w:val="Heading 5 Char"/>
    <w:basedOn w:val="DefaultParagraphFont"/>
    <w:link w:val="Heading5"/>
    <w:uiPriority w:val="9"/>
    <w:rsid w:val="0011467A"/>
    <w:rPr>
      <w:rFonts w:ascii="Calibri" w:hAnsi="Calibri"/>
      <w:b/>
      <w:sz w:val="24"/>
      <w:lang w:val="en-GB" w:eastAsia="en-US"/>
    </w:rPr>
  </w:style>
  <w:style w:type="character" w:customStyle="1" w:styleId="Heading3Char">
    <w:name w:val="Heading 3 Char"/>
    <w:basedOn w:val="DefaultParagraphFont"/>
    <w:link w:val="Heading3"/>
    <w:uiPriority w:val="9"/>
    <w:rsid w:val="0011467A"/>
    <w:rPr>
      <w:rFonts w:ascii="Calibri" w:hAnsi="Calibri"/>
      <w:b/>
      <w:sz w:val="24"/>
      <w:lang w:val="en-GB" w:eastAsia="en-US"/>
    </w:rPr>
  </w:style>
  <w:style w:type="paragraph" w:styleId="TOCHeading">
    <w:name w:val="TOC Heading"/>
    <w:basedOn w:val="Heading1"/>
    <w:next w:val="Normal"/>
    <w:uiPriority w:val="39"/>
    <w:unhideWhenUsed/>
    <w:qFormat/>
    <w:rsid w:val="0011467A"/>
    <w:pPr>
      <w:tabs>
        <w:tab w:val="clear" w:pos="567"/>
        <w:tab w:val="clear" w:pos="1134"/>
        <w:tab w:val="clear" w:pos="1701"/>
        <w:tab w:val="clear" w:pos="2268"/>
        <w:tab w:val="clear" w:pos="2835"/>
      </w:tabs>
      <w:overflowPunct/>
      <w:autoSpaceDE/>
      <w:autoSpaceDN/>
      <w:adjustRightInd/>
      <w:spacing w:before="240" w:line="259" w:lineRule="auto"/>
      <w:textAlignment w:val="auto"/>
      <w:outlineLvl w:val="9"/>
    </w:pPr>
    <w:rPr>
      <w:rFonts w:eastAsiaTheme="majorEastAsia" w:cs="Calibri"/>
      <w:b w:val="0"/>
      <w:color w:val="365F91" w:themeColor="accent1" w:themeShade="BF"/>
      <w:sz w:val="32"/>
      <w:szCs w:val="32"/>
      <w:lang w:val="en-US"/>
    </w:rPr>
  </w:style>
  <w:style w:type="character" w:styleId="Strong">
    <w:name w:val="Strong"/>
    <w:basedOn w:val="DefaultParagraphFont"/>
    <w:uiPriority w:val="22"/>
    <w:qFormat/>
    <w:rsid w:val="0011467A"/>
    <w:rPr>
      <w:b/>
      <w:bCs/>
    </w:rPr>
  </w:style>
  <w:style w:type="paragraph" w:customStyle="1" w:styleId="xmsolistparagraph">
    <w:name w:val="x_msolistparagraph"/>
    <w:basedOn w:val="Normal"/>
    <w:rsid w:val="0011467A"/>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HAnsi" w:cs="Calibri"/>
      <w:sz w:val="22"/>
      <w:szCs w:val="22"/>
      <w:lang w:eastAsia="en-GB"/>
    </w:rPr>
  </w:style>
  <w:style w:type="paragraph" w:customStyle="1" w:styleId="Table">
    <w:name w:val="Table_#"/>
    <w:basedOn w:val="Normal"/>
    <w:next w:val="Normal"/>
    <w:rsid w:val="0011467A"/>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11467A"/>
  </w:style>
  <w:style w:type="character" w:styleId="SubtleEmphasis">
    <w:name w:val="Subtle Emphasis"/>
    <w:basedOn w:val="DefaultParagraphFont"/>
    <w:uiPriority w:val="19"/>
    <w:qFormat/>
    <w:rsid w:val="0011467A"/>
    <w:rPr>
      <w:i/>
      <w:iCs/>
      <w:color w:val="404040" w:themeColor="text1" w:themeTint="BF"/>
    </w:rPr>
  </w:style>
  <w:style w:type="paragraph" w:customStyle="1" w:styleId="tabletitle0">
    <w:name w:val="table_title"/>
    <w:basedOn w:val="Normal"/>
    <w:qFormat/>
    <w:rsid w:val="0011467A"/>
    <w:pPr>
      <w:keepNext/>
      <w:tabs>
        <w:tab w:val="clear" w:pos="567"/>
        <w:tab w:val="clear" w:pos="1134"/>
        <w:tab w:val="clear" w:pos="1701"/>
        <w:tab w:val="clear" w:pos="2268"/>
        <w:tab w:val="clear" w:pos="2835"/>
      </w:tabs>
      <w:overflowPunct/>
      <w:autoSpaceDE/>
      <w:autoSpaceDN/>
      <w:adjustRightInd/>
      <w:spacing w:before="0" w:after="120"/>
      <w:jc w:val="both"/>
      <w:textAlignment w:val="auto"/>
    </w:pPr>
    <w:rPr>
      <w:rFonts w:eastAsiaTheme="minorHAnsi" w:cs="Calibri"/>
      <w:b/>
      <w:bCs/>
      <w:color w:val="4472C4"/>
      <w:sz w:val="22"/>
      <w:szCs w:val="22"/>
    </w:rPr>
  </w:style>
  <w:style w:type="paragraph" w:customStyle="1" w:styleId="boxhead">
    <w:name w:val="box_head"/>
    <w:basedOn w:val="Normal"/>
    <w:qFormat/>
    <w:rsid w:val="0011467A"/>
    <w:pPr>
      <w:tabs>
        <w:tab w:val="clear" w:pos="567"/>
        <w:tab w:val="clear" w:pos="1134"/>
        <w:tab w:val="clear" w:pos="1701"/>
        <w:tab w:val="clear" w:pos="2268"/>
        <w:tab w:val="clear" w:pos="2835"/>
      </w:tabs>
      <w:overflowPunct/>
      <w:autoSpaceDE/>
      <w:autoSpaceDN/>
      <w:adjustRightInd/>
      <w:spacing w:after="60"/>
      <w:textAlignment w:val="auto"/>
    </w:pPr>
    <w:rPr>
      <w:rFonts w:eastAsia="Calibri" w:cs="Calibri"/>
      <w:b/>
      <w:sz w:val="22"/>
      <w:szCs w:val="22"/>
      <w:u w:val="single"/>
      <w:lang w:eastAsia="zh-CN"/>
    </w:rPr>
  </w:style>
  <w:style w:type="paragraph" w:customStyle="1" w:styleId="boxbullet">
    <w:name w:val="box_bullet"/>
    <w:basedOn w:val="Normal"/>
    <w:qFormat/>
    <w:rsid w:val="0011467A"/>
    <w:pPr>
      <w:numPr>
        <w:numId w:val="11"/>
      </w:numPr>
      <w:tabs>
        <w:tab w:val="clear" w:pos="567"/>
        <w:tab w:val="clear" w:pos="1134"/>
        <w:tab w:val="clear" w:pos="1701"/>
        <w:tab w:val="clear" w:pos="2268"/>
        <w:tab w:val="clear" w:pos="2835"/>
      </w:tabs>
      <w:overflowPunct/>
      <w:autoSpaceDE/>
      <w:autoSpaceDN/>
      <w:adjustRightInd/>
      <w:spacing w:before="60" w:after="60"/>
      <w:ind w:left="714" w:hanging="357"/>
      <w:jc w:val="both"/>
      <w:textAlignment w:val="auto"/>
    </w:pPr>
    <w:rPr>
      <w:rFonts w:eastAsiaTheme="minorEastAsia" w:cs="Calibri"/>
      <w:sz w:val="22"/>
      <w:szCs w:val="22"/>
      <w:lang w:eastAsia="zh-CN"/>
    </w:rPr>
  </w:style>
  <w:style w:type="paragraph" w:customStyle="1" w:styleId="Boxbullet2">
    <w:name w:val="Box_bullet2"/>
    <w:basedOn w:val="Normal"/>
    <w:qFormat/>
    <w:rsid w:val="0011467A"/>
    <w:pPr>
      <w:numPr>
        <w:ilvl w:val="1"/>
        <w:numId w:val="11"/>
      </w:numPr>
      <w:tabs>
        <w:tab w:val="clear" w:pos="567"/>
        <w:tab w:val="clear" w:pos="1134"/>
        <w:tab w:val="clear" w:pos="1701"/>
        <w:tab w:val="clear" w:pos="2268"/>
        <w:tab w:val="clear" w:pos="2835"/>
      </w:tabs>
      <w:overflowPunct/>
      <w:autoSpaceDE/>
      <w:autoSpaceDN/>
      <w:adjustRightInd/>
      <w:spacing w:before="60" w:after="60"/>
      <w:ind w:left="1434" w:hanging="357"/>
      <w:jc w:val="both"/>
      <w:textAlignment w:val="auto"/>
    </w:pPr>
    <w:rPr>
      <w:rFonts w:eastAsiaTheme="minorEastAsia"/>
      <w:sz w:val="22"/>
      <w:szCs w:val="22"/>
      <w:lang w:eastAsia="zh-CN"/>
    </w:rPr>
  </w:style>
  <w:style w:type="paragraph" w:customStyle="1" w:styleId="tabletext0">
    <w:name w:val="table_text"/>
    <w:basedOn w:val="Normal"/>
    <w:rsid w:val="0011467A"/>
    <w:pPr>
      <w:tabs>
        <w:tab w:val="clear" w:pos="567"/>
        <w:tab w:val="clear" w:pos="1134"/>
        <w:tab w:val="clear" w:pos="1701"/>
        <w:tab w:val="clear" w:pos="2268"/>
        <w:tab w:val="clear" w:pos="2835"/>
      </w:tabs>
      <w:overflowPunct/>
      <w:autoSpaceDE/>
      <w:autoSpaceDN/>
      <w:adjustRightInd/>
      <w:spacing w:before="80" w:after="80"/>
      <w:jc w:val="both"/>
      <w:textAlignment w:val="auto"/>
    </w:pPr>
    <w:rPr>
      <w:rFonts w:eastAsiaTheme="minorEastAsia" w:cs="Calibri"/>
      <w:sz w:val="22"/>
      <w:szCs w:val="22"/>
      <w:lang w:eastAsia="zh-CN"/>
    </w:rPr>
  </w:style>
  <w:style w:type="character" w:customStyle="1" w:styleId="Heading9Char">
    <w:name w:val="Heading 9 Char"/>
    <w:basedOn w:val="DefaultParagraphFont"/>
    <w:link w:val="Heading9"/>
    <w:uiPriority w:val="9"/>
    <w:rsid w:val="0011467A"/>
    <w:rPr>
      <w:rFonts w:ascii="Calibri" w:hAnsi="Calibri"/>
      <w:b/>
      <w:sz w:val="24"/>
      <w:lang w:val="en-GB" w:eastAsia="en-US"/>
    </w:rPr>
  </w:style>
  <w:style w:type="character" w:customStyle="1" w:styleId="A0">
    <w:name w:val="A0"/>
    <w:uiPriority w:val="99"/>
    <w:rsid w:val="0011467A"/>
    <w:rPr>
      <w:color w:val="404041"/>
      <w:sz w:val="21"/>
      <w:szCs w:val="21"/>
    </w:rPr>
  </w:style>
  <w:style w:type="table" w:styleId="ListTable4-Accent1">
    <w:name w:val="List Table 4 Accent 1"/>
    <w:basedOn w:val="TableNormal"/>
    <w:uiPriority w:val="49"/>
    <w:rsid w:val="0011467A"/>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list1">
    <w:name w:val="Bullet list 1"/>
    <w:basedOn w:val="Normal"/>
    <w:rsid w:val="0011467A"/>
    <w:pPr>
      <w:tabs>
        <w:tab w:val="clear" w:pos="567"/>
        <w:tab w:val="clear" w:pos="1134"/>
        <w:tab w:val="clear" w:pos="1701"/>
        <w:tab w:val="clear" w:pos="2268"/>
        <w:tab w:val="clear" w:pos="2835"/>
      </w:tabs>
      <w:overflowPunct/>
      <w:autoSpaceDE/>
      <w:autoSpaceDN/>
      <w:adjustRightInd/>
      <w:ind w:left="425" w:hanging="425"/>
      <w:textAlignment w:val="auto"/>
    </w:pPr>
    <w:rPr>
      <w:rFonts w:eastAsiaTheme="minorEastAsia"/>
      <w:sz w:val="21"/>
      <w:szCs w:val="22"/>
      <w:lang w:val="en-US" w:eastAsia="fr-FR"/>
    </w:rPr>
  </w:style>
  <w:style w:type="paragraph" w:customStyle="1" w:styleId="xxxmsonormal">
    <w:name w:val="x_xxmsonormal"/>
    <w:basedOn w:val="Normal"/>
    <w:rsid w:val="0011467A"/>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 w:val="22"/>
      <w:szCs w:val="22"/>
      <w:lang w:eastAsia="en-GB"/>
    </w:rPr>
  </w:style>
  <w:style w:type="character" w:customStyle="1" w:styleId="SmartLink1">
    <w:name w:val="SmartLink1"/>
    <w:basedOn w:val="DefaultParagraphFont"/>
    <w:uiPriority w:val="99"/>
    <w:semiHidden/>
    <w:unhideWhenUsed/>
    <w:rsid w:val="0011467A"/>
    <w:rPr>
      <w:color w:val="0000FF"/>
      <w:u w:val="single"/>
      <w:shd w:val="clear" w:color="auto" w:fill="F3F2F1"/>
    </w:rPr>
  </w:style>
  <w:style w:type="character" w:customStyle="1" w:styleId="apple-converted-space">
    <w:name w:val="apple-converted-space"/>
    <w:basedOn w:val="DefaultParagraphFont"/>
    <w:rsid w:val="0011467A"/>
  </w:style>
  <w:style w:type="character" w:customStyle="1" w:styleId="ms-rtethemeforecolor-2-0">
    <w:name w:val="ms-rtethemeforecolor-2-0"/>
    <w:basedOn w:val="DefaultParagraphFont"/>
    <w:rsid w:val="0011467A"/>
  </w:style>
  <w:style w:type="character" w:customStyle="1" w:styleId="Heading4Char">
    <w:name w:val="Heading 4 Char"/>
    <w:basedOn w:val="DefaultParagraphFont"/>
    <w:link w:val="Heading4"/>
    <w:uiPriority w:val="9"/>
    <w:rsid w:val="0011467A"/>
    <w:rPr>
      <w:rFonts w:ascii="Calibri" w:hAnsi="Calibri"/>
      <w:b/>
      <w:sz w:val="24"/>
      <w:lang w:val="en-GB" w:eastAsia="en-US"/>
    </w:rPr>
  </w:style>
  <w:style w:type="character" w:customStyle="1" w:styleId="UnresolvedMention10">
    <w:name w:val="Unresolved Mention10"/>
    <w:basedOn w:val="DefaultParagraphFont"/>
    <w:uiPriority w:val="99"/>
    <w:unhideWhenUsed/>
    <w:rsid w:val="0011467A"/>
    <w:rPr>
      <w:color w:val="605E5C"/>
      <w:shd w:val="clear" w:color="auto" w:fill="E1DFDD"/>
    </w:rPr>
  </w:style>
  <w:style w:type="character" w:customStyle="1" w:styleId="Mention10">
    <w:name w:val="Mention10"/>
    <w:basedOn w:val="DefaultParagraphFont"/>
    <w:uiPriority w:val="99"/>
    <w:unhideWhenUsed/>
    <w:rsid w:val="0011467A"/>
    <w:rPr>
      <w:color w:val="2B579A"/>
      <w:shd w:val="clear" w:color="auto" w:fill="E1DFDD"/>
    </w:rPr>
  </w:style>
  <w:style w:type="numbering" w:customStyle="1" w:styleId="NoList1">
    <w:name w:val="No List1"/>
    <w:next w:val="NoList"/>
    <w:uiPriority w:val="99"/>
    <w:semiHidden/>
    <w:unhideWhenUsed/>
    <w:rsid w:val="0011467A"/>
  </w:style>
  <w:style w:type="table" w:customStyle="1" w:styleId="ListTable3-Accent11">
    <w:name w:val="List Table 3 - Accent 11"/>
    <w:basedOn w:val="TableNormal"/>
    <w:next w:val="ListTable3-Accent1"/>
    <w:uiPriority w:val="48"/>
    <w:rsid w:val="0011467A"/>
    <w:rPr>
      <w:rFonts w:asciiTheme="minorHAnsi" w:eastAsiaTheme="minorHAnsi" w:hAnsiTheme="minorHAnsi" w:cstheme="minorBidi"/>
      <w:sz w:val="22"/>
      <w:szCs w:val="22"/>
      <w:lang w:val="en-GB"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2">
    <w:name w:val="Unresolved Mention2"/>
    <w:basedOn w:val="DefaultParagraphFont"/>
    <w:uiPriority w:val="99"/>
    <w:semiHidden/>
    <w:unhideWhenUsed/>
    <w:rsid w:val="0011467A"/>
    <w:rPr>
      <w:color w:val="605E5C"/>
      <w:shd w:val="clear" w:color="auto" w:fill="E1DFDD"/>
    </w:rPr>
  </w:style>
  <w:style w:type="character" w:customStyle="1" w:styleId="Mention2">
    <w:name w:val="Mention2"/>
    <w:basedOn w:val="DefaultParagraphFont"/>
    <w:uiPriority w:val="99"/>
    <w:unhideWhenUsed/>
    <w:rsid w:val="0011467A"/>
    <w:rPr>
      <w:color w:val="2B579A"/>
      <w:shd w:val="clear" w:color="auto" w:fill="E1DFDD"/>
    </w:rPr>
  </w:style>
  <w:style w:type="paragraph" w:styleId="EndnoteText">
    <w:name w:val="endnote text"/>
    <w:basedOn w:val="Normal"/>
    <w:link w:val="EndnoteTextChar"/>
    <w:uiPriority w:val="99"/>
    <w:semiHidden/>
    <w:unhideWhenUsed/>
    <w:rsid w:val="0011467A"/>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11467A"/>
    <w:rPr>
      <w:rFonts w:asciiTheme="minorHAnsi" w:eastAsiaTheme="minorHAnsi" w:hAnsiTheme="minorHAnsi" w:cstheme="minorBidi"/>
      <w:lang w:val="en-GB" w:eastAsia="en-US"/>
    </w:rPr>
  </w:style>
  <w:style w:type="character" w:styleId="EndnoteReference">
    <w:name w:val="endnote reference"/>
    <w:basedOn w:val="DefaultParagraphFont"/>
    <w:uiPriority w:val="99"/>
    <w:semiHidden/>
    <w:unhideWhenUsed/>
    <w:rsid w:val="0011467A"/>
    <w:rPr>
      <w:vertAlign w:val="superscript"/>
    </w:rPr>
  </w:style>
  <w:style w:type="paragraph" w:customStyle="1" w:styleId="yiv3170009829msonormal">
    <w:name w:val="yiv3170009829msonormal"/>
    <w:basedOn w:val="Normal"/>
    <w:rsid w:val="0011467A"/>
    <w:pPr>
      <w:tabs>
        <w:tab w:val="clear" w:pos="567"/>
        <w:tab w:val="clear" w:pos="1134"/>
        <w:tab w:val="clear" w:pos="1701"/>
        <w:tab w:val="clear" w:pos="2268"/>
        <w:tab w:val="clear" w:pos="2835"/>
      </w:tabs>
      <w:suppressAutoHyphens/>
      <w:overflowPunct/>
      <w:autoSpaceDE/>
      <w:adjustRightInd/>
      <w:spacing w:before="100" w:after="100"/>
    </w:pPr>
    <w:rPr>
      <w:rFonts w:ascii="Times New Roman" w:hAnsi="Times New Roman"/>
      <w:szCs w:val="24"/>
      <w:lang w:val="fr-CH" w:eastAsia="fr-CH"/>
    </w:rPr>
  </w:style>
  <w:style w:type="character" w:customStyle="1" w:styleId="yiv3170009829msohyperlink">
    <w:name w:val="yiv3170009829msohyperlink"/>
    <w:basedOn w:val="DefaultParagraphFont"/>
    <w:rsid w:val="0011467A"/>
  </w:style>
  <w:style w:type="character" w:customStyle="1" w:styleId="enumlev1Char">
    <w:name w:val="enumlev1 Char"/>
    <w:basedOn w:val="DefaultParagraphFont"/>
    <w:link w:val="enumlev1"/>
    <w:rsid w:val="0011467A"/>
    <w:rPr>
      <w:rFonts w:ascii="Calibri" w:hAnsi="Calibri"/>
      <w:sz w:val="24"/>
      <w:lang w:val="en-GB" w:eastAsia="en-US"/>
    </w:rPr>
  </w:style>
  <w:style w:type="character" w:customStyle="1" w:styleId="tabchar">
    <w:name w:val="tabchar"/>
    <w:basedOn w:val="DefaultParagraphFont"/>
    <w:rsid w:val="0011467A"/>
  </w:style>
  <w:style w:type="character" w:customStyle="1" w:styleId="ui-provider">
    <w:name w:val="ui-provider"/>
    <w:basedOn w:val="DefaultParagraphFont"/>
    <w:rsid w:val="00192147"/>
  </w:style>
  <w:style w:type="paragraph" w:customStyle="1" w:styleId="Subtitle1">
    <w:name w:val="Subtitle1"/>
    <w:basedOn w:val="Title1"/>
    <w:qFormat/>
    <w:rsid w:val="0021411A"/>
    <w:pPr>
      <w:framePr w:wrap="around" w:vAnchor="margin" w:hAnchor="page" w:x="1821" w:y="2317"/>
      <w:spacing w:before="120" w:after="160"/>
    </w:pPr>
  </w:style>
  <w:style w:type="character" w:styleId="UnresolvedMention">
    <w:name w:val="Unresolved Mention"/>
    <w:basedOn w:val="DefaultParagraphFont"/>
    <w:uiPriority w:val="99"/>
    <w:semiHidden/>
    <w:unhideWhenUsed/>
    <w:rsid w:val="00585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966">
      <w:bodyDiv w:val="1"/>
      <w:marLeft w:val="0"/>
      <w:marRight w:val="0"/>
      <w:marTop w:val="0"/>
      <w:marBottom w:val="0"/>
      <w:divBdr>
        <w:top w:val="none" w:sz="0" w:space="0" w:color="auto"/>
        <w:left w:val="none" w:sz="0" w:space="0" w:color="auto"/>
        <w:bottom w:val="none" w:sz="0" w:space="0" w:color="auto"/>
        <w:right w:val="none" w:sz="0" w:space="0" w:color="auto"/>
      </w:divBdr>
      <w:divsChild>
        <w:div w:id="58334691">
          <w:marLeft w:val="0"/>
          <w:marRight w:val="0"/>
          <w:marTop w:val="0"/>
          <w:marBottom w:val="0"/>
          <w:divBdr>
            <w:top w:val="none" w:sz="0" w:space="0" w:color="auto"/>
            <w:left w:val="none" w:sz="0" w:space="0" w:color="auto"/>
            <w:bottom w:val="none" w:sz="0" w:space="0" w:color="auto"/>
            <w:right w:val="none" w:sz="0" w:space="0" w:color="auto"/>
          </w:divBdr>
        </w:div>
        <w:div w:id="672223519">
          <w:marLeft w:val="0"/>
          <w:marRight w:val="0"/>
          <w:marTop w:val="0"/>
          <w:marBottom w:val="0"/>
          <w:divBdr>
            <w:top w:val="none" w:sz="0" w:space="0" w:color="auto"/>
            <w:left w:val="none" w:sz="0" w:space="0" w:color="auto"/>
            <w:bottom w:val="none" w:sz="0" w:space="0" w:color="auto"/>
            <w:right w:val="none" w:sz="0" w:space="0" w:color="auto"/>
          </w:divBdr>
        </w:div>
        <w:div w:id="890456611">
          <w:marLeft w:val="0"/>
          <w:marRight w:val="0"/>
          <w:marTop w:val="0"/>
          <w:marBottom w:val="0"/>
          <w:divBdr>
            <w:top w:val="none" w:sz="0" w:space="0" w:color="auto"/>
            <w:left w:val="none" w:sz="0" w:space="0" w:color="auto"/>
            <w:bottom w:val="none" w:sz="0" w:space="0" w:color="auto"/>
            <w:right w:val="none" w:sz="0" w:space="0" w:color="auto"/>
          </w:divBdr>
        </w:div>
        <w:div w:id="989410351">
          <w:marLeft w:val="0"/>
          <w:marRight w:val="0"/>
          <w:marTop w:val="0"/>
          <w:marBottom w:val="0"/>
          <w:divBdr>
            <w:top w:val="none" w:sz="0" w:space="0" w:color="auto"/>
            <w:left w:val="none" w:sz="0" w:space="0" w:color="auto"/>
            <w:bottom w:val="none" w:sz="0" w:space="0" w:color="auto"/>
            <w:right w:val="none" w:sz="0" w:space="0" w:color="auto"/>
          </w:divBdr>
        </w:div>
        <w:div w:id="997659395">
          <w:marLeft w:val="0"/>
          <w:marRight w:val="0"/>
          <w:marTop w:val="0"/>
          <w:marBottom w:val="0"/>
          <w:divBdr>
            <w:top w:val="none" w:sz="0" w:space="0" w:color="auto"/>
            <w:left w:val="none" w:sz="0" w:space="0" w:color="auto"/>
            <w:bottom w:val="none" w:sz="0" w:space="0" w:color="auto"/>
            <w:right w:val="none" w:sz="0" w:space="0" w:color="auto"/>
          </w:divBdr>
        </w:div>
        <w:div w:id="1397902045">
          <w:marLeft w:val="0"/>
          <w:marRight w:val="0"/>
          <w:marTop w:val="0"/>
          <w:marBottom w:val="0"/>
          <w:divBdr>
            <w:top w:val="none" w:sz="0" w:space="0" w:color="auto"/>
            <w:left w:val="none" w:sz="0" w:space="0" w:color="auto"/>
            <w:bottom w:val="none" w:sz="0" w:space="0" w:color="auto"/>
            <w:right w:val="none" w:sz="0" w:space="0" w:color="auto"/>
          </w:divBdr>
        </w:div>
      </w:divsChild>
    </w:div>
    <w:div w:id="439616720">
      <w:bodyDiv w:val="1"/>
      <w:marLeft w:val="0"/>
      <w:marRight w:val="0"/>
      <w:marTop w:val="0"/>
      <w:marBottom w:val="0"/>
      <w:divBdr>
        <w:top w:val="none" w:sz="0" w:space="0" w:color="auto"/>
        <w:left w:val="none" w:sz="0" w:space="0" w:color="auto"/>
        <w:bottom w:val="none" w:sz="0" w:space="0" w:color="auto"/>
        <w:right w:val="none" w:sz="0" w:space="0" w:color="auto"/>
      </w:divBdr>
      <w:divsChild>
        <w:div w:id="634260145">
          <w:marLeft w:val="0"/>
          <w:marRight w:val="0"/>
          <w:marTop w:val="0"/>
          <w:marBottom w:val="0"/>
          <w:divBdr>
            <w:top w:val="none" w:sz="0" w:space="0" w:color="auto"/>
            <w:left w:val="none" w:sz="0" w:space="0" w:color="auto"/>
            <w:bottom w:val="none" w:sz="0" w:space="0" w:color="auto"/>
            <w:right w:val="none" w:sz="0" w:space="0" w:color="auto"/>
          </w:divBdr>
        </w:div>
        <w:div w:id="766778988">
          <w:marLeft w:val="0"/>
          <w:marRight w:val="0"/>
          <w:marTop w:val="0"/>
          <w:marBottom w:val="0"/>
          <w:divBdr>
            <w:top w:val="none" w:sz="0" w:space="0" w:color="auto"/>
            <w:left w:val="none" w:sz="0" w:space="0" w:color="auto"/>
            <w:bottom w:val="none" w:sz="0" w:space="0" w:color="auto"/>
            <w:right w:val="none" w:sz="0" w:space="0" w:color="auto"/>
          </w:divBdr>
        </w:div>
        <w:div w:id="906261855">
          <w:marLeft w:val="0"/>
          <w:marRight w:val="0"/>
          <w:marTop w:val="0"/>
          <w:marBottom w:val="0"/>
          <w:divBdr>
            <w:top w:val="none" w:sz="0" w:space="0" w:color="auto"/>
            <w:left w:val="none" w:sz="0" w:space="0" w:color="auto"/>
            <w:bottom w:val="none" w:sz="0" w:space="0" w:color="auto"/>
            <w:right w:val="none" w:sz="0" w:space="0" w:color="auto"/>
          </w:divBdr>
        </w:div>
        <w:div w:id="1204175586">
          <w:marLeft w:val="0"/>
          <w:marRight w:val="0"/>
          <w:marTop w:val="0"/>
          <w:marBottom w:val="0"/>
          <w:divBdr>
            <w:top w:val="none" w:sz="0" w:space="0" w:color="auto"/>
            <w:left w:val="none" w:sz="0" w:space="0" w:color="auto"/>
            <w:bottom w:val="none" w:sz="0" w:space="0" w:color="auto"/>
            <w:right w:val="none" w:sz="0" w:space="0" w:color="auto"/>
          </w:divBdr>
        </w:div>
        <w:div w:id="1464689639">
          <w:marLeft w:val="0"/>
          <w:marRight w:val="0"/>
          <w:marTop w:val="0"/>
          <w:marBottom w:val="0"/>
          <w:divBdr>
            <w:top w:val="none" w:sz="0" w:space="0" w:color="auto"/>
            <w:left w:val="none" w:sz="0" w:space="0" w:color="auto"/>
            <w:bottom w:val="none" w:sz="0" w:space="0" w:color="auto"/>
            <w:right w:val="none" w:sz="0" w:space="0" w:color="auto"/>
          </w:divBdr>
        </w:div>
        <w:div w:id="1817524165">
          <w:marLeft w:val="0"/>
          <w:marRight w:val="0"/>
          <w:marTop w:val="0"/>
          <w:marBottom w:val="0"/>
          <w:divBdr>
            <w:top w:val="none" w:sz="0" w:space="0" w:color="auto"/>
            <w:left w:val="none" w:sz="0" w:space="0" w:color="auto"/>
            <w:bottom w:val="none" w:sz="0" w:space="0" w:color="auto"/>
            <w:right w:val="none" w:sz="0" w:space="0" w:color="auto"/>
          </w:divBdr>
        </w:div>
      </w:divsChild>
    </w:div>
    <w:div w:id="527334823">
      <w:bodyDiv w:val="1"/>
      <w:marLeft w:val="0"/>
      <w:marRight w:val="0"/>
      <w:marTop w:val="0"/>
      <w:marBottom w:val="0"/>
      <w:divBdr>
        <w:top w:val="none" w:sz="0" w:space="0" w:color="auto"/>
        <w:left w:val="none" w:sz="0" w:space="0" w:color="auto"/>
        <w:bottom w:val="none" w:sz="0" w:space="0" w:color="auto"/>
        <w:right w:val="none" w:sz="0" w:space="0" w:color="auto"/>
      </w:divBdr>
      <w:divsChild>
        <w:div w:id="1318417247">
          <w:marLeft w:val="0"/>
          <w:marRight w:val="0"/>
          <w:marTop w:val="0"/>
          <w:marBottom w:val="0"/>
          <w:divBdr>
            <w:top w:val="none" w:sz="0" w:space="0" w:color="auto"/>
            <w:left w:val="none" w:sz="0" w:space="0" w:color="auto"/>
            <w:bottom w:val="none" w:sz="0" w:space="0" w:color="auto"/>
            <w:right w:val="none" w:sz="0" w:space="0" w:color="auto"/>
          </w:divBdr>
        </w:div>
        <w:div w:id="1718965159">
          <w:marLeft w:val="0"/>
          <w:marRight w:val="0"/>
          <w:marTop w:val="0"/>
          <w:marBottom w:val="0"/>
          <w:divBdr>
            <w:top w:val="none" w:sz="0" w:space="0" w:color="auto"/>
            <w:left w:val="none" w:sz="0" w:space="0" w:color="auto"/>
            <w:bottom w:val="none" w:sz="0" w:space="0" w:color="auto"/>
            <w:right w:val="none" w:sz="0" w:space="0" w:color="auto"/>
          </w:divBdr>
        </w:div>
      </w:divsChild>
    </w:div>
    <w:div w:id="734473587">
      <w:bodyDiv w:val="1"/>
      <w:marLeft w:val="0"/>
      <w:marRight w:val="0"/>
      <w:marTop w:val="0"/>
      <w:marBottom w:val="0"/>
      <w:divBdr>
        <w:top w:val="none" w:sz="0" w:space="0" w:color="auto"/>
        <w:left w:val="none" w:sz="0" w:space="0" w:color="auto"/>
        <w:bottom w:val="none" w:sz="0" w:space="0" w:color="auto"/>
        <w:right w:val="none" w:sz="0" w:space="0" w:color="auto"/>
      </w:divBdr>
      <w:divsChild>
        <w:div w:id="277882674">
          <w:marLeft w:val="0"/>
          <w:marRight w:val="0"/>
          <w:marTop w:val="0"/>
          <w:marBottom w:val="0"/>
          <w:divBdr>
            <w:top w:val="none" w:sz="0" w:space="0" w:color="auto"/>
            <w:left w:val="none" w:sz="0" w:space="0" w:color="auto"/>
            <w:bottom w:val="none" w:sz="0" w:space="0" w:color="auto"/>
            <w:right w:val="none" w:sz="0" w:space="0" w:color="auto"/>
          </w:divBdr>
        </w:div>
        <w:div w:id="579872881">
          <w:marLeft w:val="0"/>
          <w:marRight w:val="0"/>
          <w:marTop w:val="0"/>
          <w:marBottom w:val="0"/>
          <w:divBdr>
            <w:top w:val="none" w:sz="0" w:space="0" w:color="auto"/>
            <w:left w:val="none" w:sz="0" w:space="0" w:color="auto"/>
            <w:bottom w:val="none" w:sz="0" w:space="0" w:color="auto"/>
            <w:right w:val="none" w:sz="0" w:space="0" w:color="auto"/>
          </w:divBdr>
        </w:div>
        <w:div w:id="649679010">
          <w:marLeft w:val="0"/>
          <w:marRight w:val="0"/>
          <w:marTop w:val="0"/>
          <w:marBottom w:val="0"/>
          <w:divBdr>
            <w:top w:val="none" w:sz="0" w:space="0" w:color="auto"/>
            <w:left w:val="none" w:sz="0" w:space="0" w:color="auto"/>
            <w:bottom w:val="none" w:sz="0" w:space="0" w:color="auto"/>
            <w:right w:val="none" w:sz="0" w:space="0" w:color="auto"/>
          </w:divBdr>
        </w:div>
        <w:div w:id="1195575711">
          <w:marLeft w:val="0"/>
          <w:marRight w:val="0"/>
          <w:marTop w:val="0"/>
          <w:marBottom w:val="0"/>
          <w:divBdr>
            <w:top w:val="none" w:sz="0" w:space="0" w:color="auto"/>
            <w:left w:val="none" w:sz="0" w:space="0" w:color="auto"/>
            <w:bottom w:val="none" w:sz="0" w:space="0" w:color="auto"/>
            <w:right w:val="none" w:sz="0" w:space="0" w:color="auto"/>
          </w:divBdr>
        </w:div>
        <w:div w:id="174857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Digital-Inclusion/Pages/itu-ilo/default.aspx" TargetMode="External"/><Relationship Id="rId21" Type="http://schemas.openxmlformats.org/officeDocument/2006/relationships/hyperlink" Target="https://pp22.itu.int/en/elections/elections-results/" TargetMode="External"/><Relationship Id="rId42" Type="http://schemas.openxmlformats.org/officeDocument/2006/relationships/hyperlink" Target="https://www.itu.int/en/ITU-T/focusgroups/tbfxg/Pages/default.aspx" TargetMode="External"/><Relationship Id="rId63" Type="http://schemas.openxmlformats.org/officeDocument/2006/relationships/hyperlink" Target="https://www.itu.int/ITU-T/recommendations/rec.aspx?rec=15023" TargetMode="External"/><Relationship Id="rId84" Type="http://schemas.openxmlformats.org/officeDocument/2006/relationships/hyperlink" Target="https://www.youtube.com/playlist?list=PLdCp2BJdjaQAJmm_GD2T15HgepUAuENQ-" TargetMode="External"/><Relationship Id="rId138" Type="http://schemas.openxmlformats.org/officeDocument/2006/relationships/hyperlink" Target="https://www.youtube.com/watch?v=M4nD2r3r-7M&amp;list=PLpoIPNlF8P2Pnmu-cTQbhvGjeDnkY_bX9&amp;index=4" TargetMode="External"/><Relationship Id="rId159" Type="http://schemas.openxmlformats.org/officeDocument/2006/relationships/hyperlink" Target="https://www.equalsintech.org/equals-badge" TargetMode="External"/><Relationship Id="rId170" Type="http://schemas.openxmlformats.org/officeDocument/2006/relationships/hyperlink" Target="https://www.itu.int/cities/standards4dt/ep21/" TargetMode="External"/><Relationship Id="rId191" Type="http://schemas.openxmlformats.org/officeDocument/2006/relationships/hyperlink" Target="https://www.itu.int/en/ITU-T/extcoop/ai-data-commons/Pages/default.aspx" TargetMode="External"/><Relationship Id="rId107" Type="http://schemas.openxmlformats.org/officeDocument/2006/relationships/hyperlink" Target="https://www.youtube.com/watch?v=uB2eLaPDdDc" TargetMode="External"/><Relationship Id="rId11" Type="http://schemas.openxmlformats.org/officeDocument/2006/relationships/hyperlink" Target="https://www.itu.int/en/council/Documents/basic-texts-2023/RES-071-E.pdf" TargetMode="External"/><Relationship Id="rId32" Type="http://schemas.openxmlformats.org/officeDocument/2006/relationships/hyperlink" Target="https://www.itu.int/ITU-T/recommendations/rec.aspx?id=15030&amp;lang=en" TargetMode="External"/><Relationship Id="rId53" Type="http://schemas.openxmlformats.org/officeDocument/2006/relationships/hyperlink" Target="https://www.itu.int/en/ITU-D/Environment/Pages/Priority-Areas/National-WEEE-Policy-Support.aspx" TargetMode="External"/><Relationship Id="rId74" Type="http://schemas.openxmlformats.org/officeDocument/2006/relationships/hyperlink" Target="https://www.itu.int/go/tsg20" TargetMode="External"/><Relationship Id="rId128" Type="http://schemas.openxmlformats.org/officeDocument/2006/relationships/hyperlink" Target="https://www.un.org/development/desa/dspd/2023/01/undesa-globalpolicydialogue/" TargetMode="External"/><Relationship Id="rId149" Type="http://schemas.openxmlformats.org/officeDocument/2006/relationships/hyperlink" Target="https://www.broadbandcommission.org/publication/recommendations-on-sdg5/" TargetMode="External"/><Relationship Id="rId5" Type="http://schemas.openxmlformats.org/officeDocument/2006/relationships/numbering" Target="numbering.xml"/><Relationship Id="rId95" Type="http://schemas.openxmlformats.org/officeDocument/2006/relationships/hyperlink" Target="https://pp22.itu.int/en/" TargetMode="External"/><Relationship Id="rId160" Type="http://schemas.openxmlformats.org/officeDocument/2006/relationships/hyperlink" Target="https://www.equalsintech.org/awards" TargetMode="External"/><Relationship Id="rId181" Type="http://schemas.openxmlformats.org/officeDocument/2006/relationships/hyperlink" Target="https://www.itu.int/net4/wsis/forum/2023/Home/Hackathon" TargetMode="External"/><Relationship Id="rId22" Type="http://schemas.openxmlformats.org/officeDocument/2006/relationships/image" Target="media/image4.png"/><Relationship Id="rId43" Type="http://schemas.openxmlformats.org/officeDocument/2006/relationships/hyperlink" Target="https://www.itu.int/pub/R-REC" TargetMode="External"/><Relationship Id="rId64" Type="http://schemas.openxmlformats.org/officeDocument/2006/relationships/hyperlink" Target="https://www.itu.int/en/ITU-D/Emergency-Telecommunications/Pages/NETPs.aspx" TargetMode="External"/><Relationship Id="rId118" Type="http://schemas.openxmlformats.org/officeDocument/2006/relationships/hyperlink" Target="https://academy.itu.int/training-courses/full-catalogue/inclusive-employment-how-ensure-online-job-applications-and-recruitment-systems-are-accessible-all-0" TargetMode="External"/><Relationship Id="rId139" Type="http://schemas.openxmlformats.org/officeDocument/2006/relationships/hyperlink" Target="https://academy.itu.int/training-courses/full-catalogue/icts-better-ageing-and-livelihood-digital-landscape-1" TargetMode="External"/><Relationship Id="rId85" Type="http://schemas.openxmlformats.org/officeDocument/2006/relationships/hyperlink" Target="https://www.itu.int/hub/publication/d-hdb-gender-2023-01/" TargetMode="External"/><Relationship Id="rId150" Type="http://schemas.openxmlformats.org/officeDocument/2006/relationships/hyperlink" Target="https://www.broadbandcommission.org/working-groups/ai-capacity-building/" TargetMode="External"/><Relationship Id="rId171" Type="http://schemas.openxmlformats.org/officeDocument/2006/relationships/hyperlink" Target="https://www.itu.int/cities/standards4dt/ep22/" TargetMode="External"/><Relationship Id="rId192" Type="http://schemas.openxmlformats.org/officeDocument/2006/relationships/hyperlink" Target="https://www.itu.int/net4/Search/CL23/Main/Reader" TargetMode="External"/><Relationship Id="rId12" Type="http://schemas.openxmlformats.org/officeDocument/2006/relationships/hyperlink" Target="https://www.itu.int/en/council/Documents/basic-texts-2023/RES-151-E.pdf" TargetMode="External"/><Relationship Id="rId33" Type="http://schemas.openxmlformats.org/officeDocument/2006/relationships/hyperlink" Target="https://gesi.org/" TargetMode="External"/><Relationship Id="rId108" Type="http://schemas.openxmlformats.org/officeDocument/2006/relationships/hyperlink" Target="https://www.huawei.com/en/news/2022/8/seeds-for-future-camp" TargetMode="External"/><Relationship Id="rId129" Type="http://schemas.openxmlformats.org/officeDocument/2006/relationships/hyperlink" Target="https://event.silvereconomyforum.com/" TargetMode="External"/><Relationship Id="rId54" Type="http://schemas.openxmlformats.org/officeDocument/2006/relationships/hyperlink" Target="https://www.itu.int/en/ITU-D/Environment/Pages/Priority-Areas/E-waste-Data-Support.aspx" TargetMode="External"/><Relationship Id="rId75" Type="http://schemas.openxmlformats.org/officeDocument/2006/relationships/hyperlink" Target="https://u4ssc.itu.int/u4ssc-kpi/" TargetMode="External"/><Relationship Id="rId96" Type="http://schemas.openxmlformats.org/officeDocument/2006/relationships/hyperlink" Target="https://youtu.be/PYlI15b0Mvo" TargetMode="External"/><Relationship Id="rId140" Type="http://schemas.openxmlformats.org/officeDocument/2006/relationships/hyperlink" Target="https://www.itu.int/itu-d/sites/partner2connect/" TargetMode="External"/><Relationship Id="rId161" Type="http://schemas.openxmlformats.org/officeDocument/2006/relationships/hyperlink" Target="https://www.itu.int/en/ITU-D/Digital-Inclusion/Pages/EIF-Regional-Project-.aspx" TargetMode="External"/><Relationship Id="rId182" Type="http://schemas.openxmlformats.org/officeDocument/2006/relationships/hyperlink" Target="http://www.wsis.org/prizes" TargetMode="External"/><Relationship Id="rId6" Type="http://schemas.openxmlformats.org/officeDocument/2006/relationships/styles" Target="styles.xml"/><Relationship Id="rId23" Type="http://schemas.openxmlformats.org/officeDocument/2006/relationships/hyperlink" Target="https://www.itu.int/hub/publication/s-gen-news-2022-5/" TargetMode="External"/><Relationship Id="rId119" Type="http://schemas.openxmlformats.org/officeDocument/2006/relationships/hyperlink" Target="https://academy.itu.int/training-courses/full-catalogue/how-ensure-inclusive-digital-communication-during-crises-and-emergency-situations-1" TargetMode="External"/><Relationship Id="rId44" Type="http://schemas.openxmlformats.org/officeDocument/2006/relationships/hyperlink" Target="https://www.itu.int/en/action/ai/Pages/default.aspx" TargetMode="External"/><Relationship Id="rId65" Type="http://schemas.openxmlformats.org/officeDocument/2006/relationships/hyperlink" Target="https://www.itu.int/en/ITU-D/Emergency-Telecommunications/Pages/ITU-SADC-Validation-Workshop-Mar23.aspx" TargetMode="External"/><Relationship Id="rId86" Type="http://schemas.openxmlformats.org/officeDocument/2006/relationships/hyperlink" Target="https://www.itu.int/now4wrc23/" TargetMode="External"/><Relationship Id="rId130" Type="http://schemas.openxmlformats.org/officeDocument/2006/relationships/hyperlink" Target="https://www.un.org/development/desa/ageing/news/2022/05/mainstreaming-knowledge-on-ageing-virtual-roundtable-series/" TargetMode="External"/><Relationship Id="rId151" Type="http://schemas.openxmlformats.org/officeDocument/2006/relationships/hyperlink" Target="https://www.broadbandcommission.org/working-groups/smartphone-access/" TargetMode="External"/><Relationship Id="rId172" Type="http://schemas.openxmlformats.org/officeDocument/2006/relationships/hyperlink" Target="https://www.itu.int/wrs-22/" TargetMode="External"/><Relationship Id="rId193" Type="http://schemas.openxmlformats.org/officeDocument/2006/relationships/header" Target="header3.xml"/><Relationship Id="rId13" Type="http://schemas.openxmlformats.org/officeDocument/2006/relationships/hyperlink" Target="https://www.itu.int/en/council/Documents/basic-texts-2023/RES-200-E.pdf" TargetMode="External"/><Relationship Id="rId109" Type="http://schemas.openxmlformats.org/officeDocument/2006/relationships/hyperlink" Target="https://www.itu.int/net4/wsis/forum/2023/Home/ICTsYouthPrize" TargetMode="External"/><Relationship Id="rId34" Type="http://schemas.openxmlformats.org/officeDocument/2006/relationships/hyperlink" Target="https://www.itu.int/en/ITU-D/Environment/Pages/Toolbox/Greening-Digital-Companies.aspx" TargetMode="External"/><Relationship Id="rId55" Type="http://schemas.openxmlformats.org/officeDocument/2006/relationships/hyperlink" Target="https://www.itu.int/en/ITU-D/Environment/Pages/Toolbox/learning-opportunities.aspx" TargetMode="External"/><Relationship Id="rId76" Type="http://schemas.openxmlformats.org/officeDocument/2006/relationships/hyperlink" Target="https://toolkit-dt4c.itu.int/" TargetMode="External"/><Relationship Id="rId97" Type="http://schemas.openxmlformats.org/officeDocument/2006/relationships/hyperlink" Target="https://youtu.be/-nX0Uldv56s" TargetMode="External"/><Relationship Id="rId120" Type="http://schemas.openxmlformats.org/officeDocument/2006/relationships/hyperlink" Target="https://www.itu.int/pub/D-PHCB-TOOLKIT.01-2021" TargetMode="External"/><Relationship Id="rId141" Type="http://schemas.openxmlformats.org/officeDocument/2006/relationships/hyperlink" Target="https://www.itu.int/md/S23-CL-INF-0008/en" TargetMode="External"/><Relationship Id="rId7" Type="http://schemas.openxmlformats.org/officeDocument/2006/relationships/settings" Target="settings.xml"/><Relationship Id="rId71" Type="http://schemas.openxmlformats.org/officeDocument/2006/relationships/hyperlink" Target="https://www.itu.int/en/ITU-D/Emergency-Telecommunications/Pages/Simulation-Exercises.aspx" TargetMode="External"/><Relationship Id="rId92" Type="http://schemas.openxmlformats.org/officeDocument/2006/relationships/hyperlink" Target="http://www.itu.int/genderdashboard" TargetMode="External"/><Relationship Id="rId162" Type="http://schemas.openxmlformats.org/officeDocument/2006/relationships/hyperlink" Target="https://www.itu.int/en/ITU-D/Initiatives/GIGA/Pages/default.aspx" TargetMode="External"/><Relationship Id="rId183" Type="http://schemas.openxmlformats.org/officeDocument/2006/relationships/hyperlink" Target="https://www.itu.int/net4/wsis/stocktaking" TargetMode="External"/><Relationship Id="rId2" Type="http://schemas.openxmlformats.org/officeDocument/2006/relationships/customXml" Target="../customXml/item2.xml"/><Relationship Id="rId29" Type="http://schemas.openxmlformats.org/officeDocument/2006/relationships/hyperlink" Target="https://www.itu.int/itu-d/reports/statistics/2022/11/24/ff22-the-gender-digital-divide/" TargetMode="External"/><Relationship Id="rId24" Type="http://schemas.openxmlformats.org/officeDocument/2006/relationships/hyperlink" Target="https://www.itu.int/en/mediacentre/Pages/PP22-closing-press-release.aspx" TargetMode="External"/><Relationship Id="rId40" Type="http://schemas.openxmlformats.org/officeDocument/2006/relationships/hyperlink" Target="https://www.itu.int/en/ITU-T/studygroups/Pages/default.aspx" TargetMode="External"/><Relationship Id="rId45" Type="http://schemas.openxmlformats.org/officeDocument/2006/relationships/hyperlink" Target="https://www.itu.int/en/ITU-T/focusgroups/Pages/default.aspx" TargetMode="External"/><Relationship Id="rId66" Type="http://schemas.openxmlformats.org/officeDocument/2006/relationships/hyperlink" Target="https://www.itu.int/en/ITU-D/Emergency-Telecommunications/Pages/Early-Warnings-for-All-Initiative.aspx" TargetMode="External"/><Relationship Id="rId87" Type="http://schemas.openxmlformats.org/officeDocument/2006/relationships/hyperlink" Target="https://www.itu.int/en/ITU-D/Conferences/WTDC/WTDC21/NoW/Pages/default.aspx" TargetMode="External"/><Relationship Id="rId110" Type="http://schemas.openxmlformats.org/officeDocument/2006/relationships/hyperlink" Target="https://www.itu.int/en/ITU-D/Digital-Inclusion/Pages/ICT-digital-accessibility/default.aspx" TargetMode="External"/><Relationship Id="rId115" Type="http://schemas.openxmlformats.org/officeDocument/2006/relationships/hyperlink" Target="https://zeroproject.org/zerocon23/the-zero-project-technology-forum" TargetMode="External"/><Relationship Id="rId131" Type="http://schemas.openxmlformats.org/officeDocument/2006/relationships/hyperlink" Target="https://www.itu.int/en/ITU-D/Digital-Inclusion/Pages/ageing-in-a-digital-world/default.aspx" TargetMode="External"/><Relationship Id="rId136" Type="http://schemas.openxmlformats.org/officeDocument/2006/relationships/hyperlink" Target="https://www.youtube.com/watch?v=oa93ig1grjo&amp;list=PLpoIPNlF8P2Pnmu-cTQbhvGjeDnkY_bX9&amp;index=3" TargetMode="External"/><Relationship Id="rId157" Type="http://schemas.openxmlformats.org/officeDocument/2006/relationships/hyperlink" Target="https://www.equalsintech.org/tech4girls" TargetMode="External"/><Relationship Id="rId178" Type="http://schemas.openxmlformats.org/officeDocument/2006/relationships/hyperlink" Target="https://www.itu.int/en/ITU-T/Workshops-and-Seminars/2022/Pages/default.aspx" TargetMode="External"/><Relationship Id="rId61" Type="http://schemas.openxmlformats.org/officeDocument/2006/relationships/hyperlink" Target="https://www.greeningtheblue.org/entities/itus" TargetMode="External"/><Relationship Id="rId82" Type="http://schemas.openxmlformats.org/officeDocument/2006/relationships/hyperlink" Target="https://www.equalsintech.org/" TargetMode="External"/><Relationship Id="rId152" Type="http://schemas.openxmlformats.org/officeDocument/2006/relationships/hyperlink" Target="https://broadbandcommission.org/publication/the-future-of-virtual-health-and-care/" TargetMode="External"/><Relationship Id="rId173" Type="http://schemas.openxmlformats.org/officeDocument/2006/relationships/hyperlink" Target="https://www.itu.int/en/ITU-R/seminars/rrs/2022-Arab/Pages/default.aspx" TargetMode="External"/><Relationship Id="rId194" Type="http://schemas.openxmlformats.org/officeDocument/2006/relationships/footer" Target="footer3.xml"/><Relationship Id="rId19" Type="http://schemas.openxmlformats.org/officeDocument/2006/relationships/image" Target="media/image2.png"/><Relationship Id="rId14" Type="http://schemas.openxmlformats.org/officeDocument/2006/relationships/hyperlink" Target="https://www.itu.int/en/council/Documents/basic-texts-2023/Convention-E.pdf" TargetMode="External"/><Relationship Id="rId30" Type="http://schemas.openxmlformats.org/officeDocument/2006/relationships/hyperlink" Target="https://council.itu.int/en/networking/resources/annual-activities-report/" TargetMode="External"/><Relationship Id="rId35" Type="http://schemas.openxmlformats.org/officeDocument/2006/relationships/hyperlink" Target="https://www.itu.int/en/ITU-D/Environment/Documents/Events/2022/Greening-Digital-Companies-Report-key-messages.pdf" TargetMode="External"/><Relationship Id="rId56" Type="http://schemas.openxmlformats.org/officeDocument/2006/relationships/hyperlink" Target="https://academy.itu.int/main-activities/capacity-development/icts-and-environmente-waste" TargetMode="External"/><Relationship Id="rId77" Type="http://schemas.openxmlformats.org/officeDocument/2006/relationships/hyperlink" Target="https://u4ssc.itu.int/publications/" TargetMode="External"/><Relationship Id="rId100" Type="http://schemas.openxmlformats.org/officeDocument/2006/relationships/hyperlink" Target="https://youngaworld.com/youthdelegate/" TargetMode="External"/><Relationship Id="rId105" Type="http://schemas.openxmlformats.org/officeDocument/2006/relationships/hyperlink" Target="https://www.itu.int/generationconnect/generation-connect-podcast/" TargetMode="External"/><Relationship Id="rId126" Type="http://schemas.openxmlformats.org/officeDocument/2006/relationships/hyperlink" Target="https://academy.itu.int/training-courses/full-catalogue/formacion-de-promotoras-y-promotores-tecnicos-en-comunidades-indigenas-en-telecomunicaciones-y-0" TargetMode="External"/><Relationship Id="rId147" Type="http://schemas.openxmlformats.org/officeDocument/2006/relationships/hyperlink" Target="https://broadbandcommission.org/publication/ldc5-open-letter/" TargetMode="External"/><Relationship Id="rId168" Type="http://schemas.openxmlformats.org/officeDocument/2006/relationships/hyperlink" Target="https://www.itu.int/en/ITU-T/Workshops-and-Seminars/2022/0824/Pages/default.aspx" TargetMode="External"/><Relationship Id="rId8" Type="http://schemas.openxmlformats.org/officeDocument/2006/relationships/webSettings" Target="webSettings.xml"/><Relationship Id="rId51" Type="http://schemas.openxmlformats.org/officeDocument/2006/relationships/hyperlink" Target="https://www.itu.int/en/ITU-T/ssc/Pages/1st-forum-metaverse.aspx" TargetMode="External"/><Relationship Id="rId72" Type="http://schemas.openxmlformats.org/officeDocument/2006/relationships/hyperlink" Target="https://www.itu.int/en/ITU-D/Emergency-Telecommunications/Pages/TampereConvention.aspx" TargetMode="External"/><Relationship Id="rId93" Type="http://schemas.openxmlformats.org/officeDocument/2006/relationships/hyperlink" Target="https://www.itu.int/generationconnect/" TargetMode="External"/><Relationship Id="rId98" Type="http://schemas.openxmlformats.org/officeDocument/2006/relationships/hyperlink" Target="https://www.youtube.com/watch?v=zZFNByEQ15k" TargetMode="External"/><Relationship Id="rId121" Type="http://schemas.openxmlformats.org/officeDocument/2006/relationships/hyperlink" Target="https://www.itu.int/rec/T-REC-F.780.2" TargetMode="External"/><Relationship Id="rId142" Type="http://schemas.openxmlformats.org/officeDocument/2006/relationships/hyperlink" Target="https://www.broadbandcommission.org/event/2022-annual-spring-meeting-of-the-broadband-commission/" TargetMode="External"/><Relationship Id="rId163" Type="http://schemas.openxmlformats.org/officeDocument/2006/relationships/hyperlink" Target="https://www.itu.int/en/ITU-T/focusgroups/ai4h/Pages/default.aspx" TargetMode="External"/><Relationship Id="rId184" Type="http://schemas.openxmlformats.org/officeDocument/2006/relationships/hyperlink" Target="https://www.itu.int/en/ITU-T/academia/kaleidoscope/2022/Pages/default.aspx" TargetMode="External"/><Relationship Id="rId189" Type="http://schemas.openxmlformats.org/officeDocument/2006/relationships/hyperlink" Target="https://aiforgood.itu.int/summit23/" TargetMode="External"/><Relationship Id="rId3" Type="http://schemas.openxmlformats.org/officeDocument/2006/relationships/customXml" Target="../customXml/item3.xml"/><Relationship Id="rId25" Type="http://schemas.openxmlformats.org/officeDocument/2006/relationships/hyperlink" Target="https://pp22.itu.int/en/newsroom/highlights/" TargetMode="External"/><Relationship Id="rId46" Type="http://schemas.openxmlformats.org/officeDocument/2006/relationships/hyperlink" Target="https://aiforgood.itu.int/" TargetMode="External"/><Relationship Id="rId67" Type="http://schemas.openxmlformats.org/officeDocument/2006/relationships/hyperlink" Target="https://www.itu.int/en/ITU-D/Emergency-Telecommunications/Pages/Response.aspx" TargetMode="External"/><Relationship Id="rId116" Type="http://schemas.openxmlformats.org/officeDocument/2006/relationships/hyperlink" Target="https://www.itu.int/net4/wsis/forum/2023/Agenda/Session/181" TargetMode="External"/><Relationship Id="rId137" Type="http://schemas.openxmlformats.org/officeDocument/2006/relationships/hyperlink" Target="https://www.youtube.com/watch?v=Bl37CeWMi9w&amp;list=PLpoIPNlF8P2Pnmu-cTQbhvGjeDnkY_bX9&amp;index=7" TargetMode="External"/><Relationship Id="rId158" Type="http://schemas.openxmlformats.org/officeDocument/2006/relationships/hyperlink" Target="https://www.equalsintech.org/e-mentoring" TargetMode="External"/><Relationship Id="rId20" Type="http://schemas.openxmlformats.org/officeDocument/2006/relationships/image" Target="media/image3.png"/><Relationship Id="rId41" Type="http://schemas.openxmlformats.org/officeDocument/2006/relationships/hyperlink" Target="https://www.itu.int/en/ITU-T/focusgroups/Pages/default.aspx" TargetMode="External"/><Relationship Id="rId62" Type="http://schemas.openxmlformats.org/officeDocument/2006/relationships/hyperlink" Target="https://www.itu.int/hub/2021/04/greening-the-blue-and-itu/" TargetMode="External"/><Relationship Id="rId83" Type="http://schemas.openxmlformats.org/officeDocument/2006/relationships/hyperlink" Target="https://www.itu.int/en/ITU-D/Cybersecurity/Pages/Women-in-Cyber/Women-in-Cyber-Mentorship-Programme.aspx" TargetMode="External"/><Relationship Id="rId88" Type="http://schemas.openxmlformats.org/officeDocument/2006/relationships/hyperlink" Target="https://www.unwomen.org/en/how-we-work/un-system-coordination/promoting-un-accountability" TargetMode="External"/><Relationship Id="rId111" Type="http://schemas.openxmlformats.org/officeDocument/2006/relationships/hyperlink" Target="https://www.itu.int/en/ITU-D/Regional-Presence/AsiaPacific/Pages/v2/regional-events.aspx" TargetMode="External"/><Relationship Id="rId132" Type="http://schemas.openxmlformats.org/officeDocument/2006/relationships/hyperlink" Target="https://www.itu.int/pub/D-PHCB-DIG_AGE-2021" TargetMode="External"/><Relationship Id="rId153" Type="http://schemas.openxmlformats.org/officeDocument/2006/relationships/hyperlink" Target="https://broadbandcommission.org/publication/the-transformative-potential-of-data-for-learning-interim-report/" TargetMode="External"/><Relationship Id="rId174" Type="http://schemas.openxmlformats.org/officeDocument/2006/relationships/hyperlink" Target="https://www.itu.int/en/ITU-R/seminars/rrs/rrs-22-ee/Pages/default.aspx" TargetMode="External"/><Relationship Id="rId179" Type="http://schemas.openxmlformats.org/officeDocument/2006/relationships/hyperlink" Target="http://www.wsis.org/forum" TargetMode="External"/><Relationship Id="rId195" Type="http://schemas.openxmlformats.org/officeDocument/2006/relationships/header" Target="header4.xml"/><Relationship Id="rId190" Type="http://schemas.openxmlformats.org/officeDocument/2006/relationships/hyperlink" Target="https://aiforgood.itu.int/neural-network/" TargetMode="External"/><Relationship Id="rId15" Type="http://schemas.openxmlformats.org/officeDocument/2006/relationships/header" Target="header1.xml"/><Relationship Id="rId36" Type="http://schemas.openxmlformats.org/officeDocument/2006/relationships/hyperlink" Target="https://www.itu.int/md/R00-CR-CIR-0495/en" TargetMode="External"/><Relationship Id="rId57" Type="http://schemas.openxmlformats.org/officeDocument/2006/relationships/hyperlink" Target="https://www.itu.int/en/ITU-D/Environment/Pages/Toolbox/thought-paper-2022.aspx" TargetMode="External"/><Relationship Id="rId106" Type="http://schemas.openxmlformats.org/officeDocument/2006/relationships/hyperlink" Target="https://www.kofiannanfoundation.org/our-work/kofi-annan-changemakers/" TargetMode="External"/><Relationship Id="rId127" Type="http://schemas.openxmlformats.org/officeDocument/2006/relationships/hyperlink" Target="https://www.itu.int/net4/wsis/forum/2023/Agenda/Session/383" TargetMode="External"/><Relationship Id="rId10" Type="http://schemas.openxmlformats.org/officeDocument/2006/relationships/endnotes" Target="endnotes.xml"/><Relationship Id="rId31" Type="http://schemas.openxmlformats.org/officeDocument/2006/relationships/hyperlink" Target="https://www.itu.int/en/ITU-D/Environment/Pages/Spotlight/Global-Ewaste-Monitor-2020.aspx" TargetMode="External"/><Relationship Id="rId52" Type="http://schemas.openxmlformats.org/officeDocument/2006/relationships/hyperlink" Target="https://www.itu.int/en/ITU-T/ssc/Pages/1st-forum-metaverse.aspx" TargetMode="External"/><Relationship Id="rId73" Type="http://schemas.openxmlformats.org/officeDocument/2006/relationships/hyperlink" Target="https://academy.itu.int/" TargetMode="External"/><Relationship Id="rId78" Type="http://schemas.openxmlformats.org/officeDocument/2006/relationships/hyperlink" Target="https://u4ssc.itu.int/u4ssc-kpis-report/" TargetMode="External"/><Relationship Id="rId94" Type="http://schemas.openxmlformats.org/officeDocument/2006/relationships/hyperlink" Target="https://www.itu.int/generationconnect/generation-connect-youth-summit-2022/" TargetMode="External"/><Relationship Id="rId99" Type="http://schemas.openxmlformats.org/officeDocument/2006/relationships/hyperlink" Target="https://www.youtube.com/watch?v=j1o2mY676TA" TargetMode="External"/><Relationship Id="rId101" Type="http://schemas.openxmlformats.org/officeDocument/2006/relationships/hyperlink" Target="https://www.itu.int/generationconnect/generation-connect-at-ldc5/" TargetMode="External"/><Relationship Id="rId122" Type="http://schemas.openxmlformats.org/officeDocument/2006/relationships/hyperlink" Target="https://itu.int/go/fgai4h" TargetMode="External"/><Relationship Id="rId143" Type="http://schemas.openxmlformats.org/officeDocument/2006/relationships/hyperlink" Target="https://www.broadbandcommission.org/event/2022-annual-fall-meeting-of-the-broadband-commission/" TargetMode="External"/><Relationship Id="rId148" Type="http://schemas.openxmlformats.org/officeDocument/2006/relationships/hyperlink" Target="https://www.broadbandcommission.org/publication/recommendations-sdg4/" TargetMode="External"/><Relationship Id="rId164" Type="http://schemas.openxmlformats.org/officeDocument/2006/relationships/hyperlink" Target="https://www.itu.int/en/ITU-T/focusgroups/ai4ndm/Pages/default.aspx" TargetMode="External"/><Relationship Id="rId169" Type="http://schemas.openxmlformats.org/officeDocument/2006/relationships/hyperlink" Target="https://www.itu.int/cities/standards4dt/" TargetMode="External"/><Relationship Id="rId185" Type="http://schemas.openxmlformats.org/officeDocument/2006/relationships/hyperlink" Target="https://www.itu.int/en/ITU-T/academia/kaleidoscope/2022/Pages/programme.asp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net4/wsis/forum/2023/en/Agenda/Session/445" TargetMode="External"/><Relationship Id="rId26" Type="http://schemas.openxmlformats.org/officeDocument/2006/relationships/hyperlink" Target="https://www.itu.int/pub/S-CONF-ACTF-2022" TargetMode="External"/><Relationship Id="rId47" Type="http://schemas.openxmlformats.org/officeDocument/2006/relationships/hyperlink" Target="https://unsceb.org/inter-agency-working-group-artificial-intelligence" TargetMode="External"/><Relationship Id="rId68" Type="http://schemas.openxmlformats.org/officeDocument/2006/relationships/hyperlink" Target="https://www.itu.int/en/ITU-D/Emergency-Telecommunications/Pages/Response.aspx" TargetMode="External"/><Relationship Id="rId89" Type="http://schemas.openxmlformats.org/officeDocument/2006/relationships/hyperlink" Target="https://www.itu.int/md/S23-CL-INF-0002" TargetMode="External"/><Relationship Id="rId112" Type="http://schemas.openxmlformats.org/officeDocument/2006/relationships/hyperlink" Target="https://www.itu.int/en/ITU-D/Regional-Presence/Americas/Pages/EVENTS/2022/AA-2022.aspx" TargetMode="External"/><Relationship Id="rId133" Type="http://schemas.openxmlformats.org/officeDocument/2006/relationships/hyperlink" Target="https://www.youtube.com/watch?v=eWjCQKBIuwE&amp;list=PLpoIPNlF8P2Pnmu-cTQbhvGjeDnkY_bX9&amp;index=5" TargetMode="External"/><Relationship Id="rId154" Type="http://schemas.openxmlformats.org/officeDocument/2006/relationships/hyperlink" Target="https://www.broadbandcommission.org/working-groups/msmes/" TargetMode="External"/><Relationship Id="rId175" Type="http://schemas.openxmlformats.org/officeDocument/2006/relationships/hyperlink" Target="https://www.itu.int/en/ITU-R/seminars/rrs/RRS-22-Asia-Pacific/Pages/default.aspx" TargetMode="External"/><Relationship Id="rId196" Type="http://schemas.openxmlformats.org/officeDocument/2006/relationships/footer" Target="footer4.xml"/><Relationship Id="rId16" Type="http://schemas.openxmlformats.org/officeDocument/2006/relationships/footer" Target="footer1.xml"/><Relationship Id="rId37" Type="http://schemas.openxmlformats.org/officeDocument/2006/relationships/hyperlink" Target="https://www.itu.int/en/ITU-R/space/Pages/ITU-Space-RadioMonitoring.aspx" TargetMode="External"/><Relationship Id="rId58" Type="http://schemas.openxmlformats.org/officeDocument/2006/relationships/hyperlink" Target="https://www.itu.int/en/ITU-T/climatechange/symposia/202210/Pages/default.aspx" TargetMode="External"/><Relationship Id="rId79" Type="http://schemas.openxmlformats.org/officeDocument/2006/relationships/hyperlink" Target="https://www.itu.int/md/S23-CL-C-0038/en" TargetMode="External"/><Relationship Id="rId102" Type="http://schemas.openxmlformats.org/officeDocument/2006/relationships/hyperlink" Target="https://www.mwcbarcelona.com/" TargetMode="External"/><Relationship Id="rId123" Type="http://schemas.openxmlformats.org/officeDocument/2006/relationships/hyperlink" Target="https://www.itu.int/pub/R-REP-BT.2207" TargetMode="External"/><Relationship Id="rId144" Type="http://schemas.openxmlformats.org/officeDocument/2006/relationships/hyperlink" Target="https://broadbandcommission.org/publication/state-of-broadband-2022/" TargetMode="External"/><Relationship Id="rId90" Type="http://schemas.openxmlformats.org/officeDocument/2006/relationships/hyperlink" Target="https://app.powerbi.com/view?r=eyJrIjoiNTNlMzVkYmItZWE5ZC00NTMwLTk2ZTgtZjJiM2IxZmJjY2UyIiwidCI6IjIzZTQ2NGQ3LTA0ZTYtNGI4Ny05MTNjLTI0YmQ4OTIxOWZkMyIsImMiOjl9" TargetMode="External"/><Relationship Id="rId165" Type="http://schemas.openxmlformats.org/officeDocument/2006/relationships/hyperlink" Target="https://www.itu.int/en/ITU-T/Workshops-and-Seminars/2022/1024/Pages/default.aspx" TargetMode="External"/><Relationship Id="rId186" Type="http://schemas.openxmlformats.org/officeDocument/2006/relationships/hyperlink" Target="https://aiforgood.itu.int/" TargetMode="External"/><Relationship Id="rId27" Type="http://schemas.openxmlformats.org/officeDocument/2006/relationships/hyperlink" Target="https://council.itu.int/en/networking/resources/annual-activities-report/" TargetMode="External"/><Relationship Id="rId48" Type="http://schemas.openxmlformats.org/officeDocument/2006/relationships/hyperlink" Target="https://www.itu.int/en/ITU-T/extcoop/ai-data-commons/Pages/default.aspx" TargetMode="External"/><Relationship Id="rId69" Type="http://schemas.openxmlformats.org/officeDocument/2006/relationships/hyperlink" Target="https://www.itu.int/en/ITU-D/Emergency-Telecommunications/Pages/Disaster-Connectivity-Maps.aspx" TargetMode="External"/><Relationship Id="rId113" Type="http://schemas.openxmlformats.org/officeDocument/2006/relationships/hyperlink" Target="https://www.itu.int/en/ITU-D/Regional-Presence/Europe/Pages/Events/2022/Accessible%20Europe%20ICT%204%20All%20Forum%20-%206%20Dec%202022/Accessible-Europe-ICT-4-All-Forum--Celebration-of-the-International-Day-of-Persons-with-Disabilities-.aspx" TargetMode="External"/><Relationship Id="rId134" Type="http://schemas.openxmlformats.org/officeDocument/2006/relationships/hyperlink" Target="https://www.youtube.com/watch?v=yHDbZqMkHYA&amp;list=PLpoIPNlF8P2Pnmu-cTQbhvGjeDnkY_bX9&amp;index=6" TargetMode="External"/><Relationship Id="rId80" Type="http://schemas.openxmlformats.org/officeDocument/2006/relationships/hyperlink" Target="https://www.itu.int/md/S23-CL-C-0006/en" TargetMode="External"/><Relationship Id="rId155" Type="http://schemas.openxmlformats.org/officeDocument/2006/relationships/hyperlink" Target="https://www.equalsintech.org/" TargetMode="External"/><Relationship Id="rId176" Type="http://schemas.openxmlformats.org/officeDocument/2006/relationships/hyperlink" Target="https://www.itu.int/en/ITU-T/Workshops-and-Seminars/2023/0124/Pages/default.aspx" TargetMode="External"/><Relationship Id="rId197" Type="http://schemas.openxmlformats.org/officeDocument/2006/relationships/fontTable" Target="fontTable.xml"/><Relationship Id="rId17" Type="http://schemas.openxmlformats.org/officeDocument/2006/relationships/header" Target="header2.xml"/><Relationship Id="rId38" Type="http://schemas.openxmlformats.org/officeDocument/2006/relationships/hyperlink" Target="https://www.itu.int/itu-t/workprog/wp_search.aspx?isn_sp=8265&amp;isn_status=-1,2&amp;adf=2022-07-01&amp;adt=2023-03-20&amp;details=0&amp;field=acdefghijo" TargetMode="External"/><Relationship Id="rId59" Type="http://schemas.openxmlformats.org/officeDocument/2006/relationships/hyperlink" Target="https://www.itu.int/en/ITU-D/Environment/Pages/Toolbox/Greening-Digital-Companies.aspx" TargetMode="External"/><Relationship Id="rId103" Type="http://schemas.openxmlformats.org/officeDocument/2006/relationships/hyperlink" Target="https://indico.un.org/event/1002946/" TargetMode="External"/><Relationship Id="rId124" Type="http://schemas.openxmlformats.org/officeDocument/2006/relationships/hyperlink" Target="https://www.itu.int/pub/R-REP-SM.2153" TargetMode="External"/><Relationship Id="rId70" Type="http://schemas.openxmlformats.org/officeDocument/2006/relationships/hyperlink" Target="https://www.itu.int/en/ITU-D/Emergency-Telecommunications/Pages/ITU-Online-Modules-on-Emergency-Telecommunications.aspx" TargetMode="External"/><Relationship Id="rId91" Type="http://schemas.openxmlformats.org/officeDocument/2006/relationships/hyperlink" Target="http://www.itu.int/gender" TargetMode="External"/><Relationship Id="rId145" Type="http://schemas.openxmlformats.org/officeDocument/2006/relationships/hyperlink" Target="https://broadbandcommission.org/publication/tes-open-statement/" TargetMode="External"/><Relationship Id="rId166" Type="http://schemas.openxmlformats.org/officeDocument/2006/relationships/hyperlink" Target="https://www.itu.int/en/ITU-T/webinars/20230419/Pages/default.aspx" TargetMode="External"/><Relationship Id="rId187" Type="http://schemas.openxmlformats.org/officeDocument/2006/relationships/hyperlink" Target="https://aiforgood.itu.int/" TargetMode="External"/><Relationship Id="rId1" Type="http://schemas.openxmlformats.org/officeDocument/2006/relationships/customXml" Target="../customXml/item1.xml"/><Relationship Id="rId28" Type="http://schemas.openxmlformats.org/officeDocument/2006/relationships/hyperlink" Target="https://council.itu.int/en/networking/resources/annual-activities-report/" TargetMode="External"/><Relationship Id="rId49" Type="http://schemas.openxmlformats.org/officeDocument/2006/relationships/hyperlink" Target="https://www.itu.int/en/ITU-T/focusgroups/mv/Pages/default.aspx" TargetMode="External"/><Relationship Id="rId114" Type="http://schemas.openxmlformats.org/officeDocument/2006/relationships/hyperlink" Target="https://www.itu.int/en/ITU-D/Digital-Inclusion/Pages/resources-on-ICT-accessibility/default.aspx" TargetMode="External"/><Relationship Id="rId60" Type="http://schemas.openxmlformats.org/officeDocument/2006/relationships/hyperlink" Target="https://www.itu.int/en/ITU-D/Environment/Pages/Events/2022/Greening-Digital-Companies.aspx" TargetMode="External"/><Relationship Id="rId81" Type="http://schemas.openxmlformats.org/officeDocument/2006/relationships/hyperlink" Target="https://www.itu.int/women-and-girls/girls-in-ict/" TargetMode="External"/><Relationship Id="rId135" Type="http://schemas.openxmlformats.org/officeDocument/2006/relationships/hyperlink" Target="https://www.youtube.com/watch?v=41HiCZwPN5E&amp;list=PLpoIPNlF8P2Pnmu-cTQbhvGjeDnkY_bX9&amp;index=2" TargetMode="External"/><Relationship Id="rId156" Type="http://schemas.openxmlformats.org/officeDocument/2006/relationships/hyperlink" Target="https://www.equalsintech.org/her-digital-skills" TargetMode="External"/><Relationship Id="rId177" Type="http://schemas.openxmlformats.org/officeDocument/2006/relationships/hyperlink" Target="https://www.itu.int/en/ITU-T/Workshops-and-Seminars/2023/Pages/default.aspx" TargetMode="External"/><Relationship Id="rId198" Type="http://schemas.openxmlformats.org/officeDocument/2006/relationships/theme" Target="theme/theme1.xml"/><Relationship Id="rId18" Type="http://schemas.openxmlformats.org/officeDocument/2006/relationships/footer" Target="footer2.xml"/><Relationship Id="rId39" Type="http://schemas.openxmlformats.org/officeDocument/2006/relationships/hyperlink" Target="https://www.itu.int/en/ITU-T/publications/Pages/recs.aspx" TargetMode="External"/><Relationship Id="rId50" Type="http://schemas.openxmlformats.org/officeDocument/2006/relationships/hyperlink" Target="https://www.itu.int/en/ITU-T/focusgroups/mv/Pages/FG-MV-structure-and-workplan.aspx" TargetMode="External"/><Relationship Id="rId104" Type="http://schemas.openxmlformats.org/officeDocument/2006/relationships/hyperlink" Target="https://academy.itu.int/training-courses/full-catalogue/generation-connect-digital-learning" TargetMode="External"/><Relationship Id="rId125" Type="http://schemas.openxmlformats.org/officeDocument/2006/relationships/hyperlink" Target="https://academy.itu.int/training-courses/full-catalogue/formacion-en-herramientas-innovadoras-de-comunicacion-para-el-fortalecimiento-de-las-capacidades-de-2" TargetMode="External"/><Relationship Id="rId146" Type="http://schemas.openxmlformats.org/officeDocument/2006/relationships/hyperlink" Target="https://broadbandcommission.org/publication/open-statement-from-the-broadband-commission-to-the-un-high-level-political-forum-hlpf-2022/" TargetMode="External"/><Relationship Id="rId167" Type="http://schemas.openxmlformats.org/officeDocument/2006/relationships/hyperlink" Target="https://www.itu.int/en/ITU-T/focusgroups/ai4a/Pages/default.aspx" TargetMode="External"/><Relationship Id="rId188" Type="http://schemas.openxmlformats.org/officeDocument/2006/relationships/hyperlink" Target="https://aiforgood.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526DD-3528-4FD5-846F-53C5626D3EAA}">
  <ds:schemaRefs>
    <ds:schemaRef ds:uri="http://schemas.microsoft.com/office/2006/metadata/properties"/>
    <ds:schemaRef ds:uri="http://schemas.microsoft.com/office/infopath/2007/PartnerControls"/>
    <ds:schemaRef ds:uri="5a9e730e-50ca-4fdd-8a7a-b4f5b57bd209"/>
  </ds:schemaRefs>
</ds:datastoreItem>
</file>

<file path=customXml/itemProps2.xml><?xml version="1.0" encoding="utf-8"?>
<ds:datastoreItem xmlns:ds="http://schemas.openxmlformats.org/officeDocument/2006/customXml" ds:itemID="{9C749095-B4E3-4258-8960-667825AE2512}">
  <ds:schemaRefs>
    <ds:schemaRef ds:uri="http://schemas.microsoft.com/sharepoint/v3/contenttype/forms"/>
  </ds:schemaRefs>
</ds:datastoreItem>
</file>

<file path=customXml/itemProps3.xml><?xml version="1.0" encoding="utf-8"?>
<ds:datastoreItem xmlns:ds="http://schemas.openxmlformats.org/officeDocument/2006/customXml" ds:itemID="{D4C25899-3268-45E8-AFB2-B4632A9F100E}">
  <ds:schemaRefs>
    <ds:schemaRef ds:uri="http://schemas.openxmlformats.org/officeDocument/2006/bibliography"/>
  </ds:schemaRefs>
</ds:datastoreItem>
</file>

<file path=customXml/itemProps4.xml><?xml version="1.0" encoding="utf-8"?>
<ds:datastoreItem xmlns:ds="http://schemas.openxmlformats.org/officeDocument/2006/customXml" ds:itemID="{6DEB707B-08CC-4680-B2E2-41B65A30C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10333</Words>
  <Characters>76005</Characters>
  <Application>Microsoft Office Word</Application>
  <DocSecurity>0</DocSecurity>
  <Lines>633</Lines>
  <Paragraphs>172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Pluchon, Beatrice</dc:creator>
  <cp:keywords>C2023, C23, Council-23</cp:keywords>
  <dc:description/>
  <cp:lastModifiedBy>Xue, Kun</cp:lastModifiedBy>
  <cp:revision>3</cp:revision>
  <cp:lastPrinted>2000-07-18T22:30:00Z</cp:lastPrinted>
  <dcterms:created xsi:type="dcterms:W3CDTF">2023-07-06T09:01:00Z</dcterms:created>
  <dcterms:modified xsi:type="dcterms:W3CDTF">2023-07-06T10:51:00Z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MediaServiceImageTags">
    <vt:lpwstr/>
  </property>
</Properties>
</file>