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274C1D" w14:paraId="2592CC74" w14:textId="77777777" w:rsidTr="00D72F49">
        <w:trPr>
          <w:cantSplit/>
          <w:trHeight w:val="23"/>
        </w:trPr>
        <w:tc>
          <w:tcPr>
            <w:tcW w:w="3969" w:type="dxa"/>
            <w:vMerge w:val="restart"/>
            <w:tcMar>
              <w:left w:w="0" w:type="dxa"/>
            </w:tcMar>
          </w:tcPr>
          <w:p w14:paraId="27E56DEB" w14:textId="0A1B1FC4" w:rsidR="00D72F49" w:rsidRPr="00274C1D" w:rsidRDefault="00D72F49" w:rsidP="00D72F49">
            <w:pPr>
              <w:tabs>
                <w:tab w:val="left" w:pos="851"/>
              </w:tabs>
              <w:spacing w:before="0" w:line="240" w:lineRule="atLeast"/>
              <w:rPr>
                <w:b/>
              </w:rPr>
            </w:pPr>
            <w:r w:rsidRPr="00274C1D">
              <w:rPr>
                <w:b/>
              </w:rPr>
              <w:t>Point de l</w:t>
            </w:r>
            <w:r w:rsidR="00822829" w:rsidRPr="00274C1D">
              <w:rPr>
                <w:b/>
              </w:rPr>
              <w:t>'</w:t>
            </w:r>
            <w:r w:rsidRPr="00274C1D">
              <w:rPr>
                <w:b/>
              </w:rPr>
              <w:t xml:space="preserve">ordre du jour: </w:t>
            </w:r>
            <w:r w:rsidR="00822829" w:rsidRPr="00274C1D">
              <w:rPr>
                <w:b/>
              </w:rPr>
              <w:t>PL 1</w:t>
            </w:r>
          </w:p>
        </w:tc>
        <w:tc>
          <w:tcPr>
            <w:tcW w:w="5245" w:type="dxa"/>
          </w:tcPr>
          <w:p w14:paraId="27B6A98A" w14:textId="6736A7F1" w:rsidR="00D72F49" w:rsidRPr="00274C1D" w:rsidRDefault="00D72F49" w:rsidP="00D72F49">
            <w:pPr>
              <w:tabs>
                <w:tab w:val="left" w:pos="851"/>
              </w:tabs>
              <w:spacing w:before="0" w:line="240" w:lineRule="atLeast"/>
              <w:jc w:val="right"/>
              <w:rPr>
                <w:b/>
              </w:rPr>
            </w:pPr>
            <w:r w:rsidRPr="00274C1D">
              <w:rPr>
                <w:b/>
              </w:rPr>
              <w:t>Document C23/</w:t>
            </w:r>
            <w:r w:rsidR="00822829" w:rsidRPr="00274C1D">
              <w:rPr>
                <w:b/>
              </w:rPr>
              <w:t>35</w:t>
            </w:r>
            <w:r w:rsidRPr="00274C1D">
              <w:rPr>
                <w:b/>
              </w:rPr>
              <w:t>-F</w:t>
            </w:r>
          </w:p>
        </w:tc>
      </w:tr>
      <w:tr w:rsidR="00D72F49" w:rsidRPr="00274C1D" w14:paraId="41096C77" w14:textId="77777777" w:rsidTr="00D72F49">
        <w:trPr>
          <w:cantSplit/>
        </w:trPr>
        <w:tc>
          <w:tcPr>
            <w:tcW w:w="3969" w:type="dxa"/>
            <w:vMerge/>
          </w:tcPr>
          <w:p w14:paraId="0BBA5643" w14:textId="77777777" w:rsidR="00D72F49" w:rsidRPr="00274C1D" w:rsidRDefault="00D72F49" w:rsidP="00D72F49">
            <w:pPr>
              <w:tabs>
                <w:tab w:val="left" w:pos="851"/>
              </w:tabs>
              <w:spacing w:line="240" w:lineRule="atLeast"/>
              <w:rPr>
                <w:b/>
              </w:rPr>
            </w:pPr>
          </w:p>
        </w:tc>
        <w:tc>
          <w:tcPr>
            <w:tcW w:w="5245" w:type="dxa"/>
          </w:tcPr>
          <w:p w14:paraId="068BECD5" w14:textId="5106AC3B" w:rsidR="00D72F49" w:rsidRPr="00274C1D" w:rsidRDefault="00822829" w:rsidP="00D72F49">
            <w:pPr>
              <w:tabs>
                <w:tab w:val="left" w:pos="851"/>
              </w:tabs>
              <w:spacing w:before="0"/>
              <w:jc w:val="right"/>
              <w:rPr>
                <w:b/>
              </w:rPr>
            </w:pPr>
            <w:r w:rsidRPr="00274C1D">
              <w:rPr>
                <w:b/>
              </w:rPr>
              <w:t>12 juin</w:t>
            </w:r>
            <w:r w:rsidR="00D72F49" w:rsidRPr="00274C1D">
              <w:rPr>
                <w:b/>
              </w:rPr>
              <w:t xml:space="preserve"> 2023</w:t>
            </w:r>
          </w:p>
        </w:tc>
      </w:tr>
      <w:tr w:rsidR="00D72F49" w:rsidRPr="00274C1D" w14:paraId="17E5B988" w14:textId="77777777" w:rsidTr="00D72F49">
        <w:trPr>
          <w:cantSplit/>
          <w:trHeight w:val="23"/>
        </w:trPr>
        <w:tc>
          <w:tcPr>
            <w:tcW w:w="3969" w:type="dxa"/>
            <w:vMerge/>
          </w:tcPr>
          <w:p w14:paraId="2192D6D7" w14:textId="77777777" w:rsidR="00D72F49" w:rsidRPr="00274C1D" w:rsidRDefault="00D72F49" w:rsidP="00D72F49">
            <w:pPr>
              <w:tabs>
                <w:tab w:val="left" w:pos="851"/>
              </w:tabs>
              <w:spacing w:line="240" w:lineRule="atLeast"/>
              <w:rPr>
                <w:b/>
              </w:rPr>
            </w:pPr>
          </w:p>
        </w:tc>
        <w:tc>
          <w:tcPr>
            <w:tcW w:w="5245" w:type="dxa"/>
          </w:tcPr>
          <w:p w14:paraId="1948C622" w14:textId="77777777" w:rsidR="00D72F49" w:rsidRPr="00274C1D" w:rsidRDefault="00D72F49" w:rsidP="00D72F49">
            <w:pPr>
              <w:tabs>
                <w:tab w:val="left" w:pos="851"/>
              </w:tabs>
              <w:spacing w:before="0" w:line="240" w:lineRule="atLeast"/>
              <w:jc w:val="right"/>
              <w:rPr>
                <w:b/>
              </w:rPr>
            </w:pPr>
            <w:r w:rsidRPr="00274C1D">
              <w:rPr>
                <w:b/>
              </w:rPr>
              <w:t>Original: anglais</w:t>
            </w:r>
          </w:p>
        </w:tc>
      </w:tr>
      <w:tr w:rsidR="00D72F49" w:rsidRPr="00274C1D" w14:paraId="53623BEE" w14:textId="77777777" w:rsidTr="00D72F49">
        <w:trPr>
          <w:cantSplit/>
          <w:trHeight w:val="23"/>
        </w:trPr>
        <w:tc>
          <w:tcPr>
            <w:tcW w:w="3969" w:type="dxa"/>
          </w:tcPr>
          <w:p w14:paraId="630B4C34" w14:textId="77777777" w:rsidR="00D72F49" w:rsidRPr="00274C1D" w:rsidRDefault="00D72F49" w:rsidP="00D72F49">
            <w:pPr>
              <w:tabs>
                <w:tab w:val="left" w:pos="851"/>
              </w:tabs>
              <w:spacing w:line="240" w:lineRule="atLeast"/>
              <w:rPr>
                <w:b/>
              </w:rPr>
            </w:pPr>
          </w:p>
        </w:tc>
        <w:tc>
          <w:tcPr>
            <w:tcW w:w="5245" w:type="dxa"/>
          </w:tcPr>
          <w:p w14:paraId="437750C4" w14:textId="77777777" w:rsidR="00D72F49" w:rsidRPr="00274C1D" w:rsidRDefault="00D72F49" w:rsidP="00D72F49">
            <w:pPr>
              <w:tabs>
                <w:tab w:val="left" w:pos="851"/>
              </w:tabs>
              <w:spacing w:before="0" w:line="240" w:lineRule="atLeast"/>
              <w:jc w:val="right"/>
              <w:rPr>
                <w:b/>
              </w:rPr>
            </w:pPr>
          </w:p>
        </w:tc>
      </w:tr>
      <w:tr w:rsidR="00D72F49" w:rsidRPr="00274C1D" w14:paraId="31FFA2A5" w14:textId="77777777" w:rsidTr="00D72F49">
        <w:trPr>
          <w:cantSplit/>
        </w:trPr>
        <w:tc>
          <w:tcPr>
            <w:tcW w:w="9214" w:type="dxa"/>
            <w:gridSpan w:val="2"/>
            <w:tcMar>
              <w:left w:w="0" w:type="dxa"/>
            </w:tcMar>
          </w:tcPr>
          <w:p w14:paraId="7AA1F34C" w14:textId="27FA04C8" w:rsidR="00D72F49" w:rsidRPr="00274C1D" w:rsidRDefault="00D72F49" w:rsidP="00D72F49">
            <w:pPr>
              <w:pStyle w:val="Source"/>
              <w:jc w:val="left"/>
              <w:rPr>
                <w:sz w:val="34"/>
                <w:szCs w:val="34"/>
              </w:rPr>
            </w:pPr>
            <w:r w:rsidRPr="00274C1D">
              <w:rPr>
                <w:rFonts w:cstheme="minorHAnsi"/>
                <w:color w:val="000000"/>
                <w:sz w:val="34"/>
                <w:szCs w:val="34"/>
              </w:rPr>
              <w:t xml:space="preserve">Rapport </w:t>
            </w:r>
            <w:r w:rsidR="00E95647" w:rsidRPr="00274C1D">
              <w:rPr>
                <w:rFonts w:cstheme="minorHAnsi"/>
                <w:color w:val="000000"/>
                <w:sz w:val="34"/>
                <w:szCs w:val="34"/>
              </w:rPr>
              <w:t xml:space="preserve">de la </w:t>
            </w:r>
            <w:r w:rsidRPr="00274C1D">
              <w:rPr>
                <w:rFonts w:cstheme="minorHAnsi"/>
                <w:color w:val="000000"/>
                <w:sz w:val="34"/>
                <w:szCs w:val="34"/>
              </w:rPr>
              <w:t>Secrétaire général</w:t>
            </w:r>
            <w:r w:rsidR="00E95647" w:rsidRPr="00274C1D">
              <w:rPr>
                <w:rFonts w:cstheme="minorHAnsi"/>
                <w:color w:val="000000"/>
                <w:sz w:val="34"/>
                <w:szCs w:val="34"/>
              </w:rPr>
              <w:t>e</w:t>
            </w:r>
          </w:p>
        </w:tc>
      </w:tr>
      <w:tr w:rsidR="00D72F49" w:rsidRPr="00274C1D" w14:paraId="65E7E3D8" w14:textId="77777777" w:rsidTr="00D72F49">
        <w:trPr>
          <w:cantSplit/>
        </w:trPr>
        <w:tc>
          <w:tcPr>
            <w:tcW w:w="9214" w:type="dxa"/>
            <w:gridSpan w:val="2"/>
            <w:tcMar>
              <w:left w:w="0" w:type="dxa"/>
            </w:tcMar>
          </w:tcPr>
          <w:p w14:paraId="370F6D7B" w14:textId="4E0A88BA" w:rsidR="00D72F49" w:rsidRPr="00274C1D" w:rsidRDefault="00822829" w:rsidP="00D72F49">
            <w:pPr>
              <w:pStyle w:val="Subtitle"/>
              <w:framePr w:hSpace="0" w:wrap="auto" w:hAnchor="text" w:xAlign="left" w:yAlign="inline"/>
              <w:rPr>
                <w:lang w:val="fr-FR"/>
              </w:rPr>
            </w:pPr>
            <w:r w:rsidRPr="00274C1D">
              <w:rPr>
                <w:rFonts w:cstheme="minorHAnsi"/>
                <w:lang w:val="fr-FR"/>
              </w:rPr>
              <w:t>RAPPORT SUR LA MISE EN ŒUVRE DU PLAN STRATÉGIQUE ET LES ACTIVITÉS DE L'UNION, JUILLET 2022 – AVRIL 2023</w:t>
            </w:r>
          </w:p>
        </w:tc>
      </w:tr>
      <w:tr w:rsidR="00D72F49" w:rsidRPr="00274C1D"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0E28FD8D" w:rsidR="00D72F49" w:rsidRPr="00274C1D" w:rsidRDefault="00F37FE5" w:rsidP="00D72F49">
            <w:pPr>
              <w:spacing w:before="160"/>
              <w:rPr>
                <w:b/>
                <w:bCs/>
                <w:sz w:val="26"/>
                <w:szCs w:val="26"/>
              </w:rPr>
            </w:pPr>
            <w:r w:rsidRPr="00274C1D">
              <w:rPr>
                <w:b/>
                <w:bCs/>
                <w:sz w:val="26"/>
                <w:szCs w:val="26"/>
              </w:rPr>
              <w:t>Objet</w:t>
            </w:r>
          </w:p>
          <w:p w14:paraId="45E55FB2" w14:textId="0B0FF38B" w:rsidR="00D72F49" w:rsidRPr="00274C1D" w:rsidRDefault="00822829" w:rsidP="00D72F49">
            <w:r w:rsidRPr="00274C1D">
              <w:t>Rapport sur la mise en œuvre du Plan stratégique de l'Union pour la période 2019</w:t>
            </w:r>
            <w:r w:rsidRPr="00274C1D">
              <w:noBreakHyphen/>
              <w:t>2023, juillet 2022 – avril 2023.</w:t>
            </w:r>
          </w:p>
          <w:p w14:paraId="0B950982" w14:textId="77777777" w:rsidR="00D72F49" w:rsidRPr="00274C1D" w:rsidRDefault="00D72F49" w:rsidP="00D72F49">
            <w:pPr>
              <w:spacing w:before="160"/>
              <w:rPr>
                <w:b/>
                <w:bCs/>
                <w:sz w:val="26"/>
                <w:szCs w:val="26"/>
              </w:rPr>
            </w:pPr>
            <w:r w:rsidRPr="00274C1D">
              <w:rPr>
                <w:b/>
                <w:bCs/>
                <w:sz w:val="26"/>
                <w:szCs w:val="26"/>
              </w:rPr>
              <w:t>Suite à donner par le Conseil</w:t>
            </w:r>
          </w:p>
          <w:p w14:paraId="6F9A6B88" w14:textId="5F0DEF6F" w:rsidR="00D72F49" w:rsidRPr="00274C1D" w:rsidRDefault="00822829" w:rsidP="00D72F49">
            <w:r w:rsidRPr="00274C1D">
              <w:t xml:space="preserve">Le Conseil est invité à </w:t>
            </w:r>
            <w:r w:rsidRPr="00274C1D">
              <w:rPr>
                <w:b/>
                <w:bCs/>
              </w:rPr>
              <w:t>approuver</w:t>
            </w:r>
            <w:r w:rsidRPr="00274C1D">
              <w:t xml:space="preserve"> le présent rapport.</w:t>
            </w:r>
          </w:p>
          <w:p w14:paraId="121C402A" w14:textId="4FDE1FF1" w:rsidR="00D72F49" w:rsidRPr="00274C1D" w:rsidRDefault="00D72F49" w:rsidP="00D72F49">
            <w:pPr>
              <w:spacing w:before="160"/>
              <w:rPr>
                <w:b/>
                <w:bCs/>
                <w:sz w:val="26"/>
                <w:szCs w:val="26"/>
              </w:rPr>
            </w:pPr>
            <w:r w:rsidRPr="00274C1D">
              <w:rPr>
                <w:b/>
                <w:bCs/>
                <w:sz w:val="26"/>
                <w:szCs w:val="26"/>
              </w:rPr>
              <w:t xml:space="preserve">Lien(s) pertinent(s) avec le </w:t>
            </w:r>
            <w:r w:rsidR="00F37FE5" w:rsidRPr="00274C1D">
              <w:rPr>
                <w:b/>
                <w:bCs/>
                <w:sz w:val="26"/>
                <w:szCs w:val="26"/>
              </w:rPr>
              <w:t>p</w:t>
            </w:r>
            <w:r w:rsidRPr="00274C1D">
              <w:rPr>
                <w:b/>
                <w:bCs/>
                <w:sz w:val="26"/>
                <w:szCs w:val="26"/>
              </w:rPr>
              <w:t>lan stratégique</w:t>
            </w:r>
          </w:p>
          <w:p w14:paraId="60D63331" w14:textId="3169A7EC" w:rsidR="00D72F49" w:rsidRPr="00274C1D" w:rsidRDefault="00822829" w:rsidP="00D72F49">
            <w:r w:rsidRPr="00274C1D">
              <w:t>Le présent document correspond au rapport annuel au Conseil sur la mise en œuvre du Plan stratégique et les activités de l'Union, qui réunit en un seul document le Rapport annuel sur l'activité de l'Union (conformément au numéro 102 de la Convention) et le Rapport sur la mise en œuvre du Plan stratégique (conformément au numéro 61 de la Convention), en vertu de la Résolution 71 (Rév. Bucarest, 2022) de la Conférence de plénipotentiaires.</w:t>
            </w:r>
          </w:p>
          <w:p w14:paraId="11FAADC9" w14:textId="7C83D0EA" w:rsidR="00E95647" w:rsidRPr="00274C1D" w:rsidRDefault="00D72F49" w:rsidP="00D72F49">
            <w:pPr>
              <w:spacing w:before="160"/>
              <w:rPr>
                <w:b/>
                <w:bCs/>
                <w:sz w:val="26"/>
                <w:szCs w:val="26"/>
              </w:rPr>
            </w:pPr>
            <w:r w:rsidRPr="00274C1D">
              <w:rPr>
                <w:b/>
                <w:bCs/>
                <w:sz w:val="26"/>
                <w:szCs w:val="26"/>
              </w:rPr>
              <w:t>Incidences financières</w:t>
            </w:r>
          </w:p>
          <w:p w14:paraId="2E44E753" w14:textId="77777777" w:rsidR="00D72F49" w:rsidRPr="00274C1D" w:rsidRDefault="00D72F49" w:rsidP="00D72F49">
            <w:pPr>
              <w:spacing w:before="160"/>
              <w:rPr>
                <w:caps/>
                <w:sz w:val="22"/>
              </w:rPr>
            </w:pPr>
            <w:r w:rsidRPr="00274C1D">
              <w:rPr>
                <w:sz w:val="22"/>
              </w:rPr>
              <w:t>__________________</w:t>
            </w:r>
          </w:p>
          <w:p w14:paraId="246B160C" w14:textId="77777777" w:rsidR="00D72F49" w:rsidRPr="00274C1D" w:rsidRDefault="00D72F49" w:rsidP="00D72F49">
            <w:pPr>
              <w:spacing w:before="160"/>
              <w:rPr>
                <w:b/>
                <w:bCs/>
                <w:sz w:val="26"/>
                <w:szCs w:val="26"/>
              </w:rPr>
            </w:pPr>
            <w:r w:rsidRPr="00274C1D">
              <w:rPr>
                <w:b/>
                <w:bCs/>
                <w:sz w:val="26"/>
                <w:szCs w:val="26"/>
              </w:rPr>
              <w:t>Références</w:t>
            </w:r>
          </w:p>
          <w:p w14:paraId="3B399B5C" w14:textId="7B97C65B" w:rsidR="00D72F49" w:rsidRPr="00274C1D" w:rsidRDefault="00127DC0" w:rsidP="00D72F49">
            <w:pPr>
              <w:spacing w:after="160"/>
              <w:rPr>
                <w:i/>
                <w:iCs/>
              </w:rPr>
            </w:pPr>
            <w:hyperlink r:id="rId8" w:history="1">
              <w:r w:rsidR="00822829" w:rsidRPr="00274C1D">
                <w:rPr>
                  <w:rStyle w:val="Hyperlink"/>
                  <w:i/>
                  <w:iCs/>
                </w:rPr>
                <w:t>Résolution 71</w:t>
              </w:r>
            </w:hyperlink>
            <w:r w:rsidR="00822829" w:rsidRPr="00274C1D">
              <w:rPr>
                <w:i/>
                <w:iCs/>
              </w:rPr>
              <w:t xml:space="preserve"> (Rév. Bucarest, 2022) de la Conférence de plénipotentiaires, </w:t>
            </w:r>
            <w:hyperlink r:id="rId9" w:history="1">
              <w:r w:rsidR="00822829" w:rsidRPr="00274C1D">
                <w:rPr>
                  <w:rStyle w:val="Hyperlink"/>
                  <w:i/>
                  <w:iCs/>
                </w:rPr>
                <w:t>Résolution 151</w:t>
              </w:r>
            </w:hyperlink>
            <w:r w:rsidR="00822829" w:rsidRPr="00274C1D">
              <w:rPr>
                <w:i/>
                <w:iCs/>
              </w:rPr>
              <w:t xml:space="preserve"> (Rév. Bucarest, 2022) de la Conférence de plénipotentiaires, </w:t>
            </w:r>
            <w:hyperlink r:id="rId10" w:history="1">
              <w:r w:rsidR="00822829" w:rsidRPr="00274C1D">
                <w:rPr>
                  <w:rStyle w:val="Hyperlink"/>
                  <w:i/>
                  <w:iCs/>
                </w:rPr>
                <w:t>Résolution 200</w:t>
              </w:r>
            </w:hyperlink>
            <w:r w:rsidR="00822829" w:rsidRPr="00274C1D">
              <w:rPr>
                <w:i/>
                <w:iCs/>
              </w:rPr>
              <w:t xml:space="preserve"> (Rév. Bucarest, 2022) de la Conférence de plénipotentiaires et </w:t>
            </w:r>
            <w:hyperlink r:id="rId11" w:history="1">
              <w:r w:rsidR="00822829" w:rsidRPr="00274C1D">
                <w:rPr>
                  <w:rStyle w:val="Hyperlink"/>
                  <w:i/>
                  <w:iCs/>
                </w:rPr>
                <w:t>numéros 102 et 61</w:t>
              </w:r>
            </w:hyperlink>
            <w:r w:rsidR="00822829" w:rsidRPr="00274C1D">
              <w:rPr>
                <w:i/>
                <w:iCs/>
              </w:rPr>
              <w:t xml:space="preserve"> de la Convention</w:t>
            </w:r>
          </w:p>
        </w:tc>
      </w:tr>
    </w:tbl>
    <w:p w14:paraId="3B7150AC" w14:textId="77777777" w:rsidR="00A51849" w:rsidRPr="00274C1D" w:rsidRDefault="00A51849">
      <w:pPr>
        <w:tabs>
          <w:tab w:val="clear" w:pos="567"/>
          <w:tab w:val="clear" w:pos="1134"/>
          <w:tab w:val="clear" w:pos="1701"/>
          <w:tab w:val="clear" w:pos="2268"/>
          <w:tab w:val="clear" w:pos="2835"/>
        </w:tabs>
        <w:overflowPunct/>
        <w:autoSpaceDE/>
        <w:autoSpaceDN/>
        <w:adjustRightInd/>
        <w:spacing w:before="0"/>
        <w:textAlignment w:val="auto"/>
      </w:pPr>
      <w:r w:rsidRPr="00274C1D">
        <w:br w:type="page"/>
      </w:r>
    </w:p>
    <w:p w14:paraId="4040482C" w14:textId="04E862EE" w:rsidR="00822829" w:rsidRPr="00274C1D" w:rsidRDefault="00822829" w:rsidP="00822829">
      <w:pPr>
        <w:pStyle w:val="Title4"/>
      </w:pPr>
      <w:r w:rsidRPr="00274C1D">
        <w:lastRenderedPageBreak/>
        <w:t>Avant-propos du Rapport sur la mise en œuvre du</w:t>
      </w:r>
      <w:r w:rsidRPr="00274C1D">
        <w:br/>
        <w:t>Plan stratégique et les activités de l'Union</w:t>
      </w:r>
    </w:p>
    <w:p w14:paraId="7D1D95C6" w14:textId="77777777" w:rsidR="00822829" w:rsidRPr="00274C1D" w:rsidRDefault="00822829" w:rsidP="00822829">
      <w:pPr>
        <w:pStyle w:val="Title4"/>
      </w:pPr>
      <w:r w:rsidRPr="00274C1D">
        <w:t>Juillet 2022 – Avril 2023</w:t>
      </w:r>
    </w:p>
    <w:p w14:paraId="7307CC4E" w14:textId="30D89573" w:rsidR="00822829" w:rsidRPr="00274C1D" w:rsidRDefault="00822829" w:rsidP="00822829">
      <w:pPr>
        <w:pStyle w:val="Normalaftertitle"/>
      </w:pPr>
      <w:r w:rsidRPr="00274C1D">
        <w:t>Chers membres de la famille de l'UIT,</w:t>
      </w:r>
    </w:p>
    <w:p w14:paraId="0D35C473" w14:textId="4466B68D" w:rsidR="00822829" w:rsidRPr="00274C1D" w:rsidRDefault="00822829" w:rsidP="00822829">
      <w:r w:rsidRPr="00274C1D">
        <w:t>Le présent rapport couvre l'une des périodes les plus intensives et décisives de l'histoire de l'UIT.</w:t>
      </w:r>
    </w:p>
    <w:p w14:paraId="62BE29D8" w14:textId="6E89B9D4" w:rsidR="00822829" w:rsidRPr="00274C1D" w:rsidRDefault="00822829" w:rsidP="00822829">
      <w:r w:rsidRPr="00274C1D">
        <w:t>En seulement quelques mois, l'UIT a tenu l'Assemblée mondiale de normalisation des télécommunications (AMNT-20) et la Conférence mondiale de développement des télécommunications (CMDT-22), ouvrant la voie à la Conférence de plénipotentiaires (PP</w:t>
      </w:r>
      <w:r w:rsidRPr="00274C1D">
        <w:noBreakHyphen/>
        <w:t>22), au cours de laquelle les États Membres ont défini les deux objectifs stratégiques de l'Union, à savoir la connectivité universelle et la transformation numérique durable.</w:t>
      </w:r>
    </w:p>
    <w:p w14:paraId="34583AE8" w14:textId="3F4580AA" w:rsidR="00822829" w:rsidRPr="00274C1D" w:rsidRDefault="00822829" w:rsidP="00822829">
      <w:r w:rsidRPr="00274C1D">
        <w:t>Le choix qui s'offre à nous est clair: nous devons faire tout ce qui est en notre pouvoir pour utiliser le numérique de sorte à "sauver" les Objectifs de développement durable (ODD) avant l'expiration imminente du délai, au risque de prendre encore plus de retard et de faire face à un avenir marqué par l'augmentation des inégalités sur le plan numérique et une crise environnementale.</w:t>
      </w:r>
    </w:p>
    <w:p w14:paraId="37D89E4A" w14:textId="58297060" w:rsidR="00822829" w:rsidRPr="00274C1D" w:rsidRDefault="00822829" w:rsidP="00822829">
      <w:r w:rsidRPr="00274C1D">
        <w:t>Cette situation s'inscrit dans un contexte d'évolution radicale des technologies et de l'écosystème planétaire.</w:t>
      </w:r>
    </w:p>
    <w:p w14:paraId="0C3D45B7" w14:textId="459B40A3" w:rsidR="00822829" w:rsidRPr="00274C1D" w:rsidRDefault="00822829" w:rsidP="00822829">
      <w:r w:rsidRPr="00274C1D">
        <w:t>L'envolée de l'intelligence artificielle générative et la perspective de l'intelligence artificielle en général suscitent des inquiétudes quant à l'existence même de l'humanité et un appel mondial en faveur d'une réglementation. Parallèlement, les progrès technologiques peuvent également représenter l'un de nos meilleurs espoirs pour poursuivre sur la voie de la réalisation des objectifs en matière de climat et des ODD.</w:t>
      </w:r>
    </w:p>
    <w:p w14:paraId="25A8463D" w14:textId="3083B94F" w:rsidR="00822829" w:rsidRPr="00274C1D" w:rsidRDefault="00822829" w:rsidP="00822829">
      <w:r w:rsidRPr="00274C1D">
        <w:t>L'informatique quantique poursuit sa progression, stimulée par l'apparition de nouveaux ordinateurs puissants. Sur le marché du large bande mobile, on parle déjà de la 6G. Il ne faut pas non plus oublier la question du métavers.</w:t>
      </w:r>
    </w:p>
    <w:p w14:paraId="439B53F3" w14:textId="04D94F9C" w:rsidR="00822829" w:rsidRPr="00274C1D" w:rsidRDefault="00822829" w:rsidP="00822829">
      <w:r w:rsidRPr="00274C1D">
        <w:t>L'espace se présente également comme un moteur de développement durable, l'économie spatiale atteignant de nouveaux sommets. Et ce n'est que le début.</w:t>
      </w:r>
    </w:p>
    <w:p w14:paraId="38F05730" w14:textId="2F569F82" w:rsidR="00822829" w:rsidRPr="00274C1D" w:rsidRDefault="00822829" w:rsidP="00822829">
      <w:r w:rsidRPr="00274C1D">
        <w:t>Où que notre attention se porte, la technologie est là et elle progresse à pas de géant. Néanmoins, on peut considérer que c'est l'inclusion numérique qui est à la traîne.</w:t>
      </w:r>
    </w:p>
    <w:p w14:paraId="774D91F8" w14:textId="7B9933E2" w:rsidR="00822829" w:rsidRPr="00274C1D" w:rsidRDefault="00822829" w:rsidP="00822829">
      <w:r w:rsidRPr="00274C1D">
        <w:t>Comme le montre clairement le présent rapport, un trop grand nombre de personnes sont encore confrontées aux fractures numériques, en particulier les femmes, les habitants des zones rurales et d'autres groupes vulnérables de la population, que ce soit au sein des pays ou d'un pays à l'autre.</w:t>
      </w:r>
    </w:p>
    <w:p w14:paraId="75E5C682" w14:textId="2721CA31" w:rsidR="00822829" w:rsidRPr="00274C1D" w:rsidRDefault="00822829" w:rsidP="00822829">
      <w:r w:rsidRPr="00274C1D">
        <w:t>Cette question à facettes multiples concerne les infrastructures, mais aussi l'accessibilité, y compris financière, la confiance et les compétences. Bien souvent, des données supplémentaires sont nécessaires pour orienter les décisions et évaluer l'état d'avancement et l'incidence des travaux menés.</w:t>
      </w:r>
    </w:p>
    <w:p w14:paraId="0AFD6D54" w14:textId="436A2B7A" w:rsidR="00822829" w:rsidRPr="00274C1D" w:rsidRDefault="00822829" w:rsidP="00822829">
      <w:pPr>
        <w:keepLines/>
      </w:pPr>
      <w:r w:rsidRPr="00274C1D">
        <w:lastRenderedPageBreak/>
        <w:t>Face à ces enjeux, notre priorité – et mon objectif principal – est de faire en sorte que l'UIT soit en adéquation avec sa mission et prête à affronter l'avenir. Afin que l'UIT puisse aider le monde à relever les défis d'aujourd'hui et à tirer parti des possibilités qui s'offrent à elle, nous devons concentrer notre action sur trois axes, à savoir les compétences techniques, les partenariats stratégiques et l'excellence dans l'organisation.</w:t>
      </w:r>
    </w:p>
    <w:p w14:paraId="3757EBFC" w14:textId="69A6B12C" w:rsidR="00822829" w:rsidRPr="00274C1D" w:rsidRDefault="00822829" w:rsidP="00822829">
      <w:r w:rsidRPr="00274C1D">
        <w:t>Les travaux techniques menés par l'UIT et reconnus à l'échelle mondiale concernant le spectre des fréquences radioélectriques et les orbites de satellites associées, les normes, les technologies émergentes, l'environnement et les villes et communautés intelligentes et durables, la cybersécurité et l'inclusion numérique constituent la solution face à un monde numérique toujours plus complexe. Ils jettent les bases de la création de tout un écosystème numérique mondial.</w:t>
      </w:r>
    </w:p>
    <w:p w14:paraId="4304EC6D" w14:textId="7EC97C8F" w:rsidR="00822829" w:rsidRPr="00274C1D" w:rsidRDefault="00822829" w:rsidP="00822829">
      <w:r w:rsidRPr="00274C1D">
        <w:t>Les défis de notre temps étant trop grands pour y faire face seule, l'UIT a conclu des partenariats stratégiques avec d'autres institutions du système des Nations Unies, entre autres. Ils sont le fondement des initiatives phares indiquées dans le présent rapport, notamment le Sommet mondial sur l'intelligence artificielle au service du bien social, le partenariat EQUALS, la Commission sur le large bande, le Forum du SMSI, l'initiative des Nations Unies sur les systèmes d'alerte précoce pour tous, l'initiative Giga et l'initiative Partner2Connect.</w:t>
      </w:r>
    </w:p>
    <w:p w14:paraId="2EEEEF2F" w14:textId="211F807B" w:rsidR="00822829" w:rsidRPr="00274C1D" w:rsidRDefault="00822829" w:rsidP="00822829">
      <w:r w:rsidRPr="00274C1D">
        <w:t>Pour servir au mieux ses membres et ses partenaires, l'UIT doit atteindre l'excellence en matière d'organisation pour l'ensemble de l'institution. Afin de concrétiser le principe d'une</w:t>
      </w:r>
      <w:r w:rsidR="00895E75" w:rsidRPr="00274C1D">
        <w:t> </w:t>
      </w:r>
      <w:r w:rsidRPr="00274C1D">
        <w:t>UIT unie dans l'action, l'organisation devrait être ouverte et transparente, responsable et digne de confiance, capable d'innover et de s'adapter, axée sur les résultats et saine financièrement.</w:t>
      </w:r>
    </w:p>
    <w:p w14:paraId="1F5AB2E5" w14:textId="1481CD25" w:rsidR="00822829" w:rsidRPr="00274C1D" w:rsidRDefault="00822829" w:rsidP="00822829">
      <w:r w:rsidRPr="00274C1D">
        <w:t>Les prochains mois promettent d'être aussi intensifs et décisifs que les dix derniers mois compte tenu de la Journée du numérique au service des ODD le 17 septembre à New York et de la Conférence mondiale des radiocommunications de 2023 (CMR-23) en fin d'année à Dubaï, qui se tiendra en même temps que la 28ème session de la COP. En outre, 2024 sera une année charnière pour poser les jalons de la transformation numérique de l'Union.</w:t>
      </w:r>
    </w:p>
    <w:p w14:paraId="758DC657" w14:textId="139E9649" w:rsidR="00822829" w:rsidRPr="00274C1D" w:rsidRDefault="00822829" w:rsidP="00822829">
      <w:r w:rsidRPr="00274C1D">
        <w:t>En définitive, notre succès se mesurera à l'aune des effets sur la connectivité universelle et la transformation numérique durable. Ce n'est qu'en travaillant main dans la main que nous y parviendrons.</w:t>
      </w:r>
    </w:p>
    <w:p w14:paraId="5AFEFEED" w14:textId="35230FD9" w:rsidR="00822829" w:rsidRPr="00274C1D" w:rsidRDefault="00822829" w:rsidP="00822829">
      <w:r w:rsidRPr="00274C1D">
        <w:t>Le temps nous est compté et nous n'avons pas le droit à l'échec.</w:t>
      </w:r>
    </w:p>
    <w:p w14:paraId="583D61B0" w14:textId="102F4E1C" w:rsidR="00822829" w:rsidRPr="00274C1D" w:rsidRDefault="00822829" w:rsidP="00895E75">
      <w:pPr>
        <w:spacing w:before="840"/>
      </w:pPr>
      <w:r w:rsidRPr="00274C1D">
        <w:t>Doreen Bogdan-Martin</w:t>
      </w:r>
      <w:r w:rsidR="00895E75" w:rsidRPr="00274C1D">
        <w:br/>
      </w:r>
      <w:r w:rsidRPr="00274C1D">
        <w:t>Secrétaire générale</w:t>
      </w:r>
      <w:r w:rsidRPr="00274C1D">
        <w:br/>
        <w:t>Union internationale des télécommunications</w:t>
      </w:r>
    </w:p>
    <w:p w14:paraId="3BB0EE7A" w14:textId="0DB982BC" w:rsidR="00822829" w:rsidRPr="00274C1D" w:rsidRDefault="00822829">
      <w:pPr>
        <w:tabs>
          <w:tab w:val="clear" w:pos="567"/>
          <w:tab w:val="clear" w:pos="1134"/>
          <w:tab w:val="clear" w:pos="1701"/>
          <w:tab w:val="clear" w:pos="2268"/>
          <w:tab w:val="clear" w:pos="2835"/>
        </w:tabs>
        <w:overflowPunct/>
        <w:autoSpaceDE/>
        <w:autoSpaceDN/>
        <w:adjustRightInd/>
        <w:spacing w:before="0"/>
        <w:textAlignment w:val="auto"/>
      </w:pPr>
      <w:r w:rsidRPr="00274C1D">
        <w:br w:type="page"/>
      </w:r>
    </w:p>
    <w:p w14:paraId="05309BCC" w14:textId="45D97427" w:rsidR="00897553" w:rsidRPr="00274C1D" w:rsidRDefault="00822829" w:rsidP="00822829">
      <w:pPr>
        <w:pStyle w:val="Headingb"/>
      </w:pPr>
      <w:r w:rsidRPr="00274C1D">
        <w:lastRenderedPageBreak/>
        <w:t>Table des matières</w:t>
      </w:r>
    </w:p>
    <w:p w14:paraId="02C49C8F" w14:textId="1110DFC9" w:rsidR="00DF290B" w:rsidRPr="00274C1D" w:rsidRDefault="00DF290B" w:rsidP="00DF290B">
      <w:pPr>
        <w:jc w:val="right"/>
        <w:rPr>
          <w:b/>
          <w:bCs/>
        </w:rPr>
      </w:pPr>
      <w:r w:rsidRPr="00274C1D">
        <w:rPr>
          <w:b/>
          <w:bCs/>
        </w:rPr>
        <w:t>Page</w:t>
      </w:r>
    </w:p>
    <w:p w14:paraId="2D445E81" w14:textId="2F060EAF" w:rsidR="00DF290B" w:rsidRPr="00274C1D" w:rsidRDefault="00DF290B" w:rsidP="00DF290B">
      <w:pPr>
        <w:pStyle w:val="TOC1"/>
        <w:tabs>
          <w:tab w:val="clear" w:pos="9639"/>
          <w:tab w:val="right" w:pos="9072"/>
        </w:tabs>
        <w:ind w:right="-1"/>
        <w:rPr>
          <w:rFonts w:asciiTheme="minorHAnsi" w:eastAsiaTheme="minorEastAsia" w:hAnsiTheme="minorHAnsi" w:cstheme="minorBidi"/>
          <w:noProof/>
          <w:kern w:val="2"/>
          <w:sz w:val="22"/>
          <w:szCs w:val="22"/>
          <w14:ligatures w14:val="standardContextual"/>
        </w:rPr>
      </w:pPr>
      <w:r w:rsidRPr="00274C1D">
        <w:fldChar w:fldCharType="begin"/>
      </w:r>
      <w:r w:rsidRPr="00274C1D">
        <w:instrText xml:space="preserve"> TOC \o "2-2" \h \z \t "Heading 1;1" </w:instrText>
      </w:r>
      <w:r w:rsidRPr="00274C1D">
        <w:fldChar w:fldCharType="separate"/>
      </w:r>
      <w:hyperlink w:anchor="_Toc138838630" w:history="1">
        <w:r w:rsidRPr="00274C1D">
          <w:rPr>
            <w:rStyle w:val="Hyperlink"/>
            <w:noProof/>
          </w:rPr>
          <w:t>1</w:t>
        </w:r>
        <w:r w:rsidRPr="00274C1D">
          <w:rPr>
            <w:rFonts w:asciiTheme="minorHAnsi" w:eastAsiaTheme="minorEastAsia" w:hAnsiTheme="minorHAnsi" w:cstheme="minorBidi"/>
            <w:noProof/>
            <w:kern w:val="2"/>
            <w:sz w:val="22"/>
            <w:szCs w:val="22"/>
            <w14:ligatures w14:val="standardContextual"/>
          </w:rPr>
          <w:tab/>
        </w:r>
        <w:r w:rsidRPr="00274C1D">
          <w:rPr>
            <w:rStyle w:val="Hyperlink"/>
            <w:noProof/>
          </w:rPr>
          <w:t>Introduction</w:t>
        </w:r>
        <w:r w:rsidRPr="00274C1D">
          <w:rPr>
            <w:noProof/>
            <w:webHidden/>
          </w:rPr>
          <w:tab/>
        </w:r>
        <w:r w:rsidRPr="00274C1D">
          <w:rPr>
            <w:noProof/>
            <w:webHidden/>
          </w:rPr>
          <w:tab/>
        </w:r>
        <w:r w:rsidRPr="00274C1D">
          <w:rPr>
            <w:noProof/>
            <w:webHidden/>
          </w:rPr>
          <w:fldChar w:fldCharType="begin"/>
        </w:r>
        <w:r w:rsidRPr="00274C1D">
          <w:rPr>
            <w:noProof/>
            <w:webHidden/>
          </w:rPr>
          <w:instrText xml:space="preserve"> PAGEREF _Toc138838630 \h </w:instrText>
        </w:r>
        <w:r w:rsidRPr="00274C1D">
          <w:rPr>
            <w:noProof/>
            <w:webHidden/>
          </w:rPr>
        </w:r>
        <w:r w:rsidRPr="00274C1D">
          <w:rPr>
            <w:noProof/>
            <w:webHidden/>
          </w:rPr>
          <w:fldChar w:fldCharType="separate"/>
        </w:r>
        <w:r w:rsidR="00AC579E">
          <w:rPr>
            <w:noProof/>
            <w:webHidden/>
          </w:rPr>
          <w:t>5</w:t>
        </w:r>
        <w:r w:rsidRPr="00274C1D">
          <w:rPr>
            <w:noProof/>
            <w:webHidden/>
          </w:rPr>
          <w:fldChar w:fldCharType="end"/>
        </w:r>
      </w:hyperlink>
    </w:p>
    <w:p w14:paraId="32EA3E26" w14:textId="2E015F77" w:rsidR="00DF290B" w:rsidRPr="00274C1D" w:rsidRDefault="00127DC0" w:rsidP="00DF290B">
      <w:pPr>
        <w:pStyle w:val="TOC1"/>
        <w:ind w:right="-1"/>
        <w:rPr>
          <w:rFonts w:asciiTheme="minorHAnsi" w:eastAsiaTheme="minorEastAsia" w:hAnsiTheme="minorHAnsi" w:cstheme="minorBidi"/>
          <w:noProof/>
          <w:kern w:val="2"/>
          <w:sz w:val="22"/>
          <w:szCs w:val="22"/>
          <w14:ligatures w14:val="standardContextual"/>
        </w:rPr>
      </w:pPr>
      <w:hyperlink w:anchor="_Toc138838631" w:history="1">
        <w:r w:rsidR="00DF290B" w:rsidRPr="00274C1D">
          <w:rPr>
            <w:rStyle w:val="Hyperlink"/>
            <w:noProof/>
          </w:rPr>
          <w:t>2</w:t>
        </w:r>
        <w:r w:rsidR="00DF290B" w:rsidRPr="00274C1D">
          <w:rPr>
            <w:rFonts w:asciiTheme="minorHAnsi" w:eastAsiaTheme="minorEastAsia" w:hAnsiTheme="minorHAnsi" w:cstheme="minorBidi"/>
            <w:noProof/>
            <w:kern w:val="2"/>
            <w:sz w:val="22"/>
            <w:szCs w:val="22"/>
            <w14:ligatures w14:val="standardContextual"/>
          </w:rPr>
          <w:tab/>
        </w:r>
        <w:r w:rsidR="00DF290B" w:rsidRPr="00274C1D">
          <w:rPr>
            <w:rStyle w:val="Hyperlink"/>
            <w:noProof/>
          </w:rPr>
          <w:t>Conférence de plénipotentiaires de l'UIT (PP</w:t>
        </w:r>
        <w:r w:rsidR="00DF290B" w:rsidRPr="00274C1D">
          <w:rPr>
            <w:rStyle w:val="Hyperlink"/>
            <w:rFonts w:ascii="Cambria Math" w:hAnsi="Cambria Math" w:cs="Cambria Math"/>
            <w:noProof/>
          </w:rPr>
          <w:t>‑</w:t>
        </w:r>
        <w:r w:rsidR="00DF290B" w:rsidRPr="00274C1D">
          <w:rPr>
            <w:rStyle w:val="Hyperlink"/>
            <w:noProof/>
          </w:rPr>
          <w:t>22)</w:t>
        </w:r>
        <w:r w:rsidR="00DF290B" w:rsidRPr="00274C1D">
          <w:rPr>
            <w:noProof/>
            <w:webHidden/>
          </w:rPr>
          <w:tab/>
        </w:r>
        <w:r w:rsidR="00DF290B" w:rsidRPr="00274C1D">
          <w:rPr>
            <w:noProof/>
            <w:webHidden/>
          </w:rPr>
          <w:tab/>
        </w:r>
        <w:r w:rsidR="00DF290B" w:rsidRPr="00274C1D">
          <w:rPr>
            <w:noProof/>
            <w:webHidden/>
          </w:rPr>
          <w:fldChar w:fldCharType="begin"/>
        </w:r>
        <w:r w:rsidR="00DF290B" w:rsidRPr="00274C1D">
          <w:rPr>
            <w:noProof/>
            <w:webHidden/>
          </w:rPr>
          <w:instrText xml:space="preserve"> PAGEREF _Toc138838631 \h </w:instrText>
        </w:r>
        <w:r w:rsidR="00DF290B" w:rsidRPr="00274C1D">
          <w:rPr>
            <w:noProof/>
            <w:webHidden/>
          </w:rPr>
        </w:r>
        <w:r w:rsidR="00DF290B" w:rsidRPr="00274C1D">
          <w:rPr>
            <w:noProof/>
            <w:webHidden/>
          </w:rPr>
          <w:fldChar w:fldCharType="separate"/>
        </w:r>
        <w:r w:rsidR="00AC579E">
          <w:rPr>
            <w:noProof/>
            <w:webHidden/>
          </w:rPr>
          <w:t>6</w:t>
        </w:r>
        <w:r w:rsidR="00DF290B" w:rsidRPr="00274C1D">
          <w:rPr>
            <w:noProof/>
            <w:webHidden/>
          </w:rPr>
          <w:fldChar w:fldCharType="end"/>
        </w:r>
      </w:hyperlink>
    </w:p>
    <w:p w14:paraId="5F5F15FD" w14:textId="40E00B8F" w:rsidR="00DF290B" w:rsidRPr="00274C1D" w:rsidRDefault="00127DC0" w:rsidP="00DF290B">
      <w:pPr>
        <w:pStyle w:val="TOC1"/>
        <w:ind w:right="-1"/>
        <w:rPr>
          <w:rFonts w:asciiTheme="minorHAnsi" w:eastAsiaTheme="minorEastAsia" w:hAnsiTheme="minorHAnsi" w:cstheme="minorBidi"/>
          <w:noProof/>
          <w:kern w:val="2"/>
          <w:sz w:val="22"/>
          <w:szCs w:val="22"/>
          <w14:ligatures w14:val="standardContextual"/>
        </w:rPr>
      </w:pPr>
      <w:hyperlink w:anchor="_Toc138838632" w:history="1">
        <w:r w:rsidR="00DF290B" w:rsidRPr="00274C1D">
          <w:rPr>
            <w:rStyle w:val="Hyperlink"/>
            <w:noProof/>
          </w:rPr>
          <w:t>3</w:t>
        </w:r>
        <w:r w:rsidR="00DF290B" w:rsidRPr="00274C1D">
          <w:rPr>
            <w:rFonts w:asciiTheme="minorHAnsi" w:eastAsiaTheme="minorEastAsia" w:hAnsiTheme="minorHAnsi" w:cstheme="minorBidi"/>
            <w:noProof/>
            <w:kern w:val="2"/>
            <w:sz w:val="22"/>
            <w:szCs w:val="22"/>
            <w14:ligatures w14:val="standardContextual"/>
          </w:rPr>
          <w:tab/>
        </w:r>
        <w:r w:rsidR="00DF290B" w:rsidRPr="00274C1D">
          <w:rPr>
            <w:rStyle w:val="Hyperlink"/>
            <w:noProof/>
          </w:rPr>
          <w:t>Incidences à long terme des travaux de l'UIT – progrès accomplis en vue d'atteindre les objectifs du programme Connect 2030</w:t>
        </w:r>
        <w:r w:rsidR="00DF290B" w:rsidRPr="00274C1D">
          <w:rPr>
            <w:noProof/>
            <w:webHidden/>
          </w:rPr>
          <w:tab/>
        </w:r>
        <w:r w:rsidR="00DF290B" w:rsidRPr="00274C1D">
          <w:rPr>
            <w:noProof/>
            <w:webHidden/>
          </w:rPr>
          <w:tab/>
        </w:r>
        <w:r w:rsidR="00DF290B" w:rsidRPr="00274C1D">
          <w:rPr>
            <w:noProof/>
            <w:webHidden/>
          </w:rPr>
          <w:fldChar w:fldCharType="begin"/>
        </w:r>
        <w:r w:rsidR="00DF290B" w:rsidRPr="00274C1D">
          <w:rPr>
            <w:noProof/>
            <w:webHidden/>
          </w:rPr>
          <w:instrText xml:space="preserve"> PAGEREF _Toc138838632 \h </w:instrText>
        </w:r>
        <w:r w:rsidR="00DF290B" w:rsidRPr="00274C1D">
          <w:rPr>
            <w:noProof/>
            <w:webHidden/>
          </w:rPr>
        </w:r>
        <w:r w:rsidR="00DF290B" w:rsidRPr="00274C1D">
          <w:rPr>
            <w:noProof/>
            <w:webHidden/>
          </w:rPr>
          <w:fldChar w:fldCharType="separate"/>
        </w:r>
        <w:r w:rsidR="00AC579E">
          <w:rPr>
            <w:noProof/>
            <w:webHidden/>
          </w:rPr>
          <w:t>8</w:t>
        </w:r>
        <w:r w:rsidR="00DF290B" w:rsidRPr="00274C1D">
          <w:rPr>
            <w:noProof/>
            <w:webHidden/>
          </w:rPr>
          <w:fldChar w:fldCharType="end"/>
        </w:r>
      </w:hyperlink>
    </w:p>
    <w:p w14:paraId="5DDB711C" w14:textId="1AB38B3A" w:rsidR="00DF290B" w:rsidRPr="00274C1D" w:rsidRDefault="00127DC0" w:rsidP="00DF290B">
      <w:pPr>
        <w:pStyle w:val="TOC1"/>
        <w:ind w:right="-1"/>
        <w:rPr>
          <w:rFonts w:asciiTheme="minorHAnsi" w:eastAsiaTheme="minorEastAsia" w:hAnsiTheme="minorHAnsi" w:cstheme="minorBidi"/>
          <w:noProof/>
          <w:kern w:val="2"/>
          <w:sz w:val="22"/>
          <w:szCs w:val="22"/>
          <w14:ligatures w14:val="standardContextual"/>
        </w:rPr>
      </w:pPr>
      <w:hyperlink w:anchor="_Toc138838633" w:history="1">
        <w:r w:rsidR="00DF290B" w:rsidRPr="00274C1D">
          <w:rPr>
            <w:rStyle w:val="Hyperlink"/>
            <w:noProof/>
          </w:rPr>
          <w:t>4</w:t>
        </w:r>
        <w:r w:rsidR="00DF290B" w:rsidRPr="00274C1D">
          <w:rPr>
            <w:rFonts w:asciiTheme="minorHAnsi" w:eastAsiaTheme="minorEastAsia" w:hAnsiTheme="minorHAnsi" w:cstheme="minorBidi"/>
            <w:noProof/>
            <w:kern w:val="2"/>
            <w:sz w:val="22"/>
            <w:szCs w:val="22"/>
            <w14:ligatures w14:val="standardContextual"/>
          </w:rPr>
          <w:tab/>
        </w:r>
        <w:r w:rsidR="00DF290B" w:rsidRPr="00274C1D">
          <w:rPr>
            <w:rStyle w:val="Hyperlink"/>
            <w:noProof/>
          </w:rPr>
          <w:t>Principaux thèmes de travail</w:t>
        </w:r>
        <w:r w:rsidR="00DF290B" w:rsidRPr="00274C1D">
          <w:rPr>
            <w:noProof/>
            <w:webHidden/>
          </w:rPr>
          <w:tab/>
        </w:r>
        <w:r w:rsidR="00DF290B" w:rsidRPr="00274C1D">
          <w:rPr>
            <w:noProof/>
            <w:webHidden/>
          </w:rPr>
          <w:tab/>
        </w:r>
        <w:r w:rsidR="00DF290B" w:rsidRPr="00274C1D">
          <w:rPr>
            <w:noProof/>
            <w:webHidden/>
          </w:rPr>
          <w:fldChar w:fldCharType="begin"/>
        </w:r>
        <w:r w:rsidR="00DF290B" w:rsidRPr="00274C1D">
          <w:rPr>
            <w:noProof/>
            <w:webHidden/>
          </w:rPr>
          <w:instrText xml:space="preserve"> PAGEREF _Toc138838633 \h </w:instrText>
        </w:r>
        <w:r w:rsidR="00DF290B" w:rsidRPr="00274C1D">
          <w:rPr>
            <w:noProof/>
            <w:webHidden/>
          </w:rPr>
        </w:r>
        <w:r w:rsidR="00DF290B" w:rsidRPr="00274C1D">
          <w:rPr>
            <w:noProof/>
            <w:webHidden/>
          </w:rPr>
          <w:fldChar w:fldCharType="separate"/>
        </w:r>
        <w:r w:rsidR="00AC579E">
          <w:rPr>
            <w:noProof/>
            <w:webHidden/>
          </w:rPr>
          <w:t>13</w:t>
        </w:r>
        <w:r w:rsidR="00DF290B" w:rsidRPr="00274C1D">
          <w:rPr>
            <w:noProof/>
            <w:webHidden/>
          </w:rPr>
          <w:fldChar w:fldCharType="end"/>
        </w:r>
      </w:hyperlink>
    </w:p>
    <w:p w14:paraId="468F3615" w14:textId="6537BCDA" w:rsidR="00DF290B" w:rsidRPr="00274C1D" w:rsidRDefault="00127DC0" w:rsidP="00DF290B">
      <w:pPr>
        <w:pStyle w:val="TOC2"/>
        <w:ind w:right="-1"/>
        <w:rPr>
          <w:rFonts w:asciiTheme="minorHAnsi" w:eastAsiaTheme="minorEastAsia" w:hAnsiTheme="minorHAnsi" w:cstheme="minorBidi"/>
          <w:noProof/>
          <w:kern w:val="2"/>
          <w:sz w:val="22"/>
          <w:szCs w:val="22"/>
          <w14:ligatures w14:val="standardContextual"/>
        </w:rPr>
      </w:pPr>
      <w:hyperlink w:anchor="_Toc138838634" w:history="1">
        <w:r w:rsidR="00DF290B" w:rsidRPr="00274C1D">
          <w:rPr>
            <w:rStyle w:val="Hyperlink"/>
            <w:noProof/>
          </w:rPr>
          <w:t>4.1</w:t>
        </w:r>
        <w:r w:rsidR="00DF290B" w:rsidRPr="00274C1D">
          <w:rPr>
            <w:rFonts w:asciiTheme="minorHAnsi" w:eastAsiaTheme="minorEastAsia" w:hAnsiTheme="minorHAnsi" w:cstheme="minorBidi"/>
            <w:noProof/>
            <w:kern w:val="2"/>
            <w:sz w:val="22"/>
            <w:szCs w:val="22"/>
            <w14:ligatures w14:val="standardContextual"/>
          </w:rPr>
          <w:tab/>
        </w:r>
        <w:r w:rsidR="00DF290B" w:rsidRPr="00274C1D">
          <w:rPr>
            <w:rStyle w:val="Hyperlink"/>
            <w:noProof/>
          </w:rPr>
          <w:t>Réglementation et gestion du spectre/des orbites</w:t>
        </w:r>
        <w:r w:rsidR="00DF290B" w:rsidRPr="00274C1D">
          <w:rPr>
            <w:noProof/>
            <w:webHidden/>
          </w:rPr>
          <w:tab/>
        </w:r>
        <w:r w:rsidR="00DF290B" w:rsidRPr="00274C1D">
          <w:rPr>
            <w:noProof/>
            <w:webHidden/>
          </w:rPr>
          <w:tab/>
        </w:r>
        <w:r w:rsidR="00DF290B" w:rsidRPr="00274C1D">
          <w:rPr>
            <w:noProof/>
            <w:webHidden/>
          </w:rPr>
          <w:fldChar w:fldCharType="begin"/>
        </w:r>
        <w:r w:rsidR="00DF290B" w:rsidRPr="00274C1D">
          <w:rPr>
            <w:noProof/>
            <w:webHidden/>
          </w:rPr>
          <w:instrText xml:space="preserve"> PAGEREF _Toc138838634 \h </w:instrText>
        </w:r>
        <w:r w:rsidR="00DF290B" w:rsidRPr="00274C1D">
          <w:rPr>
            <w:noProof/>
            <w:webHidden/>
          </w:rPr>
        </w:r>
        <w:r w:rsidR="00DF290B" w:rsidRPr="00274C1D">
          <w:rPr>
            <w:noProof/>
            <w:webHidden/>
          </w:rPr>
          <w:fldChar w:fldCharType="separate"/>
        </w:r>
        <w:r w:rsidR="00AC579E">
          <w:rPr>
            <w:noProof/>
            <w:webHidden/>
          </w:rPr>
          <w:t>13</w:t>
        </w:r>
        <w:r w:rsidR="00DF290B" w:rsidRPr="00274C1D">
          <w:rPr>
            <w:noProof/>
            <w:webHidden/>
          </w:rPr>
          <w:fldChar w:fldCharType="end"/>
        </w:r>
      </w:hyperlink>
    </w:p>
    <w:p w14:paraId="7F1AA794" w14:textId="15D187DC" w:rsidR="00DF290B" w:rsidRPr="00274C1D" w:rsidRDefault="00127DC0" w:rsidP="00DF290B">
      <w:pPr>
        <w:pStyle w:val="TOC2"/>
        <w:ind w:right="-1"/>
        <w:rPr>
          <w:rFonts w:asciiTheme="minorHAnsi" w:eastAsiaTheme="minorEastAsia" w:hAnsiTheme="minorHAnsi" w:cstheme="minorBidi"/>
          <w:noProof/>
          <w:kern w:val="2"/>
          <w:sz w:val="22"/>
          <w:szCs w:val="22"/>
          <w14:ligatures w14:val="standardContextual"/>
        </w:rPr>
      </w:pPr>
      <w:hyperlink w:anchor="_Toc138838635" w:history="1">
        <w:r w:rsidR="00DF290B" w:rsidRPr="00274C1D">
          <w:rPr>
            <w:rStyle w:val="Hyperlink"/>
            <w:noProof/>
          </w:rPr>
          <w:t>4.2</w:t>
        </w:r>
        <w:r w:rsidR="00DF290B" w:rsidRPr="00274C1D">
          <w:rPr>
            <w:rFonts w:asciiTheme="minorHAnsi" w:eastAsiaTheme="minorEastAsia" w:hAnsiTheme="minorHAnsi" w:cstheme="minorBidi"/>
            <w:noProof/>
            <w:kern w:val="2"/>
            <w:sz w:val="22"/>
            <w:szCs w:val="22"/>
            <w14:ligatures w14:val="standardContextual"/>
          </w:rPr>
          <w:tab/>
        </w:r>
        <w:r w:rsidR="00DF290B" w:rsidRPr="00274C1D">
          <w:rPr>
            <w:rStyle w:val="Hyperlink"/>
            <w:noProof/>
          </w:rPr>
          <w:t>Normalisation – Les fondements des technologies d'aujourd'hui et de demain</w:t>
        </w:r>
        <w:r w:rsidR="00DF290B" w:rsidRPr="00274C1D">
          <w:rPr>
            <w:noProof/>
            <w:webHidden/>
          </w:rPr>
          <w:tab/>
        </w:r>
        <w:r w:rsidR="00DF290B" w:rsidRPr="00274C1D">
          <w:rPr>
            <w:noProof/>
            <w:webHidden/>
          </w:rPr>
          <w:tab/>
        </w:r>
        <w:r w:rsidR="00DF290B" w:rsidRPr="00274C1D">
          <w:rPr>
            <w:noProof/>
            <w:webHidden/>
          </w:rPr>
          <w:fldChar w:fldCharType="begin"/>
        </w:r>
        <w:r w:rsidR="00DF290B" w:rsidRPr="00274C1D">
          <w:rPr>
            <w:noProof/>
            <w:webHidden/>
          </w:rPr>
          <w:instrText xml:space="preserve"> PAGEREF _Toc138838635 \h </w:instrText>
        </w:r>
        <w:r w:rsidR="00DF290B" w:rsidRPr="00274C1D">
          <w:rPr>
            <w:noProof/>
            <w:webHidden/>
          </w:rPr>
        </w:r>
        <w:r w:rsidR="00DF290B" w:rsidRPr="00274C1D">
          <w:rPr>
            <w:noProof/>
            <w:webHidden/>
          </w:rPr>
          <w:fldChar w:fldCharType="separate"/>
        </w:r>
        <w:r w:rsidR="00AC579E">
          <w:rPr>
            <w:noProof/>
            <w:webHidden/>
          </w:rPr>
          <w:t>15</w:t>
        </w:r>
        <w:r w:rsidR="00DF290B" w:rsidRPr="00274C1D">
          <w:rPr>
            <w:noProof/>
            <w:webHidden/>
          </w:rPr>
          <w:fldChar w:fldCharType="end"/>
        </w:r>
      </w:hyperlink>
    </w:p>
    <w:p w14:paraId="3C9BE4CF" w14:textId="7AC88A27" w:rsidR="00DF290B" w:rsidRPr="00274C1D" w:rsidRDefault="00127DC0" w:rsidP="00DF290B">
      <w:pPr>
        <w:pStyle w:val="TOC2"/>
        <w:ind w:right="-1"/>
        <w:rPr>
          <w:rFonts w:asciiTheme="minorHAnsi" w:eastAsiaTheme="minorEastAsia" w:hAnsiTheme="minorHAnsi" w:cstheme="minorBidi"/>
          <w:noProof/>
          <w:kern w:val="2"/>
          <w:sz w:val="22"/>
          <w:szCs w:val="22"/>
          <w14:ligatures w14:val="standardContextual"/>
        </w:rPr>
      </w:pPr>
      <w:hyperlink w:anchor="_Toc138838636" w:history="1">
        <w:r w:rsidR="00DF290B" w:rsidRPr="00274C1D">
          <w:rPr>
            <w:rStyle w:val="Hyperlink"/>
            <w:noProof/>
          </w:rPr>
          <w:t>4.3</w:t>
        </w:r>
        <w:r w:rsidR="00DF290B" w:rsidRPr="00274C1D">
          <w:rPr>
            <w:rFonts w:asciiTheme="minorHAnsi" w:eastAsiaTheme="minorEastAsia" w:hAnsiTheme="minorHAnsi" w:cstheme="minorBidi"/>
            <w:noProof/>
            <w:kern w:val="2"/>
            <w:sz w:val="22"/>
            <w:szCs w:val="22"/>
            <w14:ligatures w14:val="standardContextual"/>
          </w:rPr>
          <w:tab/>
        </w:r>
        <w:r w:rsidR="00DF290B" w:rsidRPr="00274C1D">
          <w:rPr>
            <w:rStyle w:val="Hyperlink"/>
            <w:noProof/>
          </w:rPr>
          <w:t>Élaboration par l'UIT de cadres de gestion du développement des technologies émergentes</w:t>
        </w:r>
        <w:r w:rsidR="00DF290B" w:rsidRPr="00274C1D">
          <w:rPr>
            <w:noProof/>
            <w:webHidden/>
          </w:rPr>
          <w:tab/>
        </w:r>
        <w:r w:rsidR="00DF290B" w:rsidRPr="00274C1D">
          <w:rPr>
            <w:noProof/>
            <w:webHidden/>
          </w:rPr>
          <w:tab/>
        </w:r>
        <w:r w:rsidR="00DF290B" w:rsidRPr="00274C1D">
          <w:rPr>
            <w:noProof/>
            <w:webHidden/>
          </w:rPr>
          <w:fldChar w:fldCharType="begin"/>
        </w:r>
        <w:r w:rsidR="00DF290B" w:rsidRPr="00274C1D">
          <w:rPr>
            <w:noProof/>
            <w:webHidden/>
          </w:rPr>
          <w:instrText xml:space="preserve"> PAGEREF _Toc138838636 \h </w:instrText>
        </w:r>
        <w:r w:rsidR="00DF290B" w:rsidRPr="00274C1D">
          <w:rPr>
            <w:noProof/>
            <w:webHidden/>
          </w:rPr>
        </w:r>
        <w:r w:rsidR="00DF290B" w:rsidRPr="00274C1D">
          <w:rPr>
            <w:noProof/>
            <w:webHidden/>
          </w:rPr>
          <w:fldChar w:fldCharType="separate"/>
        </w:r>
        <w:r w:rsidR="00AC579E">
          <w:rPr>
            <w:noProof/>
            <w:webHidden/>
          </w:rPr>
          <w:t>17</w:t>
        </w:r>
        <w:r w:rsidR="00DF290B" w:rsidRPr="00274C1D">
          <w:rPr>
            <w:noProof/>
            <w:webHidden/>
          </w:rPr>
          <w:fldChar w:fldCharType="end"/>
        </w:r>
      </w:hyperlink>
    </w:p>
    <w:p w14:paraId="43A59F68" w14:textId="5E46D025" w:rsidR="00DF290B" w:rsidRPr="00274C1D" w:rsidRDefault="00127DC0" w:rsidP="00DF290B">
      <w:pPr>
        <w:pStyle w:val="TOC2"/>
        <w:ind w:right="-1"/>
        <w:rPr>
          <w:rFonts w:asciiTheme="minorHAnsi" w:eastAsiaTheme="minorEastAsia" w:hAnsiTheme="minorHAnsi" w:cstheme="minorBidi"/>
          <w:noProof/>
          <w:kern w:val="2"/>
          <w:sz w:val="22"/>
          <w:szCs w:val="22"/>
          <w14:ligatures w14:val="standardContextual"/>
        </w:rPr>
      </w:pPr>
      <w:hyperlink w:anchor="_Toc138838637" w:history="1">
        <w:r w:rsidR="00DF290B" w:rsidRPr="00274C1D">
          <w:rPr>
            <w:rStyle w:val="Hyperlink"/>
            <w:noProof/>
          </w:rPr>
          <w:t>4.4</w:t>
        </w:r>
        <w:r w:rsidR="00DF290B" w:rsidRPr="00274C1D">
          <w:rPr>
            <w:rFonts w:asciiTheme="minorHAnsi" w:eastAsiaTheme="minorEastAsia" w:hAnsiTheme="minorHAnsi" w:cstheme="minorBidi"/>
            <w:noProof/>
            <w:kern w:val="2"/>
            <w:sz w:val="22"/>
            <w:szCs w:val="22"/>
            <w14:ligatures w14:val="standardContextual"/>
          </w:rPr>
          <w:tab/>
        </w:r>
        <w:r w:rsidR="00DF290B" w:rsidRPr="00274C1D">
          <w:rPr>
            <w:rStyle w:val="Hyperlink"/>
            <w:noProof/>
          </w:rPr>
          <w:t>Environnement et villes et communautés intelligentes et durables</w:t>
        </w:r>
        <w:r w:rsidR="00DF290B" w:rsidRPr="00274C1D">
          <w:rPr>
            <w:noProof/>
            <w:webHidden/>
          </w:rPr>
          <w:tab/>
        </w:r>
        <w:r w:rsidR="00DF290B" w:rsidRPr="00274C1D">
          <w:rPr>
            <w:noProof/>
            <w:webHidden/>
          </w:rPr>
          <w:tab/>
        </w:r>
        <w:r w:rsidR="00DF290B" w:rsidRPr="00274C1D">
          <w:rPr>
            <w:noProof/>
            <w:webHidden/>
          </w:rPr>
          <w:fldChar w:fldCharType="begin"/>
        </w:r>
        <w:r w:rsidR="00DF290B" w:rsidRPr="00274C1D">
          <w:rPr>
            <w:noProof/>
            <w:webHidden/>
          </w:rPr>
          <w:instrText xml:space="preserve"> PAGEREF _Toc138838637 \h </w:instrText>
        </w:r>
        <w:r w:rsidR="00DF290B" w:rsidRPr="00274C1D">
          <w:rPr>
            <w:noProof/>
            <w:webHidden/>
          </w:rPr>
        </w:r>
        <w:r w:rsidR="00DF290B" w:rsidRPr="00274C1D">
          <w:rPr>
            <w:noProof/>
            <w:webHidden/>
          </w:rPr>
          <w:fldChar w:fldCharType="separate"/>
        </w:r>
        <w:r w:rsidR="00AC579E">
          <w:rPr>
            <w:noProof/>
            <w:webHidden/>
          </w:rPr>
          <w:t>18</w:t>
        </w:r>
        <w:r w:rsidR="00DF290B" w:rsidRPr="00274C1D">
          <w:rPr>
            <w:noProof/>
            <w:webHidden/>
          </w:rPr>
          <w:fldChar w:fldCharType="end"/>
        </w:r>
      </w:hyperlink>
    </w:p>
    <w:p w14:paraId="43E13A30" w14:textId="7EF993DD" w:rsidR="00DF290B" w:rsidRPr="00274C1D" w:rsidRDefault="00127DC0" w:rsidP="00DF290B">
      <w:pPr>
        <w:pStyle w:val="TOC2"/>
        <w:ind w:right="-1"/>
        <w:rPr>
          <w:rFonts w:asciiTheme="minorHAnsi" w:eastAsiaTheme="minorEastAsia" w:hAnsiTheme="minorHAnsi" w:cstheme="minorBidi"/>
          <w:noProof/>
          <w:kern w:val="2"/>
          <w:sz w:val="22"/>
          <w:szCs w:val="22"/>
          <w14:ligatures w14:val="standardContextual"/>
        </w:rPr>
      </w:pPr>
      <w:hyperlink w:anchor="_Toc138838638" w:history="1">
        <w:r w:rsidR="00DF290B" w:rsidRPr="00274C1D">
          <w:rPr>
            <w:rStyle w:val="Hyperlink"/>
            <w:noProof/>
          </w:rPr>
          <w:t>4.5</w:t>
        </w:r>
        <w:r w:rsidR="00DF290B" w:rsidRPr="00274C1D">
          <w:rPr>
            <w:rFonts w:asciiTheme="minorHAnsi" w:eastAsiaTheme="minorEastAsia" w:hAnsiTheme="minorHAnsi" w:cstheme="minorBidi"/>
            <w:noProof/>
            <w:kern w:val="2"/>
            <w:sz w:val="22"/>
            <w:szCs w:val="22"/>
            <w14:ligatures w14:val="standardContextual"/>
          </w:rPr>
          <w:tab/>
        </w:r>
        <w:r w:rsidR="00DF290B" w:rsidRPr="00274C1D">
          <w:rPr>
            <w:rStyle w:val="Hyperlink"/>
            <w:noProof/>
          </w:rPr>
          <w:t>Cybersécurité: instaurer la confiance et la sécurité dans l'utilisation des TIC</w:t>
        </w:r>
        <w:r w:rsidR="00DF290B" w:rsidRPr="00274C1D">
          <w:rPr>
            <w:noProof/>
            <w:webHidden/>
          </w:rPr>
          <w:tab/>
        </w:r>
        <w:r w:rsidR="00DF290B" w:rsidRPr="00274C1D">
          <w:rPr>
            <w:noProof/>
            <w:webHidden/>
          </w:rPr>
          <w:tab/>
        </w:r>
        <w:r w:rsidR="00DF290B" w:rsidRPr="00274C1D">
          <w:rPr>
            <w:noProof/>
            <w:webHidden/>
          </w:rPr>
          <w:fldChar w:fldCharType="begin"/>
        </w:r>
        <w:r w:rsidR="00DF290B" w:rsidRPr="00274C1D">
          <w:rPr>
            <w:noProof/>
            <w:webHidden/>
          </w:rPr>
          <w:instrText xml:space="preserve"> PAGEREF _Toc138838638 \h </w:instrText>
        </w:r>
        <w:r w:rsidR="00DF290B" w:rsidRPr="00274C1D">
          <w:rPr>
            <w:noProof/>
            <w:webHidden/>
          </w:rPr>
        </w:r>
        <w:r w:rsidR="00DF290B" w:rsidRPr="00274C1D">
          <w:rPr>
            <w:noProof/>
            <w:webHidden/>
          </w:rPr>
          <w:fldChar w:fldCharType="separate"/>
        </w:r>
        <w:r w:rsidR="00AC579E">
          <w:rPr>
            <w:noProof/>
            <w:webHidden/>
          </w:rPr>
          <w:t>22</w:t>
        </w:r>
        <w:r w:rsidR="00DF290B" w:rsidRPr="00274C1D">
          <w:rPr>
            <w:noProof/>
            <w:webHidden/>
          </w:rPr>
          <w:fldChar w:fldCharType="end"/>
        </w:r>
      </w:hyperlink>
    </w:p>
    <w:p w14:paraId="3282225F" w14:textId="4B8650D3" w:rsidR="00DF290B" w:rsidRPr="00274C1D" w:rsidRDefault="00127DC0" w:rsidP="00DF290B">
      <w:pPr>
        <w:pStyle w:val="TOC2"/>
        <w:ind w:right="-1"/>
        <w:rPr>
          <w:rFonts w:asciiTheme="minorHAnsi" w:eastAsiaTheme="minorEastAsia" w:hAnsiTheme="minorHAnsi" w:cstheme="minorBidi"/>
          <w:noProof/>
          <w:kern w:val="2"/>
          <w:sz w:val="22"/>
          <w:szCs w:val="22"/>
          <w14:ligatures w14:val="standardContextual"/>
        </w:rPr>
      </w:pPr>
      <w:hyperlink w:anchor="_Toc138838639" w:history="1">
        <w:r w:rsidR="00DF290B" w:rsidRPr="00274C1D">
          <w:rPr>
            <w:rStyle w:val="Hyperlink"/>
            <w:noProof/>
          </w:rPr>
          <w:t>4.6</w:t>
        </w:r>
        <w:r w:rsidR="00DF290B" w:rsidRPr="00274C1D">
          <w:rPr>
            <w:rFonts w:asciiTheme="minorHAnsi" w:eastAsiaTheme="minorEastAsia" w:hAnsiTheme="minorHAnsi" w:cstheme="minorBidi"/>
            <w:noProof/>
            <w:kern w:val="2"/>
            <w:sz w:val="22"/>
            <w:szCs w:val="22"/>
            <w14:ligatures w14:val="standardContextual"/>
          </w:rPr>
          <w:tab/>
        </w:r>
        <w:r w:rsidR="00DF290B" w:rsidRPr="00274C1D">
          <w:rPr>
            <w:rStyle w:val="Hyperlink"/>
            <w:noProof/>
          </w:rPr>
          <w:t>Inclusion numérique – Garantir un accès et une utilisation des TIC inclusifs et équitables pour tous</w:t>
        </w:r>
        <w:r w:rsidR="00DF290B" w:rsidRPr="00274C1D">
          <w:rPr>
            <w:noProof/>
            <w:webHidden/>
          </w:rPr>
          <w:tab/>
        </w:r>
        <w:r w:rsidR="00DF290B" w:rsidRPr="00274C1D">
          <w:rPr>
            <w:noProof/>
            <w:webHidden/>
          </w:rPr>
          <w:tab/>
        </w:r>
        <w:r w:rsidR="00DF290B" w:rsidRPr="00274C1D">
          <w:rPr>
            <w:noProof/>
            <w:webHidden/>
          </w:rPr>
          <w:fldChar w:fldCharType="begin"/>
        </w:r>
        <w:r w:rsidR="00DF290B" w:rsidRPr="00274C1D">
          <w:rPr>
            <w:noProof/>
            <w:webHidden/>
          </w:rPr>
          <w:instrText xml:space="preserve"> PAGEREF _Toc138838639 \h </w:instrText>
        </w:r>
        <w:r w:rsidR="00DF290B" w:rsidRPr="00274C1D">
          <w:rPr>
            <w:noProof/>
            <w:webHidden/>
          </w:rPr>
        </w:r>
        <w:r w:rsidR="00DF290B" w:rsidRPr="00274C1D">
          <w:rPr>
            <w:noProof/>
            <w:webHidden/>
          </w:rPr>
          <w:fldChar w:fldCharType="separate"/>
        </w:r>
        <w:r w:rsidR="00AC579E">
          <w:rPr>
            <w:noProof/>
            <w:webHidden/>
          </w:rPr>
          <w:t>22</w:t>
        </w:r>
        <w:r w:rsidR="00DF290B" w:rsidRPr="00274C1D">
          <w:rPr>
            <w:noProof/>
            <w:webHidden/>
          </w:rPr>
          <w:fldChar w:fldCharType="end"/>
        </w:r>
      </w:hyperlink>
    </w:p>
    <w:p w14:paraId="456D75AC" w14:textId="2147976D" w:rsidR="00DF290B" w:rsidRPr="00274C1D" w:rsidRDefault="00127DC0" w:rsidP="00DF290B">
      <w:pPr>
        <w:pStyle w:val="TOC2"/>
        <w:ind w:right="-1"/>
        <w:rPr>
          <w:rFonts w:asciiTheme="minorHAnsi" w:eastAsiaTheme="minorEastAsia" w:hAnsiTheme="minorHAnsi" w:cstheme="minorBidi"/>
          <w:noProof/>
          <w:kern w:val="2"/>
          <w:sz w:val="22"/>
          <w:szCs w:val="22"/>
          <w14:ligatures w14:val="standardContextual"/>
        </w:rPr>
      </w:pPr>
      <w:hyperlink w:anchor="_Toc138838640" w:history="1">
        <w:r w:rsidR="00DF290B" w:rsidRPr="00274C1D">
          <w:rPr>
            <w:rStyle w:val="Hyperlink"/>
            <w:noProof/>
          </w:rPr>
          <w:t>4.7</w:t>
        </w:r>
        <w:r w:rsidR="00DF290B" w:rsidRPr="00274C1D">
          <w:rPr>
            <w:rFonts w:asciiTheme="minorHAnsi" w:eastAsiaTheme="minorEastAsia" w:hAnsiTheme="minorHAnsi" w:cstheme="minorBidi"/>
            <w:noProof/>
            <w:kern w:val="2"/>
            <w:sz w:val="22"/>
            <w:szCs w:val="22"/>
            <w14:ligatures w14:val="standardContextual"/>
          </w:rPr>
          <w:tab/>
        </w:r>
        <w:r w:rsidR="00DF290B" w:rsidRPr="00274C1D">
          <w:rPr>
            <w:rStyle w:val="Hyperlink"/>
            <w:noProof/>
          </w:rPr>
          <w:t>Partenariats stratégiques en faveur de la réalisation des ODD</w:t>
        </w:r>
        <w:r w:rsidR="00DF290B" w:rsidRPr="00274C1D">
          <w:rPr>
            <w:noProof/>
            <w:webHidden/>
          </w:rPr>
          <w:tab/>
        </w:r>
        <w:r w:rsidR="00DF290B" w:rsidRPr="00274C1D">
          <w:rPr>
            <w:noProof/>
            <w:webHidden/>
          </w:rPr>
          <w:tab/>
        </w:r>
        <w:r w:rsidR="00DF290B" w:rsidRPr="00274C1D">
          <w:rPr>
            <w:noProof/>
            <w:webHidden/>
          </w:rPr>
          <w:fldChar w:fldCharType="begin"/>
        </w:r>
        <w:r w:rsidR="00DF290B" w:rsidRPr="00274C1D">
          <w:rPr>
            <w:noProof/>
            <w:webHidden/>
          </w:rPr>
          <w:instrText xml:space="preserve"> PAGEREF _Toc138838640 \h </w:instrText>
        </w:r>
        <w:r w:rsidR="00DF290B" w:rsidRPr="00274C1D">
          <w:rPr>
            <w:noProof/>
            <w:webHidden/>
          </w:rPr>
        </w:r>
        <w:r w:rsidR="00DF290B" w:rsidRPr="00274C1D">
          <w:rPr>
            <w:noProof/>
            <w:webHidden/>
          </w:rPr>
          <w:fldChar w:fldCharType="separate"/>
        </w:r>
        <w:r w:rsidR="00AC579E">
          <w:rPr>
            <w:noProof/>
            <w:webHidden/>
          </w:rPr>
          <w:t>26</w:t>
        </w:r>
        <w:r w:rsidR="00DF290B" w:rsidRPr="00274C1D">
          <w:rPr>
            <w:noProof/>
            <w:webHidden/>
          </w:rPr>
          <w:fldChar w:fldCharType="end"/>
        </w:r>
      </w:hyperlink>
    </w:p>
    <w:p w14:paraId="13481530" w14:textId="47072F04" w:rsidR="00DF290B" w:rsidRPr="00274C1D" w:rsidRDefault="00127DC0" w:rsidP="00DF290B">
      <w:pPr>
        <w:pStyle w:val="TOC2"/>
        <w:ind w:right="-1"/>
        <w:rPr>
          <w:rFonts w:asciiTheme="minorHAnsi" w:eastAsiaTheme="minorEastAsia" w:hAnsiTheme="minorHAnsi" w:cstheme="minorBidi"/>
          <w:noProof/>
          <w:kern w:val="2"/>
          <w:sz w:val="22"/>
          <w:szCs w:val="22"/>
          <w14:ligatures w14:val="standardContextual"/>
        </w:rPr>
      </w:pPr>
      <w:hyperlink w:anchor="_Toc138838641" w:history="1">
        <w:r w:rsidR="00DF290B" w:rsidRPr="00274C1D">
          <w:rPr>
            <w:rStyle w:val="Hyperlink"/>
            <w:noProof/>
          </w:rPr>
          <w:t>4.8</w:t>
        </w:r>
        <w:r w:rsidR="00DF290B" w:rsidRPr="00274C1D">
          <w:rPr>
            <w:rFonts w:asciiTheme="minorHAnsi" w:eastAsiaTheme="minorEastAsia" w:hAnsiTheme="minorHAnsi" w:cstheme="minorBidi"/>
            <w:noProof/>
            <w:kern w:val="2"/>
            <w:sz w:val="22"/>
            <w:szCs w:val="22"/>
            <w14:ligatures w14:val="standardContextual"/>
          </w:rPr>
          <w:tab/>
        </w:r>
        <w:r w:rsidR="00DF290B" w:rsidRPr="00274C1D">
          <w:rPr>
            <w:rStyle w:val="Hyperlink"/>
            <w:noProof/>
          </w:rPr>
          <w:t>Séminaires et ateliers</w:t>
        </w:r>
        <w:r w:rsidR="00DF290B" w:rsidRPr="00274C1D">
          <w:rPr>
            <w:noProof/>
            <w:webHidden/>
          </w:rPr>
          <w:tab/>
        </w:r>
        <w:r w:rsidR="00DF290B" w:rsidRPr="00274C1D">
          <w:rPr>
            <w:noProof/>
            <w:webHidden/>
          </w:rPr>
          <w:tab/>
        </w:r>
        <w:r w:rsidR="00DF290B" w:rsidRPr="00274C1D">
          <w:rPr>
            <w:noProof/>
            <w:webHidden/>
          </w:rPr>
          <w:fldChar w:fldCharType="begin"/>
        </w:r>
        <w:r w:rsidR="00DF290B" w:rsidRPr="00274C1D">
          <w:rPr>
            <w:noProof/>
            <w:webHidden/>
          </w:rPr>
          <w:instrText xml:space="preserve"> PAGEREF _Toc138838641 \h </w:instrText>
        </w:r>
        <w:r w:rsidR="00DF290B" w:rsidRPr="00274C1D">
          <w:rPr>
            <w:noProof/>
            <w:webHidden/>
          </w:rPr>
        </w:r>
        <w:r w:rsidR="00DF290B" w:rsidRPr="00274C1D">
          <w:rPr>
            <w:noProof/>
            <w:webHidden/>
          </w:rPr>
          <w:fldChar w:fldCharType="separate"/>
        </w:r>
        <w:r w:rsidR="00AC579E">
          <w:rPr>
            <w:noProof/>
            <w:webHidden/>
          </w:rPr>
          <w:t>30</w:t>
        </w:r>
        <w:r w:rsidR="00DF290B" w:rsidRPr="00274C1D">
          <w:rPr>
            <w:noProof/>
            <w:webHidden/>
          </w:rPr>
          <w:fldChar w:fldCharType="end"/>
        </w:r>
      </w:hyperlink>
    </w:p>
    <w:p w14:paraId="4F6193C6" w14:textId="00370B70" w:rsidR="00DF290B" w:rsidRPr="00274C1D" w:rsidRDefault="00127DC0" w:rsidP="00DF290B">
      <w:pPr>
        <w:pStyle w:val="TOC2"/>
        <w:ind w:right="-1"/>
        <w:rPr>
          <w:rFonts w:asciiTheme="minorHAnsi" w:eastAsiaTheme="minorEastAsia" w:hAnsiTheme="minorHAnsi" w:cstheme="minorBidi"/>
          <w:noProof/>
          <w:kern w:val="2"/>
          <w:sz w:val="22"/>
          <w:szCs w:val="22"/>
          <w14:ligatures w14:val="standardContextual"/>
        </w:rPr>
      </w:pPr>
      <w:hyperlink w:anchor="_Toc138838642" w:history="1">
        <w:r w:rsidR="00DF290B" w:rsidRPr="00274C1D">
          <w:rPr>
            <w:rStyle w:val="Hyperlink"/>
            <w:noProof/>
          </w:rPr>
          <w:t>4.9</w:t>
        </w:r>
        <w:r w:rsidR="00DF290B" w:rsidRPr="00274C1D">
          <w:rPr>
            <w:rFonts w:asciiTheme="minorHAnsi" w:eastAsiaTheme="minorEastAsia" w:hAnsiTheme="minorHAnsi" w:cstheme="minorBidi"/>
            <w:noProof/>
            <w:kern w:val="2"/>
            <w:sz w:val="22"/>
            <w:szCs w:val="22"/>
            <w14:ligatures w14:val="standardContextual"/>
          </w:rPr>
          <w:tab/>
        </w:r>
        <w:r w:rsidR="00DF290B" w:rsidRPr="00274C1D">
          <w:rPr>
            <w:rStyle w:val="Hyperlink"/>
            <w:noProof/>
          </w:rPr>
          <w:t>Manifestations essentielles</w:t>
        </w:r>
        <w:r w:rsidR="00DF290B" w:rsidRPr="00274C1D">
          <w:rPr>
            <w:noProof/>
            <w:webHidden/>
          </w:rPr>
          <w:tab/>
        </w:r>
        <w:r w:rsidR="00DF290B" w:rsidRPr="00274C1D">
          <w:rPr>
            <w:noProof/>
            <w:webHidden/>
          </w:rPr>
          <w:tab/>
        </w:r>
        <w:r w:rsidR="00DF290B" w:rsidRPr="00274C1D">
          <w:rPr>
            <w:noProof/>
            <w:webHidden/>
          </w:rPr>
          <w:fldChar w:fldCharType="begin"/>
        </w:r>
        <w:r w:rsidR="00DF290B" w:rsidRPr="00274C1D">
          <w:rPr>
            <w:noProof/>
            <w:webHidden/>
          </w:rPr>
          <w:instrText xml:space="preserve"> PAGEREF _Toc138838642 \h </w:instrText>
        </w:r>
        <w:r w:rsidR="00DF290B" w:rsidRPr="00274C1D">
          <w:rPr>
            <w:noProof/>
            <w:webHidden/>
          </w:rPr>
        </w:r>
        <w:r w:rsidR="00DF290B" w:rsidRPr="00274C1D">
          <w:rPr>
            <w:noProof/>
            <w:webHidden/>
          </w:rPr>
          <w:fldChar w:fldCharType="separate"/>
        </w:r>
        <w:r w:rsidR="00AC579E">
          <w:rPr>
            <w:noProof/>
            <w:webHidden/>
          </w:rPr>
          <w:t>31</w:t>
        </w:r>
        <w:r w:rsidR="00DF290B" w:rsidRPr="00274C1D">
          <w:rPr>
            <w:noProof/>
            <w:webHidden/>
          </w:rPr>
          <w:fldChar w:fldCharType="end"/>
        </w:r>
      </w:hyperlink>
    </w:p>
    <w:p w14:paraId="6D6EFBC0" w14:textId="60CADA8D" w:rsidR="00DF290B" w:rsidRPr="00274C1D" w:rsidRDefault="00127DC0" w:rsidP="00DF290B">
      <w:pPr>
        <w:pStyle w:val="TOC1"/>
        <w:ind w:right="-1"/>
        <w:rPr>
          <w:rFonts w:asciiTheme="minorHAnsi" w:eastAsiaTheme="minorEastAsia" w:hAnsiTheme="minorHAnsi" w:cstheme="minorBidi"/>
          <w:noProof/>
          <w:kern w:val="2"/>
          <w:sz w:val="22"/>
          <w:szCs w:val="22"/>
          <w14:ligatures w14:val="standardContextual"/>
        </w:rPr>
      </w:pPr>
      <w:hyperlink w:anchor="_Toc138838643" w:history="1">
        <w:r w:rsidR="00DF290B" w:rsidRPr="00274C1D">
          <w:rPr>
            <w:rStyle w:val="Hyperlink"/>
            <w:noProof/>
          </w:rPr>
          <w:t>5</w:t>
        </w:r>
        <w:r w:rsidR="00DF290B" w:rsidRPr="00274C1D">
          <w:rPr>
            <w:rFonts w:asciiTheme="minorHAnsi" w:eastAsiaTheme="minorEastAsia" w:hAnsiTheme="minorHAnsi" w:cstheme="minorBidi"/>
            <w:noProof/>
            <w:kern w:val="2"/>
            <w:sz w:val="22"/>
            <w:szCs w:val="22"/>
            <w14:ligatures w14:val="standardContextual"/>
          </w:rPr>
          <w:tab/>
        </w:r>
        <w:r w:rsidR="00DF290B" w:rsidRPr="00274C1D">
          <w:rPr>
            <w:rStyle w:val="Hyperlink"/>
            <w:noProof/>
          </w:rPr>
          <w:t>Rapport sur la mise en œuvre des Résolutions de la PP</w:t>
        </w:r>
        <w:r w:rsidR="00DF290B" w:rsidRPr="00274C1D">
          <w:rPr>
            <w:noProof/>
            <w:webHidden/>
          </w:rPr>
          <w:tab/>
        </w:r>
        <w:r w:rsidR="00DF290B" w:rsidRPr="00274C1D">
          <w:rPr>
            <w:noProof/>
            <w:webHidden/>
          </w:rPr>
          <w:tab/>
        </w:r>
        <w:r w:rsidR="00DF290B" w:rsidRPr="00274C1D">
          <w:rPr>
            <w:noProof/>
            <w:webHidden/>
          </w:rPr>
          <w:fldChar w:fldCharType="begin"/>
        </w:r>
        <w:r w:rsidR="00DF290B" w:rsidRPr="00274C1D">
          <w:rPr>
            <w:noProof/>
            <w:webHidden/>
          </w:rPr>
          <w:instrText xml:space="preserve"> PAGEREF _Toc138838643 \h </w:instrText>
        </w:r>
        <w:r w:rsidR="00DF290B" w:rsidRPr="00274C1D">
          <w:rPr>
            <w:noProof/>
            <w:webHidden/>
          </w:rPr>
        </w:r>
        <w:r w:rsidR="00DF290B" w:rsidRPr="00274C1D">
          <w:rPr>
            <w:noProof/>
            <w:webHidden/>
          </w:rPr>
          <w:fldChar w:fldCharType="separate"/>
        </w:r>
        <w:r w:rsidR="00AC579E">
          <w:rPr>
            <w:noProof/>
            <w:webHidden/>
          </w:rPr>
          <w:t>33</w:t>
        </w:r>
        <w:r w:rsidR="00DF290B" w:rsidRPr="00274C1D">
          <w:rPr>
            <w:noProof/>
            <w:webHidden/>
          </w:rPr>
          <w:fldChar w:fldCharType="end"/>
        </w:r>
      </w:hyperlink>
    </w:p>
    <w:p w14:paraId="0DA1D056" w14:textId="613C4526" w:rsidR="00822829" w:rsidRPr="00274C1D" w:rsidRDefault="00DF290B" w:rsidP="00DF290B">
      <w:r w:rsidRPr="00274C1D">
        <w:fldChar w:fldCharType="end"/>
      </w:r>
      <w:r w:rsidR="00822829" w:rsidRPr="00274C1D">
        <w:br w:type="page"/>
      </w:r>
    </w:p>
    <w:p w14:paraId="5AEF4F7F" w14:textId="77777777" w:rsidR="00822829" w:rsidRPr="00274C1D" w:rsidRDefault="00822829" w:rsidP="00822829">
      <w:pPr>
        <w:pStyle w:val="Heading1"/>
      </w:pPr>
      <w:bookmarkStart w:id="0" w:name="_Toc138838630"/>
      <w:r w:rsidRPr="00274C1D">
        <w:lastRenderedPageBreak/>
        <w:t>1</w:t>
      </w:r>
      <w:r w:rsidRPr="00274C1D">
        <w:tab/>
        <w:t>Introduction</w:t>
      </w:r>
      <w:bookmarkEnd w:id="0"/>
    </w:p>
    <w:p w14:paraId="29C99A86" w14:textId="77777777" w:rsidR="00822829" w:rsidRPr="00274C1D" w:rsidRDefault="00822829" w:rsidP="00822829">
      <w:r w:rsidRPr="00274C1D">
        <w:t>L'Union internationale des télécommunications (UIT) joue un rôle majeur au sein du système des Nations Unies en tant qu'institution des Nations Unies chargée des technologies de l'information et de la communication (TIC). L'Union attribue sur le plan international des fréquences radioélectriques et des orbites de satellites associées, élabore des normes techniques qui garantissent la parfaite interconnexion des réseaux et l'interopérabilité des technologies et s'efforce d'améliorer l'accès aux télécommunications/TIC pour les communautés mal desservies dans le monde entier et leur utilisation.</w:t>
      </w:r>
    </w:p>
    <w:p w14:paraId="3639C2EC" w14:textId="2CD45E87" w:rsidR="00822829" w:rsidRPr="00274C1D" w:rsidRDefault="00822829" w:rsidP="00822829">
      <w:r w:rsidRPr="00274C1D">
        <w:t>La technologie numérique est de plus en plus essentielle à la transformation des activités économiques et sociales à l'échelle mondiale et il est aujourd'hui essentiel pour l'ensemble du système des Nations Unies de se doter d'un programme en matière de numérique. Cette technologie revêt une importance particulière pour accélérer la réalisation des Objectifs de développement durable (ODD), y compris en ce qui concerne le rapport intitulé "Notre programme commun" du Secrétaire général de l'Organisation des Nations Unies (ONU).</w:t>
      </w:r>
    </w:p>
    <w:p w14:paraId="60F7B312" w14:textId="6A3B37BC" w:rsidR="00822829" w:rsidRPr="00274C1D" w:rsidRDefault="00822829" w:rsidP="00822829">
      <w:r w:rsidRPr="00274C1D">
        <w:t>L'environnement du numérique évolue de plus en plus vite et l'UIT suit l'évolution et la convergence d'une myriade de technologies émergentes. Il s'agit notamment des technologies prédictives et génératives basées sur l'intelligence artificielle, des technologies quantiques (offrant des capacités de calcul phénoménales) et des infrastructures de prochaine génération telles que la 5G/6G, l'Internet des objets et les communications spatiales. L'UIT suit également les nouveaux modèles d'interaction informatique entre humains et ordinateurs issus de la neurotechnologie, et les environnements de prochaine génération tels que le métavers. Même si cette multitude de technologies émergentes est susceptible de favoriser le développement durable, elle s'accompagne aussi de problèmes qui peuvent aggraver les risques actuels ou en créer de nouveaux.</w:t>
      </w:r>
    </w:p>
    <w:p w14:paraId="199DA37E" w14:textId="7CD60734" w:rsidR="00822829" w:rsidRPr="00274C1D" w:rsidRDefault="00822829" w:rsidP="00822829">
      <w:r w:rsidRPr="00274C1D">
        <w:t>Par exemple, alors que la publication récente d'applications d'intelligence artificielle générative offre un potentiel de transformation susceptible d'avoir des retombées très diverses et positives, il faut reconnaître que l'intelligence artificielle pourrait avoir des incidences négatives dans divers domaines comme l'emploi, la confiance, la transparence, la responsabilité, les biais, l'empreinte climatique et la fracture numérique.</w:t>
      </w:r>
    </w:p>
    <w:p w14:paraId="4F95C61B" w14:textId="77777777" w:rsidR="00822829" w:rsidRPr="00274C1D" w:rsidRDefault="00822829" w:rsidP="00822829">
      <w:r w:rsidRPr="00274C1D">
        <w:t>Le secteur spatial devient également de plus en plus essentiel à la transformation numérique avec l'arrivée de nouveaux acteurs et de nouveaux secteurs et le déploiement de satellites, afin d'étendre la portée du large bande et notamment de faciliter la couverture mondiale universelle de l'Internet des objets.</w:t>
      </w:r>
    </w:p>
    <w:p w14:paraId="3FDDCF87" w14:textId="64E20A7C" w:rsidR="00822829" w:rsidRPr="00274C1D" w:rsidRDefault="00822829" w:rsidP="00822829">
      <w:r w:rsidRPr="00274C1D">
        <w:t>Cette montée en puissance des technologies numériques et les changements qui en découlent au sein du système des Nations Unies ont conduit à de multiples axes de travail dans diverses entités des Nations Unies, dont les travaux recoupent la mission et le mandat de l'UIT dans les domaines des télécommunications/TIC. Bien que cela pose un problème de taille, à savoir éviter que les travaux ne fassent double emploi et faire en sorte que le mandat de l'UIT soit bien compris, cette situation permet à l'Union de traiter ces questions dans un esprit de collaboration et de partenariats étendus, en tirant parti de ses connaissances spécialisées et de sa position unique en tant qu'institution spécialisée des Nations Unies pour les TIC.</w:t>
      </w:r>
    </w:p>
    <w:p w14:paraId="3B6F4017" w14:textId="543B7937" w:rsidR="00822829" w:rsidRPr="00274C1D" w:rsidRDefault="00822829" w:rsidP="00822829">
      <w:pPr>
        <w:keepLines/>
      </w:pPr>
      <w:r w:rsidRPr="00274C1D">
        <w:lastRenderedPageBreak/>
        <w:t>Les trois dernières conférences mondiales de l'UIT, à savoir l'AMNT-20, la CMDT-22 et la PP</w:t>
      </w:r>
      <w:r w:rsidRPr="00274C1D">
        <w:noBreakHyphen/>
        <w:t>22, ont mis l'accent sur la volonté des membres de faire en sorte que l'UIT joue un rôle essentiel dans l'environnement du numérique, en donnant à tous les citoyens les moyens de tirer parti des avantages qu'offrent ces technologies. L'UIT a désormais comme objectif prioritaire de mener les travaux préparatoires en vue de la CMR-23, y compris dans le cadre de la RPC qui s'est tenue en mars 2023.</w:t>
      </w:r>
    </w:p>
    <w:p w14:paraId="35FA8839" w14:textId="77777777" w:rsidR="00822829" w:rsidRPr="00274C1D" w:rsidRDefault="00822829" w:rsidP="00822829">
      <w:r w:rsidRPr="00274C1D">
        <w:t>L'objectif de l'UIT est de construire un monde dans lequel tout un chacun puisse tirer parti de la transformation numérique et de la connectivité numérique, indépendamment de la nationalité, du lieu de vie, du sexe, de l'âge ou des antécédents. L'UIT s'engage à faire de cette vision une réalité en agissant en tant qu'organisation qui soit non seulement efficace, mais qui tienne aussi compte des valeurs fondamentales qui la caractérisent, à savoir la transparence, la responsabilité, l'ouverture, l'universalité, ainsi que sa dimension humaine, orientée services et axée sur les résultats. Sur la base de ces valeurs, l'Union entend répondre aux besoins des États Membres, de l'ensemble de ses membres et du monde en général, et par ce moyen contribuer à réduire la fracture numérique qui continue d'avoir une incidence sur un très grand nombre de communautés.</w:t>
      </w:r>
    </w:p>
    <w:p w14:paraId="6748D2B0" w14:textId="4EB92D95" w:rsidR="00822829" w:rsidRPr="00274C1D" w:rsidRDefault="00822829" w:rsidP="00822829">
      <w:r w:rsidRPr="00274C1D">
        <w:t>Afin de donner plus de poids aux services et produits qu'elle propose, la direction est résolue à faire en sorte que l'UIT joue le rôle qui est le sien dans de nouveaux domaines comme l'intelligence artificielle, les données, la transformation numérique verte, la résilience numérique et le métavers. L'Union tirera parti des technologies numériques pour prendre des décisions flexibles fondées sur les données et pour renforcer l'efficacité de l'organisation. Grâce à une allocation et une utilisation plus efficaces des ressources limitées, l'Union pourra mieux rationaliser la fourniture de services et de produits communs au sein de ses trois Secteurs et du Secrétariat général, en tirant parti des compétences spécialisées au sein d'"Une UIT unie dans l'action". Cette approche renforcera la position de chef de file de l'UIT en contribuant au développement du numérique, tout en améliorant sa culture, ses finances, ses systèmes et ses processus, son lieu de travail et sa gouvernance.</w:t>
      </w:r>
    </w:p>
    <w:p w14:paraId="6FC79DED" w14:textId="77777777" w:rsidR="00822829" w:rsidRPr="00274C1D" w:rsidRDefault="00822829" w:rsidP="00822829">
      <w:pPr>
        <w:pStyle w:val="Heading1"/>
      </w:pPr>
      <w:bookmarkStart w:id="1" w:name="_Toc138838631"/>
      <w:r w:rsidRPr="00274C1D">
        <w:t>2</w:t>
      </w:r>
      <w:r w:rsidRPr="00274C1D">
        <w:tab/>
        <w:t>Conférence de plénipotentiaires de l'UIT (PP</w:t>
      </w:r>
      <w:r w:rsidRPr="00274C1D">
        <w:rPr>
          <w:rFonts w:ascii="Cambria Math" w:hAnsi="Cambria Math" w:cs="Cambria Math"/>
        </w:rPr>
        <w:t>‑</w:t>
      </w:r>
      <w:r w:rsidRPr="00274C1D">
        <w:t>22)</w:t>
      </w:r>
      <w:bookmarkEnd w:id="1"/>
    </w:p>
    <w:p w14:paraId="58026DD4" w14:textId="77777777" w:rsidR="00822829" w:rsidRPr="00274C1D" w:rsidRDefault="00822829" w:rsidP="00822829">
      <w:r w:rsidRPr="00274C1D">
        <w:t>La 21ème Conférence de plénipotentiaires de l'UIT (PP-22), qui s'est tenue à Bucarest (Roumanie), a défini les politiques générales et déterminé les orientations stratégiques de l'UIT pour la période à venir, en adoptant un plan stratégique et un plan financier pour une période de quatre ans et en traitant les grands problèmes liés aux TIC, à la demande des Membres de l'UIT. Elle s'est tenue du 26 septembre au 14 octobre 2022 au Palais du Parlement de Bucarest et a été présidée par M. Sabin Sărmaș, Président de la Commission des technologies de l'information et des communications de la Chambre des députés.</w:t>
      </w:r>
    </w:p>
    <w:p w14:paraId="1837CAD5" w14:textId="3FF4D1D7" w:rsidR="00822829" w:rsidRPr="00274C1D" w:rsidRDefault="00822829" w:rsidP="00822829">
      <w:pPr>
        <w:pStyle w:val="Headingb"/>
      </w:pPr>
      <w:r w:rsidRPr="00274C1D">
        <w:lastRenderedPageBreak/>
        <w:t>Participants et principaux résultats obtenus: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1"/>
        <w:gridCol w:w="5250"/>
      </w:tblGrid>
      <w:tr w:rsidR="00822829" w:rsidRPr="00274C1D" w14:paraId="5A91EB6A" w14:textId="77777777" w:rsidTr="00D67441">
        <w:tc>
          <w:tcPr>
            <w:tcW w:w="3821" w:type="dxa"/>
          </w:tcPr>
          <w:p w14:paraId="0DAC50AD" w14:textId="122EE7E3" w:rsidR="00822829" w:rsidRPr="00274C1D" w:rsidRDefault="00D67441" w:rsidP="00CA2FCD">
            <w:pPr>
              <w:pStyle w:val="Figure"/>
            </w:pPr>
            <w:r w:rsidRPr="00274C1D">
              <w:rPr>
                <w:noProof/>
              </w:rPr>
              <mc:AlternateContent>
                <mc:Choice Requires="wps">
                  <w:drawing>
                    <wp:anchor distT="45720" distB="45720" distL="114300" distR="114300" simplePos="0" relativeHeight="251696128" behindDoc="0" locked="0" layoutInCell="1" allowOverlap="1" wp14:anchorId="7E2D6E1D" wp14:editId="3CD490E9">
                      <wp:simplePos x="0" y="0"/>
                      <wp:positionH relativeFrom="column">
                        <wp:posOffset>-78229</wp:posOffset>
                      </wp:positionH>
                      <wp:positionV relativeFrom="paragraph">
                        <wp:posOffset>2765458</wp:posOffset>
                      </wp:positionV>
                      <wp:extent cx="2426566" cy="27907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566" cy="279070"/>
                              </a:xfrm>
                              <a:prstGeom prst="rect">
                                <a:avLst/>
                              </a:prstGeom>
                              <a:noFill/>
                              <a:ln w="9525">
                                <a:noFill/>
                                <a:miter lim="800000"/>
                                <a:headEnd/>
                                <a:tailEnd/>
                              </a:ln>
                            </wps:spPr>
                            <wps:txbx>
                              <w:txbxContent>
                                <w:p w14:paraId="78B48937" w14:textId="41C80D5E" w:rsidR="00E95A4F" w:rsidRPr="00D67441" w:rsidRDefault="00E95A4F" w:rsidP="00D67441">
                                  <w:pPr>
                                    <w:pStyle w:val="Figurelegend"/>
                                    <w:shd w:val="clear" w:color="auto" w:fill="FFFFFF" w:themeFill="background1"/>
                                    <w:tabs>
                                      <w:tab w:val="clear" w:pos="567"/>
                                      <w:tab w:val="left" w:pos="142"/>
                                    </w:tabs>
                                    <w:spacing w:before="0" w:after="0"/>
                                    <w:ind w:left="142" w:hanging="142"/>
                                    <w:rPr>
                                      <w:i/>
                                      <w:iCs/>
                                      <w:sz w:val="12"/>
                                      <w:szCs w:val="12"/>
                                    </w:rPr>
                                  </w:pPr>
                                  <w:r w:rsidRPr="00D67441">
                                    <w:rPr>
                                      <w:i/>
                                      <w:iCs/>
                                      <w:sz w:val="12"/>
                                      <w:szCs w:val="12"/>
                                    </w:rPr>
                                    <w:t>*</w:t>
                                  </w:r>
                                  <w:r w:rsidR="00D67441">
                                    <w:rPr>
                                      <w:i/>
                                      <w:iCs/>
                                      <w:sz w:val="12"/>
                                      <w:szCs w:val="12"/>
                                    </w:rPr>
                                    <w:tab/>
                                  </w:r>
                                  <w:r w:rsidRPr="00D67441">
                                    <w:rPr>
                                      <w:i/>
                                      <w:iCs/>
                                      <w:sz w:val="12"/>
                                      <w:szCs w:val="12"/>
                                    </w:rPr>
                                    <w:t>Dirigeants d'organisations régionales intergouvernementales de télécommunication et autres invités de marque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2D6E1D" id="_x0000_t202" coordsize="21600,21600" o:spt="202" path="m,l,21600r21600,l21600,xe">
                      <v:stroke joinstyle="miter"/>
                      <v:path gradientshapeok="t" o:connecttype="rect"/>
                    </v:shapetype>
                    <v:shape id="Text Box 2" o:spid="_x0000_s1026" type="#_x0000_t202" style="position:absolute;left:0;text-align:left;margin-left:-6.15pt;margin-top:217.75pt;width:191.05pt;height:21.9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" filled="f" stroked="f">
                      <v:textbox>
                        <w:txbxContent>
                          <w:p w14:paraId="78B48937" w14:textId="41C80D5E" w:rsidR="00E95A4F" w:rsidRPr="00D67441" w:rsidRDefault="00E95A4F" w:rsidP="00D67441">
                            <w:pPr>
                              <w:pStyle w:val="Figurelegend"/>
                              <w:shd w:val="clear" w:color="auto" w:fill="FFFFFF" w:themeFill="background1"/>
                              <w:tabs>
                                <w:tab w:val="clear" w:pos="567"/>
                                <w:tab w:val="left" w:pos="142"/>
                              </w:tabs>
                              <w:spacing w:before="0" w:after="0"/>
                              <w:ind w:left="142" w:hanging="142"/>
                              <w:rPr>
                                <w:i/>
                                <w:iCs/>
                                <w:sz w:val="12"/>
                                <w:szCs w:val="12"/>
                              </w:rPr>
                            </w:pPr>
                            <w:r w:rsidRPr="00D67441">
                              <w:rPr>
                                <w:i/>
                                <w:iCs/>
                                <w:sz w:val="12"/>
                                <w:szCs w:val="12"/>
                              </w:rPr>
                              <w:t>*</w:t>
                            </w:r>
                            <w:r w:rsidR="00D67441">
                              <w:rPr>
                                <w:i/>
                                <w:iCs/>
                                <w:sz w:val="12"/>
                                <w:szCs w:val="12"/>
                              </w:rPr>
                              <w:tab/>
                            </w:r>
                            <w:r w:rsidRPr="00D67441">
                              <w:rPr>
                                <w:i/>
                                <w:iCs/>
                                <w:sz w:val="12"/>
                                <w:szCs w:val="12"/>
                              </w:rPr>
                              <w:t>Dirigeants d'organisations régionales intergouvernementales de télécommunication et autres invités de marque</w:t>
                            </w:r>
                          </w:p>
                        </w:txbxContent>
                      </v:textbox>
                    </v:shape>
                  </w:pict>
                </mc:Fallback>
              </mc:AlternateContent>
            </w:r>
            <w:r w:rsidRPr="00274C1D">
              <w:rPr>
                <w:noProof/>
              </w:rPr>
              <mc:AlternateContent>
                <mc:Choice Requires="wps">
                  <w:drawing>
                    <wp:anchor distT="45720" distB="45720" distL="114300" distR="114300" simplePos="0" relativeHeight="251698176" behindDoc="0" locked="0" layoutInCell="1" allowOverlap="1" wp14:anchorId="53117CC5" wp14:editId="3544C363">
                      <wp:simplePos x="0" y="0"/>
                      <wp:positionH relativeFrom="column">
                        <wp:posOffset>1406212</wp:posOffset>
                      </wp:positionH>
                      <wp:positionV relativeFrom="paragraph">
                        <wp:posOffset>1454785</wp:posOffset>
                      </wp:positionV>
                      <wp:extent cx="795977" cy="362198"/>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977" cy="362198"/>
                              </a:xfrm>
                              <a:prstGeom prst="rect">
                                <a:avLst/>
                              </a:prstGeom>
                              <a:noFill/>
                              <a:ln w="9525">
                                <a:noFill/>
                                <a:miter lim="800000"/>
                                <a:headEnd/>
                                <a:tailEnd/>
                              </a:ln>
                            </wps:spPr>
                            <wps:txbx>
                              <w:txbxContent>
                                <w:p w14:paraId="29CEA5B0" w14:textId="50DE5B78" w:rsidR="00E95A4F" w:rsidRPr="00D67441" w:rsidRDefault="00E95A4F" w:rsidP="00E95A4F">
                                  <w:pPr>
                                    <w:pStyle w:val="Figurelegend"/>
                                    <w:shd w:val="clear" w:color="auto" w:fill="C00000"/>
                                    <w:spacing w:before="0" w:after="0"/>
                                    <w:jc w:val="center"/>
                                    <w:rPr>
                                      <w:b/>
                                      <w:bCs/>
                                      <w:sz w:val="12"/>
                                      <w:szCs w:val="12"/>
                                    </w:rPr>
                                  </w:pPr>
                                  <w:r w:rsidRPr="00D67441">
                                    <w:rPr>
                                      <w:b/>
                                      <w:bCs/>
                                      <w:sz w:val="12"/>
                                      <w:szCs w:val="12"/>
                                    </w:rPr>
                                    <w:t>Organisations ayant le statut d'observateur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17CC5" id="_x0000_s1027" type="#_x0000_t202" style="position:absolute;left:0;text-align:left;margin-left:110.75pt;margin-top:114.55pt;width:62.7pt;height:28.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" filled="f" stroked="f">
                      <v:textbox>
                        <w:txbxContent>
                          <w:p w14:paraId="29CEA5B0" w14:textId="50DE5B78" w:rsidR="00E95A4F" w:rsidRPr="00D67441" w:rsidRDefault="00E95A4F" w:rsidP="00E95A4F">
                            <w:pPr>
                              <w:pStyle w:val="Figurelegend"/>
                              <w:shd w:val="clear" w:color="auto" w:fill="C00000"/>
                              <w:spacing w:before="0" w:after="0"/>
                              <w:jc w:val="center"/>
                              <w:rPr>
                                <w:b/>
                                <w:bCs/>
                                <w:sz w:val="12"/>
                                <w:szCs w:val="12"/>
                              </w:rPr>
                            </w:pPr>
                            <w:r w:rsidRPr="00D67441">
                              <w:rPr>
                                <w:b/>
                                <w:bCs/>
                                <w:sz w:val="12"/>
                                <w:szCs w:val="12"/>
                              </w:rPr>
                              <w:t>Organisations ayant le statut d'observateur</w:t>
                            </w:r>
                          </w:p>
                        </w:txbxContent>
                      </v:textbox>
                    </v:shape>
                  </w:pict>
                </mc:Fallback>
              </mc:AlternateContent>
            </w:r>
            <w:r w:rsidRPr="00274C1D">
              <w:rPr>
                <w:noProof/>
              </w:rPr>
              <mc:AlternateContent>
                <mc:Choice Requires="wps">
                  <w:drawing>
                    <wp:anchor distT="45720" distB="45720" distL="114300" distR="114300" simplePos="0" relativeHeight="251694080" behindDoc="0" locked="0" layoutInCell="1" allowOverlap="1" wp14:anchorId="4FD468EF" wp14:editId="4665090D">
                      <wp:simplePos x="0" y="0"/>
                      <wp:positionH relativeFrom="column">
                        <wp:posOffset>1465432</wp:posOffset>
                      </wp:positionH>
                      <wp:positionV relativeFrom="paragraph">
                        <wp:posOffset>884819</wp:posOffset>
                      </wp:positionV>
                      <wp:extent cx="736600" cy="33337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333375"/>
                              </a:xfrm>
                              <a:prstGeom prst="rect">
                                <a:avLst/>
                              </a:prstGeom>
                              <a:noFill/>
                              <a:ln w="9525">
                                <a:noFill/>
                                <a:miter lim="800000"/>
                                <a:headEnd/>
                                <a:tailEnd/>
                              </a:ln>
                            </wps:spPr>
                            <wps:txbx>
                              <w:txbxContent>
                                <w:p w14:paraId="6FB69323" w14:textId="061963AE" w:rsidR="00E95A4F" w:rsidRPr="00D67441" w:rsidRDefault="00E95A4F" w:rsidP="00E95A4F">
                                  <w:pPr>
                                    <w:pStyle w:val="Figurelegend"/>
                                    <w:shd w:val="clear" w:color="auto" w:fill="C00000"/>
                                    <w:spacing w:before="0" w:after="0"/>
                                    <w:jc w:val="center"/>
                                    <w:rPr>
                                      <w:sz w:val="11"/>
                                      <w:szCs w:val="11"/>
                                    </w:rPr>
                                  </w:pPr>
                                  <w:r w:rsidRPr="00D67441">
                                    <w:rPr>
                                      <w:b/>
                                      <w:bCs/>
                                      <w:sz w:val="11"/>
                                      <w:szCs w:val="11"/>
                                    </w:rPr>
                                    <w:t>Institutions des Nations Unies et autres entités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468EF" id="_x0000_s1028" type="#_x0000_t202" style="position:absolute;left:0;text-align:left;margin-left:115.4pt;margin-top:69.65pt;width:58pt;height:26.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" filled="f" stroked="f">
                      <v:textbox>
                        <w:txbxContent>
                          <w:p w14:paraId="6FB69323" w14:textId="061963AE" w:rsidR="00E95A4F" w:rsidRPr="00D67441" w:rsidRDefault="00E95A4F" w:rsidP="00E95A4F">
                            <w:pPr>
                              <w:pStyle w:val="Figurelegend"/>
                              <w:shd w:val="clear" w:color="auto" w:fill="C00000"/>
                              <w:spacing w:before="0" w:after="0"/>
                              <w:jc w:val="center"/>
                              <w:rPr>
                                <w:sz w:val="11"/>
                                <w:szCs w:val="11"/>
                              </w:rPr>
                            </w:pPr>
                            <w:r w:rsidRPr="00D67441">
                              <w:rPr>
                                <w:b/>
                                <w:bCs/>
                                <w:sz w:val="11"/>
                                <w:szCs w:val="11"/>
                              </w:rPr>
                              <w:t>Institutions des Nations Unies et autres entités</w:t>
                            </w:r>
                          </w:p>
                        </w:txbxContent>
                      </v:textbox>
                    </v:shape>
                  </w:pict>
                </mc:Fallback>
              </mc:AlternateContent>
            </w:r>
            <w:r w:rsidRPr="00274C1D">
              <w:rPr>
                <w:noProof/>
              </w:rPr>
              <mc:AlternateContent>
                <mc:Choice Requires="wps">
                  <w:drawing>
                    <wp:anchor distT="45720" distB="45720" distL="114300" distR="114300" simplePos="0" relativeHeight="251667456" behindDoc="0" locked="0" layoutInCell="1" allowOverlap="1" wp14:anchorId="2EC21319" wp14:editId="6CDE4942">
                      <wp:simplePos x="0" y="0"/>
                      <wp:positionH relativeFrom="column">
                        <wp:posOffset>34455</wp:posOffset>
                      </wp:positionH>
                      <wp:positionV relativeFrom="paragraph">
                        <wp:posOffset>1935785</wp:posOffset>
                      </wp:positionV>
                      <wp:extent cx="783771" cy="42735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771" cy="427355"/>
                              </a:xfrm>
                              <a:prstGeom prst="rect">
                                <a:avLst/>
                              </a:prstGeom>
                              <a:noFill/>
                              <a:ln w="9525">
                                <a:noFill/>
                                <a:miter lim="800000"/>
                                <a:headEnd/>
                                <a:tailEnd/>
                              </a:ln>
                            </wps:spPr>
                            <wps:txbx>
                              <w:txbxContent>
                                <w:p w14:paraId="00778C87" w14:textId="77777777" w:rsidR="00822829" w:rsidRPr="00D67441" w:rsidRDefault="00822829" w:rsidP="00822829">
                                  <w:pPr>
                                    <w:pStyle w:val="Figurelegend"/>
                                    <w:shd w:val="clear" w:color="auto" w:fill="212E71"/>
                                    <w:spacing w:before="0" w:after="0"/>
                                    <w:jc w:val="center"/>
                                    <w:rPr>
                                      <w:b/>
                                      <w:bCs/>
                                      <w:sz w:val="12"/>
                                      <w:szCs w:val="12"/>
                                    </w:rPr>
                                  </w:pPr>
                                  <w:r w:rsidRPr="00D67441">
                                    <w:rPr>
                                      <w:b/>
                                      <w:bCs/>
                                      <w:sz w:val="12"/>
                                      <w:szCs w:val="12"/>
                                    </w:rPr>
                                    <w:t>États Membres représentés</w:t>
                                  </w:r>
                                </w:p>
                                <w:p w14:paraId="0481809D" w14:textId="0556CEDE" w:rsidR="00822829" w:rsidRPr="00D67441" w:rsidRDefault="00822829" w:rsidP="00822829">
                                  <w:pPr>
                                    <w:pStyle w:val="Figurelegend"/>
                                    <w:shd w:val="clear" w:color="auto" w:fill="212E71"/>
                                    <w:spacing w:before="0" w:after="0"/>
                                    <w:jc w:val="center"/>
                                    <w:rPr>
                                      <w:b/>
                                      <w:bCs/>
                                      <w:sz w:val="10"/>
                                      <w:szCs w:val="10"/>
                                    </w:rPr>
                                  </w:pPr>
                                  <w:r w:rsidRPr="00D67441">
                                    <w:rPr>
                                      <w:b/>
                                      <w:bCs/>
                                      <w:sz w:val="10"/>
                                      <w:szCs w:val="10"/>
                                    </w:rPr>
                                    <w:t>*État de Palestine en qualité d'observateur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21319" id="_x0000_s1029" type="#_x0000_t202" style="position:absolute;left:0;text-align:left;margin-left:2.7pt;margin-top:152.4pt;width:61.7pt;height:33.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" filled="f" stroked="f">
                      <v:textbox>
                        <w:txbxContent>
                          <w:p w14:paraId="00778C87" w14:textId="77777777" w:rsidR="00822829" w:rsidRPr="00D67441" w:rsidRDefault="00822829" w:rsidP="00822829">
                            <w:pPr>
                              <w:pStyle w:val="Figurelegend"/>
                              <w:shd w:val="clear" w:color="auto" w:fill="212E71"/>
                              <w:spacing w:before="0" w:after="0"/>
                              <w:jc w:val="center"/>
                              <w:rPr>
                                <w:b/>
                                <w:bCs/>
                                <w:sz w:val="12"/>
                                <w:szCs w:val="12"/>
                              </w:rPr>
                            </w:pPr>
                            <w:r w:rsidRPr="00D67441">
                              <w:rPr>
                                <w:b/>
                                <w:bCs/>
                                <w:sz w:val="12"/>
                                <w:szCs w:val="12"/>
                              </w:rPr>
                              <w:t>États Membres représentés</w:t>
                            </w:r>
                          </w:p>
                          <w:p w14:paraId="0481809D" w14:textId="0556CEDE" w:rsidR="00822829" w:rsidRPr="00D67441" w:rsidRDefault="00822829" w:rsidP="00822829">
                            <w:pPr>
                              <w:pStyle w:val="Figurelegend"/>
                              <w:shd w:val="clear" w:color="auto" w:fill="212E71"/>
                              <w:spacing w:before="0" w:after="0"/>
                              <w:jc w:val="center"/>
                              <w:rPr>
                                <w:b/>
                                <w:bCs/>
                                <w:sz w:val="10"/>
                                <w:szCs w:val="10"/>
                              </w:rPr>
                            </w:pPr>
                            <w:r w:rsidRPr="00D67441">
                              <w:rPr>
                                <w:b/>
                                <w:bCs/>
                                <w:sz w:val="10"/>
                                <w:szCs w:val="10"/>
                              </w:rPr>
                              <w:t>*État de Palestine en qualité d'observateur</w:t>
                            </w:r>
                          </w:p>
                        </w:txbxContent>
                      </v:textbox>
                    </v:shape>
                  </w:pict>
                </mc:Fallback>
              </mc:AlternateContent>
            </w:r>
            <w:r w:rsidRPr="00274C1D">
              <w:rPr>
                <w:noProof/>
              </w:rPr>
              <mc:AlternateContent>
                <mc:Choice Requires="wps">
                  <w:drawing>
                    <wp:anchor distT="45720" distB="45720" distL="114300" distR="114300" simplePos="0" relativeHeight="251661312" behindDoc="0" locked="0" layoutInCell="1" allowOverlap="1" wp14:anchorId="3C943669" wp14:editId="009A9039">
                      <wp:simplePos x="0" y="0"/>
                      <wp:positionH relativeFrom="column">
                        <wp:posOffset>135395</wp:posOffset>
                      </wp:positionH>
                      <wp:positionV relativeFrom="paragraph">
                        <wp:posOffset>350429</wp:posOffset>
                      </wp:positionV>
                      <wp:extent cx="617121" cy="28511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21" cy="285115"/>
                              </a:xfrm>
                              <a:prstGeom prst="rect">
                                <a:avLst/>
                              </a:prstGeom>
                              <a:noFill/>
                              <a:ln w="9525">
                                <a:noFill/>
                                <a:miter lim="800000"/>
                                <a:headEnd/>
                                <a:tailEnd/>
                              </a:ln>
                            </wps:spPr>
                            <wps:txbx>
                              <w:txbxContent>
                                <w:p w14:paraId="2B500073" w14:textId="7DAB5785" w:rsidR="00822829" w:rsidRPr="00D67441" w:rsidRDefault="00822829" w:rsidP="00822829">
                                  <w:pPr>
                                    <w:pStyle w:val="Figurelegend"/>
                                    <w:shd w:val="clear" w:color="auto" w:fill="212E71"/>
                                    <w:spacing w:before="0" w:after="0"/>
                                    <w:jc w:val="center"/>
                                    <w:rPr>
                                      <w:b/>
                                      <w:bCs/>
                                      <w:sz w:val="12"/>
                                      <w:szCs w:val="12"/>
                                    </w:rPr>
                                  </w:pPr>
                                  <w:r w:rsidRPr="00D67441">
                                    <w:rPr>
                                      <w:b/>
                                      <w:bCs/>
                                      <w:sz w:val="12"/>
                                      <w:szCs w:val="12"/>
                                    </w:rPr>
                                    <w:t>Participants au total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43669" id="_x0000_s1030" type="#_x0000_t202" style="position:absolute;left:0;text-align:left;margin-left:10.65pt;margin-top:27.6pt;width:48.6pt;height:22.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" filled="f" stroked="f">
                      <v:textbox>
                        <w:txbxContent>
                          <w:p w14:paraId="2B500073" w14:textId="7DAB5785" w:rsidR="00822829" w:rsidRPr="00D67441" w:rsidRDefault="00822829" w:rsidP="00822829">
                            <w:pPr>
                              <w:pStyle w:val="Figurelegend"/>
                              <w:shd w:val="clear" w:color="auto" w:fill="212E71"/>
                              <w:spacing w:before="0" w:after="0"/>
                              <w:jc w:val="center"/>
                              <w:rPr>
                                <w:b/>
                                <w:bCs/>
                                <w:sz w:val="12"/>
                                <w:szCs w:val="12"/>
                              </w:rPr>
                            </w:pPr>
                            <w:r w:rsidRPr="00D67441">
                              <w:rPr>
                                <w:b/>
                                <w:bCs/>
                                <w:sz w:val="12"/>
                                <w:szCs w:val="12"/>
                              </w:rPr>
                              <w:t>Participants au total</w:t>
                            </w:r>
                          </w:p>
                        </w:txbxContent>
                      </v:textbox>
                    </v:shape>
                  </w:pict>
                </mc:Fallback>
              </mc:AlternateContent>
            </w:r>
            <w:r w:rsidR="00E95A4F" w:rsidRPr="00274C1D">
              <w:rPr>
                <w:noProof/>
              </w:rPr>
              <mc:AlternateContent>
                <mc:Choice Requires="wps">
                  <w:drawing>
                    <wp:anchor distT="45720" distB="45720" distL="114300" distR="114300" simplePos="0" relativeHeight="251665408" behindDoc="0" locked="0" layoutInCell="1" allowOverlap="1" wp14:anchorId="21EC56C6" wp14:editId="1265936D">
                      <wp:simplePos x="0" y="0"/>
                      <wp:positionH relativeFrom="column">
                        <wp:posOffset>104141</wp:posOffset>
                      </wp:positionH>
                      <wp:positionV relativeFrom="paragraph">
                        <wp:posOffset>1405890</wp:posOffset>
                      </wp:positionV>
                      <wp:extent cx="596900" cy="285115"/>
                      <wp:effectExtent l="0" t="0" r="0" b="6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85115"/>
                              </a:xfrm>
                              <a:prstGeom prst="rect">
                                <a:avLst/>
                              </a:prstGeom>
                              <a:noFill/>
                              <a:ln w="9525">
                                <a:noFill/>
                                <a:miter lim="800000"/>
                                <a:headEnd/>
                                <a:tailEnd/>
                              </a:ln>
                            </wps:spPr>
                            <wps:txbx>
                              <w:txbxContent>
                                <w:p w14:paraId="7AFAB5DB" w14:textId="58774589" w:rsidR="00822829" w:rsidRPr="00D67441" w:rsidRDefault="00822829" w:rsidP="00822829">
                                  <w:pPr>
                                    <w:pStyle w:val="Figurelegend"/>
                                    <w:shd w:val="clear" w:color="auto" w:fill="212E71"/>
                                    <w:spacing w:before="0" w:after="0"/>
                                    <w:jc w:val="center"/>
                                    <w:rPr>
                                      <w:b/>
                                      <w:bCs/>
                                      <w:sz w:val="12"/>
                                      <w:szCs w:val="12"/>
                                    </w:rPr>
                                  </w:pPr>
                                  <w:r w:rsidRPr="00D67441">
                                    <w:rPr>
                                      <w:b/>
                                      <w:bCs/>
                                      <w:sz w:val="12"/>
                                      <w:szCs w:val="12"/>
                                    </w:rPr>
                                    <w:t>Participants à distance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C56C6" id="_x0000_s1031" type="#_x0000_t202" style="position:absolute;left:0;text-align:left;margin-left:8.2pt;margin-top:110.7pt;width:47pt;height:22.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" filled="f" stroked="f">
                      <v:textbox>
                        <w:txbxContent>
                          <w:p w14:paraId="7AFAB5DB" w14:textId="58774589" w:rsidR="00822829" w:rsidRPr="00D67441" w:rsidRDefault="00822829" w:rsidP="00822829">
                            <w:pPr>
                              <w:pStyle w:val="Figurelegend"/>
                              <w:shd w:val="clear" w:color="auto" w:fill="212E71"/>
                              <w:spacing w:before="0" w:after="0"/>
                              <w:jc w:val="center"/>
                              <w:rPr>
                                <w:b/>
                                <w:bCs/>
                                <w:sz w:val="12"/>
                                <w:szCs w:val="12"/>
                              </w:rPr>
                            </w:pPr>
                            <w:r w:rsidRPr="00D67441">
                              <w:rPr>
                                <w:b/>
                                <w:bCs/>
                                <w:sz w:val="12"/>
                                <w:szCs w:val="12"/>
                              </w:rPr>
                              <w:t>Participants à distance</w:t>
                            </w:r>
                          </w:p>
                        </w:txbxContent>
                      </v:textbox>
                    </v:shape>
                  </w:pict>
                </mc:Fallback>
              </mc:AlternateContent>
            </w:r>
            <w:r w:rsidR="00E95A4F" w:rsidRPr="00274C1D">
              <w:rPr>
                <w:noProof/>
              </w:rPr>
              <mc:AlternateContent>
                <mc:Choice Requires="wps">
                  <w:drawing>
                    <wp:anchor distT="45720" distB="45720" distL="114300" distR="114300" simplePos="0" relativeHeight="251692032" behindDoc="0" locked="0" layoutInCell="1" allowOverlap="1" wp14:anchorId="274C4426" wp14:editId="5DE26E9C">
                      <wp:simplePos x="0" y="0"/>
                      <wp:positionH relativeFrom="column">
                        <wp:posOffset>1468120</wp:posOffset>
                      </wp:positionH>
                      <wp:positionV relativeFrom="paragraph">
                        <wp:posOffset>355600</wp:posOffset>
                      </wp:positionV>
                      <wp:extent cx="699040" cy="285651"/>
                      <wp:effectExtent l="0" t="0" r="0" b="6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040" cy="285651"/>
                              </a:xfrm>
                              <a:prstGeom prst="rect">
                                <a:avLst/>
                              </a:prstGeom>
                              <a:noFill/>
                              <a:ln w="9525">
                                <a:noFill/>
                                <a:miter lim="800000"/>
                                <a:headEnd/>
                                <a:tailEnd/>
                              </a:ln>
                            </wps:spPr>
                            <wps:txbx>
                              <w:txbxContent>
                                <w:p w14:paraId="6D5FB015" w14:textId="1D4B195B" w:rsidR="00E95A4F" w:rsidRPr="00D67441" w:rsidRDefault="00E95A4F" w:rsidP="00E95A4F">
                                  <w:pPr>
                                    <w:pStyle w:val="Figurelegend"/>
                                    <w:shd w:val="clear" w:color="auto" w:fill="C00000"/>
                                    <w:spacing w:before="0" w:after="0"/>
                                    <w:jc w:val="center"/>
                                    <w:rPr>
                                      <w:b/>
                                      <w:bCs/>
                                      <w:sz w:val="12"/>
                                      <w:szCs w:val="12"/>
                                    </w:rPr>
                                  </w:pPr>
                                  <w:r w:rsidRPr="00D67441">
                                    <w:rPr>
                                      <w:b/>
                                      <w:bCs/>
                                      <w:sz w:val="12"/>
                                      <w:szCs w:val="12"/>
                                    </w:rPr>
                                    <w:t>Membres de Secteur de l'UIT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C4426" id="_x0000_s1032" type="#_x0000_t202" style="position:absolute;left:0;text-align:left;margin-left:115.6pt;margin-top:28pt;width:55.05pt;height:2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" filled="f" stroked="f">
                      <v:textbox>
                        <w:txbxContent>
                          <w:p w14:paraId="6D5FB015" w14:textId="1D4B195B" w:rsidR="00E95A4F" w:rsidRPr="00D67441" w:rsidRDefault="00E95A4F" w:rsidP="00E95A4F">
                            <w:pPr>
                              <w:pStyle w:val="Figurelegend"/>
                              <w:shd w:val="clear" w:color="auto" w:fill="C00000"/>
                              <w:spacing w:before="0" w:after="0"/>
                              <w:jc w:val="center"/>
                              <w:rPr>
                                <w:b/>
                                <w:bCs/>
                                <w:sz w:val="12"/>
                                <w:szCs w:val="12"/>
                              </w:rPr>
                            </w:pPr>
                            <w:r w:rsidRPr="00D67441">
                              <w:rPr>
                                <w:b/>
                                <w:bCs/>
                                <w:sz w:val="12"/>
                                <w:szCs w:val="12"/>
                              </w:rPr>
                              <w:t>Membres de Secteur de l'UIT</w:t>
                            </w:r>
                          </w:p>
                        </w:txbxContent>
                      </v:textbox>
                    </v:shape>
                  </w:pict>
                </mc:Fallback>
              </mc:AlternateContent>
            </w:r>
            <w:r w:rsidR="00E95A4F" w:rsidRPr="00274C1D">
              <w:rPr>
                <w:noProof/>
              </w:rPr>
              <mc:AlternateContent>
                <mc:Choice Requires="wps">
                  <w:drawing>
                    <wp:anchor distT="45720" distB="45720" distL="114300" distR="114300" simplePos="0" relativeHeight="251689984" behindDoc="0" locked="0" layoutInCell="1" allowOverlap="1" wp14:anchorId="3ED5FBCC" wp14:editId="1563C003">
                      <wp:simplePos x="0" y="0"/>
                      <wp:positionH relativeFrom="column">
                        <wp:posOffset>786765</wp:posOffset>
                      </wp:positionH>
                      <wp:positionV relativeFrom="paragraph">
                        <wp:posOffset>2558415</wp:posOffset>
                      </wp:positionV>
                      <wp:extent cx="699040" cy="206375"/>
                      <wp:effectExtent l="0" t="0" r="0" b="31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040" cy="206375"/>
                              </a:xfrm>
                              <a:prstGeom prst="rect">
                                <a:avLst/>
                              </a:prstGeom>
                              <a:noFill/>
                              <a:ln w="9525">
                                <a:noFill/>
                                <a:miter lim="800000"/>
                                <a:headEnd/>
                                <a:tailEnd/>
                              </a:ln>
                            </wps:spPr>
                            <wps:txbx>
                              <w:txbxContent>
                                <w:p w14:paraId="5C837DC5" w14:textId="66070D9C" w:rsidR="00E95A4F" w:rsidRPr="00D67441" w:rsidRDefault="00E95A4F" w:rsidP="00E95A4F">
                                  <w:pPr>
                                    <w:pStyle w:val="Figurelegend"/>
                                    <w:shd w:val="clear" w:color="auto" w:fill="FFCC00"/>
                                    <w:spacing w:before="0" w:after="0"/>
                                    <w:jc w:val="center"/>
                                    <w:rPr>
                                      <w:b/>
                                      <w:bCs/>
                                      <w:sz w:val="12"/>
                                      <w:szCs w:val="12"/>
                                    </w:rPr>
                                  </w:pPr>
                                  <w:r w:rsidRPr="00D67441">
                                    <w:rPr>
                                      <w:b/>
                                      <w:bCs/>
                                      <w:sz w:val="12"/>
                                      <w:szCs w:val="12"/>
                                    </w:rPr>
                                    <w:t>Dirigeants*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5FBCC" id="_x0000_s1033" type="#_x0000_t202" style="position:absolute;left:0;text-align:left;margin-left:61.95pt;margin-top:201.45pt;width:55.05pt;height:16.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" filled="f" stroked="f">
                      <v:textbox>
                        <w:txbxContent>
                          <w:p w14:paraId="5C837DC5" w14:textId="66070D9C" w:rsidR="00E95A4F" w:rsidRPr="00D67441" w:rsidRDefault="00E95A4F" w:rsidP="00E95A4F">
                            <w:pPr>
                              <w:pStyle w:val="Figurelegend"/>
                              <w:shd w:val="clear" w:color="auto" w:fill="FFCC00"/>
                              <w:spacing w:before="0" w:after="0"/>
                              <w:jc w:val="center"/>
                              <w:rPr>
                                <w:b/>
                                <w:bCs/>
                                <w:sz w:val="12"/>
                                <w:szCs w:val="12"/>
                              </w:rPr>
                            </w:pPr>
                            <w:r w:rsidRPr="00D67441">
                              <w:rPr>
                                <w:b/>
                                <w:bCs/>
                                <w:sz w:val="12"/>
                                <w:szCs w:val="12"/>
                              </w:rPr>
                              <w:t>Dirigeants*</w:t>
                            </w:r>
                          </w:p>
                        </w:txbxContent>
                      </v:textbox>
                    </v:shape>
                  </w:pict>
                </mc:Fallback>
              </mc:AlternateContent>
            </w:r>
            <w:r w:rsidR="00E95A4F" w:rsidRPr="00274C1D">
              <w:rPr>
                <w:noProof/>
              </w:rPr>
              <mc:AlternateContent>
                <mc:Choice Requires="wps">
                  <w:drawing>
                    <wp:anchor distT="45720" distB="45720" distL="114300" distR="114300" simplePos="0" relativeHeight="251687936" behindDoc="0" locked="0" layoutInCell="1" allowOverlap="1" wp14:anchorId="6365DA5F" wp14:editId="6C191273">
                      <wp:simplePos x="0" y="0"/>
                      <wp:positionH relativeFrom="column">
                        <wp:posOffset>770890</wp:posOffset>
                      </wp:positionH>
                      <wp:positionV relativeFrom="paragraph">
                        <wp:posOffset>2009140</wp:posOffset>
                      </wp:positionV>
                      <wp:extent cx="699040" cy="206375"/>
                      <wp:effectExtent l="0" t="0" r="0" b="31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040" cy="206375"/>
                              </a:xfrm>
                              <a:prstGeom prst="rect">
                                <a:avLst/>
                              </a:prstGeom>
                              <a:noFill/>
                              <a:ln w="9525">
                                <a:noFill/>
                                <a:miter lim="800000"/>
                                <a:headEnd/>
                                <a:tailEnd/>
                              </a:ln>
                            </wps:spPr>
                            <wps:txbx>
                              <w:txbxContent>
                                <w:p w14:paraId="1BAE96F6" w14:textId="6B3B9924" w:rsidR="00E95A4F" w:rsidRPr="00D67441" w:rsidRDefault="00E95A4F" w:rsidP="00E95A4F">
                                  <w:pPr>
                                    <w:pStyle w:val="Figurelegend"/>
                                    <w:shd w:val="clear" w:color="auto" w:fill="FFCC00"/>
                                    <w:spacing w:before="0" w:after="0"/>
                                    <w:jc w:val="center"/>
                                    <w:rPr>
                                      <w:b/>
                                      <w:bCs/>
                                      <w:sz w:val="12"/>
                                      <w:szCs w:val="12"/>
                                    </w:rPr>
                                  </w:pPr>
                                  <w:r w:rsidRPr="00D67441">
                                    <w:rPr>
                                      <w:b/>
                                      <w:bCs/>
                                      <w:sz w:val="12"/>
                                      <w:szCs w:val="12"/>
                                    </w:rPr>
                                    <w:t>Ambassadeurs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5DA5F" id="_x0000_s1034" type="#_x0000_t202" style="position:absolute;left:0;text-align:left;margin-left:60.7pt;margin-top:158.2pt;width:55.05pt;height:1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" filled="f" stroked="f">
                      <v:textbox>
                        <w:txbxContent>
                          <w:p w14:paraId="1BAE96F6" w14:textId="6B3B9924" w:rsidR="00E95A4F" w:rsidRPr="00D67441" w:rsidRDefault="00E95A4F" w:rsidP="00E95A4F">
                            <w:pPr>
                              <w:pStyle w:val="Figurelegend"/>
                              <w:shd w:val="clear" w:color="auto" w:fill="FFCC00"/>
                              <w:spacing w:before="0" w:after="0"/>
                              <w:jc w:val="center"/>
                              <w:rPr>
                                <w:b/>
                                <w:bCs/>
                                <w:sz w:val="12"/>
                                <w:szCs w:val="12"/>
                              </w:rPr>
                            </w:pPr>
                            <w:r w:rsidRPr="00D67441">
                              <w:rPr>
                                <w:b/>
                                <w:bCs/>
                                <w:sz w:val="12"/>
                                <w:szCs w:val="12"/>
                              </w:rPr>
                              <w:t>Ambassadeurs</w:t>
                            </w:r>
                          </w:p>
                        </w:txbxContent>
                      </v:textbox>
                    </v:shape>
                  </w:pict>
                </mc:Fallback>
              </mc:AlternateContent>
            </w:r>
            <w:r w:rsidR="00E95A4F" w:rsidRPr="00274C1D">
              <w:rPr>
                <w:noProof/>
              </w:rPr>
              <mc:AlternateContent>
                <mc:Choice Requires="wps">
                  <w:drawing>
                    <wp:anchor distT="45720" distB="45720" distL="114300" distR="114300" simplePos="0" relativeHeight="251685888" behindDoc="0" locked="0" layoutInCell="1" allowOverlap="1" wp14:anchorId="378BAACE" wp14:editId="5B0515BF">
                      <wp:simplePos x="0" y="0"/>
                      <wp:positionH relativeFrom="column">
                        <wp:posOffset>769620</wp:posOffset>
                      </wp:positionH>
                      <wp:positionV relativeFrom="paragraph">
                        <wp:posOffset>1454785</wp:posOffset>
                      </wp:positionV>
                      <wp:extent cx="699040" cy="285651"/>
                      <wp:effectExtent l="0" t="0" r="0" b="6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040" cy="285651"/>
                              </a:xfrm>
                              <a:prstGeom prst="rect">
                                <a:avLst/>
                              </a:prstGeom>
                              <a:noFill/>
                              <a:ln w="9525">
                                <a:noFill/>
                                <a:miter lim="800000"/>
                                <a:headEnd/>
                                <a:tailEnd/>
                              </a:ln>
                            </wps:spPr>
                            <wps:txbx>
                              <w:txbxContent>
                                <w:p w14:paraId="6CB568F4" w14:textId="46A7AB09" w:rsidR="00E95A4F" w:rsidRPr="00D67441" w:rsidRDefault="00E95A4F" w:rsidP="00E95A4F">
                                  <w:pPr>
                                    <w:pStyle w:val="Figurelegend"/>
                                    <w:shd w:val="clear" w:color="auto" w:fill="FFCC00"/>
                                    <w:spacing w:before="0" w:after="0"/>
                                    <w:jc w:val="center"/>
                                    <w:rPr>
                                      <w:b/>
                                      <w:bCs/>
                                      <w:sz w:val="12"/>
                                      <w:szCs w:val="12"/>
                                    </w:rPr>
                                  </w:pPr>
                                  <w:r w:rsidRPr="00D67441">
                                    <w:rPr>
                                      <w:b/>
                                      <w:bCs/>
                                      <w:sz w:val="12"/>
                                      <w:szCs w:val="12"/>
                                    </w:rPr>
                                    <w:t>Ministres adjoints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BAACE" id="_x0000_s1035" type="#_x0000_t202" style="position:absolute;left:0;text-align:left;margin-left:60.6pt;margin-top:114.55pt;width:55.05pt;height:2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" filled="f" stroked="f">
                      <v:textbox>
                        <w:txbxContent>
                          <w:p w14:paraId="6CB568F4" w14:textId="46A7AB09" w:rsidR="00E95A4F" w:rsidRPr="00D67441" w:rsidRDefault="00E95A4F" w:rsidP="00E95A4F">
                            <w:pPr>
                              <w:pStyle w:val="Figurelegend"/>
                              <w:shd w:val="clear" w:color="auto" w:fill="FFCC00"/>
                              <w:spacing w:before="0" w:after="0"/>
                              <w:jc w:val="center"/>
                              <w:rPr>
                                <w:b/>
                                <w:bCs/>
                                <w:sz w:val="12"/>
                                <w:szCs w:val="12"/>
                              </w:rPr>
                            </w:pPr>
                            <w:r w:rsidRPr="00D67441">
                              <w:rPr>
                                <w:b/>
                                <w:bCs/>
                                <w:sz w:val="12"/>
                                <w:szCs w:val="12"/>
                              </w:rPr>
                              <w:t>Ministres adjoints</w:t>
                            </w:r>
                          </w:p>
                        </w:txbxContent>
                      </v:textbox>
                    </v:shape>
                  </w:pict>
                </mc:Fallback>
              </mc:AlternateContent>
            </w:r>
            <w:r w:rsidR="00E95A4F" w:rsidRPr="00274C1D">
              <w:rPr>
                <w:noProof/>
              </w:rPr>
              <mc:AlternateContent>
                <mc:Choice Requires="wps">
                  <w:drawing>
                    <wp:anchor distT="45720" distB="45720" distL="114300" distR="114300" simplePos="0" relativeHeight="251683840" behindDoc="0" locked="0" layoutInCell="1" allowOverlap="1" wp14:anchorId="26D9A940" wp14:editId="66D0A0CB">
                      <wp:simplePos x="0" y="0"/>
                      <wp:positionH relativeFrom="column">
                        <wp:posOffset>770890</wp:posOffset>
                      </wp:positionH>
                      <wp:positionV relativeFrom="paragraph">
                        <wp:posOffset>926465</wp:posOffset>
                      </wp:positionV>
                      <wp:extent cx="699040" cy="222250"/>
                      <wp:effectExtent l="0" t="0" r="0" b="63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040" cy="222250"/>
                              </a:xfrm>
                              <a:prstGeom prst="rect">
                                <a:avLst/>
                              </a:prstGeom>
                              <a:noFill/>
                              <a:ln w="9525">
                                <a:noFill/>
                                <a:miter lim="800000"/>
                                <a:headEnd/>
                                <a:tailEnd/>
                              </a:ln>
                            </wps:spPr>
                            <wps:txbx>
                              <w:txbxContent>
                                <w:p w14:paraId="16280A3F" w14:textId="47AB28CC" w:rsidR="00E95A4F" w:rsidRPr="00D67441" w:rsidRDefault="00E95A4F" w:rsidP="00E95A4F">
                                  <w:pPr>
                                    <w:pStyle w:val="Figurelegend"/>
                                    <w:shd w:val="clear" w:color="auto" w:fill="FFCC00"/>
                                    <w:spacing w:before="0" w:after="0"/>
                                    <w:jc w:val="center"/>
                                    <w:rPr>
                                      <w:b/>
                                      <w:bCs/>
                                      <w:sz w:val="12"/>
                                      <w:szCs w:val="12"/>
                                    </w:rPr>
                                  </w:pPr>
                                  <w:r w:rsidRPr="00D67441">
                                    <w:rPr>
                                      <w:b/>
                                      <w:bCs/>
                                      <w:sz w:val="12"/>
                                      <w:szCs w:val="12"/>
                                    </w:rPr>
                                    <w:t>Ministres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9A940" id="_x0000_s1036" type="#_x0000_t202" style="position:absolute;left:0;text-align:left;margin-left:60.7pt;margin-top:72.95pt;width:55.05pt;height:1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" filled="f" stroked="f">
                      <v:textbox>
                        <w:txbxContent>
                          <w:p w14:paraId="16280A3F" w14:textId="47AB28CC" w:rsidR="00E95A4F" w:rsidRPr="00D67441" w:rsidRDefault="00E95A4F" w:rsidP="00E95A4F">
                            <w:pPr>
                              <w:pStyle w:val="Figurelegend"/>
                              <w:shd w:val="clear" w:color="auto" w:fill="FFCC00"/>
                              <w:spacing w:before="0" w:after="0"/>
                              <w:jc w:val="center"/>
                              <w:rPr>
                                <w:b/>
                                <w:bCs/>
                                <w:sz w:val="12"/>
                                <w:szCs w:val="12"/>
                              </w:rPr>
                            </w:pPr>
                            <w:r w:rsidRPr="00D67441">
                              <w:rPr>
                                <w:b/>
                                <w:bCs/>
                                <w:sz w:val="12"/>
                                <w:szCs w:val="12"/>
                              </w:rPr>
                              <w:t>Ministres</w:t>
                            </w:r>
                          </w:p>
                        </w:txbxContent>
                      </v:textbox>
                    </v:shape>
                  </w:pict>
                </mc:Fallback>
              </mc:AlternateContent>
            </w:r>
            <w:r w:rsidR="00E95A4F" w:rsidRPr="00274C1D">
              <w:rPr>
                <w:noProof/>
              </w:rPr>
              <mc:AlternateContent>
                <mc:Choice Requires="wps">
                  <w:drawing>
                    <wp:anchor distT="45720" distB="45720" distL="114300" distR="114300" simplePos="0" relativeHeight="251681792" behindDoc="0" locked="0" layoutInCell="1" allowOverlap="1" wp14:anchorId="1AD8B58D" wp14:editId="70A2458B">
                      <wp:simplePos x="0" y="0"/>
                      <wp:positionH relativeFrom="column">
                        <wp:posOffset>770890</wp:posOffset>
                      </wp:positionH>
                      <wp:positionV relativeFrom="paragraph">
                        <wp:posOffset>354965</wp:posOffset>
                      </wp:positionV>
                      <wp:extent cx="699040" cy="285651"/>
                      <wp:effectExtent l="0" t="0" r="0" b="63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040" cy="285651"/>
                              </a:xfrm>
                              <a:prstGeom prst="rect">
                                <a:avLst/>
                              </a:prstGeom>
                              <a:noFill/>
                              <a:ln w="9525">
                                <a:noFill/>
                                <a:miter lim="800000"/>
                                <a:headEnd/>
                                <a:tailEnd/>
                              </a:ln>
                            </wps:spPr>
                            <wps:txbx>
                              <w:txbxContent>
                                <w:p w14:paraId="28CE5C33" w14:textId="314556F5" w:rsidR="00E95A4F" w:rsidRPr="00D67441" w:rsidRDefault="00E95A4F" w:rsidP="00E95A4F">
                                  <w:pPr>
                                    <w:pStyle w:val="Figurelegend"/>
                                    <w:shd w:val="clear" w:color="auto" w:fill="FFCC00"/>
                                    <w:spacing w:before="0" w:after="0"/>
                                    <w:jc w:val="center"/>
                                    <w:rPr>
                                      <w:b/>
                                      <w:bCs/>
                                      <w:sz w:val="12"/>
                                      <w:szCs w:val="12"/>
                                    </w:rPr>
                                  </w:pPr>
                                  <w:r w:rsidRPr="00D67441">
                                    <w:rPr>
                                      <w:b/>
                                      <w:bCs/>
                                      <w:sz w:val="12"/>
                                      <w:szCs w:val="12"/>
                                    </w:rPr>
                                    <w:t>Vice-premiers ministres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8B58D" id="_x0000_s1037" type="#_x0000_t202" style="position:absolute;left:0;text-align:left;margin-left:60.7pt;margin-top:27.95pt;width:55.05pt;height: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" filled="f" stroked="f">
                      <v:textbox>
                        <w:txbxContent>
                          <w:p w14:paraId="28CE5C33" w14:textId="314556F5" w:rsidR="00E95A4F" w:rsidRPr="00D67441" w:rsidRDefault="00E95A4F" w:rsidP="00E95A4F">
                            <w:pPr>
                              <w:pStyle w:val="Figurelegend"/>
                              <w:shd w:val="clear" w:color="auto" w:fill="FFCC00"/>
                              <w:spacing w:before="0" w:after="0"/>
                              <w:jc w:val="center"/>
                              <w:rPr>
                                <w:b/>
                                <w:bCs/>
                                <w:sz w:val="12"/>
                                <w:szCs w:val="12"/>
                              </w:rPr>
                            </w:pPr>
                            <w:r w:rsidRPr="00D67441">
                              <w:rPr>
                                <w:b/>
                                <w:bCs/>
                                <w:sz w:val="12"/>
                                <w:szCs w:val="12"/>
                              </w:rPr>
                              <w:t>Vice-premiers ministres</w:t>
                            </w:r>
                          </w:p>
                        </w:txbxContent>
                      </v:textbox>
                    </v:shape>
                  </w:pict>
                </mc:Fallback>
              </mc:AlternateContent>
            </w:r>
            <w:r w:rsidR="00E95A4F" w:rsidRPr="00274C1D">
              <w:rPr>
                <w:noProof/>
              </w:rPr>
              <mc:AlternateContent>
                <mc:Choice Requires="wps">
                  <w:drawing>
                    <wp:anchor distT="45720" distB="45720" distL="114300" distR="114300" simplePos="0" relativeHeight="251663360" behindDoc="0" locked="0" layoutInCell="1" allowOverlap="1" wp14:anchorId="3EAE8EAA" wp14:editId="708653D8">
                      <wp:simplePos x="0" y="0"/>
                      <wp:positionH relativeFrom="column">
                        <wp:posOffset>80645</wp:posOffset>
                      </wp:positionH>
                      <wp:positionV relativeFrom="paragraph">
                        <wp:posOffset>890294</wp:posOffset>
                      </wp:positionV>
                      <wp:extent cx="670737" cy="29626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737" cy="296265"/>
                              </a:xfrm>
                              <a:prstGeom prst="rect">
                                <a:avLst/>
                              </a:prstGeom>
                              <a:noFill/>
                              <a:ln w="9525">
                                <a:noFill/>
                                <a:miter lim="800000"/>
                                <a:headEnd/>
                                <a:tailEnd/>
                              </a:ln>
                            </wps:spPr>
                            <wps:txbx>
                              <w:txbxContent>
                                <w:p w14:paraId="520971BB" w14:textId="0220C966" w:rsidR="00822829" w:rsidRPr="00D67441" w:rsidRDefault="00822829" w:rsidP="00822829">
                                  <w:pPr>
                                    <w:pStyle w:val="Figurelegend"/>
                                    <w:shd w:val="clear" w:color="auto" w:fill="212E71"/>
                                    <w:spacing w:before="0" w:after="0"/>
                                    <w:jc w:val="center"/>
                                    <w:rPr>
                                      <w:b/>
                                      <w:bCs/>
                                      <w:sz w:val="12"/>
                                      <w:szCs w:val="12"/>
                                    </w:rPr>
                                  </w:pPr>
                                  <w:r w:rsidRPr="00D67441">
                                    <w:rPr>
                                      <w:b/>
                                      <w:bCs/>
                                      <w:sz w:val="12"/>
                                      <w:szCs w:val="12"/>
                                    </w:rPr>
                                    <w:t>Participants en présentiel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E8EAA" id="_x0000_s1038" type="#_x0000_t202" style="position:absolute;left:0;text-align:left;margin-left:6.35pt;margin-top:70.1pt;width:52.8pt;height:23.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" filled="f" stroked="f">
                      <v:textbox>
                        <w:txbxContent>
                          <w:p w14:paraId="520971BB" w14:textId="0220C966" w:rsidR="00822829" w:rsidRPr="00D67441" w:rsidRDefault="00822829" w:rsidP="00822829">
                            <w:pPr>
                              <w:pStyle w:val="Figurelegend"/>
                              <w:shd w:val="clear" w:color="auto" w:fill="212E71"/>
                              <w:spacing w:before="0" w:after="0"/>
                              <w:jc w:val="center"/>
                              <w:rPr>
                                <w:b/>
                                <w:bCs/>
                                <w:sz w:val="12"/>
                                <w:szCs w:val="12"/>
                              </w:rPr>
                            </w:pPr>
                            <w:r w:rsidRPr="00D67441">
                              <w:rPr>
                                <w:b/>
                                <w:bCs/>
                                <w:sz w:val="12"/>
                                <w:szCs w:val="12"/>
                              </w:rPr>
                              <w:t>Participants en présentiel</w:t>
                            </w:r>
                          </w:p>
                        </w:txbxContent>
                      </v:textbox>
                    </v:shape>
                  </w:pict>
                </mc:Fallback>
              </mc:AlternateContent>
            </w:r>
            <w:r w:rsidR="00822829" w:rsidRPr="00274C1D">
              <w:rPr>
                <w:noProof/>
                <w:lang w:eastAsia="fr-FR"/>
              </w:rPr>
              <w:drawing>
                <wp:inline distT="0" distB="0" distL="0" distR="0" wp14:anchorId="2B011E92" wp14:editId="25D44D06">
                  <wp:extent cx="2301887" cy="2906421"/>
                  <wp:effectExtent l="0" t="0" r="3175" b="8255"/>
                  <wp:docPr id="4" name="Picture 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12"/>
                          <a:stretch>
                            <a:fillRect/>
                          </a:stretch>
                        </pic:blipFill>
                        <pic:spPr>
                          <a:xfrm>
                            <a:off x="0" y="0"/>
                            <a:ext cx="2301887" cy="2906421"/>
                          </a:xfrm>
                          <a:prstGeom prst="rect">
                            <a:avLst/>
                          </a:prstGeom>
                        </pic:spPr>
                      </pic:pic>
                    </a:graphicData>
                  </a:graphic>
                </wp:inline>
              </w:drawing>
            </w:r>
          </w:p>
        </w:tc>
        <w:tc>
          <w:tcPr>
            <w:tcW w:w="5250" w:type="dxa"/>
          </w:tcPr>
          <w:p w14:paraId="269FC694" w14:textId="429167DB" w:rsidR="00822829" w:rsidRPr="00274C1D" w:rsidRDefault="00822829" w:rsidP="00CA2FCD">
            <w:pPr>
              <w:pStyle w:val="Figure"/>
            </w:pPr>
            <w:r w:rsidRPr="00274C1D">
              <w:rPr>
                <w:noProof/>
              </w:rPr>
              <mc:AlternateContent>
                <mc:Choice Requires="wps">
                  <w:drawing>
                    <wp:anchor distT="45720" distB="45720" distL="114300" distR="114300" simplePos="0" relativeHeight="251659264" behindDoc="0" locked="0" layoutInCell="1" allowOverlap="1" wp14:anchorId="5F4A2096" wp14:editId="10CB93B1">
                      <wp:simplePos x="0" y="0"/>
                      <wp:positionH relativeFrom="column">
                        <wp:posOffset>1344612</wp:posOffset>
                      </wp:positionH>
                      <wp:positionV relativeFrom="paragraph">
                        <wp:posOffset>108903</wp:posOffset>
                      </wp:positionV>
                      <wp:extent cx="1819275" cy="1404620"/>
                      <wp:effectExtent l="0" t="0" r="9525"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solidFill>
                                <a:schemeClr val="bg1"/>
                              </a:solidFill>
                              <a:ln w="9525">
                                <a:noFill/>
                                <a:miter lim="800000"/>
                                <a:headEnd/>
                                <a:tailEnd/>
                              </a:ln>
                            </wps:spPr>
                            <wps:txbx>
                              <w:txbxContent>
                                <w:p w14:paraId="05F206DF" w14:textId="77777777" w:rsidR="00822829" w:rsidRPr="001561E6" w:rsidRDefault="00822829" w:rsidP="00822829">
                                  <w:pPr>
                                    <w:pStyle w:val="Figurelegend"/>
                                    <w:rPr>
                                      <w:sz w:val="20"/>
                                      <w:szCs w:val="22"/>
                                    </w:rPr>
                                  </w:pPr>
                                  <w:r w:rsidRPr="001561E6">
                                    <w:rPr>
                                      <w:sz w:val="20"/>
                                      <w:szCs w:val="22"/>
                                    </w:rPr>
                                    <w:t>Signés par 159 États Membres</w:t>
                                  </w:r>
                                </w:p>
                                <w:p w14:paraId="4F6B9043" w14:textId="77777777" w:rsidR="00822829" w:rsidRPr="001561E6" w:rsidRDefault="00822829" w:rsidP="00822829">
                                  <w:pPr>
                                    <w:pStyle w:val="Figurelegend"/>
                                    <w:spacing w:before="40"/>
                                    <w:rPr>
                                      <w:sz w:val="20"/>
                                      <w:szCs w:val="22"/>
                                    </w:rPr>
                                  </w:pPr>
                                  <w:r w:rsidRPr="001561E6">
                                    <w:rPr>
                                      <w:sz w:val="20"/>
                                      <w:szCs w:val="22"/>
                                    </w:rPr>
                                    <w:t>56 Résolutions modifiées</w:t>
                                  </w:r>
                                </w:p>
                                <w:p w14:paraId="062D4B49" w14:textId="77777777" w:rsidR="00822829" w:rsidRPr="001561E6" w:rsidRDefault="00822829" w:rsidP="00822829">
                                  <w:pPr>
                                    <w:pStyle w:val="Figurelegend"/>
                                    <w:spacing w:before="40"/>
                                    <w:rPr>
                                      <w:sz w:val="20"/>
                                      <w:szCs w:val="22"/>
                                    </w:rPr>
                                  </w:pPr>
                                  <w:r w:rsidRPr="001561E6">
                                    <w:rPr>
                                      <w:sz w:val="20"/>
                                      <w:szCs w:val="22"/>
                                    </w:rPr>
                                    <w:t>2 Décisions modifiées</w:t>
                                  </w:r>
                                </w:p>
                                <w:p w14:paraId="639F1DE2" w14:textId="77777777" w:rsidR="00822829" w:rsidRPr="001561E6" w:rsidRDefault="00822829" w:rsidP="00822829">
                                  <w:pPr>
                                    <w:pStyle w:val="Figurelegend"/>
                                    <w:spacing w:before="40"/>
                                    <w:rPr>
                                      <w:sz w:val="20"/>
                                      <w:szCs w:val="22"/>
                                    </w:rPr>
                                  </w:pPr>
                                  <w:r w:rsidRPr="001561E6">
                                    <w:rPr>
                                      <w:sz w:val="20"/>
                                      <w:szCs w:val="22"/>
                                    </w:rPr>
                                    <w:t>6 nouvelles Résolutions</w:t>
                                  </w:r>
                                </w:p>
                                <w:p w14:paraId="12CAB20A" w14:textId="6A4A47D5" w:rsidR="00822829" w:rsidRPr="00822829" w:rsidRDefault="00822829" w:rsidP="00822829">
                                  <w:pPr>
                                    <w:pStyle w:val="Figurelegend"/>
                                    <w:spacing w:before="40"/>
                                  </w:pPr>
                                  <w:r w:rsidRPr="001561E6">
                                    <w:rPr>
                                      <w:sz w:val="20"/>
                                      <w:szCs w:val="22"/>
                                    </w:rPr>
                                    <w:t>1 Résolution supprimée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4A2096" id="_x0000_s1039" type="#_x0000_t202" style="position:absolute;left:0;text-align:left;margin-left:105.85pt;margin-top:8.6pt;width:143.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" fillcolor="white [3212]" stroked="f">
                      <v:textbox style="mso-fit-shape-to-text:t">
                        <w:txbxContent>
                          <w:p w14:paraId="05F206DF" w14:textId="77777777" w:rsidR="00822829" w:rsidRPr="001561E6" w:rsidRDefault="00822829" w:rsidP="00822829">
                            <w:pPr>
                              <w:pStyle w:val="Figurelegend"/>
                              <w:rPr>
                                <w:sz w:val="20"/>
                                <w:szCs w:val="22"/>
                              </w:rPr>
                            </w:pPr>
                            <w:r w:rsidRPr="001561E6">
                              <w:rPr>
                                <w:sz w:val="20"/>
                                <w:szCs w:val="22"/>
                              </w:rPr>
                              <w:t>Signés par 159 États Membres</w:t>
                            </w:r>
                          </w:p>
                          <w:p w14:paraId="4F6B9043" w14:textId="77777777" w:rsidR="00822829" w:rsidRPr="001561E6" w:rsidRDefault="00822829" w:rsidP="00822829">
                            <w:pPr>
                              <w:pStyle w:val="Figurelegend"/>
                              <w:spacing w:before="40"/>
                              <w:rPr>
                                <w:sz w:val="20"/>
                                <w:szCs w:val="22"/>
                              </w:rPr>
                            </w:pPr>
                            <w:r w:rsidRPr="001561E6">
                              <w:rPr>
                                <w:sz w:val="20"/>
                                <w:szCs w:val="22"/>
                              </w:rPr>
                              <w:t>56 Résolutions modifiées</w:t>
                            </w:r>
                          </w:p>
                          <w:p w14:paraId="062D4B49" w14:textId="77777777" w:rsidR="00822829" w:rsidRPr="001561E6" w:rsidRDefault="00822829" w:rsidP="00822829">
                            <w:pPr>
                              <w:pStyle w:val="Figurelegend"/>
                              <w:spacing w:before="40"/>
                              <w:rPr>
                                <w:sz w:val="20"/>
                                <w:szCs w:val="22"/>
                              </w:rPr>
                            </w:pPr>
                            <w:r w:rsidRPr="001561E6">
                              <w:rPr>
                                <w:sz w:val="20"/>
                                <w:szCs w:val="22"/>
                              </w:rPr>
                              <w:t>2 Décisions modifiées</w:t>
                            </w:r>
                          </w:p>
                          <w:p w14:paraId="639F1DE2" w14:textId="77777777" w:rsidR="00822829" w:rsidRPr="001561E6" w:rsidRDefault="00822829" w:rsidP="00822829">
                            <w:pPr>
                              <w:pStyle w:val="Figurelegend"/>
                              <w:spacing w:before="40"/>
                              <w:rPr>
                                <w:sz w:val="20"/>
                                <w:szCs w:val="22"/>
                              </w:rPr>
                            </w:pPr>
                            <w:r w:rsidRPr="001561E6">
                              <w:rPr>
                                <w:sz w:val="20"/>
                                <w:szCs w:val="22"/>
                              </w:rPr>
                              <w:t>6 nouvelles Résolutions</w:t>
                            </w:r>
                          </w:p>
                          <w:p w14:paraId="12CAB20A" w14:textId="6A4A47D5" w:rsidR="00822829" w:rsidRPr="00822829" w:rsidRDefault="00822829" w:rsidP="00822829">
                            <w:pPr>
                              <w:pStyle w:val="Figurelegend"/>
                              <w:spacing w:before="40"/>
                            </w:pPr>
                            <w:r w:rsidRPr="001561E6">
                              <w:rPr>
                                <w:sz w:val="20"/>
                                <w:szCs w:val="22"/>
                              </w:rPr>
                              <w:t>1 Résolution supprimée</w:t>
                            </w:r>
                          </w:p>
                        </w:txbxContent>
                      </v:textbox>
                    </v:shape>
                  </w:pict>
                </mc:Fallback>
              </mc:AlternateContent>
            </w:r>
            <w:r w:rsidRPr="00274C1D">
              <w:rPr>
                <w:noProof/>
                <w:lang w:eastAsia="fr-FR"/>
              </w:rPr>
              <w:drawing>
                <wp:inline distT="0" distB="0" distL="0" distR="0" wp14:anchorId="151E840E" wp14:editId="4EBCC50F">
                  <wp:extent cx="3219450" cy="1520819"/>
                  <wp:effectExtent l="0" t="0" r="0" b="3810"/>
                  <wp:docPr id="2" name="Picture 2"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low confidence"/>
                          <pic:cNvPicPr/>
                        </pic:nvPicPr>
                        <pic:blipFill>
                          <a:blip r:embed="rId13"/>
                          <a:stretch>
                            <a:fillRect/>
                          </a:stretch>
                        </pic:blipFill>
                        <pic:spPr>
                          <a:xfrm>
                            <a:off x="0" y="0"/>
                            <a:ext cx="3243248" cy="1532061"/>
                          </a:xfrm>
                          <a:prstGeom prst="rect">
                            <a:avLst/>
                          </a:prstGeom>
                        </pic:spPr>
                      </pic:pic>
                    </a:graphicData>
                  </a:graphic>
                </wp:inline>
              </w:drawing>
            </w:r>
          </w:p>
        </w:tc>
      </w:tr>
    </w:tbl>
    <w:p w14:paraId="2307054E" w14:textId="77777777" w:rsidR="00E95A4F" w:rsidRPr="00274C1D" w:rsidRDefault="00E95A4F" w:rsidP="00E95A4F">
      <w:r w:rsidRPr="00274C1D">
        <w:t>Un tiers (33 pour cent) des délégués à la PP-22 étaient des femmes, contre 27 pour cent à la Conférence de plénipotentiaires précédente de l'UIT, tenue à Dubaï en 2018.</w:t>
      </w:r>
    </w:p>
    <w:p w14:paraId="5F634BD0" w14:textId="77777777" w:rsidR="00E95A4F" w:rsidRPr="00274C1D" w:rsidRDefault="00E95A4F" w:rsidP="00E95A4F">
      <w:pPr>
        <w:pStyle w:val="Headingb"/>
      </w:pPr>
      <w:r w:rsidRPr="00274C1D">
        <w:t>Décisions clés</w:t>
      </w:r>
    </w:p>
    <w:p w14:paraId="7F605987" w14:textId="77777777" w:rsidR="00E95A4F" w:rsidRPr="00274C1D" w:rsidRDefault="00E95A4F" w:rsidP="00E95A4F">
      <w:pPr>
        <w:pStyle w:val="Headingb"/>
      </w:pPr>
      <w:r w:rsidRPr="00274C1D">
        <w:t>Élections à l'UIT:</w:t>
      </w:r>
    </w:p>
    <w:p w14:paraId="2E57909F" w14:textId="4EDFD2AD" w:rsidR="00E95A4F" w:rsidRPr="00274C1D" w:rsidRDefault="00E95A4F" w:rsidP="00E95A4F">
      <w:r w:rsidRPr="00274C1D">
        <w:t>La PP-22 a servi de cadre pour les élections aux postes de direction de l'organisation, à savoir les postes de Secrétaire général, de Vice-Secrétaire général et de Directeurs du Bureau des radiocommunications, du Bureau de la normalisation des télécommunications et du Bureau de développement des télécommunications, ainsi que les élections des 12 membres du Comité du Règlement des radiocommunications et des 48 États Membres du Conseil de l'UIT (</w:t>
      </w:r>
      <w:hyperlink r:id="rId14" w:history="1">
        <w:r w:rsidRPr="00274C1D">
          <w:rPr>
            <w:rStyle w:val="Hyperlink"/>
          </w:rPr>
          <w:t>voir les résultats des élections organisées dans le cadre de la PP-22</w:t>
        </w:r>
      </w:hyperlink>
      <w:r w:rsidRPr="00274C1D">
        <w:t>).</w:t>
      </w:r>
    </w:p>
    <w:p w14:paraId="7053F1E9" w14:textId="77777777" w:rsidR="00E95A4F" w:rsidRPr="00274C1D" w:rsidRDefault="00E95A4F" w:rsidP="00CA2FCD">
      <w:pPr>
        <w:pStyle w:val="Headingb"/>
      </w:pPr>
      <w:r w:rsidRPr="00274C1D">
        <w:t>Plan stratégique et Plan financier de l'UIT pour la période 2024-2027:</w:t>
      </w:r>
    </w:p>
    <w:p w14:paraId="5F7462CA" w14:textId="18EA37CA" w:rsidR="00E95A4F" w:rsidRPr="00274C1D" w:rsidRDefault="00E95A4F" w:rsidP="00E95A4F">
      <w:r w:rsidRPr="00274C1D">
        <w:t>La Conférence tenue à Bucarest a adopté le Plan stratégique (Résolution 71) et le Plan financier (Décision 5) de l'UIT pour la période 2024-2027.</w:t>
      </w:r>
    </w:p>
    <w:p w14:paraId="20EBB5DB" w14:textId="6072D590" w:rsidR="00822829" w:rsidRPr="00274C1D" w:rsidRDefault="00E95A4F" w:rsidP="00E95A4F">
      <w:r w:rsidRPr="00274C1D">
        <w:t>La stratégie quadriennale de l'UIT met en évidence les grandes priorités des travaux dans les domaines des radiocommunications, de la normalisation et du développement, l'objectif étant de connecter le monde, de favoriser une transformation numérique inclusive à l'échelle mondiale et de contribuer à la réalisation des ODD à l'horizon 2030 adoptés par les</w:t>
      </w:r>
      <w:r w:rsidR="00CA2FCD" w:rsidRPr="00274C1D">
        <w:t> </w:t>
      </w:r>
      <w:r w:rsidRPr="00274C1D">
        <w:t>Nations Unies.</w:t>
      </w:r>
    </w:p>
    <w:p w14:paraId="6D5EFB93" w14:textId="6FE6164F" w:rsidR="00CA2FCD" w:rsidRPr="00274C1D" w:rsidRDefault="00CA2FCD" w:rsidP="00CA2FCD">
      <w:pPr>
        <w:pStyle w:val="Figure"/>
      </w:pPr>
      <w:r w:rsidRPr="00274C1D">
        <w:rPr>
          <w:noProof/>
        </w:rPr>
        <w:lastRenderedPageBreak/>
        <w:drawing>
          <wp:inline distT="0" distB="0" distL="0" distR="0" wp14:anchorId="68F2C1B8" wp14:editId="43FE94C6">
            <wp:extent cx="5731510" cy="3248660"/>
            <wp:effectExtent l="0" t="0" r="2540" b="8890"/>
            <wp:docPr id="25" name="Picture 25" descr="A picture containing text, screenshot, web page, soft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web page, software&#10;&#10;Description automatically generated"/>
                    <pic:cNvPicPr/>
                  </pic:nvPicPr>
                  <pic:blipFill>
                    <a:blip r:embed="rId15"/>
                    <a:stretch>
                      <a:fillRect/>
                    </a:stretch>
                  </pic:blipFill>
                  <pic:spPr>
                    <a:xfrm>
                      <a:off x="0" y="0"/>
                      <a:ext cx="5731510" cy="3248660"/>
                    </a:xfrm>
                    <a:prstGeom prst="rect">
                      <a:avLst/>
                    </a:prstGeom>
                  </pic:spPr>
                </pic:pic>
              </a:graphicData>
            </a:graphic>
          </wp:inline>
        </w:drawing>
      </w:r>
    </w:p>
    <w:p w14:paraId="47D56233" w14:textId="77777777" w:rsidR="00CA2FCD" w:rsidRPr="00274C1D" w:rsidRDefault="00CA2FCD" w:rsidP="00CA2FCD">
      <w:r w:rsidRPr="00274C1D">
        <w:t>Pour obtenir de plus amples informations sur la PP-22, voir les liens suivants:</w:t>
      </w:r>
    </w:p>
    <w:p w14:paraId="60250E2D" w14:textId="79323D7E" w:rsidR="00CA2FCD" w:rsidRPr="00274C1D" w:rsidRDefault="00CA2FCD" w:rsidP="00CA2FCD">
      <w:pPr>
        <w:pStyle w:val="enumlev1"/>
      </w:pPr>
      <w:r w:rsidRPr="00274C1D">
        <w:t>•</w:t>
      </w:r>
      <w:r w:rsidRPr="00274C1D">
        <w:tab/>
      </w:r>
      <w:hyperlink r:id="rId16" w:anchor="/fr" w:history="1">
        <w:r w:rsidRPr="00274C1D">
          <w:rPr>
            <w:rStyle w:val="Hyperlink"/>
            <w:i/>
          </w:rPr>
          <w:t>Nouvelles de l'UIT</w:t>
        </w:r>
        <w:r w:rsidRPr="00274C1D">
          <w:rPr>
            <w:rStyle w:val="Hyperlink"/>
          </w:rPr>
          <w:t>, "Connecter et unir: Résultats de la Conférence de plénipotentiaires de l'UIT"</w:t>
        </w:r>
      </w:hyperlink>
    </w:p>
    <w:p w14:paraId="089DB16A" w14:textId="5218AE41" w:rsidR="00CA2FCD" w:rsidRPr="00274C1D" w:rsidRDefault="00CA2FCD" w:rsidP="00CA2FCD">
      <w:pPr>
        <w:pStyle w:val="enumlev1"/>
      </w:pPr>
      <w:r w:rsidRPr="00274C1D">
        <w:t>•</w:t>
      </w:r>
      <w:r w:rsidRPr="00274C1D">
        <w:tab/>
      </w:r>
      <w:hyperlink r:id="rId17" w:history="1">
        <w:r w:rsidRPr="00274C1D">
          <w:rPr>
            <w:rStyle w:val="Hyperlink"/>
          </w:rPr>
          <w:t>Communiqué de presse de clôture de l'édition 2022</w:t>
        </w:r>
      </w:hyperlink>
    </w:p>
    <w:p w14:paraId="24ABD38D" w14:textId="12187F6C" w:rsidR="00CA2FCD" w:rsidRPr="00274C1D" w:rsidRDefault="00CA2FCD" w:rsidP="00CA2FCD">
      <w:pPr>
        <w:pStyle w:val="enumlev1"/>
      </w:pPr>
      <w:r w:rsidRPr="00274C1D">
        <w:t>•</w:t>
      </w:r>
      <w:r w:rsidRPr="00274C1D">
        <w:tab/>
      </w:r>
      <w:hyperlink r:id="rId18" w:anchor="/fr" w:history="1">
        <w:r w:rsidRPr="00274C1D">
          <w:rPr>
            <w:rStyle w:val="Hyperlink"/>
          </w:rPr>
          <w:t>Temps forts quotidiens</w:t>
        </w:r>
      </w:hyperlink>
    </w:p>
    <w:p w14:paraId="6EDF89DB" w14:textId="1144D8D6" w:rsidR="00CA2FCD" w:rsidRPr="00274C1D" w:rsidRDefault="00CA2FCD" w:rsidP="00CA2FCD">
      <w:pPr>
        <w:pStyle w:val="enumlev1"/>
      </w:pPr>
      <w:r w:rsidRPr="00274C1D">
        <w:t>•</w:t>
      </w:r>
      <w:r w:rsidRPr="00274C1D">
        <w:tab/>
      </w:r>
      <w:hyperlink r:id="rId19" w:history="1">
        <w:r w:rsidRPr="00274C1D">
          <w:rPr>
            <w:rStyle w:val="Hyperlink"/>
          </w:rPr>
          <w:t>Actes finals</w:t>
        </w:r>
      </w:hyperlink>
    </w:p>
    <w:p w14:paraId="10B89B43" w14:textId="77777777" w:rsidR="00CA2FCD" w:rsidRPr="00274C1D" w:rsidRDefault="00CA2FCD" w:rsidP="00CA2FCD">
      <w:pPr>
        <w:pStyle w:val="Heading1"/>
      </w:pPr>
      <w:bookmarkStart w:id="2" w:name="_Toc133303261"/>
      <w:bookmarkStart w:id="3" w:name="_Toc138838632"/>
      <w:r w:rsidRPr="00274C1D">
        <w:t>3</w:t>
      </w:r>
      <w:r w:rsidRPr="00274C1D">
        <w:tab/>
        <w:t>Incidences à long terme des travaux de l'UIT – progrès accomplis en vue d'atteindre les objectifs du programme Connect 2030</w:t>
      </w:r>
      <w:bookmarkEnd w:id="2"/>
      <w:bookmarkEnd w:id="3"/>
    </w:p>
    <w:p w14:paraId="152900D4" w14:textId="6F23BD7C" w:rsidR="00CA2FCD" w:rsidRPr="00274C1D" w:rsidRDefault="00CA2FCD" w:rsidP="00CA2FCD">
      <w:r w:rsidRPr="00274C1D">
        <w:t>La présente section récapitule les principaux résultats obtenus et les progrès accomplis en vue d'atteindre les buts et cibles, définis dans le Plan stratégique de l'Union pour la période 2020-2023, que les États Membres se sont engagés à atteindre d'ici 2023 conformément à la Résolution 200 (Rév. Bucarest, 2022) de la Conférence de plénipotentiaires et au programme Connect 2030. Le Tableau 1 ci-après récapitule l'état d'avancement (fin 2022) des cibles à l'horizon 2023. Tous les diagrammes pertinents figurent sur les tableaux de bord</w:t>
      </w:r>
      <w:r w:rsidRPr="00274C1D" w:rsidDel="00083B49">
        <w:t xml:space="preserve"> </w:t>
      </w:r>
      <w:hyperlink r:id="rId20" w:history="1">
        <w:r w:rsidRPr="00164ED3">
          <w:rPr>
            <w:rStyle w:val="Hyperlink"/>
          </w:rPr>
          <w:t>ici</w:t>
        </w:r>
      </w:hyperlink>
      <w:r w:rsidRPr="00274C1D">
        <w:t>.</w:t>
      </w:r>
    </w:p>
    <w:p w14:paraId="6111944A" w14:textId="77777777" w:rsidR="00CA2FCD" w:rsidRPr="00274C1D" w:rsidRDefault="00CA2FCD" w:rsidP="00CA2FCD">
      <w:pPr>
        <w:pStyle w:val="Headingb"/>
      </w:pPr>
      <w:r w:rsidRPr="00274C1D">
        <w:t>Croissance (accès abordable à Internet)</w:t>
      </w:r>
    </w:p>
    <w:p w14:paraId="7A72BB76" w14:textId="77777777" w:rsidR="00CA2FCD" w:rsidRPr="00274C1D" w:rsidRDefault="00CA2FCD" w:rsidP="00CA2FCD">
      <w:r w:rsidRPr="00274C1D">
        <w:t xml:space="preserve">Les </w:t>
      </w:r>
      <w:bookmarkStart w:id="4" w:name="OLE_LINK1"/>
      <w:r w:rsidRPr="00274C1D">
        <w:fldChar w:fldCharType="begin"/>
      </w:r>
      <w:r w:rsidRPr="00274C1D">
        <w:instrText xml:space="preserve"> HYPERLINK "https://www.itu.int/itu-d/reports/statistics/facts-figures-for-ldc/" </w:instrText>
      </w:r>
      <w:r w:rsidRPr="00274C1D">
        <w:fldChar w:fldCharType="separate"/>
      </w:r>
      <w:r w:rsidRPr="00274C1D">
        <w:rPr>
          <w:rStyle w:val="Hyperlink"/>
        </w:rPr>
        <w:t>dernières données de l'UIT</w:t>
      </w:r>
      <w:r w:rsidRPr="00274C1D">
        <w:fldChar w:fldCharType="end"/>
      </w:r>
      <w:r w:rsidRPr="00274C1D">
        <w:t xml:space="preserve"> </w:t>
      </w:r>
      <w:bookmarkEnd w:id="4"/>
      <w:r w:rsidRPr="00274C1D">
        <w:t>montrent que les progrès accomplis en vue d'atteindre les cibles stratégiques à l'horizon 2023 visant à assurer la connectivité (y compris le large bande) à l'échelle mondiale (ménages et population) sont bien engagés. Les progrès réalisés pour rendre la connectivité globalement plus abordable devraient également permettre d'atteindre la cible d'ici à 2023.</w:t>
      </w:r>
    </w:p>
    <w:p w14:paraId="1E8EA33E" w14:textId="1B381A62" w:rsidR="00CA2FCD" w:rsidRPr="00274C1D" w:rsidRDefault="00CA2FCD" w:rsidP="00CA2FCD">
      <w:r w:rsidRPr="00274C1D">
        <w:t xml:space="preserve">Le nombre de pays ayant à présent adopté un plan pour le large bande ou un programme/une stratégie en matière de numérique est également en bonne voie. Les données montrent que ce nombre est proche de 160. Bien que la cible indique "tous" les </w:t>
      </w:r>
      <w:r w:rsidRPr="00274C1D">
        <w:lastRenderedPageBreak/>
        <w:t>pays (c'est-à-dire 193), le fait d'atteindre au moins 90</w:t>
      </w:r>
      <w:r w:rsidR="00042CDE" w:rsidRPr="00274C1D">
        <w:t>%</w:t>
      </w:r>
      <w:r w:rsidRPr="00274C1D">
        <w:t xml:space="preserve"> de l'ensemble des pays (c'est</w:t>
      </w:r>
      <w:r w:rsidR="00300629" w:rsidRPr="00274C1D">
        <w:noBreakHyphen/>
      </w:r>
      <w:r w:rsidRPr="00274C1D">
        <w:t>à</w:t>
      </w:r>
      <w:r w:rsidR="00300629" w:rsidRPr="00274C1D">
        <w:noBreakHyphen/>
      </w:r>
      <w:r w:rsidRPr="00274C1D">
        <w:t>dire</w:t>
      </w:r>
      <w:r w:rsidR="00300629" w:rsidRPr="00274C1D">
        <w:t> </w:t>
      </w:r>
      <w:r w:rsidRPr="00274C1D">
        <w:t xml:space="preserve">170) est la cible qui sera le plus probablement atteinte dans la pratique. Il est intéressant de noter que, comme le montre le tableau de bord disponible </w:t>
      </w:r>
      <w:hyperlink r:id="rId21" w:history="1">
        <w:r w:rsidRPr="009453FA">
          <w:rPr>
            <w:rStyle w:val="Hyperlink"/>
          </w:rPr>
          <w:t>ici</w:t>
        </w:r>
      </w:hyperlink>
      <w:r w:rsidRPr="00274C1D">
        <w:t>, le nombre total de pays est passé à 169 en 2020 et a été ramené à 155 en 2022. Cette baisse s'explique par le fait que la plupart des pays du monde ont adopté des plans pour le large bande ou des programmes en matière de numérique dans les années qui ont suivi la crise financière de 2008, jusqu'en 2015 environ. Bon nombre d'entre eux étaient assortis de délais et couvraient une période comprise entre 5 et 10 ans. La plupart ont été remplacés, mais pas tous car, dès leur expiration, ils ne sont pas officiellement comptés.</w:t>
      </w:r>
    </w:p>
    <w:p w14:paraId="61194149" w14:textId="503034EE" w:rsidR="00CA2FCD" w:rsidRPr="00274C1D" w:rsidRDefault="00CA2FCD" w:rsidP="00CA2FCD">
      <w:r w:rsidRPr="00274C1D">
        <w:t>On ne dispose pas encore de données complètes concernant les interactions avec les services publics en ligne. En 2020, seuls 38 pays avaient fourni des données à ce sujet.</w:t>
      </w:r>
    </w:p>
    <w:p w14:paraId="20EA7D77" w14:textId="77777777" w:rsidR="00CA2FCD" w:rsidRPr="00274C1D" w:rsidRDefault="00CA2FCD" w:rsidP="00CA2FCD">
      <w:pPr>
        <w:pStyle w:val="Headingb"/>
      </w:pPr>
      <w:r w:rsidRPr="00274C1D">
        <w:t>Inclusion (réduire les disparités)</w:t>
      </w:r>
    </w:p>
    <w:p w14:paraId="5EDBFFF1" w14:textId="77AE2438" w:rsidR="00CA2FCD" w:rsidRPr="00274C1D" w:rsidRDefault="00CA2FCD" w:rsidP="00CA2FCD">
      <w:r w:rsidRPr="00274C1D">
        <w:rPr>
          <w:u w:val="single"/>
        </w:rPr>
        <w:t>Égalité hommes-femmes</w:t>
      </w:r>
      <w:r w:rsidRPr="00274C1D">
        <w:t>: comme indiqué dans la section 4.6 ci-après, l'</w:t>
      </w:r>
      <w:hyperlink r:id="rId22" w:history="1">
        <w:r w:rsidRPr="00274C1D">
          <w:rPr>
            <w:rStyle w:val="Hyperlink"/>
          </w:rPr>
          <w:t>écart entre les hommes et les femmes pour ce qui est de l'utilisation de l'Internet se traduit par une hausse</w:t>
        </w:r>
      </w:hyperlink>
      <w:r w:rsidRPr="00274C1D">
        <w:t xml:space="preserve"> de 20 millions de personnes, comptant qu'il y a 259 millions d'hommes de plus que de femmes qui utilisaient l'Internet en 2022. Aujourd'hui, on dénombre plus de femmes qui n'utilisent pas l'Internet que d'hommes, à hauteur de 18 pour cent, dont la proportion était de 11 pour cent en 2019. Les femmes sont environ 12 pour cent moins susceptibles que les hommes de posséder un téléphone mobile, nombre qui n'a pratiquement pas changé depuis 2019. Parmi les personnes qui ne possèdent pas de téléphone mobile, on comptait 39</w:t>
      </w:r>
      <w:r w:rsidR="00300629" w:rsidRPr="00274C1D">
        <w:t> </w:t>
      </w:r>
      <w:r w:rsidRPr="00274C1D">
        <w:t>pour cent plus de femmes que d'hommes en 2022.</w:t>
      </w:r>
    </w:p>
    <w:p w14:paraId="38F6A5DB" w14:textId="77777777" w:rsidR="00CA2FCD" w:rsidRPr="00274C1D" w:rsidRDefault="00CA2FCD" w:rsidP="00CA2FCD">
      <w:r w:rsidRPr="00274C1D">
        <w:t>Les régions où l'utilisation de l'Internet est la plus élevée ont également les notes les plus hautes en termes de parité entre les sexes. Les pays les moins avancés (PMA) et les pays en développement sans littoral (PDSL) affichent toutefois une tendance à peu utiliser l'Internet et une note de parité entre les sexes basse, très peu de progrès ayant été accomplis en matière de parité entre les sexes au cours des trois dernières années.</w:t>
      </w:r>
    </w:p>
    <w:p w14:paraId="69458C36" w14:textId="02156198" w:rsidR="00CA2FCD" w:rsidRPr="00274C1D" w:rsidRDefault="00CA2FCD" w:rsidP="00CA2FCD">
      <w:r w:rsidRPr="00274C1D">
        <w:t>Les cibles pour les PMA, en ce qui concerne l'</w:t>
      </w:r>
      <w:r w:rsidRPr="00274C1D">
        <w:rPr>
          <w:u w:val="single"/>
        </w:rPr>
        <w:t>accessibilité économique et la pénétration dans les ménages</w:t>
      </w:r>
      <w:r w:rsidRPr="00274C1D">
        <w:t xml:space="preserve"> ne sont </w:t>
      </w:r>
      <w:r w:rsidRPr="00274C1D">
        <w:rPr>
          <w:u w:val="single"/>
        </w:rPr>
        <w:t>pas en voie</w:t>
      </w:r>
      <w:r w:rsidRPr="00274C1D">
        <w:t xml:space="preserve"> d'être atteintes d'ici la fin de l'année 2023 (voir le tableau de bord disponible</w:t>
      </w:r>
      <w:r w:rsidRPr="00274C1D" w:rsidDel="00083B49">
        <w:t xml:space="preserve"> </w:t>
      </w:r>
      <w:hyperlink r:id="rId23" w:history="1">
        <w:r w:rsidRPr="009453FA">
          <w:rPr>
            <w:rStyle w:val="Hyperlink"/>
          </w:rPr>
          <w:t>ici</w:t>
        </w:r>
      </w:hyperlink>
      <w:r w:rsidRPr="00274C1D">
        <w:t>). Toutefois, la cible à l'horizon 2023 pour la population utilisant l'Internet dans les PMA avait déjà été atteinte en 2022, passant de 20,3 pour cent en 2018 à 36,1 pour cent en 2022, dépassant la cible de 30 pour cent pour 2023.</w:t>
      </w:r>
    </w:p>
    <w:p w14:paraId="2C20E2AA" w14:textId="77777777" w:rsidR="00CA2FCD" w:rsidRPr="00274C1D" w:rsidRDefault="00CA2FCD" w:rsidP="00CA2FCD">
      <w:r w:rsidRPr="00274C1D">
        <w:t xml:space="preserve">Les </w:t>
      </w:r>
      <w:r w:rsidRPr="00274C1D">
        <w:rPr>
          <w:u w:val="single"/>
        </w:rPr>
        <w:t>cibles relatives à l'accessibilité pour les personnes handicapées</w:t>
      </w:r>
      <w:r w:rsidRPr="00274C1D">
        <w:t xml:space="preserve"> montrent une augmentation de près de 50 pour cent en quatre ans (de 61 à 90) du nombre de pays ayant établi un cadre réglementaire pour garantir l'accessibilité des TIC aux personnes handicapées. Toutefois, les chiffres restent loin de la cible pour 2023 ("tous les pays").</w:t>
      </w:r>
    </w:p>
    <w:p w14:paraId="04A44E95" w14:textId="77777777" w:rsidR="00CA2FCD" w:rsidRPr="00274C1D" w:rsidRDefault="00CA2FCD" w:rsidP="00CA2FCD">
      <w:r w:rsidRPr="00274C1D">
        <w:rPr>
          <w:u w:val="single"/>
        </w:rPr>
        <w:t>Accès à l'Internet en zones urbaines/rurales</w:t>
      </w:r>
      <w:r w:rsidRPr="00274C1D">
        <w:t>: à l'échelle mondiale, 82 pour cent des citadins (51,7 pour cent dans les PMA) ont utilisé l'Internet en 2022, soit 1,8 fois plus que le pourcentage d'utilisateurs de l'Internet dans les zones rurales (1,9 fois plus dans les PMA).</w:t>
      </w:r>
    </w:p>
    <w:p w14:paraId="2E674DCC" w14:textId="1602DC26" w:rsidR="00CA2FCD" w:rsidRPr="00274C1D" w:rsidRDefault="00CA2FCD" w:rsidP="00CA2FCD">
      <w:r w:rsidRPr="00274C1D">
        <w:t xml:space="preserve">On ne dispose pas encore de données suffisantes pour évaluer les progrès accomplis en ce qui concerne la </w:t>
      </w:r>
      <w:r w:rsidRPr="00274C1D">
        <w:rPr>
          <w:u w:val="single"/>
        </w:rPr>
        <w:t>proportion de jeunes/adultes possédant des compétences en matière de télécommunications/TIC</w:t>
      </w:r>
      <w:r w:rsidRPr="00274C1D">
        <w:t>. En ce qui concerne la pénétration de l'Internet dans le monde, 74,8 pour cent des jeunes (15-24 ans) utilisent l'Internet, contre 64,8 pour cent pour le reste de la population. Dans le cas des PMA, ces chiffres sont respectivement de 47,5 et de 33,3 pour cent.</w:t>
      </w:r>
    </w:p>
    <w:p w14:paraId="4C205045" w14:textId="77777777" w:rsidR="00CA2FCD" w:rsidRPr="00274C1D" w:rsidRDefault="00CA2FCD" w:rsidP="00CA2FCD">
      <w:pPr>
        <w:pStyle w:val="Headingb"/>
      </w:pPr>
      <w:r w:rsidRPr="00274C1D">
        <w:lastRenderedPageBreak/>
        <w:t>Durabilité</w:t>
      </w:r>
    </w:p>
    <w:p w14:paraId="0EB433A5" w14:textId="2EB77053" w:rsidR="00CA2FCD" w:rsidRPr="00274C1D" w:rsidRDefault="00CA2FCD" w:rsidP="00CA2FCD">
      <w:r w:rsidRPr="00274C1D">
        <w:t xml:space="preserve">Davantage de données sont nécessaires pour évaluer pleinement l'incidence des travaux de l'UIT dans le domaine de l'environnement. Par exemple, le taux de </w:t>
      </w:r>
      <w:r w:rsidRPr="00274C1D">
        <w:rPr>
          <w:u w:val="single"/>
        </w:rPr>
        <w:t>recyclage des déchets d'équipements électriques et électroniques dans le monde</w:t>
      </w:r>
      <w:r w:rsidRPr="00274C1D">
        <w:t xml:space="preserve"> a été évalué à 20 pour cent en 2017 et à environ 17 pour cent en 2019, avant la crise liée au COVID-19. D'autres données ne sont pas encore disponibles. Ces valeurs proviennent du rapport intitulé "</w:t>
      </w:r>
      <w:hyperlink r:id="rId24" w:history="1">
        <w:r w:rsidRPr="00274C1D">
          <w:rPr>
            <w:rStyle w:val="Hyperlink"/>
          </w:rPr>
          <w:t>Global E-Waste Monitor</w:t>
        </w:r>
      </w:hyperlink>
      <w:r w:rsidRPr="00274C1D">
        <w:t>", qui sera mis à jour d'ici à la fin de 2023. On peut néanmoins considérer que les progrès accomplis en matière de déchets d'équipements électriques et électroniques ne seront sans doute pas suffisants pour atteindre la cible à l'horizon 2023 (la valeur cible étant d'au moins 30 pour cent). En revanche, la cible consistant à ce que 50 pour cent des pays (plus de 85) disposent d'une politique, d'une législation ou d'une réglementation en matière de déchets d'équipements électriques et électroniques d'ici à 2023 est atteinte puisque le nombre de pays est passé de 48 en 2016 à environ 90 en 2020.</w:t>
      </w:r>
    </w:p>
    <w:p w14:paraId="322E0CD8" w14:textId="55E67638" w:rsidR="00CA2FCD" w:rsidRPr="00274C1D" w:rsidRDefault="00CA2FCD" w:rsidP="00CA2FCD">
      <w:r w:rsidRPr="00274C1D">
        <w:t xml:space="preserve">En ce qui concerne </w:t>
      </w:r>
      <w:r w:rsidRPr="00274C1D">
        <w:rPr>
          <w:u w:val="single"/>
        </w:rPr>
        <w:t>l'incidence des TIC sur le changement climatique</w:t>
      </w:r>
      <w:r w:rsidRPr="00274C1D">
        <w:t xml:space="preserve">, la cible actuelle est axée sur la contribution des TIC à la réduction de l'empreinte écologique d'autres secteurs (part nette de la réduction des émissions de gaz à effet de serre grâce aux télécommunications/TIC). L'UIT a élaboré un ensemble de recommandations visant à en mesurer l'incidence (voir les travaux menés par la </w:t>
      </w:r>
      <w:hyperlink r:id="rId25" w:history="1">
        <w:r w:rsidRPr="00274C1D">
          <w:rPr>
            <w:rStyle w:val="Hyperlink"/>
          </w:rPr>
          <w:t>CE 5/9 de l'UIT-T</w:t>
        </w:r>
      </w:hyperlink>
      <w:r w:rsidRPr="00274C1D">
        <w:t>), mais ces méthodes n'ont pas encore été utilisées pour recueillir des données.</w:t>
      </w:r>
    </w:p>
    <w:p w14:paraId="2BAF9462" w14:textId="3A4D3738" w:rsidR="00CA2FCD" w:rsidRPr="00274C1D" w:rsidRDefault="00CA2FCD" w:rsidP="00CA2FCD">
      <w:r w:rsidRPr="00274C1D">
        <w:t xml:space="preserve">Une autre variable pertinente pour laquelle aucune cible n'a été définie à l'horizon 2023 est celle de </w:t>
      </w:r>
      <w:r w:rsidRPr="00274C1D">
        <w:rPr>
          <w:u w:val="single"/>
        </w:rPr>
        <w:t>l'empreinte environnementale globale des TIC</w:t>
      </w:r>
      <w:r w:rsidRPr="00274C1D">
        <w:t xml:space="preserve">. La </w:t>
      </w:r>
      <w:hyperlink r:id="rId26">
        <w:r w:rsidRPr="00274C1D">
          <w:rPr>
            <w:rStyle w:val="Hyperlink"/>
          </w:rPr>
          <w:t>GeSi</w:t>
        </w:r>
      </w:hyperlink>
      <w:r w:rsidRPr="00274C1D">
        <w:t xml:space="preserve"> a établi, autour de 2015, une ligne de base pour mesurer le total des émissions de gaz à effet de serre produites par le secteur des TIC à </w:t>
      </w:r>
      <w:r w:rsidRPr="00274C1D">
        <w:rPr>
          <w:b/>
          <w:bCs/>
          <w:u w:val="single"/>
        </w:rPr>
        <w:t>610 MtCO</w:t>
      </w:r>
      <w:r w:rsidRPr="00274C1D">
        <w:rPr>
          <w:b/>
          <w:bCs/>
          <w:u w:val="single"/>
          <w:vertAlign w:val="subscript"/>
        </w:rPr>
        <w:t>2</w:t>
      </w:r>
      <w:r w:rsidRPr="00274C1D">
        <w:rPr>
          <w:b/>
          <w:bCs/>
          <w:u w:val="single"/>
        </w:rPr>
        <w:t>e/an</w:t>
      </w:r>
      <w:r w:rsidRPr="00274C1D">
        <w:t>, en appliquant les méthodes décrites dans le document susmentionné. Aucune autre mesure n'a été effectuée après cette date. En sa qualité d'intermédiaire, l'UIT suit et contrôle les émissions, la consommation d'énergie et les engagements climatiques des 150 plus grandes entreprises technologiques (soit environ 75 pour cent de l'ensemble du secteur des technologies) moyennant le rapport annuel d'évaluation du secteur, intitulé "</w:t>
      </w:r>
      <w:hyperlink r:id="rId27">
        <w:r w:rsidRPr="00274C1D">
          <w:rPr>
            <w:rStyle w:val="Hyperlink"/>
          </w:rPr>
          <w:t>Greening Digital Companies</w:t>
        </w:r>
      </w:hyperlink>
      <w:r w:rsidRPr="00274C1D">
        <w:t xml:space="preserve">". Les données et informations concernant leurs engagements sont collectées directement auprès de ces entreprises. Voir également les principaux </w:t>
      </w:r>
      <w:hyperlink r:id="rId28">
        <w:r w:rsidRPr="00274C1D">
          <w:rPr>
            <w:rStyle w:val="Hyperlink"/>
          </w:rPr>
          <w:t>résultats obtenus</w:t>
        </w:r>
      </w:hyperlink>
      <w:r w:rsidRPr="00274C1D">
        <w:t xml:space="preserve"> présentés du présent rapport. Le rapport de 2023 devrait être publié en juillet.</w:t>
      </w:r>
    </w:p>
    <w:p w14:paraId="09DC4C3F" w14:textId="6E90D91E" w:rsidR="00CA2FCD" w:rsidRPr="00274C1D" w:rsidRDefault="00CA2FCD" w:rsidP="00CA2FCD">
      <w:r w:rsidRPr="00274C1D">
        <w:t xml:space="preserve">En ce qui concerne la cible en matière de </w:t>
      </w:r>
      <w:r w:rsidRPr="00274C1D">
        <w:rPr>
          <w:u w:val="single"/>
        </w:rPr>
        <w:t>cybersécurité</w:t>
      </w:r>
      <w:r w:rsidRPr="00274C1D">
        <w:t xml:space="preserve"> ("L'état de préparation des pays en matière de cybersécurité, avec des capacités essentielles (existence d'une stratégie, d'équipes nationales d'intervention en cas d'incident/d'urgence informatique et d'une législation) sera renforcé"), le pourcentage de pays qui ont mis en place une équipe CIRT/CERT a augmenté d'environ 55 pour cent en 2018 à 65 pour cent en 2022.</w:t>
      </w:r>
    </w:p>
    <w:p w14:paraId="6365BBCA" w14:textId="77777777" w:rsidR="00CA2FCD" w:rsidRPr="00274C1D" w:rsidRDefault="00CA2FCD" w:rsidP="00CA2FCD">
      <w:r w:rsidRPr="00274C1D">
        <w:t xml:space="preserve">Concernant le nombre de pays dotés d'un Plan national pour les télécommunications d'urgence dans le cadre de leurs </w:t>
      </w:r>
      <w:r w:rsidRPr="00274C1D">
        <w:rPr>
          <w:u w:val="single"/>
        </w:rPr>
        <w:t>stratégies nationales et locales de réduction des risques de catastrophe</w:t>
      </w:r>
      <w:r w:rsidRPr="00274C1D">
        <w:t>, des données seront disponibles prochainement. Toutefois, il ressort des données de référence disponibles (2020) que 25 pays seulement ont indiqué avoir mis en place un tel plan annuel, ce qui laisse penser que cette cible ("Tous les pays devraient avoir un plan national pour les télécommunications d'urgence dans le cadre de leurs stratégies nationales et locales de réduction des risques de catastrophe") pourrait ne pas être atteinte.</w:t>
      </w:r>
    </w:p>
    <w:p w14:paraId="50E22958" w14:textId="77777777" w:rsidR="00CA2FCD" w:rsidRPr="00274C1D" w:rsidRDefault="00CA2FCD" w:rsidP="00CA2FCD">
      <w:pPr>
        <w:pStyle w:val="Headingb"/>
      </w:pPr>
      <w:r w:rsidRPr="00274C1D">
        <w:lastRenderedPageBreak/>
        <w:t>Innovation</w:t>
      </w:r>
    </w:p>
    <w:p w14:paraId="0F590391" w14:textId="27DCB80D" w:rsidR="00CA2FCD" w:rsidRPr="00274C1D" w:rsidRDefault="00CA2FCD" w:rsidP="00CA2FCD">
      <w:r w:rsidRPr="00274C1D">
        <w:t>La cible pour 2023 visant à évaluer les progrès accomplis dans la réalisation de cet objectif est la suivante: "Tous les pays devraient être dotés de politiques/stratégies encourageant l'innovation centrée sur les télécommunications/TIC". Les données collectées font référence au "nombre de pays qui ont mis en place des politiques/stratégies visant à promouvoir l'innovation", et non spécifiquement sur l'innovation "centrée sur les télécommunications/TIC". Ce faisant, le nombre de pays est passé de 66 en 2016 à 93 en 2022, ce qui laisse encore une marge conséquente avant que la cible ne concerne "tous" les pays.</w:t>
      </w:r>
    </w:p>
    <w:p w14:paraId="64EA890C" w14:textId="77777777" w:rsidR="00CA2FCD" w:rsidRPr="00274C1D" w:rsidRDefault="00CA2FCD" w:rsidP="00CA2FCD">
      <w:pPr>
        <w:pStyle w:val="Headingb"/>
      </w:pPr>
      <w:r w:rsidRPr="00274C1D">
        <w:t>Partenariats</w:t>
      </w:r>
    </w:p>
    <w:p w14:paraId="1498741E" w14:textId="572C7ABB" w:rsidR="00CA2FCD" w:rsidRPr="00274C1D" w:rsidRDefault="00CA2FCD" w:rsidP="00CA2FCD">
      <w:r w:rsidRPr="00274C1D">
        <w:t>Des mesures qualitatives tirées de l'enquête annuelle de l'UIT auprès des membres ont été utilisées pour évaluer "L'efficacité des partenariats avec les parties prenantes et la coopération avec d'autres organisations et entités de l'environnement des télécommunications/TIC sera renforcée". Deux postulats ont été ajoutés depuis 2019: 1) "Votre organisation collabore davantage avec d'autres parties prenantes par rapport aux années précédentes" et 2) "Votre organisation tire parti de meilleures synergies en collaborant avec d'autres acteurs".</w:t>
      </w:r>
    </w:p>
    <w:p w14:paraId="37AB65CF" w14:textId="08904115" w:rsidR="00CA2FCD" w:rsidRPr="00274C1D" w:rsidRDefault="00CA2FCD" w:rsidP="00CA2FCD">
      <w:r w:rsidRPr="00274C1D">
        <w:t>Les résultats de l'enquête donnent à penser que les membres accordent une grande importance aux partenariats/collaborations, et de plus en plus depuis 2019. En effet, en 2019, 56 pour cent des participants à l'enquête étaient d'accord ou entièrement d'accord avec le premier postulat (tandis que 4 pour cent seulement n'étaient pas d'accord) et en 2022, ces pourcentages sont passés respectivement à 60 pour cent et 1 pour cent. Cette cible est donc en passe d'être atteinte d'ici à 2023. Concernant le deuxième postulat, les chiffres s'élevaient à 70 pour cent et à 2 pour cent en 2019, et à 72 pour cent et à 1 pour cent en 2022.</w:t>
      </w:r>
    </w:p>
    <w:p w14:paraId="456D97E8" w14:textId="56389D4C" w:rsidR="00CA2FCD" w:rsidRPr="00274C1D" w:rsidRDefault="00CA2FCD" w:rsidP="00CA2FCD">
      <w:pPr>
        <w:pStyle w:val="Tabletitle"/>
        <w:spacing w:before="240"/>
      </w:pPr>
      <w:r w:rsidRPr="00274C1D">
        <w:t>Tableau 1 – Progrès accomplis par l'UIT dans la mise en œuvre des cibles stratégiques</w:t>
      </w:r>
    </w:p>
    <w:tbl>
      <w:tblPr>
        <w:tblStyle w:val="ListTable3-Accent11"/>
        <w:tblW w:w="10207" w:type="dxa"/>
        <w:tblInd w:w="-431" w:type="dxa"/>
        <w:tblLayout w:type="fixed"/>
        <w:tblLook w:val="0420" w:firstRow="1" w:lastRow="0" w:firstColumn="0" w:lastColumn="0" w:noHBand="0" w:noVBand="1"/>
      </w:tblPr>
      <w:tblGrid>
        <w:gridCol w:w="1135"/>
        <w:gridCol w:w="6662"/>
        <w:gridCol w:w="1134"/>
        <w:gridCol w:w="1276"/>
      </w:tblGrid>
      <w:tr w:rsidR="00CA2FCD" w:rsidRPr="00274C1D" w14:paraId="75974098" w14:textId="77777777" w:rsidTr="00721255">
        <w:trPr>
          <w:cnfStyle w:val="100000000000" w:firstRow="1" w:lastRow="0" w:firstColumn="0" w:lastColumn="0" w:oddVBand="0" w:evenVBand="0" w:oddHBand="0" w:evenHBand="0" w:firstRowFirstColumn="0" w:firstRowLastColumn="0" w:lastRowFirstColumn="0" w:lastRowLastColumn="0"/>
          <w:trHeight w:val="20"/>
          <w:tblHeader/>
        </w:trPr>
        <w:tc>
          <w:tcPr>
            <w:tcW w:w="1135" w:type="dxa"/>
          </w:tcPr>
          <w:p w14:paraId="31091D03" w14:textId="6FFF3369" w:rsidR="00CA2FCD" w:rsidRPr="00274C1D" w:rsidRDefault="00CA2FCD" w:rsidP="000A07B4">
            <w:pPr>
              <w:pStyle w:val="Tablehead"/>
              <w:rPr>
                <w:b/>
                <w:sz w:val="18"/>
                <w:szCs w:val="18"/>
                <w:lang w:eastAsia="en-GB"/>
              </w:rPr>
            </w:pPr>
            <w:r w:rsidRPr="00274C1D">
              <w:rPr>
                <w:b/>
                <w:sz w:val="18"/>
                <w:szCs w:val="18"/>
                <w:lang w:eastAsia="en-GB"/>
              </w:rPr>
              <w:t>But</w:t>
            </w:r>
          </w:p>
        </w:tc>
        <w:tc>
          <w:tcPr>
            <w:tcW w:w="6662" w:type="dxa"/>
            <w:hideMark/>
          </w:tcPr>
          <w:p w14:paraId="45AACB10" w14:textId="77777777" w:rsidR="00CA2FCD" w:rsidRPr="00274C1D" w:rsidRDefault="00CA2FCD" w:rsidP="000A07B4">
            <w:pPr>
              <w:pStyle w:val="Tablehead"/>
              <w:rPr>
                <w:rFonts w:ascii="Arial" w:hAnsi="Arial" w:cs="Arial"/>
                <w:sz w:val="18"/>
                <w:szCs w:val="18"/>
                <w:lang w:eastAsia="en-GB"/>
              </w:rPr>
            </w:pPr>
            <w:r w:rsidRPr="00274C1D">
              <w:rPr>
                <w:b/>
                <w:sz w:val="18"/>
                <w:szCs w:val="18"/>
                <w:lang w:eastAsia="en-GB"/>
              </w:rPr>
              <w:t>Cible, d'ici à 2023</w:t>
            </w:r>
          </w:p>
        </w:tc>
        <w:tc>
          <w:tcPr>
            <w:tcW w:w="2410" w:type="dxa"/>
            <w:gridSpan w:val="2"/>
          </w:tcPr>
          <w:p w14:paraId="443D0FE3" w14:textId="77777777" w:rsidR="00CA2FCD" w:rsidRPr="00274C1D" w:rsidRDefault="00CA2FCD" w:rsidP="000A07B4">
            <w:pPr>
              <w:pStyle w:val="Tablehead"/>
              <w:rPr>
                <w:b/>
                <w:bCs w:val="0"/>
                <w:sz w:val="18"/>
                <w:szCs w:val="18"/>
                <w:lang w:eastAsia="en-GB"/>
              </w:rPr>
            </w:pPr>
            <w:r w:rsidRPr="00274C1D">
              <w:rPr>
                <w:b/>
                <w:bCs w:val="0"/>
                <w:sz w:val="18"/>
                <w:szCs w:val="18"/>
                <w:lang w:eastAsia="en-GB"/>
              </w:rPr>
              <w:t>Progrès</w:t>
            </w:r>
          </w:p>
        </w:tc>
      </w:tr>
      <w:tr w:rsidR="00CA2FCD" w:rsidRPr="00274C1D" w14:paraId="4B7EDFFC" w14:textId="77777777" w:rsidTr="00721255">
        <w:trPr>
          <w:cnfStyle w:val="000000100000" w:firstRow="0" w:lastRow="0" w:firstColumn="0" w:lastColumn="0" w:oddVBand="0" w:evenVBand="0" w:oddHBand="1" w:evenHBand="0" w:firstRowFirstColumn="0" w:firstRowLastColumn="0" w:lastRowFirstColumn="0" w:lastRowLastColumn="0"/>
          <w:trHeight w:val="20"/>
        </w:trPr>
        <w:tc>
          <w:tcPr>
            <w:tcW w:w="1135" w:type="dxa"/>
            <w:vMerge w:val="restart"/>
          </w:tcPr>
          <w:p w14:paraId="4695EBD9" w14:textId="77777777" w:rsidR="00CA2FCD" w:rsidRPr="00274C1D" w:rsidRDefault="00CA2FCD" w:rsidP="000A07B4">
            <w:pPr>
              <w:pStyle w:val="Tabletext"/>
              <w:jc w:val="center"/>
              <w:rPr>
                <w:sz w:val="18"/>
                <w:szCs w:val="18"/>
                <w:lang w:eastAsia="en-GB"/>
              </w:rPr>
            </w:pPr>
            <w:r w:rsidRPr="00274C1D">
              <w:rPr>
                <w:sz w:val="18"/>
                <w:szCs w:val="18"/>
                <w:lang w:eastAsia="en-GB"/>
              </w:rPr>
              <w:t>Croissance</w:t>
            </w:r>
          </w:p>
        </w:tc>
        <w:tc>
          <w:tcPr>
            <w:tcW w:w="6662" w:type="dxa"/>
            <w:hideMark/>
          </w:tcPr>
          <w:p w14:paraId="0085BB94" w14:textId="77777777" w:rsidR="00CA2FCD" w:rsidRPr="00274C1D" w:rsidRDefault="00CA2FCD" w:rsidP="000A07B4">
            <w:pPr>
              <w:pStyle w:val="Tabletext"/>
              <w:rPr>
                <w:rFonts w:ascii="Arial" w:hAnsi="Arial" w:cs="Arial"/>
                <w:sz w:val="18"/>
                <w:szCs w:val="18"/>
                <w:lang w:eastAsia="en-GB"/>
              </w:rPr>
            </w:pPr>
            <w:r w:rsidRPr="00274C1D">
              <w:rPr>
                <w:sz w:val="18"/>
                <w:szCs w:val="18"/>
                <w:lang w:eastAsia="en-GB"/>
              </w:rPr>
              <w:t>Cible 1.1: 65% des ménages dans le monde auront accès à l'Internet</w:t>
            </w:r>
          </w:p>
        </w:tc>
        <w:tc>
          <w:tcPr>
            <w:tcW w:w="2410" w:type="dxa"/>
            <w:gridSpan w:val="2"/>
            <w:shd w:val="clear" w:color="auto" w:fill="92D050"/>
          </w:tcPr>
          <w:p w14:paraId="2579C4C7" w14:textId="77777777" w:rsidR="00CA2FCD" w:rsidRPr="00274C1D" w:rsidRDefault="00CA2FCD" w:rsidP="000A07B4">
            <w:pPr>
              <w:pStyle w:val="Tabletext"/>
              <w:jc w:val="center"/>
              <w:rPr>
                <w:b/>
                <w:bCs/>
                <w:sz w:val="18"/>
                <w:szCs w:val="18"/>
                <w:lang w:eastAsia="en-GB"/>
              </w:rPr>
            </w:pPr>
            <w:r w:rsidRPr="00274C1D">
              <w:rPr>
                <w:b/>
                <w:bCs/>
                <w:sz w:val="18"/>
                <w:szCs w:val="18"/>
                <w:lang w:eastAsia="en-GB"/>
              </w:rPr>
              <w:t>Cible atteinte</w:t>
            </w:r>
          </w:p>
        </w:tc>
      </w:tr>
      <w:tr w:rsidR="00CA2FCD" w:rsidRPr="00274C1D" w14:paraId="0A342BE7" w14:textId="77777777" w:rsidTr="00721255">
        <w:trPr>
          <w:trHeight w:val="20"/>
        </w:trPr>
        <w:tc>
          <w:tcPr>
            <w:tcW w:w="1135" w:type="dxa"/>
            <w:vMerge/>
            <w:vAlign w:val="center"/>
          </w:tcPr>
          <w:p w14:paraId="5D6395C8" w14:textId="77777777" w:rsidR="00CA2FCD" w:rsidRPr="00274C1D" w:rsidRDefault="00CA2FCD" w:rsidP="000A07B4">
            <w:pPr>
              <w:pStyle w:val="Tabletext"/>
              <w:jc w:val="center"/>
              <w:rPr>
                <w:sz w:val="18"/>
                <w:szCs w:val="18"/>
                <w:lang w:eastAsia="en-GB"/>
              </w:rPr>
            </w:pPr>
          </w:p>
        </w:tc>
        <w:tc>
          <w:tcPr>
            <w:tcW w:w="6662" w:type="dxa"/>
            <w:hideMark/>
          </w:tcPr>
          <w:p w14:paraId="507609E6" w14:textId="77777777" w:rsidR="00CA2FCD" w:rsidRPr="00274C1D" w:rsidRDefault="00CA2FCD" w:rsidP="000A07B4">
            <w:pPr>
              <w:pStyle w:val="Tabletext"/>
              <w:rPr>
                <w:rFonts w:ascii="Arial" w:hAnsi="Arial" w:cs="Arial"/>
                <w:sz w:val="18"/>
                <w:szCs w:val="18"/>
                <w:lang w:eastAsia="en-GB"/>
              </w:rPr>
            </w:pPr>
            <w:r w:rsidRPr="00274C1D">
              <w:rPr>
                <w:sz w:val="18"/>
                <w:szCs w:val="18"/>
                <w:lang w:eastAsia="en-GB"/>
              </w:rPr>
              <w:t>Cible 1.2: 70% de la population dans le monde utilisera l'Internet</w:t>
            </w:r>
          </w:p>
        </w:tc>
        <w:tc>
          <w:tcPr>
            <w:tcW w:w="2410" w:type="dxa"/>
            <w:gridSpan w:val="2"/>
            <w:shd w:val="clear" w:color="auto" w:fill="FFC000"/>
          </w:tcPr>
          <w:p w14:paraId="5B669A24" w14:textId="77777777" w:rsidR="00CA2FCD" w:rsidRPr="00274C1D" w:rsidRDefault="00CA2FCD" w:rsidP="000A07B4">
            <w:pPr>
              <w:pStyle w:val="Tabletext"/>
              <w:jc w:val="center"/>
              <w:rPr>
                <w:sz w:val="18"/>
                <w:szCs w:val="18"/>
                <w:lang w:eastAsia="en-GB"/>
              </w:rPr>
            </w:pPr>
            <w:r w:rsidRPr="00274C1D">
              <w:rPr>
                <w:b/>
                <w:bCs/>
                <w:sz w:val="18"/>
                <w:szCs w:val="18"/>
                <w:lang w:eastAsia="en-GB"/>
              </w:rPr>
              <w:t>Cible en passe d'être atteinte</w:t>
            </w:r>
          </w:p>
        </w:tc>
      </w:tr>
      <w:tr w:rsidR="00CA2FCD" w:rsidRPr="00274C1D" w14:paraId="53666DD4" w14:textId="77777777" w:rsidTr="00721255">
        <w:trPr>
          <w:cnfStyle w:val="000000100000" w:firstRow="0" w:lastRow="0" w:firstColumn="0" w:lastColumn="0" w:oddVBand="0" w:evenVBand="0" w:oddHBand="1" w:evenHBand="0" w:firstRowFirstColumn="0" w:firstRowLastColumn="0" w:lastRowFirstColumn="0" w:lastRowLastColumn="0"/>
          <w:trHeight w:val="20"/>
        </w:trPr>
        <w:tc>
          <w:tcPr>
            <w:tcW w:w="1135" w:type="dxa"/>
            <w:vMerge/>
            <w:vAlign w:val="center"/>
          </w:tcPr>
          <w:p w14:paraId="0E84E1B6" w14:textId="77777777" w:rsidR="00CA2FCD" w:rsidRPr="00274C1D" w:rsidRDefault="00CA2FCD" w:rsidP="000A07B4">
            <w:pPr>
              <w:pStyle w:val="Tabletext"/>
              <w:jc w:val="center"/>
              <w:rPr>
                <w:sz w:val="18"/>
                <w:szCs w:val="18"/>
                <w:lang w:eastAsia="en-GB"/>
              </w:rPr>
            </w:pPr>
          </w:p>
        </w:tc>
        <w:tc>
          <w:tcPr>
            <w:tcW w:w="6662" w:type="dxa"/>
            <w:hideMark/>
          </w:tcPr>
          <w:p w14:paraId="1AD3BDB7" w14:textId="77777777" w:rsidR="00CA2FCD" w:rsidRPr="00274C1D" w:rsidRDefault="00CA2FCD" w:rsidP="000A07B4">
            <w:pPr>
              <w:pStyle w:val="Tabletext"/>
              <w:rPr>
                <w:rFonts w:ascii="Arial" w:hAnsi="Arial" w:cs="Arial"/>
                <w:sz w:val="18"/>
                <w:szCs w:val="18"/>
                <w:lang w:eastAsia="en-GB"/>
              </w:rPr>
            </w:pPr>
            <w:r w:rsidRPr="00274C1D">
              <w:rPr>
                <w:sz w:val="18"/>
                <w:szCs w:val="18"/>
                <w:lang w:eastAsia="en-GB"/>
              </w:rPr>
              <w:t>Cible 1.3: L'accès à Internet devrait être 25% moins cher (année de référence 2017)</w:t>
            </w:r>
          </w:p>
        </w:tc>
        <w:tc>
          <w:tcPr>
            <w:tcW w:w="2410" w:type="dxa"/>
            <w:gridSpan w:val="2"/>
            <w:shd w:val="clear" w:color="auto" w:fill="FFC000"/>
          </w:tcPr>
          <w:p w14:paraId="4821CA9B" w14:textId="77777777" w:rsidR="00CA2FCD" w:rsidRPr="00274C1D" w:rsidRDefault="00CA2FCD" w:rsidP="000A07B4">
            <w:pPr>
              <w:pStyle w:val="Tabletext"/>
              <w:jc w:val="center"/>
              <w:rPr>
                <w:b/>
                <w:bCs/>
                <w:sz w:val="18"/>
                <w:szCs w:val="18"/>
                <w:lang w:eastAsia="en-GB"/>
              </w:rPr>
            </w:pPr>
            <w:r w:rsidRPr="00274C1D">
              <w:rPr>
                <w:b/>
                <w:bCs/>
                <w:sz w:val="18"/>
                <w:szCs w:val="18"/>
                <w:lang w:eastAsia="en-GB"/>
              </w:rPr>
              <w:t>Cible en passe d'être atteinte</w:t>
            </w:r>
          </w:p>
        </w:tc>
      </w:tr>
      <w:tr w:rsidR="00CA2FCD" w:rsidRPr="00274C1D" w14:paraId="7886ABC2" w14:textId="77777777" w:rsidTr="00721255">
        <w:trPr>
          <w:trHeight w:val="20"/>
        </w:trPr>
        <w:tc>
          <w:tcPr>
            <w:tcW w:w="1135" w:type="dxa"/>
            <w:vMerge/>
            <w:vAlign w:val="center"/>
          </w:tcPr>
          <w:p w14:paraId="1B904FD6" w14:textId="77777777" w:rsidR="00CA2FCD" w:rsidRPr="00274C1D" w:rsidRDefault="00CA2FCD" w:rsidP="000A07B4">
            <w:pPr>
              <w:pStyle w:val="Tabletext"/>
              <w:jc w:val="center"/>
              <w:rPr>
                <w:sz w:val="18"/>
                <w:szCs w:val="18"/>
                <w:lang w:eastAsia="en-GB"/>
              </w:rPr>
            </w:pPr>
          </w:p>
        </w:tc>
        <w:tc>
          <w:tcPr>
            <w:tcW w:w="6662" w:type="dxa"/>
            <w:hideMark/>
          </w:tcPr>
          <w:p w14:paraId="0A5374DA" w14:textId="77777777" w:rsidR="00CA2FCD" w:rsidRPr="00274C1D" w:rsidRDefault="00CA2FCD" w:rsidP="000A07B4">
            <w:pPr>
              <w:pStyle w:val="Tabletext"/>
              <w:rPr>
                <w:rFonts w:ascii="Arial" w:hAnsi="Arial" w:cs="Arial"/>
                <w:sz w:val="18"/>
                <w:szCs w:val="18"/>
                <w:lang w:eastAsia="en-GB"/>
              </w:rPr>
            </w:pPr>
            <w:r w:rsidRPr="00274C1D">
              <w:rPr>
                <w:sz w:val="18"/>
                <w:szCs w:val="18"/>
                <w:lang w:eastAsia="en-GB"/>
              </w:rPr>
              <w:t>Cible 1.4: Tous les pays adopteront un programme/une stratégie en matière de numérique</w:t>
            </w:r>
          </w:p>
        </w:tc>
        <w:tc>
          <w:tcPr>
            <w:tcW w:w="2410" w:type="dxa"/>
            <w:gridSpan w:val="2"/>
            <w:shd w:val="clear" w:color="auto" w:fill="FFC000"/>
          </w:tcPr>
          <w:p w14:paraId="3EB673D6" w14:textId="77777777" w:rsidR="00CA2FCD" w:rsidRPr="00274C1D" w:rsidRDefault="00CA2FCD" w:rsidP="000A07B4">
            <w:pPr>
              <w:pStyle w:val="Tabletext"/>
              <w:jc w:val="center"/>
              <w:rPr>
                <w:b/>
                <w:bCs/>
                <w:sz w:val="18"/>
                <w:szCs w:val="18"/>
                <w:lang w:eastAsia="en-GB"/>
              </w:rPr>
            </w:pPr>
            <w:r w:rsidRPr="00274C1D">
              <w:rPr>
                <w:b/>
                <w:bCs/>
                <w:sz w:val="18"/>
                <w:szCs w:val="18"/>
                <w:lang w:eastAsia="en-GB"/>
              </w:rPr>
              <w:t>Cible en passe d'être atteinte</w:t>
            </w:r>
          </w:p>
        </w:tc>
      </w:tr>
      <w:tr w:rsidR="00CA2FCD" w:rsidRPr="00274C1D" w14:paraId="605FE8A7" w14:textId="77777777" w:rsidTr="00721255">
        <w:trPr>
          <w:cnfStyle w:val="000000100000" w:firstRow="0" w:lastRow="0" w:firstColumn="0" w:lastColumn="0" w:oddVBand="0" w:evenVBand="0" w:oddHBand="1" w:evenHBand="0" w:firstRowFirstColumn="0" w:firstRowLastColumn="0" w:lastRowFirstColumn="0" w:lastRowLastColumn="0"/>
          <w:trHeight w:val="20"/>
        </w:trPr>
        <w:tc>
          <w:tcPr>
            <w:tcW w:w="1135" w:type="dxa"/>
            <w:vMerge/>
            <w:vAlign w:val="center"/>
          </w:tcPr>
          <w:p w14:paraId="61783B91" w14:textId="77777777" w:rsidR="00CA2FCD" w:rsidRPr="00274C1D" w:rsidRDefault="00CA2FCD" w:rsidP="000A07B4">
            <w:pPr>
              <w:pStyle w:val="Tabletext"/>
              <w:jc w:val="center"/>
              <w:rPr>
                <w:sz w:val="18"/>
                <w:szCs w:val="18"/>
                <w:lang w:eastAsia="en-GB"/>
              </w:rPr>
            </w:pPr>
          </w:p>
        </w:tc>
        <w:tc>
          <w:tcPr>
            <w:tcW w:w="6662" w:type="dxa"/>
            <w:hideMark/>
          </w:tcPr>
          <w:p w14:paraId="5C9220E3" w14:textId="77777777" w:rsidR="00CA2FCD" w:rsidRPr="00274C1D" w:rsidRDefault="00CA2FCD" w:rsidP="000A07B4">
            <w:pPr>
              <w:pStyle w:val="Tabletext"/>
              <w:rPr>
                <w:rFonts w:ascii="Arial" w:hAnsi="Arial" w:cs="Arial"/>
                <w:sz w:val="18"/>
                <w:szCs w:val="18"/>
                <w:lang w:eastAsia="en-GB"/>
              </w:rPr>
            </w:pPr>
            <w:r w:rsidRPr="00274C1D">
              <w:rPr>
                <w:sz w:val="18"/>
                <w:szCs w:val="18"/>
                <w:lang w:eastAsia="en-GB"/>
              </w:rPr>
              <w:t>Cible 1.5: Le nombre d'abonnements au large bande aura progressé de 50%</w:t>
            </w:r>
          </w:p>
        </w:tc>
        <w:tc>
          <w:tcPr>
            <w:tcW w:w="2410" w:type="dxa"/>
            <w:gridSpan w:val="2"/>
            <w:shd w:val="clear" w:color="auto" w:fill="FFC000"/>
          </w:tcPr>
          <w:p w14:paraId="6D047DED" w14:textId="77777777" w:rsidR="00CA2FCD" w:rsidRPr="00274C1D" w:rsidRDefault="00CA2FCD" w:rsidP="000A07B4">
            <w:pPr>
              <w:pStyle w:val="Tabletext"/>
              <w:jc w:val="center"/>
              <w:rPr>
                <w:b/>
                <w:bCs/>
                <w:sz w:val="18"/>
                <w:szCs w:val="18"/>
                <w:lang w:eastAsia="en-GB"/>
              </w:rPr>
            </w:pPr>
            <w:r w:rsidRPr="00274C1D">
              <w:rPr>
                <w:b/>
                <w:bCs/>
                <w:sz w:val="18"/>
                <w:szCs w:val="18"/>
                <w:lang w:eastAsia="en-GB"/>
              </w:rPr>
              <w:t>Cible en passe d'être atteinte</w:t>
            </w:r>
          </w:p>
        </w:tc>
      </w:tr>
      <w:tr w:rsidR="00CA2FCD" w:rsidRPr="00274C1D" w14:paraId="57972CE3" w14:textId="77777777" w:rsidTr="00721255">
        <w:trPr>
          <w:trHeight w:val="20"/>
        </w:trPr>
        <w:tc>
          <w:tcPr>
            <w:tcW w:w="1135" w:type="dxa"/>
            <w:vMerge/>
            <w:vAlign w:val="center"/>
          </w:tcPr>
          <w:p w14:paraId="5A6D3CBD" w14:textId="77777777" w:rsidR="00CA2FCD" w:rsidRPr="00274C1D" w:rsidRDefault="00CA2FCD" w:rsidP="000A07B4">
            <w:pPr>
              <w:pStyle w:val="Tabletext"/>
              <w:jc w:val="center"/>
              <w:rPr>
                <w:sz w:val="18"/>
                <w:szCs w:val="18"/>
                <w:lang w:eastAsia="en-GB"/>
              </w:rPr>
            </w:pPr>
          </w:p>
        </w:tc>
        <w:tc>
          <w:tcPr>
            <w:tcW w:w="6662" w:type="dxa"/>
            <w:hideMark/>
          </w:tcPr>
          <w:p w14:paraId="2BBFF1FB" w14:textId="77777777" w:rsidR="00CA2FCD" w:rsidRPr="00274C1D" w:rsidRDefault="00CA2FCD" w:rsidP="000A07B4">
            <w:pPr>
              <w:pStyle w:val="Tabletext"/>
              <w:rPr>
                <w:rFonts w:ascii="Arial" w:hAnsi="Arial" w:cs="Arial"/>
                <w:sz w:val="18"/>
                <w:szCs w:val="18"/>
                <w:lang w:eastAsia="en-GB"/>
              </w:rPr>
            </w:pPr>
            <w:r w:rsidRPr="00274C1D">
              <w:rPr>
                <w:sz w:val="18"/>
                <w:szCs w:val="18"/>
                <w:lang w:eastAsia="en-GB"/>
              </w:rPr>
              <w:t>Cible 1.6: 40% des pays auront plus de la moitié des abonnements au large bande avec un débit supérieur à 10 Mbit/s</w:t>
            </w:r>
          </w:p>
        </w:tc>
        <w:tc>
          <w:tcPr>
            <w:tcW w:w="2410" w:type="dxa"/>
            <w:gridSpan w:val="2"/>
            <w:shd w:val="clear" w:color="auto" w:fill="FFC000"/>
          </w:tcPr>
          <w:p w14:paraId="7DB3036B" w14:textId="77777777" w:rsidR="00CA2FCD" w:rsidRPr="00274C1D" w:rsidRDefault="00CA2FCD" w:rsidP="000A07B4">
            <w:pPr>
              <w:pStyle w:val="Tabletext"/>
              <w:jc w:val="center"/>
              <w:rPr>
                <w:b/>
                <w:bCs/>
                <w:sz w:val="18"/>
                <w:szCs w:val="18"/>
                <w:lang w:eastAsia="en-GB"/>
              </w:rPr>
            </w:pPr>
            <w:r w:rsidRPr="00274C1D">
              <w:rPr>
                <w:b/>
                <w:bCs/>
                <w:sz w:val="18"/>
                <w:szCs w:val="18"/>
                <w:lang w:eastAsia="en-GB"/>
              </w:rPr>
              <w:t>Cible en passe d'être atteinte</w:t>
            </w:r>
          </w:p>
        </w:tc>
      </w:tr>
      <w:tr w:rsidR="00CA2FCD" w:rsidRPr="00274C1D" w14:paraId="38859FB7" w14:textId="77777777" w:rsidTr="00721255">
        <w:trPr>
          <w:cnfStyle w:val="000000100000" w:firstRow="0" w:lastRow="0" w:firstColumn="0" w:lastColumn="0" w:oddVBand="0" w:evenVBand="0" w:oddHBand="1" w:evenHBand="0" w:firstRowFirstColumn="0" w:firstRowLastColumn="0" w:lastRowFirstColumn="0" w:lastRowLastColumn="0"/>
          <w:trHeight w:val="20"/>
        </w:trPr>
        <w:tc>
          <w:tcPr>
            <w:tcW w:w="1135" w:type="dxa"/>
            <w:vMerge/>
            <w:vAlign w:val="center"/>
          </w:tcPr>
          <w:p w14:paraId="5DA1D49C" w14:textId="77777777" w:rsidR="00CA2FCD" w:rsidRPr="00274C1D" w:rsidRDefault="00CA2FCD" w:rsidP="000A07B4">
            <w:pPr>
              <w:pStyle w:val="Tabletext"/>
              <w:jc w:val="center"/>
              <w:rPr>
                <w:sz w:val="18"/>
                <w:szCs w:val="18"/>
                <w:lang w:eastAsia="en-GB"/>
              </w:rPr>
            </w:pPr>
          </w:p>
        </w:tc>
        <w:tc>
          <w:tcPr>
            <w:tcW w:w="6662" w:type="dxa"/>
            <w:hideMark/>
          </w:tcPr>
          <w:p w14:paraId="24663DD7" w14:textId="77777777" w:rsidR="00CA2FCD" w:rsidRPr="00274C1D" w:rsidRDefault="00CA2FCD" w:rsidP="000A07B4">
            <w:pPr>
              <w:pStyle w:val="Tabletext"/>
              <w:rPr>
                <w:rFonts w:ascii="Arial" w:hAnsi="Arial" w:cs="Arial"/>
                <w:sz w:val="18"/>
                <w:szCs w:val="18"/>
                <w:lang w:eastAsia="en-GB"/>
              </w:rPr>
            </w:pPr>
            <w:r w:rsidRPr="00274C1D">
              <w:rPr>
                <w:sz w:val="18"/>
                <w:szCs w:val="18"/>
                <w:lang w:eastAsia="en-GB"/>
              </w:rPr>
              <w:t>Cible 1.7: 40% de la population devrait utiliser les services publics en ligne</w:t>
            </w:r>
          </w:p>
        </w:tc>
        <w:tc>
          <w:tcPr>
            <w:tcW w:w="2410" w:type="dxa"/>
            <w:gridSpan w:val="2"/>
            <w:shd w:val="clear" w:color="auto" w:fill="FFFFFF" w:themeFill="background1"/>
          </w:tcPr>
          <w:p w14:paraId="015F1A6E" w14:textId="77777777" w:rsidR="00CA2FCD" w:rsidRPr="00274C1D" w:rsidRDefault="00CA2FCD" w:rsidP="000A07B4">
            <w:pPr>
              <w:pStyle w:val="Tabletext"/>
              <w:jc w:val="center"/>
              <w:rPr>
                <w:b/>
                <w:bCs/>
                <w:sz w:val="18"/>
                <w:szCs w:val="18"/>
                <w:lang w:eastAsia="en-GB"/>
              </w:rPr>
            </w:pPr>
            <w:r w:rsidRPr="00274C1D">
              <w:rPr>
                <w:b/>
                <w:bCs/>
                <w:sz w:val="18"/>
                <w:szCs w:val="18"/>
                <w:lang w:eastAsia="en-GB"/>
              </w:rPr>
              <w:t>Données insuffisantes</w:t>
            </w:r>
          </w:p>
        </w:tc>
      </w:tr>
      <w:tr w:rsidR="00CA2FCD" w:rsidRPr="00274C1D" w14:paraId="3F05FACA" w14:textId="77777777" w:rsidTr="00721255">
        <w:trPr>
          <w:trHeight w:val="20"/>
        </w:trPr>
        <w:tc>
          <w:tcPr>
            <w:tcW w:w="1135" w:type="dxa"/>
            <w:vMerge w:val="restart"/>
          </w:tcPr>
          <w:p w14:paraId="794CFA55" w14:textId="77777777" w:rsidR="00CA2FCD" w:rsidRPr="00274C1D" w:rsidRDefault="00CA2FCD" w:rsidP="002677E3">
            <w:pPr>
              <w:pStyle w:val="Tabletext"/>
              <w:keepNext/>
              <w:keepLines/>
              <w:jc w:val="center"/>
              <w:rPr>
                <w:sz w:val="18"/>
                <w:szCs w:val="18"/>
                <w:lang w:eastAsia="en-GB"/>
              </w:rPr>
            </w:pPr>
            <w:r w:rsidRPr="00274C1D">
              <w:rPr>
                <w:sz w:val="18"/>
                <w:szCs w:val="18"/>
                <w:lang w:eastAsia="en-GB"/>
              </w:rPr>
              <w:lastRenderedPageBreak/>
              <w:t>Inclusion</w:t>
            </w:r>
          </w:p>
        </w:tc>
        <w:tc>
          <w:tcPr>
            <w:tcW w:w="6662" w:type="dxa"/>
            <w:hideMark/>
          </w:tcPr>
          <w:p w14:paraId="192C85CB" w14:textId="77777777" w:rsidR="00CA2FCD" w:rsidRPr="00274C1D" w:rsidRDefault="00CA2FCD" w:rsidP="002677E3">
            <w:pPr>
              <w:pStyle w:val="Tabletext"/>
              <w:keepNext/>
              <w:keepLines/>
              <w:rPr>
                <w:rFonts w:ascii="Arial" w:hAnsi="Arial" w:cs="Arial"/>
                <w:sz w:val="18"/>
                <w:szCs w:val="18"/>
                <w:lang w:eastAsia="en-GB"/>
              </w:rPr>
            </w:pPr>
            <w:r w:rsidRPr="00274C1D">
              <w:rPr>
                <w:sz w:val="18"/>
                <w:szCs w:val="18"/>
                <w:lang w:eastAsia="en-GB"/>
              </w:rPr>
              <w:t>Cible 2.1: Dans les pays en développement, 60% des ménages devraient avoir accès à l'Internet</w:t>
            </w:r>
          </w:p>
        </w:tc>
        <w:tc>
          <w:tcPr>
            <w:tcW w:w="2410" w:type="dxa"/>
            <w:gridSpan w:val="2"/>
            <w:shd w:val="clear" w:color="auto" w:fill="92D050"/>
          </w:tcPr>
          <w:p w14:paraId="5C157A69" w14:textId="77777777" w:rsidR="00CA2FCD" w:rsidRPr="00274C1D" w:rsidRDefault="00CA2FCD" w:rsidP="000A07B4">
            <w:pPr>
              <w:pStyle w:val="Tabletext"/>
              <w:jc w:val="center"/>
              <w:rPr>
                <w:b/>
                <w:bCs/>
                <w:sz w:val="18"/>
                <w:szCs w:val="18"/>
                <w:lang w:eastAsia="en-GB"/>
              </w:rPr>
            </w:pPr>
            <w:r w:rsidRPr="00274C1D">
              <w:rPr>
                <w:b/>
                <w:bCs/>
                <w:sz w:val="18"/>
                <w:szCs w:val="18"/>
                <w:lang w:eastAsia="en-GB"/>
              </w:rPr>
              <w:t>Cible atteinte</w:t>
            </w:r>
          </w:p>
        </w:tc>
      </w:tr>
      <w:tr w:rsidR="00CA2FCD" w:rsidRPr="00274C1D" w14:paraId="11B0410E" w14:textId="77777777" w:rsidTr="00721255">
        <w:trPr>
          <w:cnfStyle w:val="000000100000" w:firstRow="0" w:lastRow="0" w:firstColumn="0" w:lastColumn="0" w:oddVBand="0" w:evenVBand="0" w:oddHBand="1" w:evenHBand="0" w:firstRowFirstColumn="0" w:firstRowLastColumn="0" w:lastRowFirstColumn="0" w:lastRowLastColumn="0"/>
          <w:trHeight w:val="20"/>
        </w:trPr>
        <w:tc>
          <w:tcPr>
            <w:tcW w:w="1135" w:type="dxa"/>
            <w:vMerge/>
            <w:vAlign w:val="center"/>
          </w:tcPr>
          <w:p w14:paraId="6372FFC2" w14:textId="77777777" w:rsidR="00CA2FCD" w:rsidRPr="00274C1D" w:rsidRDefault="00CA2FCD" w:rsidP="002677E3">
            <w:pPr>
              <w:pStyle w:val="Tabletext"/>
              <w:keepNext/>
              <w:keepLines/>
              <w:jc w:val="center"/>
              <w:rPr>
                <w:sz w:val="18"/>
                <w:szCs w:val="18"/>
                <w:lang w:eastAsia="en-GB"/>
              </w:rPr>
            </w:pPr>
          </w:p>
        </w:tc>
        <w:tc>
          <w:tcPr>
            <w:tcW w:w="6662" w:type="dxa"/>
            <w:hideMark/>
          </w:tcPr>
          <w:p w14:paraId="4DCA904A" w14:textId="77777777" w:rsidR="00CA2FCD" w:rsidRPr="00274C1D" w:rsidRDefault="00CA2FCD" w:rsidP="002677E3">
            <w:pPr>
              <w:pStyle w:val="Tabletext"/>
              <w:keepNext/>
              <w:keepLines/>
              <w:rPr>
                <w:rFonts w:ascii="Arial" w:hAnsi="Arial" w:cs="Arial"/>
                <w:sz w:val="18"/>
                <w:szCs w:val="18"/>
                <w:lang w:eastAsia="en-GB"/>
              </w:rPr>
            </w:pPr>
            <w:r w:rsidRPr="00274C1D">
              <w:rPr>
                <w:sz w:val="18"/>
                <w:szCs w:val="18"/>
                <w:lang w:eastAsia="en-GB"/>
              </w:rPr>
              <w:t>Cible 2.2: Dans les pays les moins avancés, 30% des ménages devraient avoir accès à l'Internet</w:t>
            </w:r>
          </w:p>
        </w:tc>
        <w:tc>
          <w:tcPr>
            <w:tcW w:w="2410" w:type="dxa"/>
            <w:gridSpan w:val="2"/>
            <w:shd w:val="clear" w:color="auto" w:fill="FF0000"/>
          </w:tcPr>
          <w:p w14:paraId="6F0E466A" w14:textId="77777777" w:rsidR="00CA2FCD" w:rsidRPr="00274C1D" w:rsidRDefault="00CA2FCD" w:rsidP="000A07B4">
            <w:pPr>
              <w:pStyle w:val="Tabletext"/>
              <w:jc w:val="center"/>
              <w:rPr>
                <w:b/>
                <w:bCs/>
                <w:sz w:val="18"/>
                <w:szCs w:val="18"/>
                <w:lang w:eastAsia="en-GB"/>
              </w:rPr>
            </w:pPr>
            <w:r w:rsidRPr="00274C1D">
              <w:rPr>
                <w:b/>
                <w:bCs/>
                <w:sz w:val="18"/>
                <w:szCs w:val="18"/>
                <w:lang w:eastAsia="en-GB"/>
              </w:rPr>
              <w:t>Cible mal engagée</w:t>
            </w:r>
          </w:p>
        </w:tc>
      </w:tr>
      <w:tr w:rsidR="00CA2FCD" w:rsidRPr="00274C1D" w14:paraId="20C83992" w14:textId="77777777" w:rsidTr="00721255">
        <w:trPr>
          <w:trHeight w:val="20"/>
        </w:trPr>
        <w:tc>
          <w:tcPr>
            <w:tcW w:w="1135" w:type="dxa"/>
            <w:vMerge/>
            <w:vAlign w:val="center"/>
          </w:tcPr>
          <w:p w14:paraId="31BC62F8" w14:textId="77777777" w:rsidR="00CA2FCD" w:rsidRPr="00274C1D" w:rsidRDefault="00CA2FCD" w:rsidP="002677E3">
            <w:pPr>
              <w:pStyle w:val="Tabletext"/>
              <w:keepNext/>
              <w:keepLines/>
              <w:jc w:val="center"/>
              <w:rPr>
                <w:sz w:val="18"/>
                <w:szCs w:val="18"/>
                <w:lang w:eastAsia="en-GB"/>
              </w:rPr>
            </w:pPr>
          </w:p>
        </w:tc>
        <w:tc>
          <w:tcPr>
            <w:tcW w:w="6662" w:type="dxa"/>
            <w:hideMark/>
          </w:tcPr>
          <w:p w14:paraId="232D965E" w14:textId="77777777" w:rsidR="00CA2FCD" w:rsidRPr="00274C1D" w:rsidRDefault="00CA2FCD" w:rsidP="002677E3">
            <w:pPr>
              <w:pStyle w:val="Tabletext"/>
              <w:keepNext/>
              <w:keepLines/>
              <w:rPr>
                <w:rFonts w:ascii="Arial" w:hAnsi="Arial" w:cs="Arial"/>
                <w:sz w:val="18"/>
                <w:szCs w:val="18"/>
                <w:lang w:eastAsia="en-GB"/>
              </w:rPr>
            </w:pPr>
            <w:r w:rsidRPr="00274C1D">
              <w:rPr>
                <w:sz w:val="18"/>
                <w:szCs w:val="18"/>
                <w:lang w:eastAsia="en-GB"/>
              </w:rPr>
              <w:t>Cible 2.3: Dans les pays en développement, 60% de la population utilisera l'Internet</w:t>
            </w:r>
          </w:p>
        </w:tc>
        <w:tc>
          <w:tcPr>
            <w:tcW w:w="2410" w:type="dxa"/>
            <w:gridSpan w:val="2"/>
            <w:shd w:val="clear" w:color="auto" w:fill="FFC000"/>
          </w:tcPr>
          <w:p w14:paraId="26EE588F" w14:textId="77777777" w:rsidR="00CA2FCD" w:rsidRPr="00274C1D" w:rsidRDefault="00CA2FCD" w:rsidP="000A07B4">
            <w:pPr>
              <w:pStyle w:val="Tabletext"/>
              <w:jc w:val="center"/>
              <w:rPr>
                <w:sz w:val="18"/>
                <w:szCs w:val="18"/>
                <w:lang w:eastAsia="en-GB"/>
              </w:rPr>
            </w:pPr>
            <w:r w:rsidRPr="00274C1D">
              <w:rPr>
                <w:b/>
                <w:bCs/>
                <w:sz w:val="18"/>
                <w:szCs w:val="18"/>
                <w:lang w:eastAsia="en-GB"/>
              </w:rPr>
              <w:t>Cible en passe d'être atteinte</w:t>
            </w:r>
          </w:p>
        </w:tc>
      </w:tr>
      <w:tr w:rsidR="00CA2FCD" w:rsidRPr="00274C1D" w14:paraId="1D94D4FD" w14:textId="77777777" w:rsidTr="00721255">
        <w:trPr>
          <w:cnfStyle w:val="000000100000" w:firstRow="0" w:lastRow="0" w:firstColumn="0" w:lastColumn="0" w:oddVBand="0" w:evenVBand="0" w:oddHBand="1" w:evenHBand="0" w:firstRowFirstColumn="0" w:firstRowLastColumn="0" w:lastRowFirstColumn="0" w:lastRowLastColumn="0"/>
          <w:trHeight w:val="20"/>
        </w:trPr>
        <w:tc>
          <w:tcPr>
            <w:tcW w:w="1135" w:type="dxa"/>
            <w:vMerge/>
            <w:vAlign w:val="center"/>
          </w:tcPr>
          <w:p w14:paraId="3C5564CA" w14:textId="77777777" w:rsidR="00CA2FCD" w:rsidRPr="00274C1D" w:rsidRDefault="00CA2FCD" w:rsidP="002677E3">
            <w:pPr>
              <w:pStyle w:val="Tabletext"/>
              <w:keepNext/>
              <w:keepLines/>
              <w:jc w:val="center"/>
              <w:rPr>
                <w:sz w:val="18"/>
                <w:szCs w:val="18"/>
                <w:lang w:eastAsia="en-GB"/>
              </w:rPr>
            </w:pPr>
          </w:p>
        </w:tc>
        <w:tc>
          <w:tcPr>
            <w:tcW w:w="6662" w:type="dxa"/>
            <w:hideMark/>
          </w:tcPr>
          <w:p w14:paraId="33086F8D" w14:textId="77777777" w:rsidR="00CA2FCD" w:rsidRPr="00274C1D" w:rsidRDefault="00CA2FCD" w:rsidP="002677E3">
            <w:pPr>
              <w:pStyle w:val="Tabletext"/>
              <w:keepNext/>
              <w:keepLines/>
              <w:rPr>
                <w:rFonts w:ascii="Arial" w:hAnsi="Arial" w:cs="Arial"/>
                <w:sz w:val="18"/>
                <w:szCs w:val="18"/>
                <w:lang w:eastAsia="en-GB"/>
              </w:rPr>
            </w:pPr>
            <w:r w:rsidRPr="00274C1D">
              <w:rPr>
                <w:sz w:val="18"/>
                <w:szCs w:val="18"/>
                <w:lang w:eastAsia="en-GB"/>
              </w:rPr>
              <w:t>Cible 2.4: Dans les pays les moins avancés, 30% de la population utilisera l'Internet</w:t>
            </w:r>
          </w:p>
        </w:tc>
        <w:tc>
          <w:tcPr>
            <w:tcW w:w="2410" w:type="dxa"/>
            <w:gridSpan w:val="2"/>
            <w:shd w:val="clear" w:color="auto" w:fill="00B050"/>
          </w:tcPr>
          <w:p w14:paraId="65AC49B7" w14:textId="77777777" w:rsidR="00CA2FCD" w:rsidRPr="00274C1D" w:rsidRDefault="00CA2FCD" w:rsidP="000A07B4">
            <w:pPr>
              <w:pStyle w:val="Tabletext"/>
              <w:jc w:val="center"/>
              <w:rPr>
                <w:sz w:val="18"/>
                <w:szCs w:val="18"/>
                <w:lang w:eastAsia="en-GB"/>
              </w:rPr>
            </w:pPr>
            <w:r w:rsidRPr="00274C1D">
              <w:rPr>
                <w:b/>
                <w:bCs/>
                <w:sz w:val="18"/>
                <w:szCs w:val="18"/>
                <w:lang w:eastAsia="en-GB"/>
              </w:rPr>
              <w:t>Cible atteinte</w:t>
            </w:r>
          </w:p>
        </w:tc>
      </w:tr>
      <w:tr w:rsidR="00CA2FCD" w:rsidRPr="00274C1D" w14:paraId="3EEE90FC" w14:textId="77777777" w:rsidTr="00721255">
        <w:trPr>
          <w:trHeight w:val="20"/>
        </w:trPr>
        <w:tc>
          <w:tcPr>
            <w:tcW w:w="1135" w:type="dxa"/>
            <w:vMerge/>
            <w:vAlign w:val="center"/>
          </w:tcPr>
          <w:p w14:paraId="71BBA9C6" w14:textId="77777777" w:rsidR="00CA2FCD" w:rsidRPr="00274C1D" w:rsidRDefault="00CA2FCD" w:rsidP="000A07B4">
            <w:pPr>
              <w:pStyle w:val="Tabletext"/>
              <w:jc w:val="center"/>
              <w:rPr>
                <w:sz w:val="18"/>
                <w:szCs w:val="18"/>
                <w:lang w:eastAsia="en-GB"/>
              </w:rPr>
            </w:pPr>
          </w:p>
        </w:tc>
        <w:tc>
          <w:tcPr>
            <w:tcW w:w="6662" w:type="dxa"/>
            <w:hideMark/>
          </w:tcPr>
          <w:p w14:paraId="476D1627" w14:textId="77777777" w:rsidR="00CA2FCD" w:rsidRPr="00274C1D" w:rsidRDefault="00CA2FCD" w:rsidP="000A07B4">
            <w:pPr>
              <w:pStyle w:val="Tabletext"/>
              <w:rPr>
                <w:rFonts w:ascii="Arial" w:hAnsi="Arial" w:cs="Arial"/>
                <w:sz w:val="18"/>
                <w:szCs w:val="18"/>
                <w:lang w:eastAsia="en-GB"/>
              </w:rPr>
            </w:pPr>
            <w:r w:rsidRPr="00274C1D">
              <w:rPr>
                <w:sz w:val="18"/>
                <w:szCs w:val="18"/>
                <w:lang w:eastAsia="en-GB"/>
              </w:rPr>
              <w:t>Cible 2.5: L'écart en matière d'accessibilité économique entre pays développés et pays en développement devrait être réduit de 25% (année de référence 2017)</w:t>
            </w:r>
          </w:p>
        </w:tc>
        <w:tc>
          <w:tcPr>
            <w:tcW w:w="2410" w:type="dxa"/>
            <w:gridSpan w:val="2"/>
            <w:shd w:val="clear" w:color="auto" w:fill="FFC000"/>
          </w:tcPr>
          <w:p w14:paraId="3EF7AE82" w14:textId="77777777" w:rsidR="00CA2FCD" w:rsidRPr="00274C1D" w:rsidRDefault="00CA2FCD" w:rsidP="000A07B4">
            <w:pPr>
              <w:pStyle w:val="Tabletext"/>
              <w:jc w:val="center"/>
              <w:rPr>
                <w:b/>
                <w:bCs/>
                <w:sz w:val="18"/>
                <w:szCs w:val="18"/>
                <w:lang w:eastAsia="en-GB"/>
              </w:rPr>
            </w:pPr>
            <w:r w:rsidRPr="00274C1D">
              <w:rPr>
                <w:b/>
                <w:bCs/>
                <w:sz w:val="18"/>
                <w:szCs w:val="18"/>
                <w:lang w:eastAsia="en-GB"/>
              </w:rPr>
              <w:t>Cible en passe d'être atteinte</w:t>
            </w:r>
          </w:p>
        </w:tc>
      </w:tr>
      <w:tr w:rsidR="00CA2FCD" w:rsidRPr="00274C1D" w14:paraId="094A24CE" w14:textId="77777777" w:rsidTr="00721255">
        <w:trPr>
          <w:cnfStyle w:val="000000100000" w:firstRow="0" w:lastRow="0" w:firstColumn="0" w:lastColumn="0" w:oddVBand="0" w:evenVBand="0" w:oddHBand="1" w:evenHBand="0" w:firstRowFirstColumn="0" w:firstRowLastColumn="0" w:lastRowFirstColumn="0" w:lastRowLastColumn="0"/>
          <w:trHeight w:val="20"/>
        </w:trPr>
        <w:tc>
          <w:tcPr>
            <w:tcW w:w="1135" w:type="dxa"/>
            <w:vMerge/>
            <w:vAlign w:val="center"/>
          </w:tcPr>
          <w:p w14:paraId="613CF2A1" w14:textId="77777777" w:rsidR="00CA2FCD" w:rsidRPr="00274C1D" w:rsidRDefault="00CA2FCD" w:rsidP="000A07B4">
            <w:pPr>
              <w:pStyle w:val="Tabletext"/>
              <w:jc w:val="center"/>
              <w:rPr>
                <w:sz w:val="18"/>
                <w:szCs w:val="18"/>
                <w:lang w:eastAsia="en-GB"/>
              </w:rPr>
            </w:pPr>
          </w:p>
        </w:tc>
        <w:tc>
          <w:tcPr>
            <w:tcW w:w="6662" w:type="dxa"/>
            <w:hideMark/>
          </w:tcPr>
          <w:p w14:paraId="7A34F795" w14:textId="77777777" w:rsidR="00CA2FCD" w:rsidRPr="00274C1D" w:rsidRDefault="00CA2FCD" w:rsidP="000A07B4">
            <w:pPr>
              <w:pStyle w:val="Tabletext"/>
              <w:rPr>
                <w:rFonts w:ascii="Arial" w:hAnsi="Arial" w:cs="Arial"/>
                <w:sz w:val="18"/>
                <w:szCs w:val="18"/>
                <w:lang w:eastAsia="en-GB"/>
              </w:rPr>
            </w:pPr>
            <w:r w:rsidRPr="00274C1D">
              <w:rPr>
                <w:sz w:val="18"/>
                <w:szCs w:val="18"/>
                <w:lang w:eastAsia="en-GB"/>
              </w:rPr>
              <w:t>Cible 2.6: Le prix des services large bande ne devrait pas représenter plus de 3% du revenu mensuel moyen dans les pays en développement</w:t>
            </w:r>
          </w:p>
        </w:tc>
        <w:tc>
          <w:tcPr>
            <w:tcW w:w="2410" w:type="dxa"/>
            <w:gridSpan w:val="2"/>
            <w:shd w:val="clear" w:color="auto" w:fill="FFC000"/>
          </w:tcPr>
          <w:p w14:paraId="5D0AFAF3" w14:textId="77777777" w:rsidR="00CA2FCD" w:rsidRPr="00274C1D" w:rsidRDefault="00CA2FCD" w:rsidP="000A07B4">
            <w:pPr>
              <w:pStyle w:val="Tabletext"/>
              <w:jc w:val="center"/>
              <w:rPr>
                <w:b/>
                <w:bCs/>
                <w:sz w:val="18"/>
                <w:szCs w:val="18"/>
                <w:lang w:eastAsia="en-GB"/>
              </w:rPr>
            </w:pPr>
            <w:r w:rsidRPr="00274C1D">
              <w:rPr>
                <w:b/>
                <w:bCs/>
                <w:sz w:val="18"/>
                <w:szCs w:val="18"/>
                <w:lang w:eastAsia="en-GB"/>
              </w:rPr>
              <w:t>Cible en passe d'être atteinte</w:t>
            </w:r>
          </w:p>
        </w:tc>
      </w:tr>
      <w:tr w:rsidR="00CA2FCD" w:rsidRPr="00274C1D" w14:paraId="3A9E3362" w14:textId="77777777" w:rsidTr="00721255">
        <w:trPr>
          <w:trHeight w:val="20"/>
        </w:trPr>
        <w:tc>
          <w:tcPr>
            <w:tcW w:w="1135" w:type="dxa"/>
            <w:vMerge/>
            <w:vAlign w:val="center"/>
          </w:tcPr>
          <w:p w14:paraId="7C72B538" w14:textId="77777777" w:rsidR="00CA2FCD" w:rsidRPr="00274C1D" w:rsidRDefault="00CA2FCD" w:rsidP="000A07B4">
            <w:pPr>
              <w:pStyle w:val="Tabletext"/>
              <w:jc w:val="center"/>
              <w:rPr>
                <w:sz w:val="18"/>
                <w:szCs w:val="18"/>
                <w:lang w:eastAsia="en-GB"/>
              </w:rPr>
            </w:pPr>
          </w:p>
        </w:tc>
        <w:tc>
          <w:tcPr>
            <w:tcW w:w="6662" w:type="dxa"/>
            <w:hideMark/>
          </w:tcPr>
          <w:p w14:paraId="579F22FF" w14:textId="77777777" w:rsidR="00CA2FCD" w:rsidRPr="00274C1D" w:rsidRDefault="00CA2FCD" w:rsidP="000A07B4">
            <w:pPr>
              <w:pStyle w:val="Tabletext"/>
              <w:rPr>
                <w:rFonts w:ascii="Arial" w:hAnsi="Arial" w:cs="Arial"/>
                <w:sz w:val="18"/>
                <w:szCs w:val="18"/>
                <w:lang w:eastAsia="en-GB"/>
              </w:rPr>
            </w:pPr>
            <w:r w:rsidRPr="00274C1D">
              <w:rPr>
                <w:sz w:val="18"/>
                <w:szCs w:val="18"/>
                <w:lang w:eastAsia="en-GB"/>
              </w:rPr>
              <w:t>Cible 2.7: 96% de la population mondiale sera desservie par le large bande</w:t>
            </w:r>
          </w:p>
        </w:tc>
        <w:tc>
          <w:tcPr>
            <w:tcW w:w="2410" w:type="dxa"/>
            <w:gridSpan w:val="2"/>
            <w:shd w:val="clear" w:color="auto" w:fill="FFC000"/>
          </w:tcPr>
          <w:p w14:paraId="0F0E8202" w14:textId="77777777" w:rsidR="00CA2FCD" w:rsidRPr="00274C1D" w:rsidRDefault="00CA2FCD" w:rsidP="000A07B4">
            <w:pPr>
              <w:pStyle w:val="Tabletext"/>
              <w:jc w:val="center"/>
              <w:rPr>
                <w:b/>
                <w:bCs/>
                <w:sz w:val="18"/>
                <w:szCs w:val="18"/>
                <w:lang w:eastAsia="en-GB"/>
              </w:rPr>
            </w:pPr>
            <w:r w:rsidRPr="00274C1D">
              <w:rPr>
                <w:b/>
                <w:bCs/>
                <w:sz w:val="18"/>
                <w:szCs w:val="18"/>
                <w:lang w:eastAsia="en-GB"/>
              </w:rPr>
              <w:t>Cible en passe d'être atteinte</w:t>
            </w:r>
          </w:p>
        </w:tc>
      </w:tr>
      <w:tr w:rsidR="00CA2FCD" w:rsidRPr="00274C1D" w14:paraId="0A4030A7" w14:textId="77777777" w:rsidTr="00721255">
        <w:trPr>
          <w:cnfStyle w:val="000000100000" w:firstRow="0" w:lastRow="0" w:firstColumn="0" w:lastColumn="0" w:oddVBand="0" w:evenVBand="0" w:oddHBand="1" w:evenHBand="0" w:firstRowFirstColumn="0" w:firstRowLastColumn="0" w:lastRowFirstColumn="0" w:lastRowLastColumn="0"/>
          <w:trHeight w:val="20"/>
        </w:trPr>
        <w:tc>
          <w:tcPr>
            <w:tcW w:w="1135" w:type="dxa"/>
            <w:vMerge/>
            <w:vAlign w:val="center"/>
          </w:tcPr>
          <w:p w14:paraId="62261A54" w14:textId="77777777" w:rsidR="00CA2FCD" w:rsidRPr="00274C1D" w:rsidRDefault="00CA2FCD" w:rsidP="000A07B4">
            <w:pPr>
              <w:pStyle w:val="Tabletext"/>
              <w:jc w:val="center"/>
              <w:rPr>
                <w:sz w:val="18"/>
                <w:szCs w:val="18"/>
                <w:lang w:eastAsia="en-GB"/>
              </w:rPr>
            </w:pPr>
          </w:p>
        </w:tc>
        <w:tc>
          <w:tcPr>
            <w:tcW w:w="6662" w:type="dxa"/>
            <w:hideMark/>
          </w:tcPr>
          <w:p w14:paraId="6ACCFFA6" w14:textId="77777777" w:rsidR="00CA2FCD" w:rsidRPr="00274C1D" w:rsidRDefault="00CA2FCD" w:rsidP="000A07B4">
            <w:pPr>
              <w:pStyle w:val="Tabletext"/>
              <w:rPr>
                <w:rFonts w:ascii="Arial" w:hAnsi="Arial" w:cs="Arial"/>
                <w:sz w:val="18"/>
                <w:szCs w:val="18"/>
                <w:lang w:eastAsia="en-GB"/>
              </w:rPr>
            </w:pPr>
            <w:r w:rsidRPr="00274C1D">
              <w:rPr>
                <w:sz w:val="18"/>
                <w:szCs w:val="18"/>
                <w:lang w:eastAsia="en-GB"/>
              </w:rPr>
              <w:t>Cible 2.8: L'égalité hommes-femmes en matière d'utilisation de l'Internet et de possession de téléphone mobile devrait être assurée</w:t>
            </w:r>
          </w:p>
        </w:tc>
        <w:tc>
          <w:tcPr>
            <w:tcW w:w="2410" w:type="dxa"/>
            <w:gridSpan w:val="2"/>
            <w:shd w:val="clear" w:color="auto" w:fill="FF0000"/>
          </w:tcPr>
          <w:p w14:paraId="55787C2A" w14:textId="77777777" w:rsidR="00CA2FCD" w:rsidRPr="00274C1D" w:rsidRDefault="00CA2FCD" w:rsidP="000A07B4">
            <w:pPr>
              <w:pStyle w:val="Tabletext"/>
              <w:jc w:val="center"/>
              <w:rPr>
                <w:sz w:val="18"/>
                <w:szCs w:val="18"/>
                <w:lang w:eastAsia="en-GB"/>
              </w:rPr>
            </w:pPr>
            <w:r w:rsidRPr="00274C1D">
              <w:rPr>
                <w:b/>
                <w:bCs/>
                <w:sz w:val="18"/>
                <w:szCs w:val="18"/>
                <w:lang w:eastAsia="en-GB"/>
              </w:rPr>
              <w:t>Cible mal engagée</w:t>
            </w:r>
          </w:p>
        </w:tc>
      </w:tr>
      <w:tr w:rsidR="00CA2FCD" w:rsidRPr="00274C1D" w14:paraId="325866E5" w14:textId="77777777" w:rsidTr="00721255">
        <w:trPr>
          <w:trHeight w:val="20"/>
        </w:trPr>
        <w:tc>
          <w:tcPr>
            <w:tcW w:w="1135" w:type="dxa"/>
            <w:vMerge/>
            <w:vAlign w:val="center"/>
          </w:tcPr>
          <w:p w14:paraId="5B971E87" w14:textId="77777777" w:rsidR="00CA2FCD" w:rsidRPr="00274C1D" w:rsidRDefault="00CA2FCD" w:rsidP="000A07B4">
            <w:pPr>
              <w:pStyle w:val="Tabletext"/>
              <w:jc w:val="center"/>
              <w:rPr>
                <w:sz w:val="18"/>
                <w:szCs w:val="18"/>
                <w:lang w:eastAsia="en-GB"/>
              </w:rPr>
            </w:pPr>
          </w:p>
        </w:tc>
        <w:tc>
          <w:tcPr>
            <w:tcW w:w="6662" w:type="dxa"/>
            <w:hideMark/>
          </w:tcPr>
          <w:p w14:paraId="4F7B1328" w14:textId="77777777" w:rsidR="00CA2FCD" w:rsidRPr="00274C1D" w:rsidRDefault="00CA2FCD" w:rsidP="000A07B4">
            <w:pPr>
              <w:pStyle w:val="Tabletext"/>
              <w:rPr>
                <w:rFonts w:ascii="Arial" w:hAnsi="Arial" w:cs="Arial"/>
                <w:sz w:val="18"/>
                <w:szCs w:val="18"/>
                <w:lang w:eastAsia="en-GB"/>
              </w:rPr>
            </w:pPr>
            <w:r w:rsidRPr="00274C1D">
              <w:rPr>
                <w:sz w:val="18"/>
                <w:szCs w:val="18"/>
                <w:lang w:eastAsia="en-GB"/>
              </w:rPr>
              <w:t>Cible 2.9: Des environnements propices garantissant l'accessibilité des télécommunications/TIC pour les personnes handicapées devraient être mis en place dans tous les pays</w:t>
            </w:r>
          </w:p>
        </w:tc>
        <w:tc>
          <w:tcPr>
            <w:tcW w:w="2410" w:type="dxa"/>
            <w:gridSpan w:val="2"/>
            <w:shd w:val="clear" w:color="auto" w:fill="FF0000"/>
          </w:tcPr>
          <w:p w14:paraId="3F9AD7DF" w14:textId="77777777" w:rsidR="00CA2FCD" w:rsidRPr="00274C1D" w:rsidRDefault="00CA2FCD" w:rsidP="000A07B4">
            <w:pPr>
              <w:pStyle w:val="Tabletext"/>
              <w:jc w:val="center"/>
              <w:rPr>
                <w:b/>
                <w:bCs/>
                <w:sz w:val="18"/>
                <w:szCs w:val="18"/>
                <w:lang w:eastAsia="en-GB"/>
              </w:rPr>
            </w:pPr>
            <w:r w:rsidRPr="00274C1D">
              <w:rPr>
                <w:b/>
                <w:bCs/>
                <w:sz w:val="18"/>
                <w:szCs w:val="18"/>
                <w:lang w:eastAsia="en-GB"/>
              </w:rPr>
              <w:t>Cible mal engagée</w:t>
            </w:r>
          </w:p>
        </w:tc>
      </w:tr>
      <w:tr w:rsidR="00CA2FCD" w:rsidRPr="00274C1D" w14:paraId="105A5A5D" w14:textId="77777777" w:rsidTr="00721255">
        <w:trPr>
          <w:cnfStyle w:val="000000100000" w:firstRow="0" w:lastRow="0" w:firstColumn="0" w:lastColumn="0" w:oddVBand="0" w:evenVBand="0" w:oddHBand="1" w:evenHBand="0" w:firstRowFirstColumn="0" w:firstRowLastColumn="0" w:lastRowFirstColumn="0" w:lastRowLastColumn="0"/>
          <w:trHeight w:val="20"/>
        </w:trPr>
        <w:tc>
          <w:tcPr>
            <w:tcW w:w="1135" w:type="dxa"/>
            <w:vMerge/>
            <w:vAlign w:val="center"/>
          </w:tcPr>
          <w:p w14:paraId="047033B7" w14:textId="77777777" w:rsidR="00CA2FCD" w:rsidRPr="00274C1D" w:rsidRDefault="00CA2FCD" w:rsidP="000A07B4">
            <w:pPr>
              <w:pStyle w:val="Tabletext"/>
              <w:jc w:val="center"/>
              <w:rPr>
                <w:sz w:val="18"/>
                <w:szCs w:val="18"/>
                <w:lang w:eastAsia="en-GB"/>
              </w:rPr>
            </w:pPr>
          </w:p>
        </w:tc>
        <w:tc>
          <w:tcPr>
            <w:tcW w:w="6662" w:type="dxa"/>
            <w:hideMark/>
          </w:tcPr>
          <w:p w14:paraId="5F7CA2C2" w14:textId="77777777" w:rsidR="00CA2FCD" w:rsidRPr="00274C1D" w:rsidRDefault="00CA2FCD" w:rsidP="000A07B4">
            <w:pPr>
              <w:pStyle w:val="Tabletext"/>
              <w:rPr>
                <w:rFonts w:ascii="Arial" w:hAnsi="Arial" w:cs="Arial"/>
                <w:sz w:val="18"/>
                <w:szCs w:val="18"/>
                <w:lang w:eastAsia="en-GB"/>
              </w:rPr>
            </w:pPr>
            <w:r w:rsidRPr="00274C1D">
              <w:rPr>
                <w:sz w:val="18"/>
                <w:szCs w:val="18"/>
                <w:lang w:eastAsia="en-GB"/>
              </w:rPr>
              <w:t>Cible 2.10: La proportion de jeunes et d'adultes disposant de compétences dans le domaine des télécommunications/TIC augmentera de 40%</w:t>
            </w:r>
          </w:p>
        </w:tc>
        <w:tc>
          <w:tcPr>
            <w:tcW w:w="2410" w:type="dxa"/>
            <w:gridSpan w:val="2"/>
            <w:shd w:val="clear" w:color="auto" w:fill="FFFFFF" w:themeFill="background1"/>
          </w:tcPr>
          <w:p w14:paraId="4B7CDDEB" w14:textId="77777777" w:rsidR="00CA2FCD" w:rsidRPr="00274C1D" w:rsidRDefault="00CA2FCD" w:rsidP="000A07B4">
            <w:pPr>
              <w:pStyle w:val="Tabletext"/>
              <w:jc w:val="center"/>
              <w:rPr>
                <w:b/>
                <w:bCs/>
                <w:sz w:val="18"/>
                <w:szCs w:val="18"/>
                <w:lang w:eastAsia="en-GB"/>
              </w:rPr>
            </w:pPr>
            <w:r w:rsidRPr="00274C1D">
              <w:rPr>
                <w:b/>
                <w:bCs/>
                <w:sz w:val="18"/>
                <w:szCs w:val="18"/>
                <w:lang w:eastAsia="en-GB"/>
              </w:rPr>
              <w:t>Données insuffisantes</w:t>
            </w:r>
          </w:p>
        </w:tc>
      </w:tr>
      <w:tr w:rsidR="00721255" w:rsidRPr="00274C1D" w14:paraId="610810B3" w14:textId="77777777" w:rsidTr="00721255">
        <w:trPr>
          <w:trHeight w:val="477"/>
        </w:trPr>
        <w:tc>
          <w:tcPr>
            <w:tcW w:w="1135" w:type="dxa"/>
            <w:vMerge w:val="restart"/>
          </w:tcPr>
          <w:p w14:paraId="75495B07" w14:textId="77777777" w:rsidR="00CA2FCD" w:rsidRPr="00274C1D" w:rsidRDefault="00CA2FCD" w:rsidP="000A07B4">
            <w:pPr>
              <w:pStyle w:val="Tabletext"/>
              <w:jc w:val="center"/>
              <w:rPr>
                <w:sz w:val="18"/>
                <w:szCs w:val="18"/>
                <w:lang w:eastAsia="en-GB"/>
              </w:rPr>
            </w:pPr>
            <w:r w:rsidRPr="00274C1D">
              <w:rPr>
                <w:sz w:val="18"/>
                <w:szCs w:val="18"/>
                <w:lang w:eastAsia="en-GB"/>
              </w:rPr>
              <w:t>Durabilité</w:t>
            </w:r>
          </w:p>
        </w:tc>
        <w:tc>
          <w:tcPr>
            <w:tcW w:w="6662" w:type="dxa"/>
            <w:hideMark/>
          </w:tcPr>
          <w:p w14:paraId="1A36130E" w14:textId="77777777" w:rsidR="00CA2FCD" w:rsidRPr="00274C1D" w:rsidRDefault="00CA2FCD" w:rsidP="000A07B4">
            <w:pPr>
              <w:pStyle w:val="Tabletext"/>
              <w:rPr>
                <w:rFonts w:ascii="Arial" w:hAnsi="Arial" w:cs="Arial"/>
                <w:sz w:val="18"/>
                <w:szCs w:val="18"/>
                <w:lang w:eastAsia="en-GB"/>
              </w:rPr>
            </w:pPr>
            <w:r w:rsidRPr="00274C1D">
              <w:rPr>
                <w:sz w:val="18"/>
                <w:szCs w:val="18"/>
                <w:lang w:eastAsia="en-GB"/>
              </w:rPr>
              <w:t>Cible 3.2: Le taux de recyclage des déchets d'équipements électriques et électroniques dans le monde sera porté à 30%</w:t>
            </w:r>
          </w:p>
        </w:tc>
        <w:tc>
          <w:tcPr>
            <w:tcW w:w="1134" w:type="dxa"/>
            <w:shd w:val="clear" w:color="auto" w:fill="FF0000"/>
          </w:tcPr>
          <w:p w14:paraId="2785CF23" w14:textId="77777777" w:rsidR="00CA2FCD" w:rsidRPr="00274C1D" w:rsidRDefault="00CA2FCD" w:rsidP="000A07B4">
            <w:pPr>
              <w:pStyle w:val="Tabletext"/>
              <w:jc w:val="center"/>
              <w:rPr>
                <w:b/>
                <w:bCs/>
                <w:sz w:val="18"/>
                <w:szCs w:val="18"/>
                <w:lang w:eastAsia="en-GB"/>
              </w:rPr>
            </w:pPr>
            <w:r w:rsidRPr="00274C1D">
              <w:rPr>
                <w:b/>
                <w:bCs/>
                <w:sz w:val="18"/>
                <w:szCs w:val="18"/>
                <w:lang w:eastAsia="en-GB"/>
              </w:rPr>
              <w:t>Cible mal engagée</w:t>
            </w:r>
          </w:p>
        </w:tc>
        <w:tc>
          <w:tcPr>
            <w:tcW w:w="1276" w:type="dxa"/>
            <w:shd w:val="clear" w:color="auto" w:fill="FFFFFF" w:themeFill="background1"/>
          </w:tcPr>
          <w:p w14:paraId="53683D64" w14:textId="77777777" w:rsidR="00CA2FCD" w:rsidRPr="00274C1D" w:rsidRDefault="00CA2FCD" w:rsidP="000A07B4">
            <w:pPr>
              <w:pStyle w:val="Tabletext"/>
              <w:jc w:val="center"/>
              <w:rPr>
                <w:b/>
                <w:bCs/>
                <w:sz w:val="18"/>
                <w:szCs w:val="18"/>
                <w:lang w:eastAsia="en-GB"/>
              </w:rPr>
            </w:pPr>
            <w:r w:rsidRPr="00274C1D">
              <w:rPr>
                <w:b/>
                <w:bCs/>
                <w:sz w:val="18"/>
                <w:szCs w:val="18"/>
                <w:lang w:eastAsia="en-GB"/>
              </w:rPr>
              <w:t>Données insuffisantes</w:t>
            </w:r>
          </w:p>
        </w:tc>
      </w:tr>
      <w:tr w:rsidR="00CA2FCD" w:rsidRPr="00274C1D" w14:paraId="216ACA4D" w14:textId="77777777" w:rsidTr="00721255">
        <w:trPr>
          <w:cnfStyle w:val="000000100000" w:firstRow="0" w:lastRow="0" w:firstColumn="0" w:lastColumn="0" w:oddVBand="0" w:evenVBand="0" w:oddHBand="1" w:evenHBand="0" w:firstRowFirstColumn="0" w:firstRowLastColumn="0" w:lastRowFirstColumn="0" w:lastRowLastColumn="0"/>
          <w:trHeight w:val="20"/>
        </w:trPr>
        <w:tc>
          <w:tcPr>
            <w:tcW w:w="1135" w:type="dxa"/>
            <w:vMerge/>
            <w:vAlign w:val="center"/>
          </w:tcPr>
          <w:p w14:paraId="0D758809" w14:textId="77777777" w:rsidR="00CA2FCD" w:rsidRPr="00274C1D" w:rsidRDefault="00CA2FCD" w:rsidP="000A07B4">
            <w:pPr>
              <w:pStyle w:val="Tabletext"/>
              <w:jc w:val="center"/>
              <w:rPr>
                <w:sz w:val="18"/>
                <w:szCs w:val="18"/>
                <w:lang w:eastAsia="en-GB"/>
              </w:rPr>
            </w:pPr>
          </w:p>
        </w:tc>
        <w:tc>
          <w:tcPr>
            <w:tcW w:w="6662" w:type="dxa"/>
            <w:hideMark/>
          </w:tcPr>
          <w:p w14:paraId="70F06F0C" w14:textId="77777777" w:rsidR="00CA2FCD" w:rsidRPr="00274C1D" w:rsidRDefault="00CA2FCD" w:rsidP="000A07B4">
            <w:pPr>
              <w:pStyle w:val="Tabletext"/>
              <w:rPr>
                <w:rFonts w:ascii="Arial" w:hAnsi="Arial" w:cs="Arial"/>
                <w:sz w:val="18"/>
                <w:szCs w:val="18"/>
                <w:lang w:eastAsia="en-GB"/>
              </w:rPr>
            </w:pPr>
            <w:r w:rsidRPr="00274C1D">
              <w:rPr>
                <w:sz w:val="18"/>
                <w:szCs w:val="18"/>
                <w:lang w:eastAsia="en-GB"/>
              </w:rPr>
              <w:t>Cible 3.1: L'état de préparation des pays en matière de cybersécurité, avec des capacités essentielles (existence d'une stratégie, d'équipes nationales d'intervention en cas d'incident/d'urgence informatique et d'une législation) sera renforcé</w:t>
            </w:r>
          </w:p>
        </w:tc>
        <w:tc>
          <w:tcPr>
            <w:tcW w:w="2410" w:type="dxa"/>
            <w:gridSpan w:val="2"/>
            <w:shd w:val="clear" w:color="auto" w:fill="FFC000"/>
          </w:tcPr>
          <w:p w14:paraId="52E11EE3" w14:textId="77777777" w:rsidR="00CA2FCD" w:rsidRPr="00274C1D" w:rsidRDefault="00CA2FCD" w:rsidP="000A07B4">
            <w:pPr>
              <w:pStyle w:val="Tabletext"/>
              <w:jc w:val="center"/>
              <w:rPr>
                <w:b/>
                <w:bCs/>
                <w:sz w:val="18"/>
                <w:szCs w:val="18"/>
                <w:lang w:eastAsia="en-GB"/>
              </w:rPr>
            </w:pPr>
            <w:r w:rsidRPr="00274C1D">
              <w:rPr>
                <w:b/>
                <w:bCs/>
                <w:sz w:val="18"/>
                <w:szCs w:val="18"/>
                <w:lang w:eastAsia="en-GB"/>
              </w:rPr>
              <w:t>Cible en passe d'être atteinte</w:t>
            </w:r>
          </w:p>
        </w:tc>
      </w:tr>
      <w:tr w:rsidR="00CA2FCD" w:rsidRPr="00274C1D" w14:paraId="707D41E5" w14:textId="77777777" w:rsidTr="00721255">
        <w:trPr>
          <w:trHeight w:val="20"/>
        </w:trPr>
        <w:tc>
          <w:tcPr>
            <w:tcW w:w="1135" w:type="dxa"/>
            <w:vMerge/>
            <w:vAlign w:val="center"/>
          </w:tcPr>
          <w:p w14:paraId="18DFABAA" w14:textId="77777777" w:rsidR="00CA2FCD" w:rsidRPr="00274C1D" w:rsidRDefault="00CA2FCD" w:rsidP="000A07B4">
            <w:pPr>
              <w:pStyle w:val="Tabletext"/>
              <w:jc w:val="center"/>
              <w:rPr>
                <w:sz w:val="18"/>
                <w:szCs w:val="18"/>
                <w:lang w:eastAsia="en-GB"/>
              </w:rPr>
            </w:pPr>
          </w:p>
        </w:tc>
        <w:tc>
          <w:tcPr>
            <w:tcW w:w="6662" w:type="dxa"/>
            <w:hideMark/>
          </w:tcPr>
          <w:p w14:paraId="57C95B5E" w14:textId="77777777" w:rsidR="00CA2FCD" w:rsidRPr="00274C1D" w:rsidRDefault="00CA2FCD" w:rsidP="000A07B4">
            <w:pPr>
              <w:pStyle w:val="Tabletext"/>
              <w:rPr>
                <w:rFonts w:ascii="Arial" w:hAnsi="Arial" w:cs="Arial"/>
                <w:sz w:val="18"/>
                <w:szCs w:val="18"/>
                <w:lang w:eastAsia="en-GB"/>
              </w:rPr>
            </w:pPr>
            <w:r w:rsidRPr="00274C1D">
              <w:rPr>
                <w:sz w:val="18"/>
                <w:szCs w:val="18"/>
                <w:lang w:eastAsia="en-GB"/>
              </w:rPr>
              <w:t>Cible 3.3: Le pourcentage de pays dotés d'une législation relative aux déchets d'équipements électriques et électroniques sera porté à 50%</w:t>
            </w:r>
          </w:p>
        </w:tc>
        <w:tc>
          <w:tcPr>
            <w:tcW w:w="2410" w:type="dxa"/>
            <w:gridSpan w:val="2"/>
            <w:shd w:val="clear" w:color="auto" w:fill="00B050"/>
          </w:tcPr>
          <w:p w14:paraId="62C31158" w14:textId="77777777" w:rsidR="00CA2FCD" w:rsidRPr="00274C1D" w:rsidRDefault="00CA2FCD" w:rsidP="000A07B4">
            <w:pPr>
              <w:pStyle w:val="Tabletext"/>
              <w:jc w:val="center"/>
              <w:rPr>
                <w:b/>
                <w:bCs/>
                <w:sz w:val="18"/>
                <w:szCs w:val="18"/>
                <w:lang w:eastAsia="en-GB"/>
              </w:rPr>
            </w:pPr>
            <w:r w:rsidRPr="00274C1D">
              <w:rPr>
                <w:b/>
                <w:bCs/>
                <w:sz w:val="18"/>
                <w:szCs w:val="18"/>
                <w:lang w:eastAsia="en-GB"/>
              </w:rPr>
              <w:t>Cible atteinte</w:t>
            </w:r>
          </w:p>
        </w:tc>
      </w:tr>
      <w:tr w:rsidR="00721255" w:rsidRPr="00274C1D" w14:paraId="26F10534" w14:textId="77777777" w:rsidTr="00721255">
        <w:trPr>
          <w:cnfStyle w:val="000000100000" w:firstRow="0" w:lastRow="0" w:firstColumn="0" w:lastColumn="0" w:oddVBand="0" w:evenVBand="0" w:oddHBand="1" w:evenHBand="0" w:firstRowFirstColumn="0" w:firstRowLastColumn="0" w:lastRowFirstColumn="0" w:lastRowLastColumn="0"/>
          <w:trHeight w:val="497"/>
        </w:trPr>
        <w:tc>
          <w:tcPr>
            <w:tcW w:w="1135" w:type="dxa"/>
            <w:vMerge/>
            <w:vAlign w:val="center"/>
          </w:tcPr>
          <w:p w14:paraId="1055E1BC" w14:textId="77777777" w:rsidR="00CA2FCD" w:rsidRPr="00274C1D" w:rsidRDefault="00CA2FCD" w:rsidP="000A07B4">
            <w:pPr>
              <w:pStyle w:val="Tabletext"/>
              <w:jc w:val="center"/>
              <w:rPr>
                <w:sz w:val="18"/>
                <w:szCs w:val="18"/>
                <w:lang w:eastAsia="en-GB"/>
              </w:rPr>
            </w:pPr>
          </w:p>
        </w:tc>
        <w:tc>
          <w:tcPr>
            <w:tcW w:w="6662" w:type="dxa"/>
            <w:hideMark/>
          </w:tcPr>
          <w:p w14:paraId="49C1A05E" w14:textId="77777777" w:rsidR="00CA2FCD" w:rsidRPr="00274C1D" w:rsidRDefault="00CA2FCD" w:rsidP="000A07B4">
            <w:pPr>
              <w:pStyle w:val="Tabletext"/>
              <w:rPr>
                <w:rFonts w:ascii="Arial" w:hAnsi="Arial" w:cs="Arial"/>
                <w:sz w:val="18"/>
                <w:szCs w:val="18"/>
                <w:lang w:eastAsia="en-GB"/>
              </w:rPr>
            </w:pPr>
            <w:r w:rsidRPr="00274C1D">
              <w:rPr>
                <w:sz w:val="18"/>
                <w:szCs w:val="18"/>
                <w:lang w:eastAsia="en-GB"/>
              </w:rPr>
              <w:t>Cible 3.5: Tous les pays devraient avoir un plan national pour les télécommunications d'urgence dans le cadre de leurs stratégies nationales et locales de réduction des risques de catastrophe</w:t>
            </w:r>
          </w:p>
        </w:tc>
        <w:tc>
          <w:tcPr>
            <w:tcW w:w="1134" w:type="dxa"/>
            <w:shd w:val="clear" w:color="auto" w:fill="FF0000"/>
          </w:tcPr>
          <w:p w14:paraId="24322365" w14:textId="77777777" w:rsidR="00CA2FCD" w:rsidRPr="00274C1D" w:rsidRDefault="00CA2FCD" w:rsidP="000A07B4">
            <w:pPr>
              <w:pStyle w:val="Tabletext"/>
              <w:jc w:val="center"/>
              <w:rPr>
                <w:b/>
                <w:bCs/>
                <w:sz w:val="18"/>
                <w:szCs w:val="18"/>
                <w:lang w:eastAsia="en-GB"/>
              </w:rPr>
            </w:pPr>
            <w:r w:rsidRPr="00274C1D">
              <w:rPr>
                <w:b/>
                <w:bCs/>
                <w:sz w:val="18"/>
                <w:szCs w:val="18"/>
                <w:lang w:eastAsia="en-GB"/>
              </w:rPr>
              <w:t>Cible mal engagée</w:t>
            </w:r>
          </w:p>
        </w:tc>
        <w:tc>
          <w:tcPr>
            <w:tcW w:w="1276" w:type="dxa"/>
            <w:shd w:val="clear" w:color="auto" w:fill="FFFFFF" w:themeFill="background1"/>
          </w:tcPr>
          <w:p w14:paraId="3284AD16" w14:textId="77777777" w:rsidR="00CA2FCD" w:rsidRPr="00274C1D" w:rsidRDefault="00CA2FCD" w:rsidP="000A07B4">
            <w:pPr>
              <w:pStyle w:val="Tabletext"/>
              <w:jc w:val="center"/>
              <w:rPr>
                <w:b/>
                <w:bCs/>
                <w:sz w:val="18"/>
                <w:szCs w:val="18"/>
                <w:lang w:eastAsia="en-GB"/>
              </w:rPr>
            </w:pPr>
            <w:r w:rsidRPr="00274C1D">
              <w:rPr>
                <w:b/>
                <w:bCs/>
                <w:sz w:val="18"/>
                <w:szCs w:val="18"/>
                <w:lang w:eastAsia="en-GB"/>
              </w:rPr>
              <w:t>Données insuffisantes</w:t>
            </w:r>
          </w:p>
        </w:tc>
      </w:tr>
      <w:tr w:rsidR="00CA2FCD" w:rsidRPr="00274C1D" w14:paraId="52238FF5" w14:textId="77777777" w:rsidTr="00721255">
        <w:trPr>
          <w:trHeight w:val="20"/>
        </w:trPr>
        <w:tc>
          <w:tcPr>
            <w:tcW w:w="1135" w:type="dxa"/>
            <w:vMerge/>
            <w:vAlign w:val="center"/>
          </w:tcPr>
          <w:p w14:paraId="07615810" w14:textId="77777777" w:rsidR="00CA2FCD" w:rsidRPr="00274C1D" w:rsidRDefault="00CA2FCD" w:rsidP="000A07B4">
            <w:pPr>
              <w:pStyle w:val="Tabletext"/>
              <w:jc w:val="center"/>
              <w:rPr>
                <w:sz w:val="18"/>
                <w:szCs w:val="18"/>
                <w:lang w:eastAsia="en-GB"/>
              </w:rPr>
            </w:pPr>
          </w:p>
        </w:tc>
        <w:tc>
          <w:tcPr>
            <w:tcW w:w="6662" w:type="dxa"/>
            <w:hideMark/>
          </w:tcPr>
          <w:p w14:paraId="3C7C0BD2" w14:textId="0E67116A" w:rsidR="00CA2FCD" w:rsidRPr="00274C1D" w:rsidRDefault="00CA2FCD" w:rsidP="000A07B4">
            <w:pPr>
              <w:pStyle w:val="Tabletext"/>
              <w:rPr>
                <w:rFonts w:ascii="Arial" w:hAnsi="Arial" w:cs="Arial"/>
                <w:sz w:val="18"/>
                <w:szCs w:val="18"/>
                <w:lang w:eastAsia="en-GB"/>
              </w:rPr>
            </w:pPr>
            <w:r w:rsidRPr="00274C1D">
              <w:rPr>
                <w:sz w:val="18"/>
                <w:szCs w:val="18"/>
                <w:lang w:eastAsia="en-GB"/>
              </w:rPr>
              <w:t>Cible 3.4: La part nette de la réduction des émissions de gaz à effet de serre grâce aux télécommunications/TIC devrait augmenter de 30% par rapport à l'année de référence</w:t>
            </w:r>
            <w:r w:rsidR="00095349" w:rsidRPr="00274C1D">
              <w:rPr>
                <w:sz w:val="18"/>
                <w:szCs w:val="18"/>
                <w:lang w:eastAsia="en-GB"/>
              </w:rPr>
              <w:t> </w:t>
            </w:r>
            <w:r w:rsidRPr="00274C1D">
              <w:rPr>
                <w:sz w:val="18"/>
                <w:szCs w:val="18"/>
                <w:lang w:eastAsia="en-GB"/>
              </w:rPr>
              <w:t>2010</w:t>
            </w:r>
          </w:p>
        </w:tc>
        <w:tc>
          <w:tcPr>
            <w:tcW w:w="2410" w:type="dxa"/>
            <w:gridSpan w:val="2"/>
            <w:shd w:val="clear" w:color="auto" w:fill="FFFFFF" w:themeFill="background1"/>
          </w:tcPr>
          <w:p w14:paraId="7DDE3EFE" w14:textId="77777777" w:rsidR="00CA2FCD" w:rsidRPr="00274C1D" w:rsidRDefault="00CA2FCD" w:rsidP="000A07B4">
            <w:pPr>
              <w:pStyle w:val="Tabletext"/>
              <w:jc w:val="center"/>
              <w:rPr>
                <w:b/>
                <w:bCs/>
                <w:sz w:val="18"/>
                <w:szCs w:val="18"/>
                <w:lang w:eastAsia="en-GB"/>
              </w:rPr>
            </w:pPr>
            <w:r w:rsidRPr="00274C1D">
              <w:rPr>
                <w:b/>
                <w:bCs/>
                <w:sz w:val="18"/>
                <w:szCs w:val="18"/>
                <w:lang w:eastAsia="en-GB"/>
              </w:rPr>
              <w:t>Cible pas encore mesurée</w:t>
            </w:r>
          </w:p>
        </w:tc>
      </w:tr>
      <w:tr w:rsidR="00721255" w:rsidRPr="00274C1D" w14:paraId="30FB1F17" w14:textId="77777777" w:rsidTr="00721255">
        <w:trPr>
          <w:cnfStyle w:val="000000100000" w:firstRow="0" w:lastRow="0" w:firstColumn="0" w:lastColumn="0" w:oddVBand="0" w:evenVBand="0" w:oddHBand="1" w:evenHBand="0" w:firstRowFirstColumn="0" w:firstRowLastColumn="0" w:lastRowFirstColumn="0" w:lastRowLastColumn="0"/>
          <w:trHeight w:val="20"/>
        </w:trPr>
        <w:tc>
          <w:tcPr>
            <w:tcW w:w="1135" w:type="dxa"/>
          </w:tcPr>
          <w:p w14:paraId="3956833F" w14:textId="77777777" w:rsidR="00CA2FCD" w:rsidRPr="00274C1D" w:rsidRDefault="00CA2FCD" w:rsidP="000A07B4">
            <w:pPr>
              <w:pStyle w:val="Tabletext"/>
              <w:jc w:val="center"/>
              <w:rPr>
                <w:sz w:val="18"/>
                <w:szCs w:val="18"/>
                <w:lang w:eastAsia="en-GB"/>
              </w:rPr>
            </w:pPr>
            <w:r w:rsidRPr="00274C1D">
              <w:rPr>
                <w:sz w:val="18"/>
                <w:szCs w:val="18"/>
                <w:lang w:eastAsia="en-GB"/>
              </w:rPr>
              <w:t>Innovation</w:t>
            </w:r>
          </w:p>
        </w:tc>
        <w:tc>
          <w:tcPr>
            <w:tcW w:w="6662" w:type="dxa"/>
            <w:hideMark/>
          </w:tcPr>
          <w:p w14:paraId="46F5C82D" w14:textId="77777777" w:rsidR="00CA2FCD" w:rsidRPr="00274C1D" w:rsidRDefault="00CA2FCD" w:rsidP="000A07B4">
            <w:pPr>
              <w:pStyle w:val="Tabletext"/>
              <w:rPr>
                <w:rFonts w:ascii="Arial" w:hAnsi="Arial" w:cs="Arial"/>
                <w:sz w:val="18"/>
                <w:szCs w:val="18"/>
                <w:lang w:eastAsia="en-GB"/>
              </w:rPr>
            </w:pPr>
            <w:r w:rsidRPr="00274C1D">
              <w:rPr>
                <w:sz w:val="18"/>
                <w:szCs w:val="18"/>
                <w:lang w:eastAsia="en-GB"/>
              </w:rPr>
              <w:t>Cible 4.1: Tous les pays devraient être dotés de politiques/stratégies encourageant l'innovation centrée sur les télécommunications/TIC</w:t>
            </w:r>
          </w:p>
        </w:tc>
        <w:tc>
          <w:tcPr>
            <w:tcW w:w="1134" w:type="dxa"/>
            <w:shd w:val="clear" w:color="auto" w:fill="FF0000"/>
          </w:tcPr>
          <w:p w14:paraId="5E0D3A57" w14:textId="77777777" w:rsidR="00CA2FCD" w:rsidRPr="00274C1D" w:rsidRDefault="00CA2FCD" w:rsidP="000A07B4">
            <w:pPr>
              <w:pStyle w:val="Tabletext"/>
              <w:jc w:val="center"/>
              <w:rPr>
                <w:b/>
                <w:bCs/>
                <w:sz w:val="18"/>
                <w:szCs w:val="18"/>
                <w:lang w:eastAsia="en-GB"/>
              </w:rPr>
            </w:pPr>
            <w:r w:rsidRPr="00274C1D">
              <w:rPr>
                <w:b/>
                <w:bCs/>
                <w:sz w:val="18"/>
                <w:szCs w:val="18"/>
                <w:lang w:eastAsia="en-GB"/>
              </w:rPr>
              <w:t>Cible mal engagée</w:t>
            </w:r>
          </w:p>
        </w:tc>
        <w:tc>
          <w:tcPr>
            <w:tcW w:w="1276" w:type="dxa"/>
            <w:shd w:val="clear" w:color="auto" w:fill="auto"/>
          </w:tcPr>
          <w:p w14:paraId="3C840D33" w14:textId="77777777" w:rsidR="00CA2FCD" w:rsidRPr="00274C1D" w:rsidRDefault="00CA2FCD" w:rsidP="000A07B4">
            <w:pPr>
              <w:pStyle w:val="Tabletext"/>
              <w:jc w:val="center"/>
              <w:rPr>
                <w:b/>
                <w:bCs/>
                <w:sz w:val="18"/>
                <w:szCs w:val="18"/>
                <w:lang w:eastAsia="en-GB"/>
              </w:rPr>
            </w:pPr>
            <w:r w:rsidRPr="00274C1D">
              <w:rPr>
                <w:b/>
                <w:bCs/>
                <w:sz w:val="18"/>
                <w:szCs w:val="18"/>
                <w:lang w:eastAsia="en-GB"/>
              </w:rPr>
              <w:t>Données insuffisantes</w:t>
            </w:r>
          </w:p>
        </w:tc>
      </w:tr>
      <w:tr w:rsidR="00CA2FCD" w:rsidRPr="00274C1D" w14:paraId="37E2C0E3" w14:textId="77777777" w:rsidTr="00721255">
        <w:trPr>
          <w:trHeight w:val="20"/>
        </w:trPr>
        <w:tc>
          <w:tcPr>
            <w:tcW w:w="1135" w:type="dxa"/>
          </w:tcPr>
          <w:p w14:paraId="2CE48CB9" w14:textId="77777777" w:rsidR="00CA2FCD" w:rsidRPr="00274C1D" w:rsidRDefault="00CA2FCD" w:rsidP="000A07B4">
            <w:pPr>
              <w:pStyle w:val="Tabletext"/>
              <w:jc w:val="center"/>
              <w:rPr>
                <w:sz w:val="18"/>
                <w:szCs w:val="18"/>
                <w:lang w:eastAsia="en-GB"/>
              </w:rPr>
            </w:pPr>
            <w:r w:rsidRPr="00274C1D">
              <w:rPr>
                <w:sz w:val="18"/>
                <w:szCs w:val="18"/>
                <w:lang w:eastAsia="en-GB"/>
              </w:rPr>
              <w:t>Partenariats</w:t>
            </w:r>
          </w:p>
        </w:tc>
        <w:tc>
          <w:tcPr>
            <w:tcW w:w="6662" w:type="dxa"/>
            <w:hideMark/>
          </w:tcPr>
          <w:p w14:paraId="56F7671A" w14:textId="77777777" w:rsidR="00CA2FCD" w:rsidRPr="00274C1D" w:rsidRDefault="00CA2FCD" w:rsidP="000A07B4">
            <w:pPr>
              <w:pStyle w:val="Tabletext"/>
              <w:rPr>
                <w:rFonts w:ascii="Arial" w:hAnsi="Arial" w:cs="Arial"/>
                <w:sz w:val="18"/>
                <w:szCs w:val="18"/>
                <w:lang w:eastAsia="en-GB"/>
              </w:rPr>
            </w:pPr>
            <w:r w:rsidRPr="00274C1D">
              <w:rPr>
                <w:sz w:val="18"/>
                <w:szCs w:val="18"/>
                <w:lang w:eastAsia="en-GB"/>
              </w:rPr>
              <w:t>Cible 5.1: L'efficacité des partenariats avec les parties prenantes et la coopération avec d'autres organisations et entités de l'environnement des télécommunications/TIC sera renforcée</w:t>
            </w:r>
          </w:p>
        </w:tc>
        <w:tc>
          <w:tcPr>
            <w:tcW w:w="2410" w:type="dxa"/>
            <w:gridSpan w:val="2"/>
            <w:shd w:val="clear" w:color="auto" w:fill="FFC000"/>
          </w:tcPr>
          <w:p w14:paraId="6C3B3EBD" w14:textId="77777777" w:rsidR="00CA2FCD" w:rsidRPr="00274C1D" w:rsidRDefault="00CA2FCD" w:rsidP="000A07B4">
            <w:pPr>
              <w:pStyle w:val="Tabletext"/>
              <w:jc w:val="center"/>
              <w:rPr>
                <w:b/>
                <w:bCs/>
                <w:sz w:val="18"/>
                <w:szCs w:val="18"/>
                <w:lang w:eastAsia="en-GB"/>
              </w:rPr>
            </w:pPr>
            <w:r w:rsidRPr="00274C1D">
              <w:rPr>
                <w:b/>
                <w:bCs/>
                <w:sz w:val="18"/>
                <w:szCs w:val="18"/>
                <w:lang w:eastAsia="en-GB"/>
              </w:rPr>
              <w:t>Cible en passe d'être atteinte</w:t>
            </w:r>
          </w:p>
        </w:tc>
      </w:tr>
    </w:tbl>
    <w:p w14:paraId="75BF0DEA" w14:textId="77777777" w:rsidR="00CA2FCD" w:rsidRPr="00274C1D" w:rsidRDefault="00CA2FCD" w:rsidP="00CA2FCD">
      <w:r w:rsidRPr="00274C1D">
        <w:t xml:space="preserve">Le nouveau Plan stratégique pour la période 2024-2027 tient compte de ces résultats dans le cadre de la définition des nouveaux objectifs et des cibles à l'horizon 2027. Toutefois, sur la base de ce qui précède, il se peut que les moyennes mondiales ne suffisent pas à évaluer la situation avec précision dans de nombreux cas. Bien que les cibles semblent en bonne voie pour être atteintes à l'échelle mondiale, une analyse plus poussée des PMA ou une attention particulière accordée aux femmes et aux jeunes filles montreront qu'en réalité, la situation ne s'améliore </w:t>
      </w:r>
      <w:r w:rsidRPr="00274C1D">
        <w:rPr>
          <w:u w:val="single"/>
        </w:rPr>
        <w:t>pas suffisamment</w:t>
      </w:r>
      <w:r w:rsidRPr="00274C1D">
        <w:t>. L'évaluation appropriée des nouvelles cibles pour 2027 exigera souvent que les données soient ventilées par niveau de développement et/ou ventilées par sexe, âge, lieu de vie, etc.</w:t>
      </w:r>
    </w:p>
    <w:p w14:paraId="5F8FE915" w14:textId="77777777" w:rsidR="002677E3" w:rsidRPr="00274C1D" w:rsidRDefault="002677E3" w:rsidP="002677E3">
      <w:pPr>
        <w:pStyle w:val="Heading1"/>
      </w:pPr>
      <w:bookmarkStart w:id="5" w:name="_Toc133303262"/>
      <w:bookmarkStart w:id="6" w:name="_Toc138838633"/>
      <w:r w:rsidRPr="00274C1D">
        <w:lastRenderedPageBreak/>
        <w:t>4</w:t>
      </w:r>
      <w:r w:rsidRPr="00274C1D">
        <w:tab/>
        <w:t>Principaux thèmes de travail</w:t>
      </w:r>
      <w:bookmarkStart w:id="7" w:name="_Toc37860456"/>
      <w:bookmarkStart w:id="8" w:name="_Toc37861217"/>
      <w:bookmarkStart w:id="9" w:name="_Toc37943336"/>
      <w:bookmarkEnd w:id="5"/>
      <w:bookmarkEnd w:id="6"/>
    </w:p>
    <w:p w14:paraId="2EEDA478" w14:textId="77777777" w:rsidR="002677E3" w:rsidRPr="00274C1D" w:rsidRDefault="002677E3" w:rsidP="002677E3">
      <w:pPr>
        <w:pStyle w:val="Heading2"/>
      </w:pPr>
      <w:bookmarkStart w:id="10" w:name="_Toc133303263"/>
      <w:bookmarkStart w:id="11" w:name="_Toc138838634"/>
      <w:r w:rsidRPr="00274C1D">
        <w:t>4.1</w:t>
      </w:r>
      <w:r w:rsidRPr="00274C1D">
        <w:tab/>
        <w:t>Réglementation et gestion du spectre/des orbites</w:t>
      </w:r>
      <w:bookmarkEnd w:id="7"/>
      <w:bookmarkEnd w:id="8"/>
      <w:bookmarkEnd w:id="9"/>
      <w:bookmarkEnd w:id="10"/>
      <w:bookmarkEnd w:id="11"/>
    </w:p>
    <w:p w14:paraId="6DCB6143" w14:textId="3C1B754D" w:rsidR="002677E3" w:rsidRPr="00274C1D" w:rsidRDefault="002677E3" w:rsidP="002677E3">
      <w:r w:rsidRPr="00274C1D">
        <w:t>À sa seconde session, la Réunion de préparation à la Conférence de 2023 (RPC23-2) a élaboré un rapport de synthèse visant à appuyer les travaux de la Conférence mondiale des radiocommunications de 2023 (CMR-23) sur la base:</w:t>
      </w:r>
    </w:p>
    <w:p w14:paraId="2E5F4718" w14:textId="77777777" w:rsidR="002677E3" w:rsidRPr="00274C1D" w:rsidRDefault="002677E3" w:rsidP="002677E3">
      <w:pPr>
        <w:pStyle w:val="enumlev1"/>
      </w:pPr>
      <w:r w:rsidRPr="00274C1D">
        <w:t>•</w:t>
      </w:r>
      <w:r w:rsidRPr="00274C1D">
        <w:tab/>
        <w:t>de la présentation, de l'examen, de la simplification et de la mise à jour des documents provenant des groupes responsables et portant sur les points inscrits à l'ordre du jour de la CMR-23, tout en tenant compte des contributions des États Membres de l'UIT et des Membres du Secteur des radiocommunications, concernant les questions réglementaires, techniques, opérationnelles et de procédure que la Conférence des radiocommunications sera appelée à examiner;</w:t>
      </w:r>
    </w:p>
    <w:p w14:paraId="18373206" w14:textId="77777777" w:rsidR="002677E3" w:rsidRPr="00274C1D" w:rsidRDefault="002677E3" w:rsidP="002677E3">
      <w:pPr>
        <w:pStyle w:val="enumlev1"/>
      </w:pPr>
      <w:r w:rsidRPr="00274C1D">
        <w:t>•</w:t>
      </w:r>
      <w:r w:rsidRPr="00274C1D">
        <w:tab/>
        <w:t>dans la mesure pratiquement réalisable, de la prise en compte des différences d'approche harmonisées ressortant des documents source ou, si tous les efforts déployés pour concilier ces différences n'aboutissent pas, des variantes et de leurs justifications.</w:t>
      </w:r>
    </w:p>
    <w:p w14:paraId="2B2FB581" w14:textId="6052CDD5" w:rsidR="002677E3" w:rsidRPr="00274C1D" w:rsidRDefault="002677E3" w:rsidP="002677E3">
      <w:pPr>
        <w:pStyle w:val="Tabletitle"/>
        <w:spacing w:before="240"/>
        <w:jc w:val="left"/>
      </w:pPr>
      <w:bookmarkStart w:id="12" w:name="_Toc41032046"/>
      <w:bookmarkStart w:id="13" w:name="_Toc72845007"/>
      <w:bookmarkStart w:id="14" w:name="_Toc72846355"/>
      <w:bookmarkStart w:id="15" w:name="_Toc72846581"/>
      <w:bookmarkStart w:id="16" w:name="_Toc95387462"/>
      <w:r w:rsidRPr="00274C1D">
        <w:t>Résultats du traitement des fiches de notification (services spatiaux) et des autres activités connexes</w:t>
      </w:r>
      <w:bookmarkEnd w:id="12"/>
      <w:bookmarkEnd w:id="13"/>
      <w:bookmarkEnd w:id="14"/>
      <w:bookmarkEnd w:id="15"/>
      <w:bookmarkEnd w:id="16"/>
    </w:p>
    <w:tbl>
      <w:tblPr>
        <w:tblStyle w:val="ListTable4-Accent1"/>
        <w:tblW w:w="9503" w:type="dxa"/>
        <w:tblLook w:val="04A0" w:firstRow="1" w:lastRow="0" w:firstColumn="1" w:lastColumn="0" w:noHBand="0" w:noVBand="1"/>
      </w:tblPr>
      <w:tblGrid>
        <w:gridCol w:w="4248"/>
        <w:gridCol w:w="992"/>
        <w:gridCol w:w="992"/>
        <w:gridCol w:w="1134"/>
        <w:gridCol w:w="993"/>
        <w:gridCol w:w="1144"/>
      </w:tblGrid>
      <w:tr w:rsidR="002677E3" w:rsidRPr="00274C1D" w14:paraId="5C4229E3" w14:textId="77777777" w:rsidTr="002677E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shd w:val="clear" w:color="auto" w:fill="548DD4" w:themeFill="text2" w:themeFillTint="99"/>
            <w:hideMark/>
          </w:tcPr>
          <w:p w14:paraId="6B82A7CC" w14:textId="77777777" w:rsidR="002677E3" w:rsidRPr="00274C1D" w:rsidRDefault="002677E3" w:rsidP="000A07B4">
            <w:pPr>
              <w:pStyle w:val="Tablehead"/>
              <w:rPr>
                <w:b/>
                <w:bCs w:val="0"/>
                <w:sz w:val="20"/>
                <w:lang w:eastAsia="en-GB"/>
              </w:rPr>
            </w:pPr>
          </w:p>
        </w:tc>
        <w:tc>
          <w:tcPr>
            <w:tcW w:w="992" w:type="dxa"/>
            <w:shd w:val="clear" w:color="auto" w:fill="548DD4" w:themeFill="text2" w:themeFillTint="99"/>
            <w:noWrap/>
            <w:hideMark/>
          </w:tcPr>
          <w:p w14:paraId="0E6C3872" w14:textId="77777777" w:rsidR="002677E3" w:rsidRPr="00274C1D" w:rsidRDefault="002677E3" w:rsidP="000A07B4">
            <w:pPr>
              <w:pStyle w:val="Tablehead"/>
              <w:cnfStyle w:val="100000000000" w:firstRow="1" w:lastRow="0" w:firstColumn="0" w:lastColumn="0" w:oddVBand="0" w:evenVBand="0" w:oddHBand="0" w:evenHBand="0" w:firstRowFirstColumn="0" w:firstRowLastColumn="0" w:lastRowFirstColumn="0" w:lastRowLastColumn="0"/>
              <w:rPr>
                <w:rFonts w:cs="Calibri"/>
                <w:b/>
                <w:bCs w:val="0"/>
                <w:sz w:val="20"/>
                <w:lang w:eastAsia="fr-FR"/>
              </w:rPr>
            </w:pPr>
            <w:r w:rsidRPr="00274C1D">
              <w:rPr>
                <w:rFonts w:cs="Calibri"/>
                <w:b/>
                <w:bCs w:val="0"/>
                <w:sz w:val="20"/>
                <w:lang w:eastAsia="fr-FR"/>
              </w:rPr>
              <w:t>2019</w:t>
            </w:r>
          </w:p>
        </w:tc>
        <w:tc>
          <w:tcPr>
            <w:tcW w:w="992" w:type="dxa"/>
            <w:shd w:val="clear" w:color="auto" w:fill="548DD4" w:themeFill="text2" w:themeFillTint="99"/>
            <w:noWrap/>
            <w:hideMark/>
          </w:tcPr>
          <w:p w14:paraId="68BE204A" w14:textId="77777777" w:rsidR="002677E3" w:rsidRPr="00274C1D" w:rsidRDefault="002677E3" w:rsidP="000A07B4">
            <w:pPr>
              <w:pStyle w:val="Tablehead"/>
              <w:cnfStyle w:val="100000000000" w:firstRow="1" w:lastRow="0" w:firstColumn="0" w:lastColumn="0" w:oddVBand="0" w:evenVBand="0" w:oddHBand="0" w:evenHBand="0" w:firstRowFirstColumn="0" w:firstRowLastColumn="0" w:lastRowFirstColumn="0" w:lastRowLastColumn="0"/>
              <w:rPr>
                <w:rFonts w:cs="Calibri"/>
                <w:b/>
                <w:bCs w:val="0"/>
                <w:sz w:val="20"/>
                <w:lang w:eastAsia="fr-FR"/>
              </w:rPr>
            </w:pPr>
            <w:r w:rsidRPr="00274C1D">
              <w:rPr>
                <w:rFonts w:cs="Calibri"/>
                <w:b/>
                <w:bCs w:val="0"/>
                <w:sz w:val="20"/>
                <w:lang w:eastAsia="fr-FR"/>
              </w:rPr>
              <w:t>2020</w:t>
            </w:r>
          </w:p>
        </w:tc>
        <w:tc>
          <w:tcPr>
            <w:tcW w:w="1134" w:type="dxa"/>
            <w:shd w:val="clear" w:color="auto" w:fill="548DD4" w:themeFill="text2" w:themeFillTint="99"/>
          </w:tcPr>
          <w:p w14:paraId="60E99D88" w14:textId="77777777" w:rsidR="002677E3" w:rsidRPr="00274C1D" w:rsidRDefault="002677E3" w:rsidP="000A07B4">
            <w:pPr>
              <w:pStyle w:val="Tablehead"/>
              <w:cnfStyle w:val="100000000000" w:firstRow="1" w:lastRow="0" w:firstColumn="0" w:lastColumn="0" w:oddVBand="0" w:evenVBand="0" w:oddHBand="0" w:evenHBand="0" w:firstRowFirstColumn="0" w:firstRowLastColumn="0" w:lastRowFirstColumn="0" w:lastRowLastColumn="0"/>
              <w:rPr>
                <w:rFonts w:cs="Calibri"/>
                <w:b/>
                <w:bCs w:val="0"/>
                <w:sz w:val="20"/>
                <w:lang w:eastAsia="fr-FR"/>
              </w:rPr>
            </w:pPr>
            <w:r w:rsidRPr="00274C1D">
              <w:rPr>
                <w:rFonts w:cs="Calibri"/>
                <w:b/>
                <w:bCs w:val="0"/>
                <w:sz w:val="20"/>
                <w:lang w:eastAsia="fr-FR"/>
              </w:rPr>
              <w:t>2021</w:t>
            </w:r>
          </w:p>
        </w:tc>
        <w:tc>
          <w:tcPr>
            <w:tcW w:w="993" w:type="dxa"/>
            <w:shd w:val="clear" w:color="auto" w:fill="548DD4" w:themeFill="text2" w:themeFillTint="99"/>
          </w:tcPr>
          <w:p w14:paraId="7D4D64C3" w14:textId="77777777" w:rsidR="002677E3" w:rsidRPr="00274C1D" w:rsidRDefault="002677E3" w:rsidP="000A07B4">
            <w:pPr>
              <w:pStyle w:val="Tablehead"/>
              <w:cnfStyle w:val="100000000000" w:firstRow="1" w:lastRow="0" w:firstColumn="0" w:lastColumn="0" w:oddVBand="0" w:evenVBand="0" w:oddHBand="0" w:evenHBand="0" w:firstRowFirstColumn="0" w:firstRowLastColumn="0" w:lastRowFirstColumn="0" w:lastRowLastColumn="0"/>
              <w:rPr>
                <w:rFonts w:cs="Calibri"/>
                <w:b/>
                <w:bCs w:val="0"/>
                <w:sz w:val="20"/>
                <w:lang w:eastAsia="fr-FR"/>
              </w:rPr>
            </w:pPr>
            <w:r w:rsidRPr="00274C1D">
              <w:rPr>
                <w:rFonts w:cs="Calibri"/>
                <w:b/>
                <w:bCs w:val="0"/>
                <w:sz w:val="20"/>
                <w:lang w:eastAsia="fr-FR"/>
              </w:rPr>
              <w:t>2022</w:t>
            </w:r>
          </w:p>
        </w:tc>
        <w:tc>
          <w:tcPr>
            <w:tcW w:w="1144" w:type="dxa"/>
            <w:shd w:val="clear" w:color="auto" w:fill="548DD4" w:themeFill="text2" w:themeFillTint="99"/>
            <w:noWrap/>
            <w:hideMark/>
          </w:tcPr>
          <w:p w14:paraId="1D1F7E6F" w14:textId="77777777" w:rsidR="002677E3" w:rsidRPr="00274C1D" w:rsidRDefault="002677E3" w:rsidP="000A07B4">
            <w:pPr>
              <w:pStyle w:val="Tablehead"/>
              <w:cnfStyle w:val="100000000000" w:firstRow="1" w:lastRow="0" w:firstColumn="0" w:lastColumn="0" w:oddVBand="0" w:evenVBand="0" w:oddHBand="0" w:evenHBand="0" w:firstRowFirstColumn="0" w:firstRowLastColumn="0" w:lastRowFirstColumn="0" w:lastRowLastColumn="0"/>
              <w:rPr>
                <w:rFonts w:cs="Calibri"/>
                <w:b/>
                <w:bCs w:val="0"/>
                <w:sz w:val="20"/>
                <w:lang w:eastAsia="fr-FR"/>
              </w:rPr>
            </w:pPr>
            <w:bookmarkStart w:id="17" w:name="lt_pId207"/>
            <w:r w:rsidRPr="00274C1D">
              <w:rPr>
                <w:rFonts w:cs="Calibri"/>
                <w:b/>
                <w:bCs w:val="0"/>
                <w:sz w:val="20"/>
                <w:lang w:eastAsia="fr-FR"/>
              </w:rPr>
              <w:t>Total</w:t>
            </w:r>
            <w:bookmarkEnd w:id="17"/>
            <w:r w:rsidRPr="00274C1D">
              <w:rPr>
                <w:rFonts w:cs="Calibri"/>
                <w:b/>
                <w:bCs w:val="0"/>
                <w:sz w:val="20"/>
                <w:lang w:eastAsia="fr-FR"/>
              </w:rPr>
              <w:br/>
              <w:t>2019-2022</w:t>
            </w:r>
          </w:p>
        </w:tc>
      </w:tr>
      <w:tr w:rsidR="002677E3" w:rsidRPr="00274C1D" w14:paraId="3394A424" w14:textId="77777777" w:rsidTr="002677E3">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hideMark/>
          </w:tcPr>
          <w:p w14:paraId="714DC0D4" w14:textId="77777777" w:rsidR="002677E3" w:rsidRPr="00274C1D" w:rsidRDefault="002677E3" w:rsidP="000A07B4">
            <w:pPr>
              <w:pStyle w:val="Tabletext"/>
              <w:rPr>
                <w:b w:val="0"/>
                <w:bCs w:val="0"/>
                <w:sz w:val="20"/>
              </w:rPr>
            </w:pPr>
            <w:r w:rsidRPr="00274C1D">
              <w:rPr>
                <w:b w:val="0"/>
                <w:bCs w:val="0"/>
                <w:sz w:val="20"/>
              </w:rPr>
              <w:t>Demandes de coordination et de notification</w:t>
            </w:r>
          </w:p>
        </w:tc>
        <w:tc>
          <w:tcPr>
            <w:tcW w:w="992" w:type="dxa"/>
            <w:shd w:val="clear" w:color="auto" w:fill="FFFFFF" w:themeFill="background1"/>
            <w:noWrap/>
            <w:hideMark/>
          </w:tcPr>
          <w:p w14:paraId="4EEB7D46" w14:textId="77777777" w:rsidR="002677E3" w:rsidRPr="00274C1D" w:rsidRDefault="002677E3" w:rsidP="000A07B4">
            <w:pPr>
              <w:pStyle w:val="Tabletext"/>
              <w:jc w:val="center"/>
              <w:cnfStyle w:val="000000100000" w:firstRow="0" w:lastRow="0" w:firstColumn="0" w:lastColumn="0" w:oddVBand="0" w:evenVBand="0" w:oddHBand="1" w:evenHBand="0" w:firstRowFirstColumn="0" w:firstRowLastColumn="0" w:lastRowFirstColumn="0" w:lastRowLastColumn="0"/>
              <w:rPr>
                <w:sz w:val="20"/>
                <w:lang w:eastAsia="fr-FR"/>
              </w:rPr>
            </w:pPr>
            <w:r w:rsidRPr="00274C1D">
              <w:rPr>
                <w:rFonts w:eastAsia="Calibri"/>
                <w:sz w:val="20"/>
                <w:szCs w:val="18"/>
              </w:rPr>
              <w:t>1 174</w:t>
            </w:r>
          </w:p>
        </w:tc>
        <w:tc>
          <w:tcPr>
            <w:tcW w:w="992" w:type="dxa"/>
            <w:shd w:val="clear" w:color="auto" w:fill="FFFFFF" w:themeFill="background1"/>
            <w:noWrap/>
            <w:hideMark/>
          </w:tcPr>
          <w:p w14:paraId="3B31D4CD" w14:textId="77777777" w:rsidR="002677E3" w:rsidRPr="00274C1D" w:rsidRDefault="002677E3" w:rsidP="000A07B4">
            <w:pPr>
              <w:pStyle w:val="Tabletext"/>
              <w:jc w:val="center"/>
              <w:cnfStyle w:val="000000100000" w:firstRow="0" w:lastRow="0" w:firstColumn="0" w:lastColumn="0" w:oddVBand="0" w:evenVBand="0" w:oddHBand="1" w:evenHBand="0" w:firstRowFirstColumn="0" w:firstRowLastColumn="0" w:lastRowFirstColumn="0" w:lastRowLastColumn="0"/>
              <w:rPr>
                <w:sz w:val="20"/>
                <w:lang w:eastAsia="fr-FR"/>
              </w:rPr>
            </w:pPr>
            <w:r w:rsidRPr="00274C1D">
              <w:rPr>
                <w:rFonts w:eastAsia="Calibri"/>
                <w:sz w:val="20"/>
                <w:szCs w:val="18"/>
              </w:rPr>
              <w:t>886</w:t>
            </w:r>
          </w:p>
        </w:tc>
        <w:tc>
          <w:tcPr>
            <w:tcW w:w="1134" w:type="dxa"/>
            <w:shd w:val="clear" w:color="auto" w:fill="FFFFFF" w:themeFill="background1"/>
          </w:tcPr>
          <w:p w14:paraId="01BD854F" w14:textId="77777777" w:rsidR="002677E3" w:rsidRPr="00274C1D" w:rsidRDefault="002677E3" w:rsidP="000A07B4">
            <w:pPr>
              <w:pStyle w:val="Tabletext"/>
              <w:jc w:val="center"/>
              <w:cnfStyle w:val="000000100000" w:firstRow="0" w:lastRow="0" w:firstColumn="0" w:lastColumn="0" w:oddVBand="0" w:evenVBand="0" w:oddHBand="1" w:evenHBand="0" w:firstRowFirstColumn="0" w:firstRowLastColumn="0" w:lastRowFirstColumn="0" w:lastRowLastColumn="0"/>
              <w:rPr>
                <w:sz w:val="20"/>
                <w:lang w:eastAsia="fr-FR"/>
              </w:rPr>
            </w:pPr>
            <w:r w:rsidRPr="00274C1D">
              <w:rPr>
                <w:rFonts w:eastAsia="Calibri"/>
                <w:sz w:val="20"/>
                <w:szCs w:val="18"/>
              </w:rPr>
              <w:t>1 141</w:t>
            </w:r>
          </w:p>
        </w:tc>
        <w:tc>
          <w:tcPr>
            <w:tcW w:w="993" w:type="dxa"/>
            <w:shd w:val="clear" w:color="auto" w:fill="FFFFFF" w:themeFill="background1"/>
          </w:tcPr>
          <w:p w14:paraId="5EAFCA17" w14:textId="77777777" w:rsidR="002677E3" w:rsidRPr="00274C1D" w:rsidRDefault="002677E3" w:rsidP="000A07B4">
            <w:pPr>
              <w:pStyle w:val="Tabletext"/>
              <w:jc w:val="center"/>
              <w:cnfStyle w:val="000000100000" w:firstRow="0" w:lastRow="0" w:firstColumn="0" w:lastColumn="0" w:oddVBand="0" w:evenVBand="0" w:oddHBand="1" w:evenHBand="0" w:firstRowFirstColumn="0" w:firstRowLastColumn="0" w:lastRowFirstColumn="0" w:lastRowLastColumn="0"/>
              <w:rPr>
                <w:sz w:val="20"/>
                <w:lang w:eastAsia="fr-FR"/>
              </w:rPr>
            </w:pPr>
            <w:r w:rsidRPr="00274C1D">
              <w:rPr>
                <w:rFonts w:eastAsia="Calibri"/>
                <w:sz w:val="20"/>
                <w:szCs w:val="18"/>
              </w:rPr>
              <w:t>1 208</w:t>
            </w:r>
          </w:p>
        </w:tc>
        <w:tc>
          <w:tcPr>
            <w:tcW w:w="1144" w:type="dxa"/>
            <w:shd w:val="clear" w:color="auto" w:fill="FFFFFF" w:themeFill="background1"/>
            <w:noWrap/>
          </w:tcPr>
          <w:p w14:paraId="18E8BC83" w14:textId="77777777" w:rsidR="002677E3" w:rsidRPr="00274C1D" w:rsidRDefault="002677E3" w:rsidP="000A07B4">
            <w:pPr>
              <w:pStyle w:val="Tabletext"/>
              <w:jc w:val="center"/>
              <w:cnfStyle w:val="000000100000" w:firstRow="0" w:lastRow="0" w:firstColumn="0" w:lastColumn="0" w:oddVBand="0" w:evenVBand="0" w:oddHBand="1" w:evenHBand="0" w:firstRowFirstColumn="0" w:firstRowLastColumn="0" w:lastRowFirstColumn="0" w:lastRowLastColumn="0"/>
              <w:rPr>
                <w:sz w:val="20"/>
                <w:lang w:eastAsia="fr-FR"/>
              </w:rPr>
            </w:pPr>
            <w:r w:rsidRPr="00274C1D">
              <w:rPr>
                <w:rFonts w:eastAsia="Calibri"/>
                <w:sz w:val="20"/>
                <w:szCs w:val="18"/>
              </w:rPr>
              <w:t>4 409</w:t>
            </w:r>
          </w:p>
        </w:tc>
      </w:tr>
      <w:tr w:rsidR="002677E3" w:rsidRPr="00274C1D" w14:paraId="39D854A6" w14:textId="77777777" w:rsidTr="002677E3">
        <w:trPr>
          <w:trHeight w:val="900"/>
        </w:trPr>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hideMark/>
          </w:tcPr>
          <w:p w14:paraId="6869B58B" w14:textId="77777777" w:rsidR="002677E3" w:rsidRPr="00274C1D" w:rsidRDefault="002677E3" w:rsidP="000A07B4">
            <w:pPr>
              <w:pStyle w:val="Tabletext"/>
              <w:rPr>
                <w:b w:val="0"/>
                <w:bCs w:val="0"/>
                <w:sz w:val="20"/>
              </w:rPr>
            </w:pPr>
            <w:r w:rsidRPr="00274C1D">
              <w:rPr>
                <w:b w:val="0"/>
                <w:bCs w:val="0"/>
                <w:sz w:val="20"/>
              </w:rPr>
              <w:t>Demandes concernant le Plan pour le service de radiodiffusion par satellite et le Plan associé pour les liaisons de connexion</w:t>
            </w:r>
          </w:p>
        </w:tc>
        <w:tc>
          <w:tcPr>
            <w:tcW w:w="992" w:type="dxa"/>
            <w:shd w:val="clear" w:color="auto" w:fill="FFFFFF" w:themeFill="background1"/>
            <w:noWrap/>
            <w:hideMark/>
          </w:tcPr>
          <w:p w14:paraId="3A6685BD" w14:textId="77777777" w:rsidR="002677E3" w:rsidRPr="00274C1D" w:rsidRDefault="002677E3" w:rsidP="000A07B4">
            <w:pPr>
              <w:pStyle w:val="Tabletext"/>
              <w:jc w:val="center"/>
              <w:cnfStyle w:val="000000000000" w:firstRow="0" w:lastRow="0" w:firstColumn="0" w:lastColumn="0" w:oddVBand="0" w:evenVBand="0" w:oddHBand="0" w:evenHBand="0" w:firstRowFirstColumn="0" w:firstRowLastColumn="0" w:lastRowFirstColumn="0" w:lastRowLastColumn="0"/>
              <w:rPr>
                <w:sz w:val="20"/>
                <w:lang w:eastAsia="fr-FR"/>
              </w:rPr>
            </w:pPr>
            <w:r w:rsidRPr="00274C1D">
              <w:rPr>
                <w:rFonts w:eastAsia="Calibri"/>
                <w:sz w:val="20"/>
                <w:szCs w:val="18"/>
              </w:rPr>
              <w:t>73</w:t>
            </w:r>
          </w:p>
        </w:tc>
        <w:tc>
          <w:tcPr>
            <w:tcW w:w="992" w:type="dxa"/>
            <w:shd w:val="clear" w:color="auto" w:fill="FFFFFF" w:themeFill="background1"/>
            <w:noWrap/>
            <w:hideMark/>
          </w:tcPr>
          <w:p w14:paraId="0A258140" w14:textId="77777777" w:rsidR="002677E3" w:rsidRPr="00274C1D" w:rsidRDefault="002677E3" w:rsidP="000A07B4">
            <w:pPr>
              <w:pStyle w:val="Tabletext"/>
              <w:jc w:val="center"/>
              <w:cnfStyle w:val="000000000000" w:firstRow="0" w:lastRow="0" w:firstColumn="0" w:lastColumn="0" w:oddVBand="0" w:evenVBand="0" w:oddHBand="0" w:evenHBand="0" w:firstRowFirstColumn="0" w:firstRowLastColumn="0" w:lastRowFirstColumn="0" w:lastRowLastColumn="0"/>
              <w:rPr>
                <w:sz w:val="20"/>
                <w:lang w:eastAsia="fr-FR"/>
              </w:rPr>
            </w:pPr>
            <w:r w:rsidRPr="00274C1D">
              <w:rPr>
                <w:rFonts w:eastAsia="Calibri"/>
                <w:sz w:val="20"/>
                <w:szCs w:val="18"/>
              </w:rPr>
              <w:t>186*</w:t>
            </w:r>
          </w:p>
        </w:tc>
        <w:tc>
          <w:tcPr>
            <w:tcW w:w="1134" w:type="dxa"/>
            <w:shd w:val="clear" w:color="auto" w:fill="FFFFFF" w:themeFill="background1"/>
          </w:tcPr>
          <w:p w14:paraId="5BDC22B4" w14:textId="77777777" w:rsidR="002677E3" w:rsidRPr="00274C1D" w:rsidRDefault="002677E3" w:rsidP="000A07B4">
            <w:pPr>
              <w:pStyle w:val="Tabletext"/>
              <w:jc w:val="center"/>
              <w:cnfStyle w:val="000000000000" w:firstRow="0" w:lastRow="0" w:firstColumn="0" w:lastColumn="0" w:oddVBand="0" w:evenVBand="0" w:oddHBand="0" w:evenHBand="0" w:firstRowFirstColumn="0" w:firstRowLastColumn="0" w:lastRowFirstColumn="0" w:lastRowLastColumn="0"/>
              <w:rPr>
                <w:sz w:val="20"/>
                <w:lang w:eastAsia="fr-FR"/>
              </w:rPr>
            </w:pPr>
            <w:r w:rsidRPr="00274C1D">
              <w:rPr>
                <w:rFonts w:eastAsia="Calibri"/>
                <w:sz w:val="20"/>
                <w:szCs w:val="18"/>
              </w:rPr>
              <w:t>69</w:t>
            </w:r>
          </w:p>
        </w:tc>
        <w:tc>
          <w:tcPr>
            <w:tcW w:w="993" w:type="dxa"/>
            <w:shd w:val="clear" w:color="auto" w:fill="FFFFFF" w:themeFill="background1"/>
          </w:tcPr>
          <w:p w14:paraId="272C44E9" w14:textId="77777777" w:rsidR="002677E3" w:rsidRPr="00274C1D" w:rsidRDefault="002677E3" w:rsidP="000A07B4">
            <w:pPr>
              <w:pStyle w:val="Tabletext"/>
              <w:jc w:val="center"/>
              <w:cnfStyle w:val="000000000000" w:firstRow="0" w:lastRow="0" w:firstColumn="0" w:lastColumn="0" w:oddVBand="0" w:evenVBand="0" w:oddHBand="0" w:evenHBand="0" w:firstRowFirstColumn="0" w:firstRowLastColumn="0" w:lastRowFirstColumn="0" w:lastRowLastColumn="0"/>
              <w:rPr>
                <w:sz w:val="20"/>
                <w:lang w:eastAsia="fr-FR"/>
              </w:rPr>
            </w:pPr>
            <w:r w:rsidRPr="00274C1D">
              <w:rPr>
                <w:rFonts w:eastAsia="Calibri"/>
                <w:sz w:val="20"/>
                <w:szCs w:val="18"/>
              </w:rPr>
              <w:t>65</w:t>
            </w:r>
          </w:p>
        </w:tc>
        <w:tc>
          <w:tcPr>
            <w:tcW w:w="1144" w:type="dxa"/>
            <w:shd w:val="clear" w:color="auto" w:fill="FFFFFF" w:themeFill="background1"/>
            <w:noWrap/>
          </w:tcPr>
          <w:p w14:paraId="685C593C" w14:textId="77777777" w:rsidR="002677E3" w:rsidRPr="00274C1D" w:rsidRDefault="002677E3" w:rsidP="000A07B4">
            <w:pPr>
              <w:pStyle w:val="Tabletext"/>
              <w:jc w:val="center"/>
              <w:cnfStyle w:val="000000000000" w:firstRow="0" w:lastRow="0" w:firstColumn="0" w:lastColumn="0" w:oddVBand="0" w:evenVBand="0" w:oddHBand="0" w:evenHBand="0" w:firstRowFirstColumn="0" w:firstRowLastColumn="0" w:lastRowFirstColumn="0" w:lastRowLastColumn="0"/>
              <w:rPr>
                <w:sz w:val="20"/>
                <w:lang w:eastAsia="fr-FR"/>
              </w:rPr>
            </w:pPr>
            <w:r w:rsidRPr="00274C1D">
              <w:rPr>
                <w:rFonts w:eastAsia="Calibri"/>
                <w:sz w:val="20"/>
                <w:szCs w:val="18"/>
              </w:rPr>
              <w:t>393</w:t>
            </w:r>
          </w:p>
        </w:tc>
      </w:tr>
      <w:tr w:rsidR="002677E3" w:rsidRPr="00274C1D" w14:paraId="4DA4D8B7" w14:textId="77777777" w:rsidTr="002677E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hideMark/>
          </w:tcPr>
          <w:p w14:paraId="3B3435D4" w14:textId="77777777" w:rsidR="002677E3" w:rsidRPr="00274C1D" w:rsidRDefault="002677E3" w:rsidP="000A07B4">
            <w:pPr>
              <w:pStyle w:val="Tabletext"/>
              <w:rPr>
                <w:b w:val="0"/>
                <w:bCs w:val="0"/>
                <w:sz w:val="20"/>
              </w:rPr>
            </w:pPr>
            <w:r w:rsidRPr="00274C1D">
              <w:rPr>
                <w:b w:val="0"/>
                <w:bCs w:val="0"/>
                <w:sz w:val="20"/>
              </w:rPr>
              <w:t>Demandes concernant le Plan pour le service fixe par satellite</w:t>
            </w:r>
          </w:p>
        </w:tc>
        <w:tc>
          <w:tcPr>
            <w:tcW w:w="992" w:type="dxa"/>
            <w:shd w:val="clear" w:color="auto" w:fill="FFFFFF" w:themeFill="background1"/>
            <w:noWrap/>
            <w:hideMark/>
          </w:tcPr>
          <w:p w14:paraId="5D01D178" w14:textId="77777777" w:rsidR="002677E3" w:rsidRPr="00274C1D" w:rsidRDefault="002677E3" w:rsidP="000A07B4">
            <w:pPr>
              <w:pStyle w:val="Tabletext"/>
              <w:jc w:val="center"/>
              <w:cnfStyle w:val="000000100000" w:firstRow="0" w:lastRow="0" w:firstColumn="0" w:lastColumn="0" w:oddVBand="0" w:evenVBand="0" w:oddHBand="1" w:evenHBand="0" w:firstRowFirstColumn="0" w:firstRowLastColumn="0" w:lastRowFirstColumn="0" w:lastRowLastColumn="0"/>
              <w:rPr>
                <w:sz w:val="20"/>
                <w:lang w:eastAsia="fr-FR"/>
              </w:rPr>
            </w:pPr>
            <w:r w:rsidRPr="00274C1D">
              <w:rPr>
                <w:rFonts w:eastAsia="Calibri"/>
                <w:sz w:val="20"/>
                <w:szCs w:val="18"/>
              </w:rPr>
              <w:t>51</w:t>
            </w:r>
          </w:p>
        </w:tc>
        <w:tc>
          <w:tcPr>
            <w:tcW w:w="992" w:type="dxa"/>
            <w:shd w:val="clear" w:color="auto" w:fill="FFFFFF" w:themeFill="background1"/>
            <w:noWrap/>
            <w:hideMark/>
          </w:tcPr>
          <w:p w14:paraId="29CDBF10" w14:textId="77777777" w:rsidR="002677E3" w:rsidRPr="00274C1D" w:rsidRDefault="002677E3" w:rsidP="000A07B4">
            <w:pPr>
              <w:pStyle w:val="Tabletext"/>
              <w:jc w:val="center"/>
              <w:cnfStyle w:val="000000100000" w:firstRow="0" w:lastRow="0" w:firstColumn="0" w:lastColumn="0" w:oddVBand="0" w:evenVBand="0" w:oddHBand="1" w:evenHBand="0" w:firstRowFirstColumn="0" w:firstRowLastColumn="0" w:lastRowFirstColumn="0" w:lastRowLastColumn="0"/>
              <w:rPr>
                <w:sz w:val="20"/>
                <w:lang w:eastAsia="fr-FR"/>
              </w:rPr>
            </w:pPr>
            <w:r w:rsidRPr="00274C1D">
              <w:rPr>
                <w:rFonts w:eastAsia="Calibri"/>
                <w:sz w:val="20"/>
                <w:szCs w:val="18"/>
              </w:rPr>
              <w:t>27**</w:t>
            </w:r>
          </w:p>
        </w:tc>
        <w:tc>
          <w:tcPr>
            <w:tcW w:w="1134" w:type="dxa"/>
            <w:shd w:val="clear" w:color="auto" w:fill="FFFFFF" w:themeFill="background1"/>
          </w:tcPr>
          <w:p w14:paraId="552793D1" w14:textId="77777777" w:rsidR="002677E3" w:rsidRPr="00274C1D" w:rsidRDefault="002677E3" w:rsidP="000A07B4">
            <w:pPr>
              <w:pStyle w:val="Tabletext"/>
              <w:jc w:val="center"/>
              <w:cnfStyle w:val="000000100000" w:firstRow="0" w:lastRow="0" w:firstColumn="0" w:lastColumn="0" w:oddVBand="0" w:evenVBand="0" w:oddHBand="1" w:evenHBand="0" w:firstRowFirstColumn="0" w:firstRowLastColumn="0" w:lastRowFirstColumn="0" w:lastRowLastColumn="0"/>
              <w:rPr>
                <w:sz w:val="20"/>
                <w:lang w:eastAsia="fr-FR"/>
              </w:rPr>
            </w:pPr>
            <w:r w:rsidRPr="00274C1D">
              <w:rPr>
                <w:rFonts w:eastAsia="Calibri"/>
                <w:sz w:val="20"/>
                <w:szCs w:val="18"/>
              </w:rPr>
              <w:t>71</w:t>
            </w:r>
          </w:p>
        </w:tc>
        <w:tc>
          <w:tcPr>
            <w:tcW w:w="993" w:type="dxa"/>
            <w:shd w:val="clear" w:color="auto" w:fill="FFFFFF" w:themeFill="background1"/>
          </w:tcPr>
          <w:p w14:paraId="6A5E8BF2" w14:textId="77777777" w:rsidR="002677E3" w:rsidRPr="00274C1D" w:rsidRDefault="002677E3" w:rsidP="000A07B4">
            <w:pPr>
              <w:pStyle w:val="Tabletext"/>
              <w:jc w:val="center"/>
              <w:cnfStyle w:val="000000100000" w:firstRow="0" w:lastRow="0" w:firstColumn="0" w:lastColumn="0" w:oddVBand="0" w:evenVBand="0" w:oddHBand="1" w:evenHBand="0" w:firstRowFirstColumn="0" w:firstRowLastColumn="0" w:lastRowFirstColumn="0" w:lastRowLastColumn="0"/>
              <w:rPr>
                <w:sz w:val="20"/>
                <w:lang w:eastAsia="fr-FR"/>
              </w:rPr>
            </w:pPr>
            <w:r w:rsidRPr="00274C1D">
              <w:rPr>
                <w:rFonts w:eastAsia="Calibri"/>
                <w:sz w:val="20"/>
                <w:szCs w:val="18"/>
              </w:rPr>
              <w:t>77</w:t>
            </w:r>
          </w:p>
        </w:tc>
        <w:tc>
          <w:tcPr>
            <w:tcW w:w="1144" w:type="dxa"/>
            <w:shd w:val="clear" w:color="auto" w:fill="FFFFFF" w:themeFill="background1"/>
            <w:noWrap/>
          </w:tcPr>
          <w:p w14:paraId="482BA6A5" w14:textId="77777777" w:rsidR="002677E3" w:rsidRPr="00274C1D" w:rsidRDefault="002677E3" w:rsidP="000A07B4">
            <w:pPr>
              <w:pStyle w:val="Tabletext"/>
              <w:jc w:val="center"/>
              <w:cnfStyle w:val="000000100000" w:firstRow="0" w:lastRow="0" w:firstColumn="0" w:lastColumn="0" w:oddVBand="0" w:evenVBand="0" w:oddHBand="1" w:evenHBand="0" w:firstRowFirstColumn="0" w:firstRowLastColumn="0" w:lastRowFirstColumn="0" w:lastRowLastColumn="0"/>
              <w:rPr>
                <w:sz w:val="20"/>
                <w:lang w:eastAsia="fr-FR"/>
              </w:rPr>
            </w:pPr>
            <w:r w:rsidRPr="00274C1D">
              <w:rPr>
                <w:rFonts w:eastAsia="Calibri"/>
                <w:sz w:val="20"/>
                <w:szCs w:val="18"/>
              </w:rPr>
              <w:t>226</w:t>
            </w:r>
          </w:p>
        </w:tc>
      </w:tr>
      <w:tr w:rsidR="002677E3" w:rsidRPr="00274C1D" w14:paraId="138FFBFA" w14:textId="77777777" w:rsidTr="000A07B4">
        <w:trPr>
          <w:trHeight w:val="600"/>
        </w:trPr>
        <w:tc>
          <w:tcPr>
            <w:cnfStyle w:val="001000000000" w:firstRow="0" w:lastRow="0" w:firstColumn="1" w:lastColumn="0" w:oddVBand="0" w:evenVBand="0" w:oddHBand="0" w:evenHBand="0" w:firstRowFirstColumn="0" w:firstRowLastColumn="0" w:lastRowFirstColumn="0" w:lastRowLastColumn="0"/>
            <w:tcW w:w="9503" w:type="dxa"/>
            <w:gridSpan w:val="6"/>
          </w:tcPr>
          <w:p w14:paraId="481AB6FA" w14:textId="77777777" w:rsidR="002677E3" w:rsidRPr="00274C1D" w:rsidRDefault="002677E3" w:rsidP="000A07B4">
            <w:pPr>
              <w:pStyle w:val="Tablelegend10pt"/>
              <w:spacing w:after="0"/>
            </w:pPr>
            <w:r w:rsidRPr="00274C1D">
              <w:t>*</w:t>
            </w:r>
            <w:r w:rsidRPr="00274C1D">
              <w:tab/>
              <w:t xml:space="preserve">Dont 90 demandes au titre de la </w:t>
            </w:r>
            <w:r w:rsidRPr="00274C1D">
              <w:rPr>
                <w:bCs/>
              </w:rPr>
              <w:t>Résolution 559 (CMR-19)</w:t>
            </w:r>
            <w:r w:rsidRPr="00274C1D">
              <w:t>.</w:t>
            </w:r>
          </w:p>
          <w:p w14:paraId="43EA6E23" w14:textId="77777777" w:rsidR="002677E3" w:rsidRPr="00274C1D" w:rsidRDefault="002677E3" w:rsidP="000A07B4">
            <w:pPr>
              <w:pStyle w:val="Tablelegend10pt"/>
              <w:spacing w:before="60"/>
              <w:rPr>
                <w:lang w:eastAsia="fr-FR"/>
              </w:rPr>
            </w:pPr>
            <w:r w:rsidRPr="00274C1D">
              <w:t>**</w:t>
            </w:r>
            <w:r w:rsidRPr="00274C1D">
              <w:tab/>
              <w:t xml:space="preserve">Après réception de soumissions au titre de l'Article 7 de l'Appendice </w:t>
            </w:r>
            <w:r w:rsidRPr="00274C1D">
              <w:rPr>
                <w:bCs/>
              </w:rPr>
              <w:t>30B</w:t>
            </w:r>
            <w:r w:rsidRPr="00274C1D">
              <w:t>, le traitement d'autres soumissions a été reporté en vertu du § 7.3 dudit Article.</w:t>
            </w:r>
          </w:p>
        </w:tc>
      </w:tr>
    </w:tbl>
    <w:p w14:paraId="16A3FCF4" w14:textId="1A362B81" w:rsidR="00CA2FCD" w:rsidRPr="00274C1D" w:rsidRDefault="002677E3" w:rsidP="00197936">
      <w:pPr>
        <w:pStyle w:val="Tabletitle"/>
        <w:keepNext w:val="0"/>
        <w:spacing w:before="240"/>
        <w:jc w:val="left"/>
      </w:pPr>
      <w:r w:rsidRPr="00274C1D">
        <w:t>Résultats du traitement des fiches de notification (services de Terre)</w:t>
      </w:r>
    </w:p>
    <w:tbl>
      <w:tblPr>
        <w:tblStyle w:val="ListTable4-Accent1"/>
        <w:tblW w:w="9551" w:type="dxa"/>
        <w:tblLayout w:type="fixed"/>
        <w:tblLook w:val="04A0" w:firstRow="1" w:lastRow="0" w:firstColumn="1" w:lastColumn="0" w:noHBand="0" w:noVBand="1"/>
      </w:tblPr>
      <w:tblGrid>
        <w:gridCol w:w="4100"/>
        <w:gridCol w:w="852"/>
        <w:gridCol w:w="917"/>
        <w:gridCol w:w="1134"/>
        <w:gridCol w:w="1246"/>
        <w:gridCol w:w="1302"/>
      </w:tblGrid>
      <w:tr w:rsidR="002677E3" w:rsidRPr="00274C1D" w14:paraId="5020BA83" w14:textId="77777777" w:rsidTr="001979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0" w:type="dxa"/>
            <w:shd w:val="clear" w:color="auto" w:fill="548DD4" w:themeFill="text2" w:themeFillTint="99"/>
          </w:tcPr>
          <w:p w14:paraId="4D1DAAC5" w14:textId="77777777" w:rsidR="002677E3" w:rsidRPr="00274C1D" w:rsidRDefault="002677E3" w:rsidP="00197936">
            <w:pPr>
              <w:pStyle w:val="Tablehead"/>
              <w:rPr>
                <w:rFonts w:eastAsia="Calibri"/>
                <w:sz w:val="20"/>
              </w:rPr>
            </w:pPr>
          </w:p>
        </w:tc>
        <w:tc>
          <w:tcPr>
            <w:tcW w:w="852" w:type="dxa"/>
            <w:shd w:val="clear" w:color="auto" w:fill="548DD4" w:themeFill="text2" w:themeFillTint="99"/>
            <w:hideMark/>
          </w:tcPr>
          <w:p w14:paraId="062D3843" w14:textId="77777777" w:rsidR="002677E3" w:rsidRPr="00274C1D" w:rsidRDefault="002677E3" w:rsidP="00197936">
            <w:pPr>
              <w:pStyle w:val="Tablehead"/>
              <w:cnfStyle w:val="100000000000" w:firstRow="1" w:lastRow="0" w:firstColumn="0" w:lastColumn="0" w:oddVBand="0" w:evenVBand="0" w:oddHBand="0" w:evenHBand="0" w:firstRowFirstColumn="0" w:firstRowLastColumn="0" w:lastRowFirstColumn="0" w:lastRowLastColumn="0"/>
              <w:rPr>
                <w:rFonts w:eastAsia="Calibri"/>
                <w:b/>
                <w:bCs w:val="0"/>
                <w:sz w:val="20"/>
              </w:rPr>
            </w:pPr>
            <w:r w:rsidRPr="00274C1D">
              <w:rPr>
                <w:rFonts w:eastAsia="Calibri"/>
                <w:b/>
                <w:bCs w:val="0"/>
                <w:sz w:val="20"/>
              </w:rPr>
              <w:t>2019</w:t>
            </w:r>
          </w:p>
        </w:tc>
        <w:tc>
          <w:tcPr>
            <w:tcW w:w="917" w:type="dxa"/>
            <w:shd w:val="clear" w:color="auto" w:fill="548DD4" w:themeFill="text2" w:themeFillTint="99"/>
            <w:hideMark/>
          </w:tcPr>
          <w:p w14:paraId="0FD41D03" w14:textId="77777777" w:rsidR="002677E3" w:rsidRPr="00274C1D" w:rsidRDefault="002677E3" w:rsidP="00197936">
            <w:pPr>
              <w:pStyle w:val="Tablehead"/>
              <w:cnfStyle w:val="100000000000" w:firstRow="1" w:lastRow="0" w:firstColumn="0" w:lastColumn="0" w:oddVBand="0" w:evenVBand="0" w:oddHBand="0" w:evenHBand="0" w:firstRowFirstColumn="0" w:firstRowLastColumn="0" w:lastRowFirstColumn="0" w:lastRowLastColumn="0"/>
              <w:rPr>
                <w:rFonts w:eastAsia="Calibri"/>
                <w:b/>
                <w:bCs w:val="0"/>
                <w:sz w:val="20"/>
              </w:rPr>
            </w:pPr>
            <w:r w:rsidRPr="00274C1D">
              <w:rPr>
                <w:rFonts w:eastAsia="Calibri"/>
                <w:b/>
                <w:bCs w:val="0"/>
                <w:sz w:val="20"/>
              </w:rPr>
              <w:t>2020</w:t>
            </w:r>
          </w:p>
        </w:tc>
        <w:tc>
          <w:tcPr>
            <w:tcW w:w="1134" w:type="dxa"/>
            <w:shd w:val="clear" w:color="auto" w:fill="548DD4" w:themeFill="text2" w:themeFillTint="99"/>
            <w:hideMark/>
          </w:tcPr>
          <w:p w14:paraId="5769B82E" w14:textId="77777777" w:rsidR="002677E3" w:rsidRPr="00274C1D" w:rsidRDefault="002677E3" w:rsidP="00197936">
            <w:pPr>
              <w:pStyle w:val="Tablehead"/>
              <w:cnfStyle w:val="100000000000" w:firstRow="1" w:lastRow="0" w:firstColumn="0" w:lastColumn="0" w:oddVBand="0" w:evenVBand="0" w:oddHBand="0" w:evenHBand="0" w:firstRowFirstColumn="0" w:firstRowLastColumn="0" w:lastRowFirstColumn="0" w:lastRowLastColumn="0"/>
              <w:rPr>
                <w:rFonts w:eastAsia="Calibri"/>
                <w:b/>
                <w:bCs w:val="0"/>
                <w:sz w:val="20"/>
              </w:rPr>
            </w:pPr>
            <w:r w:rsidRPr="00274C1D">
              <w:rPr>
                <w:rFonts w:eastAsia="Calibri"/>
                <w:b/>
                <w:bCs w:val="0"/>
                <w:sz w:val="20"/>
              </w:rPr>
              <w:t>2021</w:t>
            </w:r>
          </w:p>
        </w:tc>
        <w:tc>
          <w:tcPr>
            <w:tcW w:w="1246" w:type="dxa"/>
            <w:shd w:val="clear" w:color="auto" w:fill="548DD4" w:themeFill="text2" w:themeFillTint="99"/>
            <w:hideMark/>
          </w:tcPr>
          <w:p w14:paraId="0DCBB07B" w14:textId="77777777" w:rsidR="002677E3" w:rsidRPr="00274C1D" w:rsidRDefault="002677E3" w:rsidP="00197936">
            <w:pPr>
              <w:pStyle w:val="Tablehead"/>
              <w:cnfStyle w:val="100000000000" w:firstRow="1" w:lastRow="0" w:firstColumn="0" w:lastColumn="0" w:oddVBand="0" w:evenVBand="0" w:oddHBand="0" w:evenHBand="0" w:firstRowFirstColumn="0" w:firstRowLastColumn="0" w:lastRowFirstColumn="0" w:lastRowLastColumn="0"/>
              <w:rPr>
                <w:rFonts w:eastAsia="Calibri"/>
                <w:b/>
                <w:bCs w:val="0"/>
                <w:sz w:val="20"/>
              </w:rPr>
            </w:pPr>
            <w:r w:rsidRPr="00274C1D">
              <w:rPr>
                <w:rFonts w:eastAsia="Calibri"/>
                <w:b/>
                <w:bCs w:val="0"/>
                <w:sz w:val="20"/>
              </w:rPr>
              <w:t>2022</w:t>
            </w:r>
          </w:p>
        </w:tc>
        <w:tc>
          <w:tcPr>
            <w:tcW w:w="1302" w:type="dxa"/>
            <w:shd w:val="clear" w:color="auto" w:fill="548DD4" w:themeFill="text2" w:themeFillTint="99"/>
            <w:hideMark/>
          </w:tcPr>
          <w:p w14:paraId="5A3E0425" w14:textId="77777777" w:rsidR="002677E3" w:rsidRPr="00274C1D" w:rsidRDefault="002677E3" w:rsidP="00197936">
            <w:pPr>
              <w:pStyle w:val="Tablehead"/>
              <w:spacing w:after="0"/>
              <w:cnfStyle w:val="100000000000" w:firstRow="1" w:lastRow="0" w:firstColumn="0" w:lastColumn="0" w:oddVBand="0" w:evenVBand="0" w:oddHBand="0" w:evenHBand="0" w:firstRowFirstColumn="0" w:firstRowLastColumn="0" w:lastRowFirstColumn="0" w:lastRowLastColumn="0"/>
              <w:rPr>
                <w:rFonts w:eastAsia="Calibri"/>
                <w:b/>
                <w:bCs w:val="0"/>
                <w:sz w:val="20"/>
              </w:rPr>
            </w:pPr>
            <w:r w:rsidRPr="00274C1D">
              <w:rPr>
                <w:rFonts w:eastAsia="Calibri"/>
                <w:b/>
                <w:bCs w:val="0"/>
                <w:sz w:val="20"/>
              </w:rPr>
              <w:t>Total</w:t>
            </w:r>
          </w:p>
          <w:p w14:paraId="1831F8C1" w14:textId="77777777" w:rsidR="002677E3" w:rsidRPr="00274C1D" w:rsidRDefault="002677E3" w:rsidP="00197936">
            <w:pPr>
              <w:pStyle w:val="Tablehead"/>
              <w:spacing w:before="0"/>
              <w:cnfStyle w:val="100000000000" w:firstRow="1" w:lastRow="0" w:firstColumn="0" w:lastColumn="0" w:oddVBand="0" w:evenVBand="0" w:oddHBand="0" w:evenHBand="0" w:firstRowFirstColumn="0" w:firstRowLastColumn="0" w:lastRowFirstColumn="0" w:lastRowLastColumn="0"/>
              <w:rPr>
                <w:rFonts w:eastAsia="Calibri"/>
                <w:b/>
                <w:bCs w:val="0"/>
                <w:sz w:val="20"/>
              </w:rPr>
            </w:pPr>
            <w:r w:rsidRPr="00274C1D">
              <w:rPr>
                <w:rFonts w:eastAsia="Calibri"/>
                <w:b/>
                <w:bCs w:val="0"/>
                <w:sz w:val="20"/>
              </w:rPr>
              <w:t>2019-2022</w:t>
            </w:r>
          </w:p>
        </w:tc>
      </w:tr>
      <w:tr w:rsidR="002677E3" w:rsidRPr="00274C1D" w14:paraId="6F2A2DCB" w14:textId="77777777" w:rsidTr="000A0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shd w:val="clear" w:color="auto" w:fill="FFFFFF" w:themeFill="background1"/>
          </w:tcPr>
          <w:p w14:paraId="12A0087D" w14:textId="77777777" w:rsidR="002677E3" w:rsidRPr="00274C1D" w:rsidRDefault="002677E3" w:rsidP="00197936">
            <w:pPr>
              <w:pStyle w:val="Tabletext"/>
              <w:rPr>
                <w:rFonts w:eastAsia="Calibri"/>
                <w:b w:val="0"/>
                <w:bCs w:val="0"/>
                <w:sz w:val="20"/>
              </w:rPr>
            </w:pPr>
            <w:r w:rsidRPr="00274C1D">
              <w:rPr>
                <w:b w:val="0"/>
                <w:bCs w:val="0"/>
                <w:sz w:val="20"/>
              </w:rPr>
              <w:t>Fiches de notification inscrites dans le Fichier de référence ou dans les Plans</w:t>
            </w:r>
          </w:p>
        </w:tc>
        <w:tc>
          <w:tcPr>
            <w:tcW w:w="852" w:type="dxa"/>
            <w:shd w:val="clear" w:color="auto" w:fill="FFFFFF" w:themeFill="background1"/>
            <w:hideMark/>
          </w:tcPr>
          <w:p w14:paraId="20724F2C" w14:textId="77777777" w:rsidR="002677E3" w:rsidRPr="00274C1D" w:rsidRDefault="002677E3" w:rsidP="0019793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274C1D">
              <w:rPr>
                <w:rFonts w:eastAsia="Calibri"/>
                <w:sz w:val="18"/>
                <w:szCs w:val="18"/>
              </w:rPr>
              <w:t>81 602/</w:t>
            </w:r>
            <w:r w:rsidRPr="00274C1D">
              <w:rPr>
                <w:rFonts w:eastAsia="Calibri"/>
                <w:sz w:val="18"/>
                <w:szCs w:val="18"/>
              </w:rPr>
              <w:br/>
              <w:t>3 690</w:t>
            </w:r>
          </w:p>
        </w:tc>
        <w:tc>
          <w:tcPr>
            <w:tcW w:w="917" w:type="dxa"/>
            <w:shd w:val="clear" w:color="auto" w:fill="FFFFFF" w:themeFill="background1"/>
            <w:hideMark/>
          </w:tcPr>
          <w:p w14:paraId="5C540175" w14:textId="77777777" w:rsidR="002677E3" w:rsidRPr="00274C1D" w:rsidRDefault="002677E3" w:rsidP="0019793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274C1D">
              <w:rPr>
                <w:rFonts w:eastAsia="Calibri"/>
                <w:sz w:val="18"/>
                <w:szCs w:val="18"/>
              </w:rPr>
              <w:t>252 555/</w:t>
            </w:r>
            <w:r w:rsidRPr="00274C1D">
              <w:rPr>
                <w:rFonts w:eastAsia="Calibri"/>
                <w:sz w:val="18"/>
                <w:szCs w:val="18"/>
              </w:rPr>
              <w:br/>
              <w:t>5 355</w:t>
            </w:r>
          </w:p>
        </w:tc>
        <w:tc>
          <w:tcPr>
            <w:tcW w:w="1134" w:type="dxa"/>
            <w:shd w:val="clear" w:color="auto" w:fill="FFFFFF" w:themeFill="background1"/>
            <w:hideMark/>
          </w:tcPr>
          <w:p w14:paraId="1DC8C15E" w14:textId="77777777" w:rsidR="002677E3" w:rsidRPr="00274C1D" w:rsidRDefault="002677E3" w:rsidP="0019793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274C1D">
              <w:rPr>
                <w:rFonts w:eastAsia="Calibri"/>
                <w:sz w:val="18"/>
                <w:szCs w:val="18"/>
              </w:rPr>
              <w:t>83 592/</w:t>
            </w:r>
            <w:r w:rsidRPr="00274C1D">
              <w:rPr>
                <w:rFonts w:eastAsia="Calibri"/>
                <w:sz w:val="18"/>
                <w:szCs w:val="18"/>
              </w:rPr>
              <w:br/>
              <w:t>3 824</w:t>
            </w:r>
          </w:p>
        </w:tc>
        <w:tc>
          <w:tcPr>
            <w:tcW w:w="1246" w:type="dxa"/>
            <w:shd w:val="clear" w:color="auto" w:fill="FFFFFF" w:themeFill="background1"/>
            <w:hideMark/>
          </w:tcPr>
          <w:p w14:paraId="39AF0126" w14:textId="77777777" w:rsidR="002677E3" w:rsidRPr="00274C1D" w:rsidRDefault="002677E3" w:rsidP="0019793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274C1D">
              <w:rPr>
                <w:rFonts w:eastAsia="Calibri"/>
                <w:sz w:val="18"/>
                <w:szCs w:val="18"/>
              </w:rPr>
              <w:t>63 893/</w:t>
            </w:r>
          </w:p>
        </w:tc>
        <w:tc>
          <w:tcPr>
            <w:tcW w:w="1302" w:type="dxa"/>
            <w:shd w:val="clear" w:color="auto" w:fill="FFFFFF" w:themeFill="background1"/>
            <w:hideMark/>
          </w:tcPr>
          <w:p w14:paraId="09CBEC05" w14:textId="77777777" w:rsidR="002677E3" w:rsidRPr="00274C1D" w:rsidRDefault="002677E3" w:rsidP="0019793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274C1D">
              <w:rPr>
                <w:rFonts w:eastAsia="Calibri"/>
                <w:sz w:val="18"/>
                <w:szCs w:val="18"/>
              </w:rPr>
              <w:t>481 462/</w:t>
            </w:r>
          </w:p>
        </w:tc>
      </w:tr>
      <w:tr w:rsidR="002677E3" w:rsidRPr="00274C1D" w14:paraId="591136E8" w14:textId="77777777" w:rsidTr="000A07B4">
        <w:tc>
          <w:tcPr>
            <w:cnfStyle w:val="001000000000" w:firstRow="0" w:lastRow="0" w:firstColumn="1" w:lastColumn="0" w:oddVBand="0" w:evenVBand="0" w:oddHBand="0" w:evenHBand="0" w:firstRowFirstColumn="0" w:firstRowLastColumn="0" w:lastRowFirstColumn="0" w:lastRowLastColumn="0"/>
            <w:tcW w:w="4100" w:type="dxa"/>
            <w:shd w:val="clear" w:color="auto" w:fill="FFFFFF" w:themeFill="background1"/>
          </w:tcPr>
          <w:p w14:paraId="402BA481" w14:textId="77777777" w:rsidR="002677E3" w:rsidRPr="00274C1D" w:rsidRDefault="002677E3" w:rsidP="00197936">
            <w:pPr>
              <w:pStyle w:val="Tabletext"/>
              <w:rPr>
                <w:rFonts w:eastAsia="Calibri"/>
                <w:b w:val="0"/>
                <w:bCs w:val="0"/>
                <w:sz w:val="20"/>
              </w:rPr>
            </w:pPr>
            <w:r w:rsidRPr="00274C1D">
              <w:rPr>
                <w:b w:val="0"/>
                <w:bCs w:val="0"/>
                <w:sz w:val="20"/>
              </w:rPr>
              <w:t>Examen des conclusions relatives aux stations de Terre inscrites dans le Fichier de référence</w:t>
            </w:r>
          </w:p>
        </w:tc>
        <w:tc>
          <w:tcPr>
            <w:tcW w:w="852" w:type="dxa"/>
            <w:shd w:val="clear" w:color="auto" w:fill="FFFFFF" w:themeFill="background1"/>
            <w:hideMark/>
          </w:tcPr>
          <w:p w14:paraId="6552C818" w14:textId="77777777" w:rsidR="002677E3" w:rsidRPr="00274C1D" w:rsidRDefault="002677E3" w:rsidP="0019793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274C1D">
              <w:rPr>
                <w:rFonts w:eastAsia="Calibri"/>
                <w:sz w:val="18"/>
                <w:szCs w:val="18"/>
              </w:rPr>
              <w:t>164</w:t>
            </w:r>
          </w:p>
        </w:tc>
        <w:tc>
          <w:tcPr>
            <w:tcW w:w="917" w:type="dxa"/>
            <w:shd w:val="clear" w:color="auto" w:fill="FFFFFF" w:themeFill="background1"/>
            <w:hideMark/>
          </w:tcPr>
          <w:p w14:paraId="33D33BC1" w14:textId="77777777" w:rsidR="002677E3" w:rsidRPr="00274C1D" w:rsidRDefault="002677E3" w:rsidP="0019793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274C1D">
              <w:rPr>
                <w:rFonts w:eastAsia="Calibri"/>
                <w:sz w:val="18"/>
                <w:szCs w:val="18"/>
              </w:rPr>
              <w:t>5 221</w:t>
            </w:r>
          </w:p>
        </w:tc>
        <w:tc>
          <w:tcPr>
            <w:tcW w:w="1134" w:type="dxa"/>
            <w:shd w:val="clear" w:color="auto" w:fill="FFFFFF" w:themeFill="background1"/>
            <w:hideMark/>
          </w:tcPr>
          <w:p w14:paraId="49A81854" w14:textId="77777777" w:rsidR="002677E3" w:rsidRPr="00274C1D" w:rsidRDefault="002677E3" w:rsidP="00197936">
            <w:pPr>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274C1D">
              <w:rPr>
                <w:rFonts w:eastAsia="Calibri"/>
                <w:sz w:val="18"/>
                <w:szCs w:val="18"/>
              </w:rPr>
              <w:t>51 468</w:t>
            </w:r>
          </w:p>
        </w:tc>
        <w:tc>
          <w:tcPr>
            <w:tcW w:w="1246" w:type="dxa"/>
            <w:shd w:val="clear" w:color="auto" w:fill="FFFFFF" w:themeFill="background1"/>
            <w:hideMark/>
          </w:tcPr>
          <w:p w14:paraId="50BA37B7" w14:textId="77777777" w:rsidR="002677E3" w:rsidRPr="00274C1D" w:rsidRDefault="002677E3" w:rsidP="0019793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1302" w:type="dxa"/>
            <w:shd w:val="clear" w:color="auto" w:fill="FFFFFF" w:themeFill="background1"/>
            <w:hideMark/>
          </w:tcPr>
          <w:p w14:paraId="12F84239" w14:textId="77777777" w:rsidR="002677E3" w:rsidRPr="00274C1D" w:rsidRDefault="002677E3" w:rsidP="0019793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274C1D">
              <w:rPr>
                <w:rFonts w:eastAsia="Calibri"/>
                <w:sz w:val="18"/>
                <w:szCs w:val="18"/>
              </w:rPr>
              <w:t>57 097</w:t>
            </w:r>
          </w:p>
        </w:tc>
      </w:tr>
      <w:tr w:rsidR="002677E3" w:rsidRPr="00274C1D" w14:paraId="1E721EC6" w14:textId="77777777" w:rsidTr="000A0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shd w:val="clear" w:color="auto" w:fill="FFFFFF" w:themeFill="background1"/>
          </w:tcPr>
          <w:p w14:paraId="047456F3" w14:textId="77777777" w:rsidR="002677E3" w:rsidRPr="00274C1D" w:rsidRDefault="002677E3" w:rsidP="00197936">
            <w:pPr>
              <w:pStyle w:val="Tabletext"/>
              <w:rPr>
                <w:rFonts w:eastAsia="Calibri"/>
                <w:b w:val="0"/>
                <w:bCs w:val="0"/>
                <w:sz w:val="20"/>
              </w:rPr>
            </w:pPr>
            <w:r w:rsidRPr="00274C1D">
              <w:rPr>
                <w:rFonts w:cs="Verdana"/>
                <w:b w:val="0"/>
                <w:bCs w:val="0"/>
                <w:sz w:val="20"/>
              </w:rPr>
              <w:t>Notifications des stations côtières et des stations de navire pour inscription dans la base de données de l'UIT sur le service maritime</w:t>
            </w:r>
          </w:p>
        </w:tc>
        <w:tc>
          <w:tcPr>
            <w:tcW w:w="852" w:type="dxa"/>
            <w:shd w:val="clear" w:color="auto" w:fill="FFFFFF" w:themeFill="background1"/>
            <w:hideMark/>
          </w:tcPr>
          <w:p w14:paraId="7E3854A2" w14:textId="77777777" w:rsidR="002677E3" w:rsidRPr="00274C1D" w:rsidRDefault="002677E3" w:rsidP="0019793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274C1D">
              <w:rPr>
                <w:rFonts w:eastAsia="Calibri"/>
                <w:sz w:val="18"/>
                <w:szCs w:val="18"/>
              </w:rPr>
              <w:t>1 982</w:t>
            </w:r>
          </w:p>
        </w:tc>
        <w:tc>
          <w:tcPr>
            <w:tcW w:w="917" w:type="dxa"/>
            <w:shd w:val="clear" w:color="auto" w:fill="FFFFFF" w:themeFill="background1"/>
            <w:hideMark/>
          </w:tcPr>
          <w:p w14:paraId="5213B912" w14:textId="77777777" w:rsidR="002677E3" w:rsidRPr="00274C1D" w:rsidRDefault="002677E3" w:rsidP="0019793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274C1D">
              <w:rPr>
                <w:rFonts w:eastAsia="Calibri"/>
                <w:sz w:val="18"/>
                <w:szCs w:val="18"/>
              </w:rPr>
              <w:t>1 865</w:t>
            </w:r>
          </w:p>
        </w:tc>
        <w:tc>
          <w:tcPr>
            <w:tcW w:w="1134" w:type="dxa"/>
            <w:shd w:val="clear" w:color="auto" w:fill="FFFFFF" w:themeFill="background1"/>
            <w:hideMark/>
          </w:tcPr>
          <w:p w14:paraId="59AFC8DF" w14:textId="77777777" w:rsidR="002677E3" w:rsidRPr="00274C1D" w:rsidRDefault="002677E3" w:rsidP="0019793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274C1D">
              <w:rPr>
                <w:rFonts w:eastAsia="Calibri"/>
                <w:sz w:val="18"/>
                <w:szCs w:val="18"/>
              </w:rPr>
              <w:t>1918</w:t>
            </w:r>
          </w:p>
        </w:tc>
        <w:tc>
          <w:tcPr>
            <w:tcW w:w="1246" w:type="dxa"/>
            <w:shd w:val="clear" w:color="auto" w:fill="FFFFFF" w:themeFill="background1"/>
            <w:hideMark/>
          </w:tcPr>
          <w:p w14:paraId="47B9EAFA" w14:textId="77777777" w:rsidR="002677E3" w:rsidRPr="00274C1D" w:rsidRDefault="002677E3" w:rsidP="0019793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p>
        </w:tc>
        <w:tc>
          <w:tcPr>
            <w:tcW w:w="1302" w:type="dxa"/>
            <w:shd w:val="clear" w:color="auto" w:fill="FFFFFF" w:themeFill="background1"/>
            <w:hideMark/>
          </w:tcPr>
          <w:p w14:paraId="42785C1A" w14:textId="77777777" w:rsidR="002677E3" w:rsidRPr="00274C1D" w:rsidRDefault="002677E3" w:rsidP="0019793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274C1D">
              <w:rPr>
                <w:rFonts w:eastAsia="Calibri"/>
                <w:sz w:val="18"/>
                <w:szCs w:val="18"/>
              </w:rPr>
              <w:t>8 179</w:t>
            </w:r>
          </w:p>
        </w:tc>
      </w:tr>
      <w:tr w:rsidR="002677E3" w:rsidRPr="00274C1D" w14:paraId="72F2531B" w14:textId="77777777" w:rsidTr="000A07B4">
        <w:tc>
          <w:tcPr>
            <w:cnfStyle w:val="001000000000" w:firstRow="0" w:lastRow="0" w:firstColumn="1" w:lastColumn="0" w:oddVBand="0" w:evenVBand="0" w:oddHBand="0" w:evenHBand="0" w:firstRowFirstColumn="0" w:firstRowLastColumn="0" w:lastRowFirstColumn="0" w:lastRowLastColumn="0"/>
            <w:tcW w:w="4100" w:type="dxa"/>
            <w:shd w:val="clear" w:color="auto" w:fill="FFFFFF" w:themeFill="background1"/>
          </w:tcPr>
          <w:p w14:paraId="1B1356CB" w14:textId="77777777" w:rsidR="002677E3" w:rsidRPr="00274C1D" w:rsidRDefault="002677E3" w:rsidP="00197936">
            <w:pPr>
              <w:pStyle w:val="Tabletext"/>
              <w:rPr>
                <w:rFonts w:eastAsia="Calibri"/>
                <w:b w:val="0"/>
                <w:bCs w:val="0"/>
                <w:sz w:val="20"/>
              </w:rPr>
            </w:pPr>
            <w:r w:rsidRPr="00274C1D">
              <w:rPr>
                <w:b w:val="0"/>
                <w:bCs w:val="0"/>
                <w:sz w:val="20"/>
              </w:rPr>
              <w:lastRenderedPageBreak/>
              <w:t>Besoins de radiodiffusion à ondes décamétriques</w:t>
            </w:r>
          </w:p>
        </w:tc>
        <w:tc>
          <w:tcPr>
            <w:tcW w:w="852" w:type="dxa"/>
            <w:shd w:val="clear" w:color="auto" w:fill="FFFFFF" w:themeFill="background1"/>
            <w:hideMark/>
          </w:tcPr>
          <w:p w14:paraId="4FF55A73" w14:textId="77777777" w:rsidR="002677E3" w:rsidRPr="00274C1D" w:rsidRDefault="002677E3" w:rsidP="0019793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274C1D">
              <w:rPr>
                <w:rFonts w:eastAsia="Calibri"/>
                <w:sz w:val="18"/>
                <w:szCs w:val="18"/>
              </w:rPr>
              <w:t>34 344</w:t>
            </w:r>
          </w:p>
        </w:tc>
        <w:tc>
          <w:tcPr>
            <w:tcW w:w="917" w:type="dxa"/>
            <w:shd w:val="clear" w:color="auto" w:fill="FFFFFF" w:themeFill="background1"/>
            <w:hideMark/>
          </w:tcPr>
          <w:p w14:paraId="129BCA2B" w14:textId="77777777" w:rsidR="002677E3" w:rsidRPr="00274C1D" w:rsidRDefault="002677E3" w:rsidP="0019793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274C1D">
              <w:rPr>
                <w:rFonts w:eastAsia="Calibri"/>
                <w:sz w:val="18"/>
                <w:szCs w:val="18"/>
              </w:rPr>
              <w:t>31 738</w:t>
            </w:r>
          </w:p>
        </w:tc>
        <w:tc>
          <w:tcPr>
            <w:tcW w:w="1134" w:type="dxa"/>
            <w:shd w:val="clear" w:color="auto" w:fill="FFFFFF" w:themeFill="background1"/>
            <w:hideMark/>
          </w:tcPr>
          <w:p w14:paraId="7DA785AB" w14:textId="77777777" w:rsidR="002677E3" w:rsidRPr="00274C1D" w:rsidRDefault="002677E3" w:rsidP="0019793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274C1D">
              <w:rPr>
                <w:rFonts w:eastAsia="Calibri"/>
                <w:sz w:val="18"/>
                <w:szCs w:val="18"/>
              </w:rPr>
              <w:t>20 806</w:t>
            </w:r>
          </w:p>
        </w:tc>
        <w:tc>
          <w:tcPr>
            <w:tcW w:w="1246" w:type="dxa"/>
            <w:shd w:val="clear" w:color="auto" w:fill="FFFFFF" w:themeFill="background1"/>
            <w:hideMark/>
          </w:tcPr>
          <w:p w14:paraId="1EBFFE37" w14:textId="77777777" w:rsidR="002677E3" w:rsidRPr="00274C1D" w:rsidRDefault="002677E3" w:rsidP="0019793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274C1D">
              <w:rPr>
                <w:rFonts w:eastAsia="Calibri"/>
                <w:sz w:val="18"/>
                <w:szCs w:val="18"/>
              </w:rPr>
              <w:t>11 311</w:t>
            </w:r>
          </w:p>
        </w:tc>
        <w:tc>
          <w:tcPr>
            <w:tcW w:w="1302" w:type="dxa"/>
            <w:shd w:val="clear" w:color="auto" w:fill="FFFFFF" w:themeFill="background1"/>
          </w:tcPr>
          <w:p w14:paraId="468838A8" w14:textId="77777777" w:rsidR="002677E3" w:rsidRPr="00274C1D" w:rsidRDefault="002677E3" w:rsidP="0019793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274C1D">
              <w:rPr>
                <w:rFonts w:eastAsia="Calibri"/>
                <w:sz w:val="18"/>
                <w:szCs w:val="18"/>
              </w:rPr>
              <w:t>98 199</w:t>
            </w:r>
          </w:p>
        </w:tc>
      </w:tr>
      <w:tr w:rsidR="002677E3" w:rsidRPr="00274C1D" w14:paraId="7961FCC0" w14:textId="77777777" w:rsidTr="000A0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shd w:val="clear" w:color="auto" w:fill="FFFFFF" w:themeFill="background1"/>
          </w:tcPr>
          <w:p w14:paraId="556B16FD" w14:textId="77777777" w:rsidR="002677E3" w:rsidRPr="00274C1D" w:rsidRDefault="002677E3" w:rsidP="00197936">
            <w:pPr>
              <w:pStyle w:val="Tabletext"/>
              <w:rPr>
                <w:rFonts w:eastAsia="Calibri"/>
                <w:b w:val="0"/>
                <w:bCs w:val="0"/>
                <w:sz w:val="20"/>
              </w:rPr>
            </w:pPr>
            <w:r w:rsidRPr="00274C1D">
              <w:rPr>
                <w:b w:val="0"/>
                <w:bCs w:val="0"/>
                <w:sz w:val="20"/>
              </w:rPr>
              <w:t>Observations concernant le programme de contrôle des émissions dans les bandes 2 850</w:t>
            </w:r>
            <w:r w:rsidRPr="00274C1D">
              <w:rPr>
                <w:b w:val="0"/>
                <w:bCs w:val="0"/>
                <w:sz w:val="20"/>
              </w:rPr>
              <w:noBreakHyphen/>
              <w:t>28 000 kHz et 406</w:t>
            </w:r>
            <w:r w:rsidRPr="00274C1D">
              <w:rPr>
                <w:b w:val="0"/>
                <w:bCs w:val="0"/>
                <w:sz w:val="20"/>
              </w:rPr>
              <w:noBreakHyphen/>
              <w:t>406,1 MHz</w:t>
            </w:r>
          </w:p>
        </w:tc>
        <w:tc>
          <w:tcPr>
            <w:tcW w:w="852" w:type="dxa"/>
            <w:shd w:val="clear" w:color="auto" w:fill="FFFFFF" w:themeFill="background1"/>
            <w:hideMark/>
          </w:tcPr>
          <w:p w14:paraId="085DBC35" w14:textId="77777777" w:rsidR="002677E3" w:rsidRPr="00274C1D" w:rsidRDefault="002677E3" w:rsidP="00197936">
            <w:pPr>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274C1D">
              <w:rPr>
                <w:rFonts w:eastAsia="Calibri"/>
                <w:sz w:val="18"/>
                <w:szCs w:val="18"/>
              </w:rPr>
              <w:t>30 825/</w:t>
            </w:r>
            <w:r w:rsidRPr="00274C1D">
              <w:rPr>
                <w:rFonts w:eastAsia="Calibri"/>
                <w:sz w:val="18"/>
                <w:szCs w:val="18"/>
              </w:rPr>
              <w:br/>
              <w:t>253</w:t>
            </w:r>
          </w:p>
        </w:tc>
        <w:tc>
          <w:tcPr>
            <w:tcW w:w="917" w:type="dxa"/>
            <w:shd w:val="clear" w:color="auto" w:fill="FFFFFF" w:themeFill="background1"/>
            <w:hideMark/>
          </w:tcPr>
          <w:p w14:paraId="0F09FDFF" w14:textId="77777777" w:rsidR="002677E3" w:rsidRPr="00274C1D" w:rsidRDefault="002677E3" w:rsidP="0019793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274C1D">
              <w:rPr>
                <w:rFonts w:eastAsia="Calibri"/>
                <w:sz w:val="18"/>
                <w:szCs w:val="18"/>
              </w:rPr>
              <w:t>25 642/</w:t>
            </w:r>
            <w:r w:rsidRPr="00274C1D">
              <w:rPr>
                <w:rFonts w:eastAsia="Calibri"/>
                <w:sz w:val="18"/>
                <w:szCs w:val="18"/>
              </w:rPr>
              <w:br/>
              <w:t>174</w:t>
            </w:r>
          </w:p>
        </w:tc>
        <w:tc>
          <w:tcPr>
            <w:tcW w:w="1134" w:type="dxa"/>
            <w:shd w:val="clear" w:color="auto" w:fill="FFFFFF" w:themeFill="background1"/>
            <w:hideMark/>
          </w:tcPr>
          <w:p w14:paraId="0D61D0B8" w14:textId="77777777" w:rsidR="002677E3" w:rsidRPr="00274C1D" w:rsidRDefault="002677E3" w:rsidP="0019793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274C1D">
              <w:rPr>
                <w:rFonts w:eastAsia="Calibri"/>
                <w:sz w:val="18"/>
                <w:szCs w:val="18"/>
              </w:rPr>
              <w:t>17 513/</w:t>
            </w:r>
            <w:r w:rsidRPr="00274C1D">
              <w:rPr>
                <w:sz w:val="18"/>
                <w:szCs w:val="18"/>
              </w:rPr>
              <w:br/>
            </w:r>
            <w:r w:rsidRPr="00274C1D">
              <w:rPr>
                <w:rFonts w:eastAsia="Calibri"/>
                <w:sz w:val="18"/>
                <w:szCs w:val="18"/>
              </w:rPr>
              <w:t>136</w:t>
            </w:r>
          </w:p>
        </w:tc>
        <w:tc>
          <w:tcPr>
            <w:tcW w:w="1246" w:type="dxa"/>
            <w:shd w:val="clear" w:color="auto" w:fill="FFFFFF" w:themeFill="background1"/>
            <w:hideMark/>
          </w:tcPr>
          <w:p w14:paraId="7C90D558" w14:textId="77777777" w:rsidR="002677E3" w:rsidRPr="00274C1D" w:rsidRDefault="002677E3" w:rsidP="0019793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274C1D">
              <w:rPr>
                <w:rFonts w:eastAsia="Calibri"/>
                <w:sz w:val="18"/>
                <w:szCs w:val="18"/>
              </w:rPr>
              <w:t>25 530/407</w:t>
            </w:r>
          </w:p>
        </w:tc>
        <w:tc>
          <w:tcPr>
            <w:tcW w:w="1302" w:type="dxa"/>
            <w:shd w:val="clear" w:color="auto" w:fill="FFFFFF" w:themeFill="background1"/>
            <w:hideMark/>
          </w:tcPr>
          <w:p w14:paraId="5B557B24" w14:textId="77777777" w:rsidR="002677E3" w:rsidRPr="00274C1D" w:rsidRDefault="002677E3" w:rsidP="00197936">
            <w:pPr>
              <w:pStyle w:val="Tabletext"/>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274C1D">
              <w:rPr>
                <w:rFonts w:eastAsia="Calibri"/>
                <w:sz w:val="18"/>
                <w:szCs w:val="18"/>
              </w:rPr>
              <w:t>99 510/970</w:t>
            </w:r>
          </w:p>
        </w:tc>
      </w:tr>
      <w:tr w:rsidR="002677E3" w:rsidRPr="00274C1D" w14:paraId="2E03F576" w14:textId="77777777" w:rsidTr="000A07B4">
        <w:trPr>
          <w:trHeight w:val="330"/>
        </w:trPr>
        <w:tc>
          <w:tcPr>
            <w:cnfStyle w:val="001000000000" w:firstRow="0" w:lastRow="0" w:firstColumn="1" w:lastColumn="0" w:oddVBand="0" w:evenVBand="0" w:oddHBand="0" w:evenHBand="0" w:firstRowFirstColumn="0" w:firstRowLastColumn="0" w:lastRowFirstColumn="0" w:lastRowLastColumn="0"/>
            <w:tcW w:w="4100" w:type="dxa"/>
          </w:tcPr>
          <w:p w14:paraId="3F2A4870" w14:textId="77777777" w:rsidR="002677E3" w:rsidRPr="00274C1D" w:rsidRDefault="002677E3" w:rsidP="00197936">
            <w:pPr>
              <w:pStyle w:val="Tabletext"/>
              <w:rPr>
                <w:rFonts w:eastAsia="Calibri"/>
                <w:b w:val="0"/>
                <w:bCs w:val="0"/>
                <w:sz w:val="20"/>
              </w:rPr>
            </w:pPr>
            <w:r w:rsidRPr="00274C1D">
              <w:rPr>
                <w:b w:val="0"/>
                <w:bCs w:val="0"/>
                <w:sz w:val="20"/>
              </w:rPr>
              <w:t>Rapports de brouillage préjudiciable</w:t>
            </w:r>
          </w:p>
        </w:tc>
        <w:tc>
          <w:tcPr>
            <w:tcW w:w="852" w:type="dxa"/>
            <w:hideMark/>
          </w:tcPr>
          <w:p w14:paraId="5429BFBC" w14:textId="77777777" w:rsidR="002677E3" w:rsidRPr="00274C1D" w:rsidRDefault="002677E3" w:rsidP="0019793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274C1D">
              <w:rPr>
                <w:rFonts w:eastAsia="Calibri"/>
                <w:sz w:val="18"/>
                <w:szCs w:val="18"/>
              </w:rPr>
              <w:t>1 088</w:t>
            </w:r>
          </w:p>
        </w:tc>
        <w:tc>
          <w:tcPr>
            <w:tcW w:w="917" w:type="dxa"/>
            <w:hideMark/>
          </w:tcPr>
          <w:p w14:paraId="60AD8156" w14:textId="77777777" w:rsidR="002677E3" w:rsidRPr="00274C1D" w:rsidRDefault="002677E3" w:rsidP="0019793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274C1D">
              <w:rPr>
                <w:rFonts w:eastAsia="Calibri"/>
                <w:sz w:val="18"/>
                <w:szCs w:val="18"/>
              </w:rPr>
              <w:t>1 165</w:t>
            </w:r>
          </w:p>
        </w:tc>
        <w:tc>
          <w:tcPr>
            <w:tcW w:w="1134" w:type="dxa"/>
            <w:hideMark/>
          </w:tcPr>
          <w:p w14:paraId="7B47AB9C" w14:textId="77777777" w:rsidR="002677E3" w:rsidRPr="00274C1D" w:rsidRDefault="002677E3" w:rsidP="0019793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274C1D">
              <w:rPr>
                <w:rFonts w:eastAsia="Calibri"/>
                <w:sz w:val="18"/>
                <w:szCs w:val="18"/>
              </w:rPr>
              <w:t>1 166</w:t>
            </w:r>
          </w:p>
        </w:tc>
        <w:tc>
          <w:tcPr>
            <w:tcW w:w="1246" w:type="dxa"/>
            <w:hideMark/>
          </w:tcPr>
          <w:p w14:paraId="078F8B0B" w14:textId="77777777" w:rsidR="002677E3" w:rsidRPr="00274C1D" w:rsidRDefault="002677E3" w:rsidP="0019793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274C1D">
              <w:rPr>
                <w:rFonts w:eastAsia="Calibri"/>
                <w:sz w:val="18"/>
                <w:szCs w:val="18"/>
              </w:rPr>
              <w:t>1 007</w:t>
            </w:r>
          </w:p>
        </w:tc>
        <w:tc>
          <w:tcPr>
            <w:tcW w:w="1302" w:type="dxa"/>
            <w:hideMark/>
          </w:tcPr>
          <w:p w14:paraId="28D5D2C7" w14:textId="77777777" w:rsidR="002677E3" w:rsidRPr="00274C1D" w:rsidRDefault="002677E3" w:rsidP="00197936">
            <w:pPr>
              <w:pStyle w:val="Tabletext"/>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274C1D">
              <w:rPr>
                <w:rFonts w:eastAsia="Calibri"/>
                <w:sz w:val="18"/>
                <w:szCs w:val="18"/>
              </w:rPr>
              <w:t>4 426</w:t>
            </w:r>
          </w:p>
        </w:tc>
      </w:tr>
    </w:tbl>
    <w:p w14:paraId="204FE62A" w14:textId="77777777" w:rsidR="002677E3" w:rsidRPr="00274C1D" w:rsidRDefault="002677E3" w:rsidP="002677E3">
      <w:pPr>
        <w:pStyle w:val="Headingb"/>
      </w:pPr>
      <w:bookmarkStart w:id="18" w:name="_Toc95387464"/>
      <w:r w:rsidRPr="00274C1D">
        <w:t>Amélioration des logiciels de l'UIT-R</w:t>
      </w:r>
      <w:bookmarkEnd w:id="18"/>
    </w:p>
    <w:p w14:paraId="343D9594" w14:textId="77777777" w:rsidR="002677E3" w:rsidRPr="00274C1D" w:rsidRDefault="002677E3" w:rsidP="002677E3">
      <w:r w:rsidRPr="00274C1D">
        <w:t>Le Bureau des radiocommunications (BR) continue de produire des applications logicielles et des bases de données pour faciliter au mieux l'utilisation des produits de l'UIT-R par les membres de l'UIT. En 2022, le BR a mis à jour le logiciel qui permet aux utilisateurs de consulter et d'analyser le Tableau d'attribution des bandes de fréquences qui figure dans l'Article 5 du Règlement des radiocommunications, mais aussi d'avoir accès à d'autres textes, notamment les Résolutions de la CMR, les Recommandations UIT-R citées comme référence et les Règles de procédure. Cette application permet d'extraire des règlements régionaux ou nationaux en vue de la présentation de Tableaux régionaux ou nationaux d'attribution des bandes de fréquences.</w:t>
      </w:r>
    </w:p>
    <w:p w14:paraId="39A021B6" w14:textId="77777777" w:rsidR="002677E3" w:rsidRPr="00274C1D" w:rsidRDefault="002677E3" w:rsidP="002677E3">
      <w:pPr>
        <w:pStyle w:val="Headingb"/>
      </w:pPr>
      <w:bookmarkStart w:id="19" w:name="_Toc41032049"/>
      <w:bookmarkStart w:id="20" w:name="_Toc72845010"/>
      <w:bookmarkStart w:id="21" w:name="_Toc72846358"/>
      <w:bookmarkStart w:id="22" w:name="_Toc72846584"/>
      <w:bookmarkStart w:id="23" w:name="_Toc95387465"/>
      <w:r w:rsidRPr="00274C1D">
        <w:t>Progrès accomplis concernant les services de Terre</w:t>
      </w:r>
      <w:bookmarkEnd w:id="19"/>
      <w:bookmarkEnd w:id="20"/>
      <w:bookmarkEnd w:id="21"/>
      <w:bookmarkEnd w:id="22"/>
      <w:bookmarkEnd w:id="23"/>
    </w:p>
    <w:p w14:paraId="4F3A1FE1" w14:textId="77777777" w:rsidR="002677E3" w:rsidRPr="00274C1D" w:rsidRDefault="002677E3" w:rsidP="002677E3">
      <w:pPr>
        <w:pStyle w:val="enumlev1"/>
      </w:pPr>
      <w:r w:rsidRPr="00274C1D">
        <w:t>•</w:t>
      </w:r>
      <w:r w:rsidRPr="00274C1D">
        <w:tab/>
        <w:t>Développement de logiciels et d'outils pour traiter les demandes de coordination (numéro 9.21 du RR) et les notifications de stations HAPS (outils de validation, d'examen et de publication).</w:t>
      </w:r>
    </w:p>
    <w:p w14:paraId="03E5CFA3" w14:textId="77777777" w:rsidR="002677E3" w:rsidRPr="00274C1D" w:rsidRDefault="002677E3" w:rsidP="002677E3">
      <w:pPr>
        <w:pStyle w:val="enumlev1"/>
      </w:pPr>
      <w:r w:rsidRPr="00274C1D">
        <w:t>•</w:t>
      </w:r>
      <w:r w:rsidRPr="00274C1D">
        <w:tab/>
        <w:t>Migration de la base de données TerRaSys d'Ingres vers SQL Server.</w:t>
      </w:r>
    </w:p>
    <w:p w14:paraId="225B4BFA" w14:textId="53400DA2" w:rsidR="002677E3" w:rsidRPr="00274C1D" w:rsidRDefault="002677E3" w:rsidP="002677E3">
      <w:pPr>
        <w:pStyle w:val="enumlev1"/>
      </w:pPr>
      <w:r w:rsidRPr="00274C1D">
        <w:t>•</w:t>
      </w:r>
      <w:r w:rsidRPr="00274C1D">
        <w:tab/>
        <w:t>Mise au point et amélioration de la plate-forme web eTerrestrial, qui intègre les outils</w:t>
      </w:r>
      <w:r w:rsidR="00042CDE" w:rsidRPr="00274C1D">
        <w:t> </w:t>
      </w:r>
      <w:r w:rsidRPr="00274C1D">
        <w:t>eMIFR, ePropagation, eValidation pour tous les services de Terre et les outils</w:t>
      </w:r>
      <w:r w:rsidR="00042CDE" w:rsidRPr="00274C1D">
        <w:t> </w:t>
      </w:r>
      <w:r w:rsidRPr="00274C1D">
        <w:t>eFXM et eBroadcasting spécifiques (eQuery, ePub, eTools et MyAdmin).</w:t>
      </w:r>
    </w:p>
    <w:p w14:paraId="237E6C4C" w14:textId="26BD183C" w:rsidR="002677E3" w:rsidRPr="00274C1D" w:rsidRDefault="002677E3" w:rsidP="002677E3">
      <w:pPr>
        <w:pStyle w:val="enumlev1"/>
      </w:pPr>
      <w:r w:rsidRPr="00274C1D">
        <w:t>•</w:t>
      </w:r>
      <w:r w:rsidRPr="00274C1D">
        <w:tab/>
        <w:t>Amélioration des outils en ligne GE84</w:t>
      </w:r>
      <w:r w:rsidRPr="00274C1D">
        <w:rPr>
          <w:rStyle w:val="FootnoteReference"/>
          <w:rFonts w:eastAsia="Calibri"/>
        </w:rPr>
        <w:footnoteReference w:id="1"/>
      </w:r>
      <w:r w:rsidRPr="00274C1D">
        <w:t xml:space="preserve"> (outils de compatibilité et d'optimisation du Plan GE84) pour tenir compte des données relatives à l'élévation du terrain dans le calcul des valeurs du champ.</w:t>
      </w:r>
    </w:p>
    <w:p w14:paraId="440D551C" w14:textId="77777777" w:rsidR="002677E3" w:rsidRPr="00274C1D" w:rsidRDefault="002677E3" w:rsidP="002677E3">
      <w:pPr>
        <w:pStyle w:val="enumlev1"/>
      </w:pPr>
      <w:r w:rsidRPr="00274C1D">
        <w:t>•</w:t>
      </w:r>
      <w:r w:rsidRPr="00274C1D">
        <w:tab/>
        <w:t>Restructuration et modernisation des logiciels de radiodiffusion à ondes décamétriques concernant l'application de l'Article 12 du RR.</w:t>
      </w:r>
    </w:p>
    <w:p w14:paraId="4E86E12C" w14:textId="1E322181" w:rsidR="002677E3" w:rsidRPr="00274C1D" w:rsidRDefault="002677E3" w:rsidP="002677E3">
      <w:pPr>
        <w:pStyle w:val="enumlev1"/>
      </w:pPr>
      <w:r w:rsidRPr="00274C1D">
        <w:t>•</w:t>
      </w:r>
      <w:r w:rsidRPr="00274C1D">
        <w:tab/>
        <w:t>Modernisation des publications de service relatives au service maritime (Liste V, Liste IV et Manuel maritime) pour améliorer l'expérience utilisateur. Le projet comprend la création d'une plate-forme de vente, le développement d'applications de bureau et d'applications mobiles d'extraction d'informations, ainsi que des solutions de lutte contre la contrefaçon.</w:t>
      </w:r>
    </w:p>
    <w:p w14:paraId="27793232" w14:textId="46AB8F10" w:rsidR="002677E3" w:rsidRPr="00274C1D" w:rsidRDefault="002677E3" w:rsidP="002677E3">
      <w:pPr>
        <w:pStyle w:val="enumlev1"/>
      </w:pPr>
      <w:r w:rsidRPr="00274C1D">
        <w:lastRenderedPageBreak/>
        <w:t>•</w:t>
      </w:r>
      <w:r w:rsidRPr="00274C1D">
        <w:tab/>
        <w:t xml:space="preserve">Élaboration d'une nouvelle plate-forme en ligne, appelée </w:t>
      </w:r>
      <w:r w:rsidRPr="00274C1D">
        <w:rPr>
          <w:i/>
          <w:iCs/>
        </w:rPr>
        <w:t>Harmful Interference to Terrestrial Services</w:t>
      </w:r>
      <w:r w:rsidRPr="00274C1D">
        <w:t xml:space="preserve"> (HITS)("Brouillages préjudiciables causés aux services de Terre"), dédiée au traitement des rapports sur les brouillages préjudiciables et les infractions concernant les services de Terre.</w:t>
      </w:r>
    </w:p>
    <w:p w14:paraId="6F878080" w14:textId="77777777" w:rsidR="002677E3" w:rsidRPr="00274C1D" w:rsidRDefault="002677E3" w:rsidP="002677E3">
      <w:pPr>
        <w:pStyle w:val="enumlev1"/>
      </w:pPr>
      <w:r w:rsidRPr="00274C1D">
        <w:t>•</w:t>
      </w:r>
      <w:r w:rsidRPr="00274C1D">
        <w:tab/>
        <w:t>Restructuration et intégration de l'outil eValidation dans l'interface WISFAT 2.0.</w:t>
      </w:r>
    </w:p>
    <w:p w14:paraId="3C59B49F" w14:textId="77777777" w:rsidR="002677E3" w:rsidRPr="00274C1D" w:rsidRDefault="002677E3" w:rsidP="002677E3">
      <w:pPr>
        <w:pStyle w:val="Headingb"/>
        <w:tabs>
          <w:tab w:val="clear" w:pos="567"/>
        </w:tabs>
        <w:ind w:left="0" w:firstLine="0"/>
        <w:rPr>
          <w:rFonts w:eastAsia="Calibri"/>
        </w:rPr>
      </w:pPr>
      <w:bookmarkStart w:id="24" w:name="_Toc41032050"/>
      <w:bookmarkStart w:id="25" w:name="_Toc72845011"/>
      <w:bookmarkStart w:id="26" w:name="_Toc72846359"/>
      <w:bookmarkStart w:id="27" w:name="_Toc72846585"/>
      <w:bookmarkStart w:id="28" w:name="_Toc95387466"/>
      <w:r w:rsidRPr="00274C1D">
        <w:t>Progrès accomplis dans la mise en œuvre de la feuille de route sur les systèmes informatiques du BR pour les services spatiaux (RAG-19, 2012)</w:t>
      </w:r>
      <w:bookmarkEnd w:id="24"/>
      <w:bookmarkEnd w:id="25"/>
      <w:bookmarkEnd w:id="26"/>
      <w:bookmarkEnd w:id="27"/>
      <w:bookmarkEnd w:id="28"/>
    </w:p>
    <w:p w14:paraId="587316FF" w14:textId="77777777" w:rsidR="002677E3" w:rsidRPr="00274C1D" w:rsidRDefault="002677E3" w:rsidP="002677E3">
      <w:pPr>
        <w:pStyle w:val="enumlev1"/>
      </w:pPr>
      <w:r w:rsidRPr="00274C1D">
        <w:t>•</w:t>
      </w:r>
      <w:r w:rsidRPr="00274C1D">
        <w:tab/>
        <w:t>Réécriture des logiciels existants pour les examens techniques: PFD, Mspace.</w:t>
      </w:r>
    </w:p>
    <w:p w14:paraId="5246094E" w14:textId="07AF3519" w:rsidR="002677E3" w:rsidRPr="00274C1D" w:rsidRDefault="002677E3" w:rsidP="002677E3">
      <w:pPr>
        <w:pStyle w:val="enumlev1"/>
      </w:pPr>
      <w:r w:rsidRPr="00274C1D">
        <w:t>•</w:t>
      </w:r>
      <w:r w:rsidRPr="00274C1D">
        <w:tab/>
        <w:t>Conception et élaboration du système d'information du BR pour les systèmes spatiaux (BR SIS): SpaceCap rebaptisé BRSIS-Capture, migration de la base de données SNS d'Ingres vers SQL Server, migration de la base de données SRS au format MDB vers SQLite, réexamen de SNTrack, réexamen du système SNS en ligne et fusion avec le système SNL en ligne.</w:t>
      </w:r>
    </w:p>
    <w:p w14:paraId="63DFD8EA" w14:textId="77777777" w:rsidR="002677E3" w:rsidRPr="00274C1D" w:rsidRDefault="002677E3" w:rsidP="002677E3">
      <w:pPr>
        <w:pStyle w:val="Headingb"/>
      </w:pPr>
      <w:bookmarkStart w:id="29" w:name="_Toc41032051"/>
      <w:bookmarkStart w:id="30" w:name="_Toc72845012"/>
      <w:bookmarkStart w:id="31" w:name="_Toc72846360"/>
      <w:bookmarkStart w:id="32" w:name="_Toc72846586"/>
      <w:bookmarkStart w:id="33" w:name="_Toc95387467"/>
      <w:r w:rsidRPr="00274C1D">
        <w:t>Résultats découlant des activités concernant les applications pour les services spatiaux</w:t>
      </w:r>
      <w:bookmarkEnd w:id="29"/>
      <w:bookmarkEnd w:id="30"/>
      <w:bookmarkEnd w:id="31"/>
      <w:bookmarkEnd w:id="32"/>
      <w:bookmarkEnd w:id="33"/>
    </w:p>
    <w:p w14:paraId="1D917236" w14:textId="77777777" w:rsidR="002677E3" w:rsidRPr="00274C1D" w:rsidRDefault="002677E3" w:rsidP="002677E3">
      <w:pPr>
        <w:pStyle w:val="enumlev1"/>
        <w:rPr>
          <w:bCs/>
        </w:rPr>
      </w:pPr>
      <w:r w:rsidRPr="00274C1D">
        <w:rPr>
          <w:bCs/>
        </w:rPr>
        <w:t>•</w:t>
      </w:r>
      <w:r w:rsidRPr="00274C1D">
        <w:rPr>
          <w:bCs/>
        </w:rPr>
        <w:tab/>
        <w:t>Mise en œuvre de la Résolution 907 (Rév.CMR-15) – Utilisation de moyens modernes de communication électroniques pour la correspondance administrative concernant les réseaux à satellite.</w:t>
      </w:r>
    </w:p>
    <w:p w14:paraId="6FD735FD" w14:textId="4C384376" w:rsidR="002677E3" w:rsidRPr="00274C1D" w:rsidRDefault="002677E3" w:rsidP="002677E3">
      <w:pPr>
        <w:pStyle w:val="enumlev1"/>
      </w:pPr>
      <w:r w:rsidRPr="00274C1D">
        <w:t>•</w:t>
      </w:r>
      <w:r w:rsidRPr="00274C1D">
        <w:tab/>
        <w:t>Mise en œuvre de la Résolution 908 (Rév.CMR-15) – Soumission par voie électronique des fiches de notification des réseaux à satellite.</w:t>
      </w:r>
    </w:p>
    <w:p w14:paraId="2E3F29D7" w14:textId="6794A2D9" w:rsidR="002677E3" w:rsidRPr="00274C1D" w:rsidRDefault="002677E3" w:rsidP="002677E3">
      <w:pPr>
        <w:pStyle w:val="enumlev1"/>
      </w:pPr>
      <w:r w:rsidRPr="00274C1D">
        <w:t>•</w:t>
      </w:r>
      <w:r w:rsidRPr="00274C1D">
        <w:tab/>
        <w:t>Mise au point d'un outil permettant d'aider les administrations à indiquer au Bureau le statut de la coordination vis-à-vis des administrations concernées lors de la notification.</w:t>
      </w:r>
    </w:p>
    <w:p w14:paraId="4834EB8E" w14:textId="2580DD89" w:rsidR="002677E3" w:rsidRPr="00274C1D" w:rsidRDefault="002677E3" w:rsidP="002677E3">
      <w:pPr>
        <w:pStyle w:val="enumlev1"/>
      </w:pPr>
      <w:r w:rsidRPr="00274C1D">
        <w:t>•</w:t>
      </w:r>
      <w:r w:rsidRPr="00274C1D">
        <w:tab/>
        <w:t>Passage de la Circulaire BR IFIC (services spatiaux) du support DVD à un mécanisme en ligne.</w:t>
      </w:r>
    </w:p>
    <w:p w14:paraId="313D873F" w14:textId="603DD428" w:rsidR="002677E3" w:rsidRPr="00274C1D" w:rsidRDefault="002677E3" w:rsidP="002677E3">
      <w:pPr>
        <w:pStyle w:val="enumlev1"/>
      </w:pPr>
      <w:r w:rsidRPr="00274C1D">
        <w:t>•</w:t>
      </w:r>
      <w:r w:rsidRPr="00274C1D">
        <w:tab/>
        <w:t xml:space="preserve">Mise en œuvre des points 2 et 6 du </w:t>
      </w:r>
      <w:r w:rsidRPr="00274C1D">
        <w:rPr>
          <w:i/>
          <w:iCs/>
        </w:rPr>
        <w:t>charge le Directeur du Bureau des radiocommunications</w:t>
      </w:r>
      <w:r w:rsidRPr="00274C1D">
        <w:t xml:space="preserve"> de la Résolution 186 (Rév. Bucarest 2022) et publication de la Circulaire </w:t>
      </w:r>
      <w:hyperlink r:id="rId29" w:history="1">
        <w:r w:rsidRPr="00274C1D">
          <w:rPr>
            <w:rStyle w:val="Hyperlink"/>
          </w:rPr>
          <w:t>CR/495</w:t>
        </w:r>
      </w:hyperlink>
      <w:r w:rsidRPr="00274C1D">
        <w:t xml:space="preserve"> le 26 janvier 2023 concernant les</w:t>
      </w:r>
      <w:r w:rsidRPr="00274C1D" w:rsidDel="00153FF9">
        <w:t xml:space="preserve"> </w:t>
      </w:r>
      <w:hyperlink r:id="rId30" w:history="1">
        <w:r w:rsidRPr="00274C1D">
          <w:rPr>
            <w:rStyle w:val="Hyperlink"/>
          </w:rPr>
          <w:t>informations en ligne sur les installations de contrôle des émissions spatiales</w:t>
        </w:r>
      </w:hyperlink>
      <w:r w:rsidRPr="00274C1D">
        <w:t>.</w:t>
      </w:r>
    </w:p>
    <w:p w14:paraId="207A3B81" w14:textId="77777777" w:rsidR="002677E3" w:rsidRPr="00274C1D" w:rsidRDefault="002677E3" w:rsidP="002677E3">
      <w:pPr>
        <w:pStyle w:val="Heading2"/>
      </w:pPr>
      <w:bookmarkStart w:id="34" w:name="_Toc37860457"/>
      <w:bookmarkStart w:id="35" w:name="_Toc37861218"/>
      <w:bookmarkStart w:id="36" w:name="_Toc37943337"/>
      <w:bookmarkStart w:id="37" w:name="_Toc133303264"/>
      <w:bookmarkStart w:id="38" w:name="_Toc138838635"/>
      <w:r w:rsidRPr="00274C1D">
        <w:t>4.2</w:t>
      </w:r>
      <w:r w:rsidRPr="00274C1D">
        <w:tab/>
      </w:r>
      <w:bookmarkEnd w:id="34"/>
      <w:bookmarkEnd w:id="35"/>
      <w:bookmarkEnd w:id="36"/>
      <w:bookmarkEnd w:id="37"/>
      <w:r w:rsidRPr="00274C1D">
        <w:t>Normalisation – Les fondements des technologies d'aujourd'hui et de demain</w:t>
      </w:r>
      <w:bookmarkEnd w:id="38"/>
    </w:p>
    <w:p w14:paraId="0C497F82" w14:textId="77777777" w:rsidR="002677E3" w:rsidRPr="00274C1D" w:rsidRDefault="002677E3" w:rsidP="002677E3">
      <w:r w:rsidRPr="00274C1D">
        <w:t>Les travaux de normalisation de l'UIT portent sur les normes relatives aux télécommunications (Recommandations UIT-T) et les normes relatives aux radiocommunications (Recommandations UIT-R).</w:t>
      </w:r>
    </w:p>
    <w:p w14:paraId="7AAD682D" w14:textId="77777777" w:rsidR="002677E3" w:rsidRPr="00274C1D" w:rsidRDefault="002677E3" w:rsidP="002677E3">
      <w:pPr>
        <w:pStyle w:val="Headingb"/>
      </w:pPr>
      <w:bookmarkStart w:id="39" w:name="_Toc41032053"/>
      <w:bookmarkStart w:id="40" w:name="_Toc72845014"/>
      <w:bookmarkStart w:id="41" w:name="_Toc72846361"/>
      <w:bookmarkStart w:id="42" w:name="_Toc72846588"/>
      <w:bookmarkStart w:id="43" w:name="_Toc95387469"/>
      <w:r w:rsidRPr="00274C1D">
        <w:t>Recommandations UIT-T</w:t>
      </w:r>
      <w:bookmarkEnd w:id="39"/>
      <w:bookmarkEnd w:id="40"/>
      <w:bookmarkEnd w:id="41"/>
      <w:bookmarkEnd w:id="42"/>
      <w:bookmarkEnd w:id="43"/>
    </w:p>
    <w:p w14:paraId="69829143" w14:textId="5B7BCD3A" w:rsidR="002677E3" w:rsidRPr="00274C1D" w:rsidRDefault="002677E3" w:rsidP="002677E3">
      <w:r w:rsidRPr="00274C1D">
        <w:t>À la date du 20 mars 2023, l'UIT a approuvé</w:t>
      </w:r>
      <w:r w:rsidRPr="00274C1D" w:rsidDel="00153FF9">
        <w:t xml:space="preserve"> </w:t>
      </w:r>
      <w:hyperlink r:id="rId31" w:history="1">
        <w:r w:rsidRPr="00274C1D">
          <w:rPr>
            <w:rStyle w:val="Hyperlink"/>
          </w:rPr>
          <w:t>255 Recommandations UIT-T, nouvelles ou révisées, et textes connexes</w:t>
        </w:r>
      </w:hyperlink>
      <w:r w:rsidRPr="00274C1D">
        <w:t xml:space="preserve"> pendant la période considérée (juillet 2022 – avril 2023). Toutes les Recommandations UIT-T en vigueur sont énumérées dans le </w:t>
      </w:r>
      <w:hyperlink r:id="rId32" w:history="1">
        <w:r w:rsidRPr="00274C1D">
          <w:rPr>
            <w:rStyle w:val="Hyperlink"/>
          </w:rPr>
          <w:t>catalogue des Recommandations UIT-T</w:t>
        </w:r>
      </w:hyperlink>
      <w:r w:rsidRPr="00274C1D">
        <w:t xml:space="preserve">. Les résumés analytiques des réunions des </w:t>
      </w:r>
      <w:r w:rsidR="00751D43" w:rsidRPr="00274C1D">
        <w:t>c</w:t>
      </w:r>
      <w:r w:rsidRPr="00274C1D">
        <w:t xml:space="preserve">ommissions d'études (CE) de l'UIT-T peuvent être consultés sur leurs </w:t>
      </w:r>
      <w:hyperlink r:id="rId33" w:history="1">
        <w:r w:rsidRPr="00274C1D">
          <w:rPr>
            <w:rStyle w:val="Hyperlink"/>
          </w:rPr>
          <w:t>pages d'accueil</w:t>
        </w:r>
      </w:hyperlink>
      <w:bookmarkStart w:id="44" w:name="_1.1_AI-based_mapping"/>
      <w:bookmarkEnd w:id="44"/>
      <w:r w:rsidRPr="00274C1D">
        <w:t xml:space="preserve"> respectives.</w:t>
      </w:r>
    </w:p>
    <w:p w14:paraId="510BAE8D" w14:textId="50E6F9A4" w:rsidR="002677E3" w:rsidRPr="00274C1D" w:rsidRDefault="002677E3" w:rsidP="002677E3">
      <w:r w:rsidRPr="00274C1D">
        <w:t xml:space="preserve">Plus de 20 réunions des </w:t>
      </w:r>
      <w:r w:rsidR="00751D43" w:rsidRPr="00274C1D">
        <w:t>c</w:t>
      </w:r>
      <w:r w:rsidRPr="00274C1D">
        <w:t>ommissions d'études de l'UIT-T ont eu lieu pendant la période considérée.</w:t>
      </w:r>
    </w:p>
    <w:p w14:paraId="483430B0" w14:textId="77777777" w:rsidR="002677E3" w:rsidRPr="00274C1D" w:rsidRDefault="002677E3" w:rsidP="002677E3">
      <w:r w:rsidRPr="00274C1D">
        <w:lastRenderedPageBreak/>
        <w:t>Concernant les travaux connexes, plusieurs groupes spécialisés de l'UIT-T (FG) ont été prévus pour la période d'études 2022-2024. D'autres informations sur les activités et les produits de chaque groupe sont disponibles sur leurs pages d'accueil respectives. Voir également la</w:t>
      </w:r>
      <w:hyperlink r:id="rId34" w:history="1">
        <w:r w:rsidRPr="00274C1D">
          <w:t xml:space="preserve"> </w:t>
        </w:r>
        <w:r w:rsidRPr="00274C1D">
          <w:rPr>
            <w:rStyle w:val="Hyperlink"/>
          </w:rPr>
          <w:t>page d'accueil des groupes spécialisés de l'UIT-T</w:t>
        </w:r>
      </w:hyperlink>
      <w:r w:rsidRPr="00274C1D">
        <w:t>.</w:t>
      </w:r>
      <w:bookmarkStart w:id="45" w:name="_2.1_Active_groups"/>
      <w:bookmarkEnd w:id="45"/>
      <w:r w:rsidRPr="00274C1D">
        <w:t xml:space="preserve"> On trouvera dans les sections correspondantes du présent rapport des références aux groupes spécialisés concernés, par exemple sur les modèles d'établissement des coûts visant à rendre les services de données financièrement abordables (FG-CostingData) et sur les</w:t>
      </w:r>
      <w:r w:rsidRPr="00274C1D" w:rsidDel="00153FF9">
        <w:t xml:space="preserve"> </w:t>
      </w:r>
      <w:hyperlink r:id="rId35" w:history="1">
        <w:r w:rsidRPr="00274C1D">
          <w:rPr>
            <w:rStyle w:val="Hyperlink"/>
          </w:rPr>
          <w:t>fédérations de bancs d'essai pour les IMT 2020 et les systèmes ultérieurs (FG-TBFxG)</w:t>
        </w:r>
      </w:hyperlink>
      <w:r w:rsidRPr="00274C1D">
        <w:t>.</w:t>
      </w:r>
      <w:bookmarkStart w:id="46" w:name="_2.2_Concluded_groups"/>
      <w:bookmarkEnd w:id="46"/>
    </w:p>
    <w:p w14:paraId="153CA522" w14:textId="77777777" w:rsidR="002677E3" w:rsidRPr="00274C1D" w:rsidRDefault="002677E3" w:rsidP="002677E3">
      <w:pPr>
        <w:pStyle w:val="Headingb"/>
      </w:pPr>
      <w:r w:rsidRPr="00274C1D">
        <w:t>Recommandations UIT-R</w:t>
      </w:r>
    </w:p>
    <w:p w14:paraId="5297D0FB" w14:textId="51488940" w:rsidR="002677E3" w:rsidRPr="00274C1D" w:rsidRDefault="002677E3" w:rsidP="002677E3">
      <w:pPr>
        <w:spacing w:after="240"/>
        <w:rPr>
          <w:u w:val="single"/>
        </w:rPr>
      </w:pPr>
      <w:r w:rsidRPr="00274C1D">
        <w:t>Entre juillet 2022 et avril 2023, l'UIT-R a approuvé plus de 35 Recommandations UIT-R, nouvelles ou révisées, comme indiqué ci-après. L'ensemble complet des Recommandations</w:t>
      </w:r>
      <w:r w:rsidR="00197936" w:rsidRPr="00274C1D">
        <w:t> </w:t>
      </w:r>
      <w:r w:rsidRPr="00274C1D">
        <w:t xml:space="preserve">UIT-R est disponible à l'adresse: </w:t>
      </w:r>
      <w:hyperlink r:id="rId36" w:history="1">
        <w:r w:rsidRPr="00274C1D">
          <w:rPr>
            <w:rStyle w:val="Hyperlink"/>
          </w:rPr>
          <w:t>https://www.itu.int/pub/R-REC</w:t>
        </w:r>
      </w:hyperlink>
      <w:r w:rsidRPr="00274C1D">
        <w:t>.</w:t>
      </w:r>
    </w:p>
    <w:tbl>
      <w:tblPr>
        <w:tblStyle w:val="ListTable3-Accent11"/>
        <w:tblW w:w="8985" w:type="dxa"/>
        <w:tblLook w:val="04A0" w:firstRow="1" w:lastRow="0" w:firstColumn="1" w:lastColumn="0" w:noHBand="0" w:noVBand="1"/>
      </w:tblPr>
      <w:tblGrid>
        <w:gridCol w:w="5379"/>
        <w:gridCol w:w="3606"/>
      </w:tblGrid>
      <w:tr w:rsidR="002677E3" w:rsidRPr="00274C1D" w14:paraId="4AA586AE" w14:textId="77777777" w:rsidTr="000A07B4">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5379" w:type="dxa"/>
            <w:hideMark/>
          </w:tcPr>
          <w:p w14:paraId="336DB6D5" w14:textId="77777777" w:rsidR="002677E3" w:rsidRPr="00274C1D" w:rsidRDefault="002677E3" w:rsidP="000A07B4">
            <w:pPr>
              <w:pStyle w:val="Tablehead"/>
              <w:rPr>
                <w:b/>
                <w:bCs w:val="0"/>
              </w:rPr>
            </w:pPr>
            <w:bookmarkStart w:id="47" w:name="lt_pId382"/>
            <w:r w:rsidRPr="00274C1D">
              <w:rPr>
                <w:b/>
                <w:bCs w:val="0"/>
              </w:rPr>
              <w:t>Groupes de travail (GT)</w:t>
            </w:r>
            <w:bookmarkEnd w:id="47"/>
          </w:p>
        </w:tc>
        <w:tc>
          <w:tcPr>
            <w:tcW w:w="3606" w:type="dxa"/>
            <w:hideMark/>
          </w:tcPr>
          <w:p w14:paraId="130BE6E4" w14:textId="77777777" w:rsidR="002677E3" w:rsidRPr="00274C1D" w:rsidRDefault="002677E3" w:rsidP="000A07B4">
            <w:pPr>
              <w:pStyle w:val="Tablehead"/>
              <w:cnfStyle w:val="100000000000" w:firstRow="1" w:lastRow="0" w:firstColumn="0" w:lastColumn="0" w:oddVBand="0" w:evenVBand="0" w:oddHBand="0" w:evenHBand="0" w:firstRowFirstColumn="0" w:firstRowLastColumn="0" w:lastRowFirstColumn="0" w:lastRowLastColumn="0"/>
              <w:rPr>
                <w:b/>
                <w:bCs w:val="0"/>
              </w:rPr>
            </w:pPr>
            <w:bookmarkStart w:id="48" w:name="lt_pId383"/>
            <w:r w:rsidRPr="00274C1D">
              <w:rPr>
                <w:b/>
                <w:bCs w:val="0"/>
                <w:lang w:eastAsia="ja-JP"/>
              </w:rPr>
              <w:t>Recommandations nouvelles</w:t>
            </w:r>
            <w:r w:rsidRPr="00274C1D">
              <w:rPr>
                <w:b/>
                <w:bCs w:val="0"/>
                <w:lang w:eastAsia="ja-JP"/>
              </w:rPr>
              <w:br/>
              <w:t>ou révisées de l'UIT</w:t>
            </w:r>
            <w:r w:rsidRPr="00274C1D">
              <w:rPr>
                <w:b/>
                <w:bCs w:val="0"/>
                <w:lang w:eastAsia="ja-JP"/>
              </w:rPr>
              <w:noBreakHyphen/>
              <w:t>R</w:t>
            </w:r>
            <w:bookmarkEnd w:id="48"/>
          </w:p>
        </w:tc>
      </w:tr>
      <w:tr w:rsidR="002677E3" w:rsidRPr="00274C1D" w14:paraId="7D3D907E" w14:textId="77777777" w:rsidTr="000A07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79" w:type="dxa"/>
            <w:hideMark/>
          </w:tcPr>
          <w:p w14:paraId="4B2C907C" w14:textId="77777777" w:rsidR="002677E3" w:rsidRPr="00274C1D" w:rsidRDefault="002677E3" w:rsidP="000A07B4">
            <w:pPr>
              <w:pStyle w:val="Tabletext"/>
              <w:rPr>
                <w:b w:val="0"/>
                <w:bCs w:val="0"/>
              </w:rPr>
            </w:pPr>
            <w:bookmarkStart w:id="49" w:name="lt_pId384"/>
            <w:r w:rsidRPr="00274C1D">
              <w:rPr>
                <w:b w:val="0"/>
                <w:bCs w:val="0"/>
              </w:rPr>
              <w:t>GT 1A – Techniques d'ingénierie du spectre</w:t>
            </w:r>
            <w:bookmarkEnd w:id="49"/>
          </w:p>
        </w:tc>
        <w:tc>
          <w:tcPr>
            <w:tcW w:w="3606" w:type="dxa"/>
            <w:hideMark/>
          </w:tcPr>
          <w:p w14:paraId="07AFC5A2" w14:textId="5381D89F" w:rsidR="002677E3" w:rsidRPr="00274C1D" w:rsidRDefault="002677E3" w:rsidP="000A07B4">
            <w:pPr>
              <w:pStyle w:val="Tabletext"/>
              <w:cnfStyle w:val="000000100000" w:firstRow="0" w:lastRow="0" w:firstColumn="0" w:lastColumn="0" w:oddVBand="0" w:evenVBand="0" w:oddHBand="1" w:evenHBand="0" w:firstRowFirstColumn="0" w:firstRowLastColumn="0" w:lastRowFirstColumn="0" w:lastRowLastColumn="0"/>
            </w:pPr>
            <w:r w:rsidRPr="00274C1D">
              <w:t>SM.2151-0, SM.2152-0</w:t>
            </w:r>
          </w:p>
        </w:tc>
      </w:tr>
      <w:tr w:rsidR="002677E3" w:rsidRPr="00274C1D" w14:paraId="070B121B" w14:textId="77777777" w:rsidTr="000A07B4">
        <w:trPr>
          <w:trHeight w:val="300"/>
        </w:trPr>
        <w:tc>
          <w:tcPr>
            <w:cnfStyle w:val="001000000000" w:firstRow="0" w:lastRow="0" w:firstColumn="1" w:lastColumn="0" w:oddVBand="0" w:evenVBand="0" w:oddHBand="0" w:evenHBand="0" w:firstRowFirstColumn="0" w:firstRowLastColumn="0" w:lastRowFirstColumn="0" w:lastRowLastColumn="0"/>
            <w:tcW w:w="5379" w:type="dxa"/>
            <w:hideMark/>
          </w:tcPr>
          <w:p w14:paraId="3DDD3E44" w14:textId="77777777" w:rsidR="002677E3" w:rsidRPr="00274C1D" w:rsidRDefault="002677E3" w:rsidP="000A07B4">
            <w:pPr>
              <w:pStyle w:val="Tabletext"/>
              <w:rPr>
                <w:b w:val="0"/>
                <w:bCs w:val="0"/>
              </w:rPr>
            </w:pPr>
            <w:bookmarkStart w:id="50" w:name="lt_pId386"/>
            <w:r w:rsidRPr="00274C1D">
              <w:rPr>
                <w:b w:val="0"/>
                <w:bCs w:val="0"/>
              </w:rPr>
              <w:t>GT 1C – Contrôle du spectre</w:t>
            </w:r>
            <w:bookmarkEnd w:id="50"/>
          </w:p>
        </w:tc>
        <w:tc>
          <w:tcPr>
            <w:tcW w:w="3606" w:type="dxa"/>
            <w:hideMark/>
          </w:tcPr>
          <w:p w14:paraId="6BAA805B" w14:textId="2F4A5F13" w:rsidR="002677E3" w:rsidRPr="00274C1D" w:rsidRDefault="002677E3" w:rsidP="000A07B4">
            <w:pPr>
              <w:pStyle w:val="Tabletext"/>
              <w:cnfStyle w:val="000000000000" w:firstRow="0" w:lastRow="0" w:firstColumn="0" w:lastColumn="0" w:oddVBand="0" w:evenVBand="0" w:oddHBand="0" w:evenHBand="0" w:firstRowFirstColumn="0" w:firstRowLastColumn="0" w:lastRowFirstColumn="0" w:lastRowLastColumn="0"/>
            </w:pPr>
            <w:r w:rsidRPr="00274C1D">
              <w:t>SM.1875-4, SM.2149-0</w:t>
            </w:r>
          </w:p>
        </w:tc>
      </w:tr>
      <w:tr w:rsidR="002677E3" w:rsidRPr="00274C1D" w14:paraId="4A735942" w14:textId="77777777" w:rsidTr="000A07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79" w:type="dxa"/>
            <w:hideMark/>
          </w:tcPr>
          <w:p w14:paraId="4EC250C7" w14:textId="77777777" w:rsidR="002677E3" w:rsidRPr="00274C1D" w:rsidRDefault="002677E3" w:rsidP="000A07B4">
            <w:pPr>
              <w:pStyle w:val="Tabletext"/>
              <w:rPr>
                <w:b w:val="0"/>
                <w:bCs w:val="0"/>
              </w:rPr>
            </w:pPr>
            <w:bookmarkStart w:id="51" w:name="lt_pId388"/>
            <w:r w:rsidRPr="00274C1D">
              <w:rPr>
                <w:b w:val="0"/>
                <w:bCs w:val="0"/>
              </w:rPr>
              <w:t>GT 3J – Fondements de la propagation</w:t>
            </w:r>
            <w:bookmarkEnd w:id="51"/>
          </w:p>
        </w:tc>
        <w:tc>
          <w:tcPr>
            <w:tcW w:w="3606" w:type="dxa"/>
            <w:hideMark/>
          </w:tcPr>
          <w:p w14:paraId="0FA1BA43" w14:textId="2D523CE6" w:rsidR="002677E3" w:rsidRPr="00274C1D" w:rsidRDefault="002677E3" w:rsidP="000A07B4">
            <w:pPr>
              <w:pStyle w:val="Tabletext"/>
              <w:cnfStyle w:val="000000100000" w:firstRow="0" w:lastRow="0" w:firstColumn="0" w:lastColumn="0" w:oddVBand="0" w:evenVBand="0" w:oddHBand="1" w:evenHBand="0" w:firstRowFirstColumn="0" w:firstRowLastColumn="0" w:lastRowFirstColumn="0" w:lastRowLastColumn="0"/>
            </w:pPr>
            <w:r w:rsidRPr="00274C1D">
              <w:t>P.581-3, P.676-13, P.841-7, P.1057-7, P.2145-0, P.2146-0, P.2148-0</w:t>
            </w:r>
          </w:p>
        </w:tc>
      </w:tr>
      <w:tr w:rsidR="002677E3" w:rsidRPr="00274C1D" w14:paraId="159B8C3C" w14:textId="77777777" w:rsidTr="000A07B4">
        <w:trPr>
          <w:trHeight w:val="435"/>
        </w:trPr>
        <w:tc>
          <w:tcPr>
            <w:cnfStyle w:val="001000000000" w:firstRow="0" w:lastRow="0" w:firstColumn="1" w:lastColumn="0" w:oddVBand="0" w:evenVBand="0" w:oddHBand="0" w:evenHBand="0" w:firstRowFirstColumn="0" w:firstRowLastColumn="0" w:lastRowFirstColumn="0" w:lastRowLastColumn="0"/>
            <w:tcW w:w="5379" w:type="dxa"/>
            <w:hideMark/>
          </w:tcPr>
          <w:p w14:paraId="4634064D" w14:textId="77777777" w:rsidR="002677E3" w:rsidRPr="00274C1D" w:rsidRDefault="002677E3" w:rsidP="000A07B4">
            <w:pPr>
              <w:pStyle w:val="Tabletext"/>
              <w:rPr>
                <w:b w:val="0"/>
                <w:bCs w:val="0"/>
              </w:rPr>
            </w:pPr>
            <w:bookmarkStart w:id="52" w:name="lt_pId392"/>
            <w:r w:rsidRPr="00274C1D">
              <w:rPr>
                <w:b w:val="0"/>
                <w:bCs w:val="0"/>
              </w:rPr>
              <w:t>GT 3L – Propagation ionosphérique et bruit radioélectrique</w:t>
            </w:r>
            <w:bookmarkEnd w:id="52"/>
          </w:p>
        </w:tc>
        <w:tc>
          <w:tcPr>
            <w:tcW w:w="3606" w:type="dxa"/>
            <w:hideMark/>
          </w:tcPr>
          <w:p w14:paraId="54E2A332" w14:textId="46F70198" w:rsidR="002677E3" w:rsidRPr="00274C1D" w:rsidRDefault="002677E3" w:rsidP="000A07B4">
            <w:pPr>
              <w:pStyle w:val="Tabletext"/>
              <w:cnfStyle w:val="000000000000" w:firstRow="0" w:lastRow="0" w:firstColumn="0" w:lastColumn="0" w:oddVBand="0" w:evenVBand="0" w:oddHBand="0" w:evenHBand="0" w:firstRowFirstColumn="0" w:firstRowLastColumn="0" w:lastRowFirstColumn="0" w:lastRowLastColumn="0"/>
            </w:pPr>
            <w:r w:rsidRPr="00274C1D">
              <w:t>P.368-10, P.372-16, P.684-8</w:t>
            </w:r>
          </w:p>
        </w:tc>
      </w:tr>
      <w:tr w:rsidR="002677E3" w:rsidRPr="00274C1D" w14:paraId="39BB371E" w14:textId="77777777" w:rsidTr="000A07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79" w:type="dxa"/>
            <w:hideMark/>
          </w:tcPr>
          <w:p w14:paraId="0B5F8FD3" w14:textId="77777777" w:rsidR="002677E3" w:rsidRPr="00274C1D" w:rsidRDefault="002677E3" w:rsidP="000A07B4">
            <w:pPr>
              <w:pStyle w:val="Tabletext"/>
              <w:rPr>
                <w:b w:val="0"/>
                <w:bCs w:val="0"/>
              </w:rPr>
            </w:pPr>
            <w:bookmarkStart w:id="53" w:name="lt_pId394"/>
            <w:r w:rsidRPr="00274C1D">
              <w:rPr>
                <w:b w:val="0"/>
                <w:bCs w:val="0"/>
              </w:rPr>
              <w:t>GT 3M – Propagation point à point et Terre vers espace</w:t>
            </w:r>
            <w:bookmarkEnd w:id="53"/>
          </w:p>
        </w:tc>
        <w:tc>
          <w:tcPr>
            <w:tcW w:w="3606" w:type="dxa"/>
            <w:hideMark/>
          </w:tcPr>
          <w:p w14:paraId="6C1D43B4" w14:textId="0D050D59" w:rsidR="002677E3" w:rsidRPr="00274C1D" w:rsidRDefault="002677E3" w:rsidP="000A07B4">
            <w:pPr>
              <w:pStyle w:val="Tabletext"/>
              <w:cnfStyle w:val="000000100000" w:firstRow="0" w:lastRow="0" w:firstColumn="0" w:lastColumn="0" w:oddVBand="0" w:evenVBand="0" w:oddHBand="1" w:evenHBand="0" w:firstRowFirstColumn="0" w:firstRowLastColumn="0" w:lastRowFirstColumn="0" w:lastRowLastColumn="0"/>
            </w:pPr>
            <w:r w:rsidRPr="00274C1D">
              <w:t>P.680-4, P.682-4, P.1622-1, P.2147-0</w:t>
            </w:r>
          </w:p>
        </w:tc>
      </w:tr>
      <w:tr w:rsidR="002677E3" w:rsidRPr="00274C1D" w14:paraId="68007384" w14:textId="77777777" w:rsidTr="000A07B4">
        <w:trPr>
          <w:trHeight w:val="525"/>
        </w:trPr>
        <w:tc>
          <w:tcPr>
            <w:cnfStyle w:val="001000000000" w:firstRow="0" w:lastRow="0" w:firstColumn="1" w:lastColumn="0" w:oddVBand="0" w:evenVBand="0" w:oddHBand="0" w:evenHBand="0" w:firstRowFirstColumn="0" w:firstRowLastColumn="0" w:lastRowFirstColumn="0" w:lastRowLastColumn="0"/>
            <w:tcW w:w="5379" w:type="dxa"/>
            <w:hideMark/>
          </w:tcPr>
          <w:p w14:paraId="5E3E54EF" w14:textId="77777777" w:rsidR="002677E3" w:rsidRPr="00274C1D" w:rsidRDefault="002677E3" w:rsidP="000A07B4">
            <w:pPr>
              <w:pStyle w:val="Tabletext"/>
              <w:rPr>
                <w:b w:val="0"/>
                <w:bCs w:val="0"/>
              </w:rPr>
            </w:pPr>
            <w:bookmarkStart w:id="54" w:name="lt_pId402"/>
            <w:r w:rsidRPr="00274C1D">
              <w:rPr>
                <w:b w:val="0"/>
                <w:bCs w:val="0"/>
              </w:rPr>
              <w:t xml:space="preserve">GT 5A – </w:t>
            </w:r>
            <w:bookmarkEnd w:id="54"/>
            <w:r w:rsidRPr="00274C1D">
              <w:rPr>
                <w:b w:val="0"/>
                <w:bCs w:val="0"/>
              </w:rPr>
              <w:t>Service mobile terrestre au-dessus de 30 MHz* (à l'exclusion des IMT), accès hertzien dans le service fixe, service d'amateur et service d'amateur par satellite* y compris la fréquence exacte de 30 MHz</w:t>
            </w:r>
          </w:p>
        </w:tc>
        <w:tc>
          <w:tcPr>
            <w:tcW w:w="3606" w:type="dxa"/>
            <w:hideMark/>
          </w:tcPr>
          <w:p w14:paraId="184D4944" w14:textId="15DDBCBE" w:rsidR="002677E3" w:rsidRPr="00274C1D" w:rsidRDefault="002677E3" w:rsidP="000A07B4">
            <w:pPr>
              <w:pStyle w:val="Tabletext"/>
              <w:cnfStyle w:val="000000000000" w:firstRow="0" w:lastRow="0" w:firstColumn="0" w:lastColumn="0" w:oddVBand="0" w:evenVBand="0" w:oddHBand="0" w:evenHBand="0" w:firstRowFirstColumn="0" w:firstRowLastColumn="0" w:lastRowFirstColumn="0" w:lastRowLastColumn="0"/>
            </w:pPr>
            <w:r w:rsidRPr="00274C1D">
              <w:t>M.1732-3</w:t>
            </w:r>
          </w:p>
        </w:tc>
      </w:tr>
      <w:tr w:rsidR="002677E3" w:rsidRPr="00274C1D" w14:paraId="5068758E" w14:textId="77777777" w:rsidTr="000A07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79" w:type="dxa"/>
            <w:hideMark/>
          </w:tcPr>
          <w:p w14:paraId="745C8988" w14:textId="77777777" w:rsidR="002677E3" w:rsidRPr="00274C1D" w:rsidRDefault="002677E3" w:rsidP="000A07B4">
            <w:pPr>
              <w:pStyle w:val="Tabletext"/>
              <w:rPr>
                <w:b w:val="0"/>
                <w:bCs w:val="0"/>
              </w:rPr>
            </w:pPr>
            <w:bookmarkStart w:id="55" w:name="lt_pId404"/>
            <w:r w:rsidRPr="00274C1D">
              <w:rPr>
                <w:b w:val="0"/>
                <w:bCs w:val="0"/>
              </w:rPr>
              <w:t>GT 5B – Service mobile maritime, y compris le Système mondial de détresse et de sécurité en mer (SMDSM); service mobile aéronautique et service de radiorepérage</w:t>
            </w:r>
            <w:bookmarkEnd w:id="55"/>
          </w:p>
        </w:tc>
        <w:tc>
          <w:tcPr>
            <w:tcW w:w="3606" w:type="dxa"/>
            <w:hideMark/>
          </w:tcPr>
          <w:p w14:paraId="1D152CE8" w14:textId="2C2D9ECC" w:rsidR="002677E3" w:rsidRPr="00274C1D" w:rsidRDefault="002677E3" w:rsidP="000A07B4">
            <w:pPr>
              <w:pStyle w:val="Tabletext"/>
              <w:cnfStyle w:val="000000100000" w:firstRow="0" w:lastRow="0" w:firstColumn="0" w:lastColumn="0" w:oddVBand="0" w:evenVBand="0" w:oddHBand="1" w:evenHBand="0" w:firstRowFirstColumn="0" w:firstRowLastColumn="0" w:lastRowFirstColumn="0" w:lastRowLastColumn="0"/>
            </w:pPr>
            <w:r w:rsidRPr="00274C1D">
              <w:t>M.1730-2, M.1849-3, M.2010-2, M.2058-1, M.2135-1</w:t>
            </w:r>
          </w:p>
        </w:tc>
      </w:tr>
      <w:tr w:rsidR="002677E3" w:rsidRPr="00274C1D" w14:paraId="52B49341" w14:textId="77777777" w:rsidTr="000A07B4">
        <w:trPr>
          <w:trHeight w:val="300"/>
        </w:trPr>
        <w:tc>
          <w:tcPr>
            <w:cnfStyle w:val="001000000000" w:firstRow="0" w:lastRow="0" w:firstColumn="1" w:lastColumn="0" w:oddVBand="0" w:evenVBand="0" w:oddHBand="0" w:evenHBand="0" w:firstRowFirstColumn="0" w:firstRowLastColumn="0" w:lastRowFirstColumn="0" w:lastRowLastColumn="0"/>
            <w:tcW w:w="5379" w:type="dxa"/>
            <w:hideMark/>
          </w:tcPr>
          <w:p w14:paraId="5272A80B" w14:textId="77777777" w:rsidR="002677E3" w:rsidRPr="00274C1D" w:rsidRDefault="002677E3" w:rsidP="000A07B4">
            <w:pPr>
              <w:pStyle w:val="Tabletext"/>
              <w:rPr>
                <w:b w:val="0"/>
                <w:bCs w:val="0"/>
              </w:rPr>
            </w:pPr>
            <w:bookmarkStart w:id="56" w:name="lt_pId406"/>
            <w:r w:rsidRPr="00274C1D">
              <w:rPr>
                <w:b w:val="0"/>
                <w:bCs w:val="0"/>
              </w:rPr>
              <w:t>GT 5C – Systèmes hertziens fixes, systèmes en ondes décamétriques du service fixe et du service mobile terrestre</w:t>
            </w:r>
            <w:bookmarkEnd w:id="56"/>
          </w:p>
        </w:tc>
        <w:tc>
          <w:tcPr>
            <w:tcW w:w="3606" w:type="dxa"/>
            <w:hideMark/>
          </w:tcPr>
          <w:p w14:paraId="13A59793" w14:textId="6D31BA0B" w:rsidR="002677E3" w:rsidRPr="00274C1D" w:rsidRDefault="002677E3" w:rsidP="000A07B4">
            <w:pPr>
              <w:pStyle w:val="Tabletext"/>
              <w:cnfStyle w:val="000000000000" w:firstRow="0" w:lastRow="0" w:firstColumn="0" w:lastColumn="0" w:oddVBand="0" w:evenVBand="0" w:oddHBand="0" w:evenHBand="0" w:firstRowFirstColumn="0" w:firstRowLastColumn="0" w:lastRowFirstColumn="0" w:lastRowLastColumn="0"/>
            </w:pPr>
            <w:r w:rsidRPr="00274C1D">
              <w:t>F.1520-4</w:t>
            </w:r>
          </w:p>
        </w:tc>
      </w:tr>
      <w:tr w:rsidR="002677E3" w:rsidRPr="00274C1D" w14:paraId="29CFFA0D" w14:textId="77777777" w:rsidTr="000A07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79" w:type="dxa"/>
            <w:hideMark/>
          </w:tcPr>
          <w:p w14:paraId="74820EEF" w14:textId="77777777" w:rsidR="002677E3" w:rsidRPr="00274C1D" w:rsidRDefault="002677E3" w:rsidP="000A07B4">
            <w:pPr>
              <w:pStyle w:val="Tabletext"/>
              <w:rPr>
                <w:b w:val="0"/>
                <w:bCs w:val="0"/>
              </w:rPr>
            </w:pPr>
            <w:bookmarkStart w:id="57" w:name="lt_pId410"/>
            <w:r w:rsidRPr="00274C1D">
              <w:rPr>
                <w:b w:val="0"/>
                <w:bCs w:val="0"/>
              </w:rPr>
              <w:t xml:space="preserve">GT 6A – </w:t>
            </w:r>
            <w:bookmarkEnd w:id="57"/>
            <w:r w:rsidRPr="00274C1D">
              <w:rPr>
                <w:b w:val="0"/>
                <w:bCs w:val="0"/>
              </w:rPr>
              <w:t>Distribution de la radiodiffusion de Terre</w:t>
            </w:r>
          </w:p>
        </w:tc>
        <w:tc>
          <w:tcPr>
            <w:tcW w:w="3606" w:type="dxa"/>
            <w:hideMark/>
          </w:tcPr>
          <w:p w14:paraId="3C83DD5C" w14:textId="27BB3235" w:rsidR="002677E3" w:rsidRPr="00274C1D" w:rsidRDefault="002677E3" w:rsidP="000A07B4">
            <w:pPr>
              <w:pStyle w:val="Tabletext"/>
              <w:cnfStyle w:val="000000100000" w:firstRow="0" w:lastRow="0" w:firstColumn="0" w:lastColumn="0" w:oddVBand="0" w:evenVBand="0" w:oddHBand="1" w:evenHBand="0" w:firstRowFirstColumn="0" w:firstRowLastColumn="0" w:lastRowFirstColumn="0" w:lastRowLastColumn="0"/>
            </w:pPr>
            <w:r w:rsidRPr="00274C1D">
              <w:t>BS.643-4, BS.1660-9, BS.2107-1, BT.2016-3</w:t>
            </w:r>
          </w:p>
        </w:tc>
      </w:tr>
      <w:tr w:rsidR="002677E3" w:rsidRPr="00274C1D" w14:paraId="55E3D637" w14:textId="77777777" w:rsidTr="000A07B4">
        <w:trPr>
          <w:trHeight w:val="300"/>
        </w:trPr>
        <w:tc>
          <w:tcPr>
            <w:cnfStyle w:val="001000000000" w:firstRow="0" w:lastRow="0" w:firstColumn="1" w:lastColumn="0" w:oddVBand="0" w:evenVBand="0" w:oddHBand="0" w:evenHBand="0" w:firstRowFirstColumn="0" w:firstRowLastColumn="0" w:lastRowFirstColumn="0" w:lastRowLastColumn="0"/>
            <w:tcW w:w="5379" w:type="dxa"/>
            <w:hideMark/>
          </w:tcPr>
          <w:p w14:paraId="2AB88038" w14:textId="77777777" w:rsidR="002677E3" w:rsidRPr="00274C1D" w:rsidRDefault="002677E3" w:rsidP="000A07B4">
            <w:pPr>
              <w:pStyle w:val="Tabletext"/>
              <w:rPr>
                <w:b w:val="0"/>
                <w:bCs w:val="0"/>
              </w:rPr>
            </w:pPr>
            <w:bookmarkStart w:id="58" w:name="lt_pId412"/>
            <w:r w:rsidRPr="00274C1D">
              <w:rPr>
                <w:b w:val="0"/>
                <w:bCs w:val="0"/>
              </w:rPr>
              <w:t>GT 6B – Service de radiodiffusion: assemblage et accès</w:t>
            </w:r>
            <w:bookmarkEnd w:id="58"/>
          </w:p>
        </w:tc>
        <w:tc>
          <w:tcPr>
            <w:tcW w:w="3606" w:type="dxa"/>
            <w:hideMark/>
          </w:tcPr>
          <w:p w14:paraId="031BA05E" w14:textId="769E7B58" w:rsidR="002677E3" w:rsidRPr="00274C1D" w:rsidRDefault="002677E3" w:rsidP="000A07B4">
            <w:pPr>
              <w:pStyle w:val="Tabletext"/>
              <w:cnfStyle w:val="000000000000" w:firstRow="0" w:lastRow="0" w:firstColumn="0" w:lastColumn="0" w:oddVBand="0" w:evenVBand="0" w:oddHBand="0" w:evenHBand="0" w:firstRowFirstColumn="0" w:firstRowLastColumn="0" w:lastRowFirstColumn="0" w:lastRowLastColumn="0"/>
            </w:pPr>
            <w:r w:rsidRPr="00274C1D">
              <w:t>BT.1833-4, BT.2153-0, BT.2154-0</w:t>
            </w:r>
          </w:p>
        </w:tc>
      </w:tr>
      <w:tr w:rsidR="002677E3" w:rsidRPr="00274C1D" w14:paraId="4E431F81" w14:textId="77777777" w:rsidTr="000A07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79" w:type="dxa"/>
            <w:hideMark/>
          </w:tcPr>
          <w:p w14:paraId="209DF24C" w14:textId="77777777" w:rsidR="002677E3" w:rsidRPr="00274C1D" w:rsidRDefault="002677E3" w:rsidP="000A07B4">
            <w:pPr>
              <w:pStyle w:val="Tabletext"/>
              <w:rPr>
                <w:b w:val="0"/>
                <w:bCs w:val="0"/>
              </w:rPr>
            </w:pPr>
            <w:bookmarkStart w:id="59" w:name="lt_pId414"/>
            <w:r w:rsidRPr="00274C1D">
              <w:rPr>
                <w:b w:val="0"/>
                <w:bCs w:val="0"/>
              </w:rPr>
              <w:t>GT 6C – Production de programmes et évaluation de la qualité</w:t>
            </w:r>
            <w:bookmarkEnd w:id="59"/>
          </w:p>
        </w:tc>
        <w:tc>
          <w:tcPr>
            <w:tcW w:w="3606" w:type="dxa"/>
            <w:hideMark/>
          </w:tcPr>
          <w:p w14:paraId="666510D1" w14:textId="38EED342" w:rsidR="002677E3" w:rsidRPr="00274C1D" w:rsidRDefault="002677E3" w:rsidP="000A07B4">
            <w:pPr>
              <w:pStyle w:val="Tabletext"/>
              <w:cnfStyle w:val="000000100000" w:firstRow="0" w:lastRow="0" w:firstColumn="0" w:lastColumn="0" w:oddVBand="0" w:evenVBand="0" w:oddHBand="1" w:evenHBand="0" w:firstRowFirstColumn="0" w:firstRowLastColumn="0" w:lastRowFirstColumn="0" w:lastRowLastColumn="0"/>
            </w:pPr>
            <w:r w:rsidRPr="00274C1D">
              <w:t>BS.775-4</w:t>
            </w:r>
          </w:p>
        </w:tc>
      </w:tr>
      <w:tr w:rsidR="002677E3" w:rsidRPr="00274C1D" w14:paraId="09EAB727" w14:textId="77777777" w:rsidTr="000A07B4">
        <w:trPr>
          <w:trHeight w:val="300"/>
        </w:trPr>
        <w:tc>
          <w:tcPr>
            <w:cnfStyle w:val="001000000000" w:firstRow="0" w:lastRow="0" w:firstColumn="1" w:lastColumn="0" w:oddVBand="0" w:evenVBand="0" w:oddHBand="0" w:evenHBand="0" w:firstRowFirstColumn="0" w:firstRowLastColumn="0" w:lastRowFirstColumn="0" w:lastRowLastColumn="0"/>
            <w:tcW w:w="5379" w:type="dxa"/>
            <w:hideMark/>
          </w:tcPr>
          <w:p w14:paraId="001C8231" w14:textId="77777777" w:rsidR="002677E3" w:rsidRPr="00274C1D" w:rsidRDefault="002677E3" w:rsidP="000A07B4">
            <w:pPr>
              <w:pStyle w:val="Tabletext"/>
              <w:rPr>
                <w:b w:val="0"/>
                <w:bCs w:val="0"/>
              </w:rPr>
            </w:pPr>
            <w:bookmarkStart w:id="60" w:name="lt_pId416"/>
            <w:r w:rsidRPr="00274C1D">
              <w:rPr>
                <w:b w:val="0"/>
                <w:bCs w:val="0"/>
              </w:rPr>
              <w:t>GT 7B – Applications de radiocommunications spatiales</w:t>
            </w:r>
            <w:bookmarkEnd w:id="60"/>
          </w:p>
        </w:tc>
        <w:tc>
          <w:tcPr>
            <w:tcW w:w="3606" w:type="dxa"/>
            <w:hideMark/>
          </w:tcPr>
          <w:p w14:paraId="60BB3B9C" w14:textId="3D2B6138" w:rsidR="002677E3" w:rsidRPr="00274C1D" w:rsidRDefault="002677E3" w:rsidP="000A07B4">
            <w:pPr>
              <w:pStyle w:val="Tabletext"/>
              <w:cnfStyle w:val="000000000000" w:firstRow="0" w:lastRow="0" w:firstColumn="0" w:lastColumn="0" w:oddVBand="0" w:evenVBand="0" w:oddHBand="0" w:evenHBand="0" w:firstRowFirstColumn="0" w:firstRowLastColumn="0" w:lastRowFirstColumn="0" w:lastRowLastColumn="0"/>
            </w:pPr>
            <w:r w:rsidRPr="00274C1D">
              <w:t>SA.2155-0, SA.2156-0</w:t>
            </w:r>
          </w:p>
        </w:tc>
      </w:tr>
    </w:tbl>
    <w:p w14:paraId="6351860F" w14:textId="77777777" w:rsidR="002677E3" w:rsidRPr="00274C1D" w:rsidRDefault="002677E3" w:rsidP="002677E3">
      <w:pPr>
        <w:pStyle w:val="Heading2"/>
      </w:pPr>
      <w:bookmarkStart w:id="61" w:name="_Toc37860458"/>
      <w:bookmarkStart w:id="62" w:name="_Toc37861219"/>
      <w:bookmarkStart w:id="63" w:name="_Toc37943338"/>
      <w:bookmarkStart w:id="64" w:name="Section_1_4"/>
      <w:bookmarkStart w:id="65" w:name="_Toc133303265"/>
      <w:bookmarkStart w:id="66" w:name="_Toc138838636"/>
      <w:r w:rsidRPr="00274C1D">
        <w:lastRenderedPageBreak/>
        <w:t>4.3</w:t>
      </w:r>
      <w:r w:rsidRPr="00274C1D">
        <w:tab/>
      </w:r>
      <w:bookmarkEnd w:id="61"/>
      <w:bookmarkEnd w:id="62"/>
      <w:bookmarkEnd w:id="63"/>
      <w:bookmarkEnd w:id="64"/>
      <w:bookmarkEnd w:id="65"/>
      <w:r w:rsidRPr="00274C1D">
        <w:t>Élaboration par l'UIT de cadres de gestion du développement des technologies émergentes</w:t>
      </w:r>
      <w:bookmarkEnd w:id="66"/>
    </w:p>
    <w:p w14:paraId="4990D85F" w14:textId="77777777" w:rsidR="002677E3" w:rsidRPr="00274C1D" w:rsidRDefault="002677E3" w:rsidP="002677E3">
      <w:pPr>
        <w:pStyle w:val="Headingb"/>
      </w:pPr>
      <w:r w:rsidRPr="00274C1D">
        <w:t>Intelligence artificielle</w:t>
      </w:r>
    </w:p>
    <w:p w14:paraId="54C99611" w14:textId="77777777" w:rsidR="002677E3" w:rsidRPr="00274C1D" w:rsidRDefault="002677E3" w:rsidP="002677E3">
      <w:r w:rsidRPr="00274C1D">
        <w:t>L'UIT offre à toutes les parties prenantes une tribune mondiale pour surmonter les difficultés liées au développement sûr et inclusif des applications et technologies d'intelligence artificielle et tirer parti des possibilités qu'elles offrent.</w:t>
      </w:r>
    </w:p>
    <w:p w14:paraId="548EF70C" w14:textId="1FDAE89D" w:rsidR="002677E3" w:rsidRPr="00274C1D" w:rsidRDefault="00127DC0" w:rsidP="002677E3">
      <w:hyperlink r:id="rId37" w:tgtFrame="_blank" w:history="1">
        <w:r w:rsidR="002677E3" w:rsidRPr="00274C1D">
          <w:rPr>
            <w:rStyle w:val="Hyperlink"/>
          </w:rPr>
          <w:t>L'UIT mène notamment les activités suivantes dans le domaine de l'intelligence artificielle</w:t>
        </w:r>
      </w:hyperlink>
      <w:r w:rsidR="002677E3" w:rsidRPr="00274C1D">
        <w:t>:</w:t>
      </w:r>
    </w:p>
    <w:p w14:paraId="0BA85E48" w14:textId="089A2941" w:rsidR="002677E3" w:rsidRPr="00274C1D" w:rsidRDefault="002677E3" w:rsidP="002677E3">
      <w:pPr>
        <w:pStyle w:val="enumlev1"/>
      </w:pPr>
      <w:r w:rsidRPr="00274C1D">
        <w:t>•</w:t>
      </w:r>
      <w:r w:rsidRPr="00274C1D">
        <w:tab/>
      </w:r>
      <w:r w:rsidRPr="00274C1D">
        <w:rPr>
          <w:u w:val="single"/>
        </w:rPr>
        <w:t>Normalisation de l'intelligence artificielle</w:t>
      </w:r>
      <w:r w:rsidRPr="00274C1D">
        <w:t>, y compris les</w:t>
      </w:r>
      <w:r w:rsidRPr="00274C1D" w:rsidDel="00153FF9">
        <w:t xml:space="preserve"> </w:t>
      </w:r>
      <w:hyperlink r:id="rId38" w:history="1">
        <w:r w:rsidRPr="00274C1D">
          <w:rPr>
            <w:rStyle w:val="Hyperlink"/>
          </w:rPr>
          <w:t>groupes spécialisés pertinents de l'UIT-T</w:t>
        </w:r>
      </w:hyperlink>
      <w:r w:rsidRPr="00274C1D">
        <w:t xml:space="preserve"> (voir la </w:t>
      </w:r>
      <w:r w:rsidR="00197936" w:rsidRPr="00274C1D">
        <w:t>S</w:t>
      </w:r>
      <w:r w:rsidRPr="00274C1D">
        <w:t>ection 4.2 pour plus de détails).</w:t>
      </w:r>
    </w:p>
    <w:p w14:paraId="5535983E" w14:textId="17C021CD" w:rsidR="002677E3" w:rsidRPr="00274C1D" w:rsidRDefault="002677E3" w:rsidP="002677E3">
      <w:pPr>
        <w:pStyle w:val="enumlev1"/>
      </w:pPr>
      <w:r w:rsidRPr="00274C1D">
        <w:t>•</w:t>
      </w:r>
      <w:r w:rsidRPr="00274C1D">
        <w:tab/>
      </w:r>
      <w:hyperlink r:id="rId39" w:history="1">
        <w:r w:rsidRPr="00274C1D">
          <w:rPr>
            <w:rStyle w:val="Hyperlink"/>
          </w:rPr>
          <w:t>Sommet mondial sur l'intelligence artificielle au service du bien social</w:t>
        </w:r>
      </w:hyperlink>
      <w:r w:rsidRPr="00274C1D">
        <w:t xml:space="preserve"> (voir la </w:t>
      </w:r>
      <w:r w:rsidR="00197936" w:rsidRPr="00274C1D">
        <w:t>S</w:t>
      </w:r>
      <w:r w:rsidRPr="00274C1D">
        <w:t>ection</w:t>
      </w:r>
      <w:r w:rsidR="00197936" w:rsidRPr="00274C1D">
        <w:t> </w:t>
      </w:r>
      <w:r w:rsidRPr="00274C1D">
        <w:t>4.9 pour plus de détails).</w:t>
      </w:r>
    </w:p>
    <w:p w14:paraId="041E632F" w14:textId="64DC84AA" w:rsidR="002677E3" w:rsidRPr="00274C1D" w:rsidRDefault="002677E3" w:rsidP="002677E3">
      <w:pPr>
        <w:pStyle w:val="enumlev1"/>
      </w:pPr>
      <w:r w:rsidRPr="00274C1D">
        <w:t>•</w:t>
      </w:r>
      <w:r w:rsidRPr="00274C1D">
        <w:tab/>
      </w:r>
      <w:hyperlink r:id="rId40" w:history="1">
        <w:r w:rsidRPr="00274C1D">
          <w:rPr>
            <w:rStyle w:val="Hyperlink"/>
          </w:rPr>
          <w:t>Rapport sur les activités menées par les Nations Unies dans le domaine de l'intelligence artificielle</w:t>
        </w:r>
      </w:hyperlink>
      <w:r w:rsidRPr="00274C1D">
        <w:t xml:space="preserve">. </w:t>
      </w:r>
      <w:r w:rsidRPr="00274C1D">
        <w:rPr>
          <w:u w:val="single"/>
        </w:rPr>
        <w:t xml:space="preserve">Groupe de travail interinstitutions sur l'IA </w:t>
      </w:r>
      <w:r w:rsidRPr="00274C1D">
        <w:t>(</w:t>
      </w:r>
      <w:hyperlink r:id="rId41" w:history="1">
        <w:r w:rsidRPr="00274C1D">
          <w:rPr>
            <w:rStyle w:val="Hyperlink"/>
          </w:rPr>
          <w:t>IAWG-AI</w:t>
        </w:r>
      </w:hyperlink>
      <w:r w:rsidRPr="00274C1D">
        <w:t>) du</w:t>
      </w:r>
      <w:r w:rsidR="00197936" w:rsidRPr="00274C1D">
        <w:t> </w:t>
      </w:r>
      <w:r w:rsidRPr="00274C1D">
        <w:t>Comité de haut niveau sur les programmes (HLCP) des Nations Unies: le Groupe</w:t>
      </w:r>
      <w:r w:rsidR="00197936" w:rsidRPr="00274C1D">
        <w:t> </w:t>
      </w:r>
      <w:r w:rsidRPr="00274C1D">
        <w:t>IAWG</w:t>
      </w:r>
      <w:r w:rsidR="00197936" w:rsidRPr="00274C1D">
        <w:noBreakHyphen/>
      </w:r>
      <w:r w:rsidRPr="00274C1D">
        <w:t>AI, dirigé conjointement par l'UNESCO et l'UIT, a été créé lors de la</w:t>
      </w:r>
      <w:r w:rsidR="00197936" w:rsidRPr="00274C1D">
        <w:t> </w:t>
      </w:r>
      <w:r w:rsidRPr="00274C1D">
        <w:t>40ème session du Comité HLCP tenue en octobre 2020 afin de se pencher sur la cohérence des stratégies et des programmes relatifs aux activités dans le domaine de l'intelligence artificielle.</w:t>
      </w:r>
    </w:p>
    <w:p w14:paraId="1CCFC1B1" w14:textId="77777777" w:rsidR="002677E3" w:rsidRPr="00274C1D" w:rsidRDefault="002677E3" w:rsidP="002677E3">
      <w:pPr>
        <w:pStyle w:val="enumlev1"/>
      </w:pPr>
      <w:r w:rsidRPr="00274C1D">
        <w:t>•</w:t>
      </w:r>
      <w:r w:rsidRPr="00274C1D">
        <w:tab/>
      </w:r>
      <w:hyperlink r:id="rId42" w:history="1">
        <w:r w:rsidRPr="00274C1D">
          <w:rPr>
            <w:rStyle w:val="Hyperlink"/>
          </w:rPr>
          <w:t>Initiative mondiale sur les biens communs en matière d'intelligence artificielle et de données</w:t>
        </w:r>
        <w:r w:rsidRPr="00274C1D">
          <w:t>.</w:t>
        </w:r>
      </w:hyperlink>
    </w:p>
    <w:p w14:paraId="69465EF1" w14:textId="74FC0CEA" w:rsidR="002677E3" w:rsidRPr="00274C1D" w:rsidRDefault="002677E3" w:rsidP="002677E3">
      <w:pPr>
        <w:pStyle w:val="enumlev1"/>
      </w:pPr>
      <w:r w:rsidRPr="00274C1D">
        <w:t>•</w:t>
      </w:r>
      <w:r w:rsidRPr="00274C1D">
        <w:tab/>
        <w:t>Concours de l'UIT sur l'intelligence artificielle et l'apprentissage automatique: en 2022, les concours portaient sur trois thèmes, à savoir les réseaux 5G, l'intelligence artificielle géospatiale et l'intelligence artificielle, et l'apprentissage automatique léger (TinyML).</w:t>
      </w:r>
    </w:p>
    <w:p w14:paraId="4BB533DE" w14:textId="77777777" w:rsidR="002677E3" w:rsidRPr="00274C1D" w:rsidRDefault="002677E3" w:rsidP="002677E3">
      <w:pPr>
        <w:pStyle w:val="Headingb"/>
      </w:pPr>
      <w:bookmarkStart w:id="67" w:name="_Toc95387474"/>
      <w:r w:rsidRPr="00274C1D">
        <w:t>Internet des objets (IoT)</w:t>
      </w:r>
      <w:bookmarkEnd w:id="67"/>
    </w:p>
    <w:p w14:paraId="22EE8573" w14:textId="77777777" w:rsidR="005D3B7C" w:rsidRPr="00274C1D" w:rsidRDefault="002677E3" w:rsidP="002677E3">
      <w:r w:rsidRPr="00274C1D">
        <w:t>L'UIT continue d'élaborer des normes relatives aux technologies IoT interopérables et aux applications correspondantes. Elles portent notamment sur des sujets liés aux aspects relatifs aux mégadonnées de l'IoT et des villes et des communautés intelligentes et aux aspects de l'IoT et des villes et des communautés intelligentes qui entrent en ligne de compte dans la transformation numérique.</w:t>
      </w:r>
    </w:p>
    <w:p w14:paraId="19DB8B97" w14:textId="2CDF0884" w:rsidR="002677E3" w:rsidRPr="00274C1D" w:rsidRDefault="002677E3" w:rsidP="002677E3">
      <w:r w:rsidRPr="00274C1D">
        <w:t>Voir également la</w:t>
      </w:r>
      <w:r w:rsidRPr="00274C1D" w:rsidDel="00123153">
        <w:t xml:space="preserve"> </w:t>
      </w:r>
      <w:hyperlink r:id="rId43" w:history="1">
        <w:r w:rsidRPr="00274C1D">
          <w:rPr>
            <w:rStyle w:val="Hyperlink"/>
          </w:rPr>
          <w:t>page d'accueil de la CE 20 de l'UIT-T</w:t>
        </w:r>
      </w:hyperlink>
      <w:r w:rsidRPr="00274C1D">
        <w:t> et la </w:t>
      </w:r>
      <w:hyperlink r:id="rId44" w:history="1">
        <w:r w:rsidRPr="00274C1D">
          <w:rPr>
            <w:rStyle w:val="Hyperlink"/>
          </w:rPr>
          <w:t>Liste des Recommandations</w:t>
        </w:r>
      </w:hyperlink>
      <w:r w:rsidRPr="00274C1D">
        <w:t>.</w:t>
      </w:r>
    </w:p>
    <w:p w14:paraId="1686EB63" w14:textId="77777777" w:rsidR="002677E3" w:rsidRPr="00274C1D" w:rsidRDefault="002677E3" w:rsidP="002677E3">
      <w:pPr>
        <w:pStyle w:val="Headingb"/>
      </w:pPr>
      <w:bookmarkStart w:id="68" w:name="_Toc41032058"/>
      <w:bookmarkStart w:id="69" w:name="_Toc72845034"/>
      <w:bookmarkStart w:id="70" w:name="_Toc72846380"/>
      <w:bookmarkStart w:id="71" w:name="_Toc72846608"/>
      <w:bookmarkStart w:id="72" w:name="_Toc95387475"/>
      <w:r w:rsidRPr="00274C1D">
        <w:t>Technologies de l'information quantique</w:t>
      </w:r>
      <w:bookmarkEnd w:id="68"/>
      <w:r w:rsidRPr="00274C1D">
        <w:t>s</w:t>
      </w:r>
      <w:bookmarkEnd w:id="69"/>
      <w:bookmarkEnd w:id="70"/>
      <w:bookmarkEnd w:id="71"/>
      <w:bookmarkEnd w:id="72"/>
    </w:p>
    <w:p w14:paraId="5100F78A" w14:textId="77777777" w:rsidR="002677E3" w:rsidRPr="00274C1D" w:rsidRDefault="002677E3" w:rsidP="002677E3">
      <w:r w:rsidRPr="00274C1D">
        <w:t>Les technologies de l'information quantiques permettent d'améliorer la capacité de traitement des informations en tirant parti des principes de la mécanique quantique. L'UIT mène les activités suivantes dans le domaine des technologies de l'information quantiques:</w:t>
      </w:r>
    </w:p>
    <w:p w14:paraId="2D253EAA" w14:textId="2592D4BA" w:rsidR="002677E3" w:rsidRPr="00274C1D" w:rsidRDefault="002677E3" w:rsidP="002677E3">
      <w:pPr>
        <w:pStyle w:val="enumlev1"/>
      </w:pPr>
      <w:r w:rsidRPr="00274C1D">
        <w:t>•</w:t>
      </w:r>
      <w:r w:rsidRPr="00274C1D">
        <w:tab/>
      </w:r>
      <w:r w:rsidRPr="00274C1D">
        <w:rPr>
          <w:u w:val="single"/>
        </w:rPr>
        <w:t>Normalisation des technologies de l'information quantiques</w:t>
      </w:r>
      <w:r w:rsidRPr="00274C1D">
        <w:t xml:space="preserve">: plusieurs </w:t>
      </w:r>
      <w:r w:rsidR="005D3B7C" w:rsidRPr="00274C1D">
        <w:t>c</w:t>
      </w:r>
      <w:r w:rsidRPr="00274C1D">
        <w:t>ommissions d'études de l'UIT-T, notamment les CE 11, 13 et 17, élaborent des Recommandations</w:t>
      </w:r>
      <w:r w:rsidR="00197936" w:rsidRPr="00274C1D">
        <w:t> </w:t>
      </w:r>
      <w:r w:rsidRPr="00274C1D">
        <w:t>UIT-T dans ce domaine. Neuf normes ont été élaborées depuis</w:t>
      </w:r>
      <w:r w:rsidR="00197936" w:rsidRPr="00274C1D">
        <w:t> </w:t>
      </w:r>
      <w:r w:rsidRPr="00274C1D">
        <w:t>2022, notamment les Recommandations X.1715 et Y.3809-3814.</w:t>
      </w:r>
    </w:p>
    <w:p w14:paraId="08E1D388" w14:textId="77777777" w:rsidR="002677E3" w:rsidRPr="00274C1D" w:rsidRDefault="002677E3" w:rsidP="00197936">
      <w:pPr>
        <w:pStyle w:val="enumlev1"/>
        <w:keepLines/>
      </w:pPr>
      <w:r w:rsidRPr="00274C1D">
        <w:lastRenderedPageBreak/>
        <w:t>•</w:t>
      </w:r>
      <w:r w:rsidRPr="00274C1D">
        <w:tab/>
      </w:r>
      <w:r w:rsidRPr="00274C1D">
        <w:rPr>
          <w:u w:val="single"/>
        </w:rPr>
        <w:t xml:space="preserve">Activité conjointe de coordination de l'UIT-T sur les réseaux de distribution de clés quantiques </w:t>
      </w:r>
      <w:r w:rsidRPr="00274C1D">
        <w:t>(</w:t>
      </w:r>
      <w:bookmarkStart w:id="73" w:name="OLE_LINK2"/>
      <w:r w:rsidRPr="00274C1D">
        <w:fldChar w:fldCharType="begin"/>
      </w:r>
      <w:r w:rsidRPr="00274C1D">
        <w:instrText xml:space="preserve"> HYPERLINK "https://www.itu.int/en/ITU-T/jca/qkdn/Pages/default.aspx%22%20/t%20%22_blank" </w:instrText>
      </w:r>
      <w:r w:rsidRPr="00274C1D">
        <w:fldChar w:fldCharType="separate"/>
      </w:r>
      <w:r w:rsidRPr="00274C1D">
        <w:rPr>
          <w:rStyle w:val="Hyperlink"/>
        </w:rPr>
        <w:t>JCA-QKDN</w:t>
      </w:r>
      <w:bookmarkEnd w:id="73"/>
      <w:r w:rsidRPr="00274C1D">
        <w:fldChar w:fldCharType="end"/>
      </w:r>
      <w:r w:rsidRPr="00274C1D">
        <w:t>), créée par la GCNT en janvier 2023, dont l'objet est de coordonner les travaux de normalisation sur les réseaux de distribution de clés quantiques (QKDN) au sein de l'UIT-T et de servir de point de contact entre l'UIT-T et les autres organisations de normalisation, forums et consortiums qui mènent des travaux sur des normes relatives à la distribution de clés quantiques (QKD). La première réunion de l'Activité JCA-QKDN s'est tenue le 22 mars 2023.</w:t>
      </w:r>
    </w:p>
    <w:p w14:paraId="5A7CBEBA" w14:textId="77777777" w:rsidR="002677E3" w:rsidRPr="00274C1D" w:rsidRDefault="002677E3" w:rsidP="002677E3">
      <w:pPr>
        <w:pStyle w:val="Headingb"/>
      </w:pPr>
      <w:r w:rsidRPr="00274C1D">
        <w:t>Métavers</w:t>
      </w:r>
    </w:p>
    <w:p w14:paraId="7EADD9DB" w14:textId="422065C8" w:rsidR="002677E3" w:rsidRPr="00274C1D" w:rsidRDefault="002677E3" w:rsidP="002677E3">
      <w:r w:rsidRPr="00274C1D">
        <w:t xml:space="preserve">Le </w:t>
      </w:r>
      <w:hyperlink r:id="rId45" w:tgtFrame="_blank" w:tooltip="https://www.itu.int/en/itu-t/focusgroups/mv/pages/default.aspx" w:history="1">
        <w:r w:rsidRPr="00274C1D">
          <w:rPr>
            <w:rStyle w:val="Hyperlink"/>
          </w:rPr>
          <w:t>Groupe spécialisé de l'UIT-T sur le métavers (FG-MV)</w:t>
        </w:r>
      </w:hyperlink>
      <w:r w:rsidRPr="00274C1D">
        <w:t xml:space="preserve"> a été créé par le Groupe consultatif de la normalisation des télécommunications (GCNT) de l'UIT-T le 16 décembre 2022. La durée du mandat du Groupe FG-MV est d'un an, avec possibilité de prolongation. Ce </w:t>
      </w:r>
      <w:r w:rsidR="00461C31" w:rsidRPr="00274C1D">
        <w:t>g</w:t>
      </w:r>
      <w:r w:rsidRPr="00274C1D">
        <w:t>roupe pose les bases des normes internationales relatives au métavers. Le Groupe spécialisé analyse les exigences techniques du métavers, afin d'identifier les technologies de base fondamentales dans les domaines allant du multimédia et de l'optimisation de réseau aux monnaies numériques, en passant par l'Internet des objets, les jumeaux numériques et la durabilité environnementale.</w:t>
      </w:r>
    </w:p>
    <w:p w14:paraId="6E8BA329" w14:textId="07E1496E" w:rsidR="002677E3" w:rsidRPr="00274C1D" w:rsidRDefault="002677E3" w:rsidP="002677E3">
      <w:r w:rsidRPr="00274C1D">
        <w:t>La première réunion du Groupe FG-MV s'est tenue les 8 et 9 mars 2023 au Royaume</w:t>
      </w:r>
      <w:r w:rsidR="00461C31" w:rsidRPr="00274C1D">
        <w:t> </w:t>
      </w:r>
      <w:r w:rsidRPr="00274C1D">
        <w:t>d'Arabie saoudite et a rassemblé plus de 650 participants, un niveau sans précédent pour un groupe spécialisé de l'UIT-T.</w:t>
      </w:r>
    </w:p>
    <w:p w14:paraId="7DFF5ECA" w14:textId="5E51F3EA" w:rsidR="002677E3" w:rsidRPr="00274C1D" w:rsidRDefault="002677E3" w:rsidP="002677E3">
      <w:r w:rsidRPr="00274C1D">
        <w:t>Au cours de cette première réunion, le Groupe FG-MV a créé huit groupes de travail: généralités; applications et services; architecture et infrastructure; intégration virtuelle/dans le monde réel; interopérabilité; sécurité; protection des données et des informations d'identification personnelle (PII); aspects économiques, réglementaires et de concurrence; durabilité, accessibilité et inclusion. Un Groupe d'action sur la collaboration a également été créé par le Groupe FG-MV.</w:t>
      </w:r>
    </w:p>
    <w:p w14:paraId="48E4782C" w14:textId="52A9FCBE" w:rsidR="002677E3" w:rsidRPr="00274C1D" w:rsidRDefault="002677E3" w:rsidP="002677E3">
      <w:r w:rsidRPr="00274C1D">
        <w:t xml:space="preserve">Le </w:t>
      </w:r>
      <w:hyperlink r:id="rId46" w:tgtFrame="_blank" w:tooltip="https://www.itu.int/en/itu-t/focusgroups/mv/pages/fg-mv-structure-and-workplan.aspx" w:history="1">
        <w:r w:rsidRPr="00274C1D">
          <w:rPr>
            <w:rStyle w:val="Hyperlink"/>
          </w:rPr>
          <w:t>programme de travail initial du Groupe FG-MV</w:t>
        </w:r>
      </w:hyperlink>
      <w:r w:rsidRPr="00274C1D">
        <w:t xml:space="preserve"> a été approuvé, y compris la structure du Groupe, la liste des produits finals et des informations concernant les Présidents et Vice</w:t>
      </w:r>
      <w:r w:rsidR="00721255" w:rsidRPr="00274C1D">
        <w:noBreakHyphen/>
      </w:r>
      <w:r w:rsidRPr="00274C1D">
        <w:t>Présidents désignés pour les groupes de travail (GT) et les groupes d'action (GA).</w:t>
      </w:r>
    </w:p>
    <w:p w14:paraId="7FE31582" w14:textId="77777777" w:rsidR="002677E3" w:rsidRPr="00274C1D" w:rsidRDefault="002677E3" w:rsidP="002677E3">
      <w:r w:rsidRPr="00274C1D">
        <w:t>La première réunion du Groupe FG-MV a été précédée par le</w:t>
      </w:r>
      <w:r w:rsidRPr="00274C1D" w:rsidDel="00123153">
        <w:t xml:space="preserve"> </w:t>
      </w:r>
      <w:hyperlink r:id="rId47" w:tgtFrame="_blank" w:tooltip="https://www.itu.int/en/itu-t/ssc/pages/1st-forum-metaverse.aspx" w:history="1">
        <w:r w:rsidRPr="00274C1D">
          <w:rPr>
            <w:rStyle w:val="Hyperlink"/>
          </w:rPr>
          <w:t>premier Forum de l'UIT sur la découverte du métavers</w:t>
        </w:r>
      </w:hyperlink>
      <w:r w:rsidRPr="00274C1D">
        <w:t xml:space="preserve">, qui a pour but de stimuler un dialogue mondial sur les défis et les possibilités liés à l'environnement du métavers. Plus de 600 participants ont participé au Forum en présentiel et en ligne. Le document final et les moments forts en vidéo sont disponibles </w:t>
      </w:r>
      <w:hyperlink r:id="rId48" w:tgtFrame="_blank" w:tooltip="https://www.itu.int/en/itu-t/ssc/pages/1st-forum-metaverse.aspx" w:history="1">
        <w:r w:rsidRPr="00274C1D">
          <w:rPr>
            <w:rStyle w:val="Hyperlink"/>
          </w:rPr>
          <w:t>ici</w:t>
        </w:r>
      </w:hyperlink>
      <w:r w:rsidRPr="00274C1D">
        <w:t>.</w:t>
      </w:r>
    </w:p>
    <w:p w14:paraId="45BD2126" w14:textId="77777777" w:rsidR="002677E3" w:rsidRPr="00274C1D" w:rsidRDefault="002677E3" w:rsidP="002677E3">
      <w:pPr>
        <w:pStyle w:val="Heading2"/>
      </w:pPr>
      <w:bookmarkStart w:id="74" w:name="_Toc133303266"/>
      <w:bookmarkStart w:id="75" w:name="_Toc138838637"/>
      <w:bookmarkStart w:id="76" w:name="Section_1_5"/>
      <w:r w:rsidRPr="00274C1D">
        <w:t>4.4</w:t>
      </w:r>
      <w:r w:rsidRPr="00274C1D">
        <w:tab/>
      </w:r>
      <w:bookmarkEnd w:id="74"/>
      <w:r w:rsidRPr="00274C1D">
        <w:t>Environnement et villes et communautés intelligentes et durables</w:t>
      </w:r>
      <w:bookmarkEnd w:id="75"/>
    </w:p>
    <w:bookmarkEnd w:id="76"/>
    <w:p w14:paraId="03AD91A4" w14:textId="77777777" w:rsidR="002677E3" w:rsidRPr="00274C1D" w:rsidRDefault="002677E3" w:rsidP="00197936">
      <w:pPr>
        <w:pStyle w:val="Headingb"/>
        <w:tabs>
          <w:tab w:val="clear" w:pos="567"/>
        </w:tabs>
        <w:ind w:left="0" w:firstLine="0"/>
      </w:pPr>
      <w:r w:rsidRPr="00274C1D">
        <w:t>Bâtir des économies circulaires pour les déchets d'équipements électriques et électroniques dans le monde entier</w:t>
      </w:r>
    </w:p>
    <w:p w14:paraId="34B8E418" w14:textId="44157ED4" w:rsidR="002677E3" w:rsidRPr="00274C1D" w:rsidRDefault="002677E3" w:rsidP="002677E3">
      <w:pPr>
        <w:rPr>
          <w:b/>
          <w:bCs/>
        </w:rPr>
      </w:pPr>
      <w:r w:rsidRPr="00274C1D">
        <w:t xml:space="preserve">Dans le cadre de sa </w:t>
      </w:r>
      <w:hyperlink r:id="rId49" w:history="1">
        <w:r w:rsidRPr="00274C1D">
          <w:rPr>
            <w:rStyle w:val="Hyperlink"/>
          </w:rPr>
          <w:t>politique relative aux déchets d'équipements électriques et électroniques</w:t>
        </w:r>
      </w:hyperlink>
      <w:r w:rsidRPr="00274C1D">
        <w:t xml:space="preserve"> et de son </w:t>
      </w:r>
      <w:hyperlink r:id="rId50" w:history="1">
        <w:r w:rsidRPr="00274C1D">
          <w:rPr>
            <w:rStyle w:val="Hyperlink"/>
          </w:rPr>
          <w:t>programme concernant les données</w:t>
        </w:r>
      </w:hyperlink>
      <w:r w:rsidRPr="00274C1D">
        <w:t>, l'UIT a aidé neuf pays à devenir des économies plus circulaires, à savoir le Botswana, le Burundi, la République dominicaine, la Gambie, le Malawi, la Namibie, le Niger, le Rwanda et l'Ouzbékistan.</w:t>
      </w:r>
    </w:p>
    <w:p w14:paraId="34134A4E" w14:textId="473DBC44" w:rsidR="002677E3" w:rsidRPr="00274C1D" w:rsidRDefault="002677E3" w:rsidP="00197936">
      <w:pPr>
        <w:keepLines/>
      </w:pPr>
      <w:r w:rsidRPr="00274C1D">
        <w:lastRenderedPageBreak/>
        <w:t>En étroite collaboration avec le Programme des Nations Unies pour l'environnement, plus de</w:t>
      </w:r>
      <w:r w:rsidR="00197936" w:rsidRPr="00274C1D">
        <w:t> </w:t>
      </w:r>
      <w:r w:rsidRPr="00274C1D">
        <w:t>300 personnes issues de ces pays ont été consultées: acteurs des secteurs public et privé, société civile, ministères des TIC, régulateurs des TIC, ministères de l'environnement et organismes environnementaux, douanes, départements chargés de l'industrie et du commerce et municipalités. Les résultats ont notamment porté sur la finalisation de la réglementation nationale relative aux déchets d'équipements électriques et électroniques en République dominicaine et à la révision du Cadre de responsabilité élargie du producteur pour la gestion des déchets d'équipements électriques et électroniques au Rwanda.</w:t>
      </w:r>
    </w:p>
    <w:p w14:paraId="63166727" w14:textId="266C630F" w:rsidR="002677E3" w:rsidRPr="00274C1D" w:rsidRDefault="002677E3" w:rsidP="002677E3">
      <w:r w:rsidRPr="00274C1D">
        <w:t>Six autres pays d'Afrique de l'Est (Burundi, Kenya, Rwanda, Soudan du Sud, Tanzanie et Ouganda) ont bénéficié d'un soutien important pour améliorer la qualité, le processus de collecte et l'interprétation des données relatives aux déchets d'équipements électriques et électroniques, qui sont essentielles pour définir des cibles et les évaluer, suivre les progrès, identifier les meilleures pratiques et résoudre le problème que posent les déchets d'équipements électriques et électroniques.</w:t>
      </w:r>
    </w:p>
    <w:p w14:paraId="6D8034AF" w14:textId="2720EE93" w:rsidR="002677E3" w:rsidRPr="00274C1D" w:rsidRDefault="002677E3" w:rsidP="002677E3">
      <w:r w:rsidRPr="00274C1D">
        <w:t>Parmi les activités relevant de ce domaine, on compte:</w:t>
      </w:r>
    </w:p>
    <w:p w14:paraId="6A71FE87" w14:textId="511F6227" w:rsidR="002677E3" w:rsidRPr="00274C1D" w:rsidRDefault="002677E3" w:rsidP="00197936">
      <w:pPr>
        <w:pStyle w:val="enumlev1"/>
      </w:pPr>
      <w:r w:rsidRPr="00274C1D">
        <w:t>•</w:t>
      </w:r>
      <w:r w:rsidRPr="00274C1D">
        <w:tab/>
        <w:t>des cours d'apprentissage en ligne concernant notamment l'</w:t>
      </w:r>
      <w:hyperlink r:id="rId51" w:history="1">
        <w:r w:rsidRPr="00274C1D">
          <w:rPr>
            <w:rStyle w:val="Hyperlink"/>
            <w:i/>
            <w:iCs/>
          </w:rPr>
          <w:t>élaboration de politiques relatives aux déchets d'équipements électriques et électroniques</w:t>
        </w:r>
      </w:hyperlink>
      <w:r w:rsidRPr="00274C1D">
        <w:t xml:space="preserve"> (170 participants inscrits en 2022 et 293 participants actuellement inscrits en 2023), et celui intitulé "</w:t>
      </w:r>
      <w:hyperlink r:id="rId52" w:history="1">
        <w:r w:rsidRPr="00274C1D">
          <w:rPr>
            <w:rStyle w:val="Hyperlink"/>
            <w:i/>
            <w:iCs/>
          </w:rPr>
          <w:t>Étude approfondie du principe de la responsabilité élargie du producteur appliqué à la gestion des déchets d'équipements électriques et électroniques</w:t>
        </w:r>
      </w:hyperlink>
      <w:r w:rsidRPr="00274C1D">
        <w:t>", élaboré et lancé en</w:t>
      </w:r>
      <w:r w:rsidR="00197936" w:rsidRPr="00274C1D">
        <w:t> </w:t>
      </w:r>
      <w:r w:rsidRPr="00274C1D">
        <w:t>2023 (96 participants inscrits)</w:t>
      </w:r>
      <w:r w:rsidR="00197936" w:rsidRPr="00274C1D">
        <w:t>;</w:t>
      </w:r>
    </w:p>
    <w:p w14:paraId="323E830B" w14:textId="356D32C1" w:rsidR="002677E3" w:rsidRPr="00274C1D" w:rsidRDefault="002677E3" w:rsidP="00197936">
      <w:pPr>
        <w:pStyle w:val="enumlev1"/>
      </w:pPr>
      <w:r w:rsidRPr="00274C1D">
        <w:t>•</w:t>
      </w:r>
      <w:r w:rsidRPr="00274C1D">
        <w:tab/>
        <w:t>des normes et des documents, y compris un document de réflexion de l'UIT intitulé "</w:t>
      </w:r>
      <w:hyperlink r:id="rId53" w:history="1">
        <w:r w:rsidRPr="00274C1D">
          <w:rPr>
            <w:rStyle w:val="Hyperlink"/>
          </w:rPr>
          <w:t>Global and Complementary Actions for Electronics Extended Producer Responsibility</w:t>
        </w:r>
      </w:hyperlink>
      <w:r w:rsidRPr="00274C1D">
        <w:t>" (Actions globales et complémentaires en matière de responsabilité élargie du producteur d'équipements électroniques), un guide sur la passation de marchés publics circulaires et durables concernant les TIC et une nouvelle norme relative à la passation de marchés publics circulaires concernant les technologies de l'information et de la communication.</w:t>
      </w:r>
    </w:p>
    <w:p w14:paraId="23361C75" w14:textId="77777777" w:rsidR="002677E3" w:rsidRPr="00274C1D" w:rsidRDefault="002677E3" w:rsidP="002677E3">
      <w:pPr>
        <w:pStyle w:val="Headingb"/>
      </w:pPr>
      <w:bookmarkStart w:id="77" w:name="_Toc41032061"/>
      <w:bookmarkStart w:id="78" w:name="_Toc72845036"/>
      <w:bookmarkStart w:id="79" w:name="_Toc72846381"/>
      <w:bookmarkStart w:id="80" w:name="_Toc72846610"/>
      <w:r w:rsidRPr="00274C1D">
        <w:t>Changements climatiques</w:t>
      </w:r>
      <w:bookmarkEnd w:id="77"/>
      <w:bookmarkEnd w:id="78"/>
      <w:bookmarkEnd w:id="79"/>
      <w:bookmarkEnd w:id="80"/>
      <w:r w:rsidRPr="00274C1D">
        <w:t xml:space="preserve"> et TIC</w:t>
      </w:r>
    </w:p>
    <w:p w14:paraId="6DEE77B6" w14:textId="46645CBC" w:rsidR="002677E3" w:rsidRPr="00274C1D" w:rsidRDefault="002677E3" w:rsidP="002677E3">
      <w:r w:rsidRPr="00274C1D">
        <w:t>Parmi les activités qu'a mené l'UIT lors de la 27ème Conférence des Parties à la Convention</w:t>
      </w:r>
      <w:r w:rsidR="00721255" w:rsidRPr="00274C1D">
        <w:noBreakHyphen/>
      </w:r>
      <w:r w:rsidRPr="00274C1D">
        <w:t>cadre des Nations Unies sur les changements climatiques (COP), qui s'est tenue à Charm el-Cheikh (Égypte), on peut citer une exposition sur le thème "Mettre l'innovation numérique au service de la lutte contre les changements climatiques", quatre cours sur les changements climatiques dans le cadre de partenariats issus de la Conférence des Nations</w:t>
      </w:r>
      <w:r w:rsidR="00461C31" w:rsidRPr="00274C1D">
        <w:t> </w:t>
      </w:r>
      <w:r w:rsidRPr="00274C1D">
        <w:t>Unies sur les changements climatiques, trois manifestations parallèles organisées en collaboration avec le ministère égyptien des Technologies de l'information et de la communication (MCIT). L'UIT a également été invitée à plusieurs manifestations organisées par le MCIT.</w:t>
      </w:r>
    </w:p>
    <w:p w14:paraId="70737EB2" w14:textId="77777777" w:rsidR="002677E3" w:rsidRPr="00274C1D" w:rsidRDefault="002677E3" w:rsidP="002677E3">
      <w:r w:rsidRPr="00274C1D">
        <w:t xml:space="preserve">En octobre 2022, l'UIT a organisé le </w:t>
      </w:r>
      <w:hyperlink r:id="rId54" w:history="1">
        <w:r w:rsidRPr="00274C1D">
          <w:rPr>
            <w:rStyle w:val="Hyperlink"/>
          </w:rPr>
          <w:t>14ème Colloque sur les TIC, l'environnement, les changements climatiques et l'économie circulaire</w:t>
        </w:r>
      </w:hyperlink>
      <w:r w:rsidRPr="00274C1D">
        <w:t xml:space="preserve"> à Rome (Italie) de façon conjointe avec d'autres organisations, consacré à la transformation numérique durable et au rôle des TIC et des technologies numériques pour parvenir à la neutralité carbone.</w:t>
      </w:r>
    </w:p>
    <w:p w14:paraId="19D05CFD" w14:textId="0B99692E" w:rsidR="002677E3" w:rsidRPr="00274C1D" w:rsidRDefault="002677E3" w:rsidP="00042CDE">
      <w:pPr>
        <w:keepLines/>
      </w:pPr>
      <w:r w:rsidRPr="00274C1D">
        <w:lastRenderedPageBreak/>
        <w:t>Le rapport intitulé "</w:t>
      </w:r>
      <w:hyperlink r:id="rId55" w:history="1">
        <w:r w:rsidRPr="00274C1D">
          <w:rPr>
            <w:rStyle w:val="Hyperlink"/>
          </w:rPr>
          <w:t>Greening Digital Companies</w:t>
        </w:r>
        <w:r w:rsidRPr="00274C1D">
          <w:t>:</w:t>
        </w:r>
      </w:hyperlink>
      <w:r w:rsidRPr="00274C1D">
        <w:t xml:space="preserve"> Monitoring Emissions and Climate Commitments" (Pour des entreprises numériques plus écologiques: Suivi des émissions et des engagements climatiques) a été rédigé conjointement par l'UIT et la World</w:t>
      </w:r>
      <w:r w:rsidR="00461C31" w:rsidRPr="00274C1D">
        <w:t> </w:t>
      </w:r>
      <w:r w:rsidRPr="00274C1D">
        <w:t>Benchmarking Alliance.</w:t>
      </w:r>
      <w:r w:rsidRPr="00274C1D">
        <w:rPr>
          <w:rFonts w:ascii="Segoe UI" w:hAnsi="Segoe UI" w:cs="Segoe UI"/>
          <w:color w:val="000000"/>
          <w:sz w:val="20"/>
          <w:shd w:val="clear" w:color="auto" w:fill="FFFFFF"/>
        </w:rPr>
        <w:t xml:space="preserve"> </w:t>
      </w:r>
      <w:r w:rsidRPr="00274C1D">
        <w:t xml:space="preserve">Il réunit des informations sur les émissions et la consommation d'énergie de 150 des principales entreprises technologiques au monde. Le rapport a été lancé à l'occasion de deux </w:t>
      </w:r>
      <w:hyperlink r:id="rId56" w:history="1">
        <w:r w:rsidRPr="00274C1D">
          <w:rPr>
            <w:rStyle w:val="Hyperlink"/>
          </w:rPr>
          <w:t>webinaires</w:t>
        </w:r>
      </w:hyperlink>
      <w:r w:rsidRPr="00274C1D">
        <w:t>.</w:t>
      </w:r>
    </w:p>
    <w:p w14:paraId="698C2628" w14:textId="77777777" w:rsidR="002677E3" w:rsidRPr="00274C1D" w:rsidRDefault="002677E3" w:rsidP="002677E3">
      <w:r w:rsidRPr="00274C1D">
        <w:t>En décembre 2022, le Comité de coordination a approuvé la toute première politique de l'UIT en matière de durabilité environnementale. Conformément à l'édition 2022 du rapport "</w:t>
      </w:r>
      <w:hyperlink r:id="rId57" w:history="1">
        <w:r w:rsidRPr="00274C1D">
          <w:rPr>
            <w:rStyle w:val="Hyperlink"/>
          </w:rPr>
          <w:t>Du bleu au vert</w:t>
        </w:r>
      </w:hyperlink>
      <w:r w:rsidRPr="00274C1D">
        <w:t xml:space="preserve">", qui couvre les données de 2021, le COVID-19 a entraîné une baisse considérable des émissions de gaz à effet de serre de l'UIT, les vols officiels étant suspendus. On trouvera de plus amples renseignements sur les efforts déployés pour réduire l'empreinte environnementale de l'UIT sur la </w:t>
      </w:r>
      <w:hyperlink r:id="rId58" w:history="1">
        <w:r w:rsidRPr="00274C1D">
          <w:rPr>
            <w:rStyle w:val="Hyperlink"/>
          </w:rPr>
          <w:t>page du site de l'UIT dédiée au rapport "Du bleu au vert"</w:t>
        </w:r>
      </w:hyperlink>
      <w:r w:rsidRPr="00274C1D">
        <w:t>.</w:t>
      </w:r>
    </w:p>
    <w:p w14:paraId="40A0BAFA" w14:textId="77777777" w:rsidR="002677E3" w:rsidRPr="00274C1D" w:rsidRDefault="002677E3" w:rsidP="002677E3">
      <w:r w:rsidRPr="00274C1D">
        <w:t>Au demeurant, l'UIT:</w:t>
      </w:r>
    </w:p>
    <w:p w14:paraId="7131D89E" w14:textId="77777777" w:rsidR="002677E3" w:rsidRPr="00274C1D" w:rsidRDefault="002677E3" w:rsidP="002677E3">
      <w:pPr>
        <w:pStyle w:val="enumlev1"/>
      </w:pPr>
      <w:r w:rsidRPr="00274C1D">
        <w:t>•</w:t>
      </w:r>
      <w:r w:rsidRPr="00274C1D">
        <w:tab/>
        <w:t>élabore en permanence des normes d'efficacité énergétique pour les équipements 5G et définit des spécifications pour l'infrastructure d'un centre de données en périphérie;</w:t>
      </w:r>
    </w:p>
    <w:p w14:paraId="20501066" w14:textId="77777777" w:rsidR="002677E3" w:rsidRPr="00274C1D" w:rsidRDefault="002677E3" w:rsidP="002677E3">
      <w:pPr>
        <w:pStyle w:val="enumlev1"/>
      </w:pPr>
      <w:r w:rsidRPr="00274C1D">
        <w:t>•</w:t>
      </w:r>
      <w:r w:rsidRPr="00274C1D">
        <w:tab/>
        <w:t xml:space="preserve">identifie les mesures nécessaires pour évaluer </w:t>
      </w:r>
      <w:hyperlink r:id="rId59" w:history="1">
        <w:r w:rsidRPr="00274C1D">
          <w:t xml:space="preserve">les </w:t>
        </w:r>
        <w:r w:rsidRPr="00274C1D">
          <w:rPr>
            <w:rStyle w:val="Hyperlink"/>
          </w:rPr>
          <w:t>produits TIC de contrefaçon et leur impact environnemental</w:t>
        </w:r>
      </w:hyperlink>
      <w:r w:rsidRPr="00274C1D">
        <w:t xml:space="preserve"> et assurer la sensibilisation y afférente.</w:t>
      </w:r>
    </w:p>
    <w:p w14:paraId="3A91DB38" w14:textId="77777777" w:rsidR="002677E3" w:rsidRPr="00274C1D" w:rsidRDefault="002677E3" w:rsidP="00076707">
      <w:pPr>
        <w:rPr>
          <w:rFonts w:eastAsiaTheme="minorEastAsia"/>
        </w:rPr>
      </w:pPr>
      <w:r w:rsidRPr="00274C1D">
        <w:rPr>
          <w:rFonts w:eastAsiaTheme="minorEastAsia"/>
        </w:rPr>
        <w:t>La vingt-huitième session de la COP, prochaine conférence des Nations Unies sur le climat, constitue une excellente occasion, pour la communauté du numérique, de montrer l'intérêt de son action pour le climat et de faire adopter à plus grande échelle des initiatives en ce sens.</w:t>
      </w:r>
    </w:p>
    <w:p w14:paraId="0893B5BC" w14:textId="77777777" w:rsidR="002677E3" w:rsidRPr="00274C1D" w:rsidRDefault="002677E3" w:rsidP="00076707">
      <w:pPr>
        <w:rPr>
          <w:rFonts w:eastAsiaTheme="minorEastAsia"/>
        </w:rPr>
      </w:pPr>
      <w:r w:rsidRPr="00274C1D">
        <w:rPr>
          <w:rFonts w:eastAsiaTheme="minorEastAsia"/>
        </w:rPr>
        <w:t>L'UIT, avec la collaboration de partenaires au sein du système des Nations Unies et parmi les gouvernements, les entreprises et la société civile, organisera l'initiative dite de l'Action du secteur du numérique pour l'environnement à la vingt-huitième session de la COP en vue:</w:t>
      </w:r>
    </w:p>
    <w:p w14:paraId="25AF9E3A" w14:textId="59E4049C" w:rsidR="002677E3" w:rsidRPr="00274C1D" w:rsidRDefault="00197936" w:rsidP="00197936">
      <w:pPr>
        <w:pStyle w:val="enumlev1"/>
        <w:rPr>
          <w:rFonts w:eastAsiaTheme="minorEastAsia"/>
        </w:rPr>
      </w:pPr>
      <w:r w:rsidRPr="00274C1D">
        <w:rPr>
          <w:rFonts w:eastAsiaTheme="minorEastAsia"/>
        </w:rPr>
        <w:t>•</w:t>
      </w:r>
      <w:r w:rsidRPr="00274C1D">
        <w:rPr>
          <w:rFonts w:eastAsiaTheme="minorEastAsia"/>
        </w:rPr>
        <w:tab/>
      </w:r>
      <w:r w:rsidR="002677E3" w:rsidRPr="00274C1D">
        <w:rPr>
          <w:rFonts w:eastAsiaTheme="minorEastAsia"/>
        </w:rPr>
        <w:t>d'examiner le rôle central des données et des technologies numériques pour accélérer la réalisation des engagements;</w:t>
      </w:r>
    </w:p>
    <w:p w14:paraId="5D55E1FF" w14:textId="41CEE782" w:rsidR="002677E3" w:rsidRPr="00274C1D" w:rsidRDefault="00197936" w:rsidP="00197936">
      <w:pPr>
        <w:pStyle w:val="enumlev1"/>
        <w:rPr>
          <w:rFonts w:eastAsiaTheme="minorEastAsia"/>
        </w:rPr>
      </w:pPr>
      <w:r w:rsidRPr="00274C1D">
        <w:rPr>
          <w:rFonts w:eastAsiaTheme="minorEastAsia"/>
        </w:rPr>
        <w:t>•</w:t>
      </w:r>
      <w:r w:rsidRPr="00274C1D">
        <w:rPr>
          <w:rFonts w:eastAsiaTheme="minorEastAsia"/>
        </w:rPr>
        <w:tab/>
      </w:r>
      <w:r w:rsidR="002677E3" w:rsidRPr="00274C1D">
        <w:rPr>
          <w:rFonts w:eastAsiaTheme="minorEastAsia"/>
        </w:rPr>
        <w:t>de mobiliser des mesures audacieuses pour promouvoir la transition écologique et numérique parmi les gouvernements, les entreprises, la société civile et d'autres acteurs, y compris dans le cadre de la Coalition pour le numérique "Partner2Connect";</w:t>
      </w:r>
    </w:p>
    <w:p w14:paraId="42CBE60D" w14:textId="39943E31" w:rsidR="002677E3" w:rsidRPr="00274C1D" w:rsidRDefault="00197936" w:rsidP="00197936">
      <w:pPr>
        <w:pStyle w:val="enumlev1"/>
        <w:rPr>
          <w:rFonts w:eastAsiaTheme="minorEastAsia"/>
        </w:rPr>
      </w:pPr>
      <w:r w:rsidRPr="00274C1D">
        <w:rPr>
          <w:rFonts w:eastAsiaTheme="minorEastAsia"/>
        </w:rPr>
        <w:t>•</w:t>
      </w:r>
      <w:r w:rsidRPr="00274C1D">
        <w:rPr>
          <w:rFonts w:eastAsiaTheme="minorEastAsia"/>
        </w:rPr>
        <w:tab/>
      </w:r>
      <w:r w:rsidR="002677E3" w:rsidRPr="00274C1D">
        <w:rPr>
          <w:rFonts w:eastAsiaTheme="minorEastAsia"/>
        </w:rPr>
        <w:t>de favoriser la formation de partenariats et une coordination plus large avec les principaux partenaires dans le cadre du Partenariat de Marrakech, de la Coopération mondiale en matière de normalisation, du mouvement "Digital with Purpose" (donner un but au numérique) ou encore de l'initiative des Nations Unies sur les systèmes d'alerte précoce pour tous.</w:t>
      </w:r>
    </w:p>
    <w:p w14:paraId="23456893" w14:textId="5B560FF4" w:rsidR="002677E3" w:rsidRPr="00274C1D" w:rsidRDefault="002677E3" w:rsidP="00197936">
      <w:pPr>
        <w:rPr>
          <w:rFonts w:eastAsiaTheme="minorEastAsia"/>
        </w:rPr>
      </w:pPr>
      <w:r w:rsidRPr="00274C1D">
        <w:rPr>
          <w:rFonts w:eastAsiaTheme="minorEastAsia"/>
        </w:rPr>
        <w:t>Les TIC jouent un rôle primordial dans la surveillance des tendances climatiques, l'adaptation aux effets des changements climatiques et l'installation de systèmes d'alerte précoce, ainsi que concernant les mesures d'atténuation des effets telles que la capacité à accroître l'efficacité énergétique, la mise en place de réseaux verts et l'accélération du développement des économies circulaires tout au long de la chaîne de valeur. Parallèlement, l'adoption rapide des données et des appareils accroît la consommation d'énergie, les émissions du secteur des</w:t>
      </w:r>
      <w:r w:rsidR="00197936" w:rsidRPr="00274C1D">
        <w:rPr>
          <w:rFonts w:eastAsiaTheme="minorEastAsia"/>
        </w:rPr>
        <w:t> </w:t>
      </w:r>
      <w:r w:rsidRPr="00274C1D">
        <w:rPr>
          <w:rFonts w:eastAsiaTheme="minorEastAsia"/>
        </w:rPr>
        <w:t>TIC, le matériel utilisé et les déchets d'équipements électriques et électroniques dans le monde entier.</w:t>
      </w:r>
    </w:p>
    <w:p w14:paraId="38C99FCD" w14:textId="77777777" w:rsidR="002677E3" w:rsidRPr="00274C1D" w:rsidRDefault="002677E3" w:rsidP="00197936">
      <w:pPr>
        <w:rPr>
          <w:rFonts w:eastAsiaTheme="minorEastAsia"/>
        </w:rPr>
      </w:pPr>
      <w:r w:rsidRPr="00274C1D">
        <w:rPr>
          <w:rFonts w:eastAsiaTheme="minorEastAsia"/>
        </w:rPr>
        <w:lastRenderedPageBreak/>
        <w:t>La transformation numérique à l'échelle mondiale doit aller de pair avec l'adoption de solutions d'énergie verte et d'une économie circulaire.</w:t>
      </w:r>
    </w:p>
    <w:p w14:paraId="2A04517E" w14:textId="77777777" w:rsidR="002677E3" w:rsidRPr="00274C1D" w:rsidRDefault="002677E3" w:rsidP="00197936">
      <w:pPr>
        <w:keepLines/>
        <w:rPr>
          <w:rFonts w:eastAsiaTheme="minorEastAsia"/>
        </w:rPr>
      </w:pPr>
      <w:r w:rsidRPr="00274C1D">
        <w:rPr>
          <w:rFonts w:eastAsiaTheme="minorEastAsia"/>
        </w:rPr>
        <w:t>La 28ème session de la COP donne la possibilité de mettre en relation les secteurs des technologies avec les gouvernements et la société civile, notamment dans le contexte de la Conférence mondiale des radiocommunications de l'UIT (CMR-23), qui aura lieu au même moment dans la même ville hôte (Dubaï, aux Émirats arabes unis).</w:t>
      </w:r>
    </w:p>
    <w:p w14:paraId="02B71656" w14:textId="77777777" w:rsidR="002677E3" w:rsidRPr="00274C1D" w:rsidRDefault="002677E3" w:rsidP="00197936">
      <w:pPr>
        <w:pStyle w:val="Headingb"/>
        <w:tabs>
          <w:tab w:val="clear" w:pos="567"/>
        </w:tabs>
        <w:ind w:left="0" w:firstLine="0"/>
      </w:pPr>
      <w:bookmarkStart w:id="81" w:name="_Toc95387479"/>
      <w:r w:rsidRPr="00274C1D">
        <w:t>Les TIC: réduction des risques, amélioration des interventions en cas de crise, alerte avancée et télécommunications d'urgence</w:t>
      </w:r>
      <w:bookmarkEnd w:id="81"/>
    </w:p>
    <w:p w14:paraId="44E08043" w14:textId="718961F7" w:rsidR="002677E3" w:rsidRPr="00274C1D" w:rsidRDefault="002677E3" w:rsidP="002677E3">
      <w:r w:rsidRPr="00274C1D">
        <w:t xml:space="preserve">L'UIT-D a fourni une assistance à 28 pays pour la détermination des principales priorités concernant la gestion des catastrophes en élaborant des </w:t>
      </w:r>
      <w:hyperlink r:id="rId60" w:history="1">
        <w:r w:rsidR="00042CDE" w:rsidRPr="00274C1D">
          <w:rPr>
            <w:rStyle w:val="Hyperlink"/>
          </w:rPr>
          <w:t>plans nationaux pour les télécommunications d'urgence (NETP)</w:t>
        </w:r>
      </w:hyperlink>
      <w:r w:rsidRPr="00274C1D">
        <w:t xml:space="preserve"> pour le Commonwealth de la Dominique, les Îles Fidji, la Grenade, Kiribati et la Mongolie, et en aidant l'Équateur, l'Iraq, le Malawi, le Népal, la Palestine, le Paraguay, le Pérou, Sainte-Lucie, Saint-Kitts-et-Nevis, les Îles Salomon, la Somalie, le Soudan et le Tonga à élaborer leurs plans NETP. L'UIT-D a procédé à une </w:t>
      </w:r>
      <w:hyperlink r:id="rId61" w:history="1">
        <w:r w:rsidRPr="00274C1D">
          <w:rPr>
            <w:rStyle w:val="Hyperlink"/>
          </w:rPr>
          <w:t>évaluation des systèmes de télécommunications d'urgence</w:t>
        </w:r>
      </w:hyperlink>
      <w:r w:rsidRPr="00274C1D">
        <w:t xml:space="preserve"> de la Communauté de développement de l'Afrique australe (SADC), en vue d'aider 16 de ses membres à établir leurs priorités concernant les télécommunications d'urgence.</w:t>
      </w:r>
    </w:p>
    <w:p w14:paraId="73A56BD2" w14:textId="77777777" w:rsidR="002677E3" w:rsidRPr="00274C1D" w:rsidRDefault="002677E3" w:rsidP="002677E3">
      <w:r w:rsidRPr="00274C1D">
        <w:t xml:space="preserve">L'UIT-D joue le rôle de chef de file dans le contexte de la nouvelle </w:t>
      </w:r>
      <w:hyperlink r:id="rId62" w:history="1">
        <w:r w:rsidRPr="00274C1D">
          <w:rPr>
            <w:rStyle w:val="Hyperlink"/>
          </w:rPr>
          <w:t>initiative sur les systèmes d'alerte précoce pour tous</w:t>
        </w:r>
      </w:hyperlink>
      <w:r w:rsidRPr="00274C1D">
        <w:t>, qui vise à faire en sorte que chaque habitant de la planète soit protégé par un système d'alerte précoce d'ici à 2027.</w:t>
      </w:r>
    </w:p>
    <w:p w14:paraId="2C265432" w14:textId="284B6A10" w:rsidR="002677E3" w:rsidRPr="00274C1D" w:rsidRDefault="002677E3" w:rsidP="002677E3">
      <w:r w:rsidRPr="00274C1D">
        <w:t>Les travaux d'intervention menés par l'UIT ont joué un rôle essentiel pour orienter les équipes de premiers secours et aider les pays à faire face aux catastrophes en rétablissant la connectivité:</w:t>
      </w:r>
    </w:p>
    <w:p w14:paraId="5578D436" w14:textId="77777777" w:rsidR="002677E3" w:rsidRPr="00274C1D" w:rsidRDefault="002677E3" w:rsidP="002677E3">
      <w:pPr>
        <w:pStyle w:val="enumlev1"/>
      </w:pPr>
      <w:r w:rsidRPr="00274C1D">
        <w:t>•</w:t>
      </w:r>
      <w:r w:rsidRPr="00274C1D">
        <w:tab/>
        <w:t xml:space="preserve">En octobre 2022, </w:t>
      </w:r>
      <w:hyperlink r:id="rId63" w:history="1">
        <w:r w:rsidRPr="00274C1D">
          <w:t>l'</w:t>
        </w:r>
        <w:r w:rsidRPr="00274C1D">
          <w:rPr>
            <w:rStyle w:val="Hyperlink"/>
          </w:rPr>
          <w:t>UIT a fourni des équipements satellitaires</w:t>
        </w:r>
      </w:hyperlink>
      <w:r w:rsidRPr="00274C1D">
        <w:t xml:space="preserve"> (téléphones Iridium et terminaux BGAN) au Nicaragua pour aider le pays dans le cadre des opérations de secours après le passage de l'ouragan Julia.</w:t>
      </w:r>
    </w:p>
    <w:p w14:paraId="1771F17D" w14:textId="25E3C2BE" w:rsidR="002677E3" w:rsidRPr="00274C1D" w:rsidRDefault="002677E3" w:rsidP="002677E3">
      <w:pPr>
        <w:pStyle w:val="enumlev1"/>
      </w:pPr>
      <w:r w:rsidRPr="00274C1D">
        <w:t>•</w:t>
      </w:r>
      <w:r w:rsidRPr="00274C1D">
        <w:tab/>
        <w:t>En mars 2023, l'</w:t>
      </w:r>
      <w:hyperlink r:id="rId64" w:history="1">
        <w:r w:rsidRPr="00274C1D">
          <w:rPr>
            <w:rStyle w:val="Hyperlink"/>
          </w:rPr>
          <w:t>équipe chargée des télécommunications d'urgence</w:t>
        </w:r>
      </w:hyperlink>
      <w:r w:rsidRPr="00274C1D">
        <w:t xml:space="preserve"> de l'UIT a déployé des téléphones satellitaires Thuraya au Malawi et Iridium au Mozambique pour appuyer les interventions en cas de catastrophe au lendemain du passage du cyclone</w:t>
      </w:r>
      <w:r w:rsidR="002344E7" w:rsidRPr="00274C1D">
        <w:t> </w:t>
      </w:r>
      <w:r w:rsidRPr="00274C1D">
        <w:t>Freddy.</w:t>
      </w:r>
    </w:p>
    <w:p w14:paraId="094A0209" w14:textId="77777777" w:rsidR="002677E3" w:rsidRPr="00274C1D" w:rsidRDefault="002677E3" w:rsidP="002677E3">
      <w:pPr>
        <w:pStyle w:val="enumlev1"/>
      </w:pPr>
      <w:r w:rsidRPr="00274C1D">
        <w:t>•</w:t>
      </w:r>
      <w:r w:rsidRPr="00274C1D">
        <w:tab/>
        <w:t xml:space="preserve">Le BDT a mis en service la </w:t>
      </w:r>
      <w:bookmarkStart w:id="82" w:name="_Hlk138834328"/>
      <w:r w:rsidRPr="00274C1D">
        <w:fldChar w:fldCharType="begin"/>
      </w:r>
      <w:r w:rsidRPr="00274C1D">
        <w:instrText>HYPERLINK "https://www.itu.int/en/ITU-D/Emergency-Telecommunications/Pages/Disaster-Connectivity-Maps.aspx"</w:instrText>
      </w:r>
      <w:r w:rsidRPr="00274C1D">
        <w:fldChar w:fldCharType="separate"/>
      </w:r>
      <w:r w:rsidRPr="00274C1D">
        <w:rPr>
          <w:rStyle w:val="Hyperlink"/>
        </w:rPr>
        <w:t>carte de la connectivité en cas de catastrophe</w:t>
      </w:r>
      <w:r w:rsidRPr="00274C1D">
        <w:rPr>
          <w:rStyle w:val="Hyperlink"/>
        </w:rPr>
        <w:fldChar w:fldCharType="end"/>
      </w:r>
      <w:bookmarkEnd w:id="82"/>
      <w:r w:rsidRPr="00274C1D">
        <w:t xml:space="preserve"> (DCM) dans cinq pays après des catastrophes et l'a utilisé pour identifier les lacunes en matière de communications et orienter les interventions des équipes de premiers secours au Tonga, qui a été touché par une éruption volcanique et un tsunami en 2022.</w:t>
      </w:r>
    </w:p>
    <w:p w14:paraId="773CBA87" w14:textId="5BAF732C" w:rsidR="002677E3" w:rsidRPr="00274C1D" w:rsidRDefault="002677E3" w:rsidP="002677E3">
      <w:pPr>
        <w:pStyle w:val="enumlev1"/>
      </w:pPr>
      <w:r w:rsidRPr="00274C1D">
        <w:t>•</w:t>
      </w:r>
      <w:r w:rsidRPr="00274C1D">
        <w:tab/>
        <w:t>La DCM a également été mise en service pour orienter les équipes de premiers secours à la suite du tremblement de terre meurtrier qui a frappé la Türkiye et la Syrie en</w:t>
      </w:r>
      <w:r w:rsidR="00197936" w:rsidRPr="00274C1D">
        <w:t> </w:t>
      </w:r>
      <w:r w:rsidRPr="00274C1D">
        <w:t>février 2023, au lendemain du passage du cyclone Freddy au Zimbabwe et des cyclones Judy et Kevin au Vanuatu.</w:t>
      </w:r>
    </w:p>
    <w:p w14:paraId="6FCCD423" w14:textId="231D0A30" w:rsidR="002677E3" w:rsidRPr="00274C1D" w:rsidRDefault="002677E3" w:rsidP="002677E3">
      <w:r w:rsidRPr="00274C1D">
        <w:t xml:space="preserve">S'agissant des formations en ligne proposées par l'UIT-D, 398 personnes ont participé aux trois </w:t>
      </w:r>
      <w:hyperlink r:id="rId65" w:history="1">
        <w:r w:rsidRPr="00274C1D">
          <w:rPr>
            <w:rStyle w:val="Hyperlink"/>
          </w:rPr>
          <w:t>Modules en ligne de l'UIT sur les télécommunications d'urgence</w:t>
        </w:r>
      </w:hyperlink>
      <w:r w:rsidRPr="00274C1D">
        <w:t xml:space="preserve">. </w:t>
      </w:r>
      <w:r w:rsidRPr="00274C1D">
        <w:rPr>
          <w:rFonts w:cstheme="minorHAnsi"/>
          <w:szCs w:val="24"/>
        </w:rPr>
        <w:t>Ces modules couvrent</w:t>
      </w:r>
      <w:r w:rsidR="00197936" w:rsidRPr="00274C1D">
        <w:rPr>
          <w:rFonts w:cstheme="minorHAnsi"/>
          <w:szCs w:val="24"/>
        </w:rPr>
        <w:t> </w:t>
      </w:r>
      <w:r w:rsidRPr="00274C1D">
        <w:rPr>
          <w:rFonts w:cstheme="minorHAnsi"/>
          <w:szCs w:val="24"/>
        </w:rPr>
        <w:t xml:space="preserve">1) l'élaboration de plans NETP, 2) l'organisation </w:t>
      </w:r>
      <w:hyperlink r:id="rId66" w:history="1">
        <w:r w:rsidRPr="00274C1D">
          <w:t>d'</w:t>
        </w:r>
        <w:r w:rsidRPr="00274C1D">
          <w:rPr>
            <w:rStyle w:val="Hyperlink"/>
            <w:rFonts w:cstheme="minorHAnsi"/>
            <w:szCs w:val="24"/>
          </w:rPr>
          <w:t>exercices de simulation théoriques (TTX)</w:t>
        </w:r>
      </w:hyperlink>
      <w:r w:rsidRPr="00274C1D">
        <w:rPr>
          <w:rFonts w:cstheme="minorHAnsi"/>
          <w:szCs w:val="24"/>
        </w:rPr>
        <w:t xml:space="preserve"> et 3) des renseignements sur la </w:t>
      </w:r>
      <w:hyperlink r:id="rId67" w:history="1">
        <w:r w:rsidRPr="00274C1D">
          <w:rPr>
            <w:rStyle w:val="Hyperlink"/>
            <w:rFonts w:cstheme="minorHAnsi"/>
            <w:szCs w:val="24"/>
          </w:rPr>
          <w:t>Convention de Tampere</w:t>
        </w:r>
      </w:hyperlink>
      <w:r w:rsidRPr="00274C1D">
        <w:rPr>
          <w:rFonts w:cstheme="minorHAnsi"/>
          <w:szCs w:val="24"/>
        </w:rPr>
        <w:t xml:space="preserve"> et les avantages associés. Ces trois modules en ligne sont à suivre à son propre rythme et disponibles sur la </w:t>
      </w:r>
      <w:hyperlink r:id="rId68" w:history="1">
        <w:r w:rsidRPr="00274C1D">
          <w:rPr>
            <w:rStyle w:val="Hyperlink"/>
            <w:rFonts w:cstheme="minorHAnsi"/>
            <w:szCs w:val="24"/>
          </w:rPr>
          <w:t>plate-forme de l'Académie de l'UIT</w:t>
        </w:r>
      </w:hyperlink>
      <w:r w:rsidRPr="00274C1D">
        <w:t>.</w:t>
      </w:r>
    </w:p>
    <w:p w14:paraId="1FF32FBD" w14:textId="77777777" w:rsidR="002677E3" w:rsidRPr="00274C1D" w:rsidRDefault="002677E3" w:rsidP="002677E3">
      <w:pPr>
        <w:pStyle w:val="Headingb"/>
      </w:pPr>
      <w:r w:rsidRPr="00274C1D">
        <w:lastRenderedPageBreak/>
        <w:t>Transformation numérique des villes et des communautés centrées sur la population</w:t>
      </w:r>
    </w:p>
    <w:p w14:paraId="4F7B243A" w14:textId="292B93D4" w:rsidR="002677E3" w:rsidRPr="00274C1D" w:rsidRDefault="002677E3" w:rsidP="002677E3">
      <w:r w:rsidRPr="00274C1D">
        <w:t xml:space="preserve">La </w:t>
      </w:r>
      <w:hyperlink r:id="rId69" w:history="1">
        <w:r w:rsidRPr="00274C1D">
          <w:rPr>
            <w:rStyle w:val="Hyperlink"/>
          </w:rPr>
          <w:t>Commission d'études 20 de l'UIT-T</w:t>
        </w:r>
      </w:hyperlink>
      <w:r w:rsidRPr="00274C1D">
        <w:t xml:space="preserve"> a approuvé les Recommandations de l'UIT-T relatives aux études pour les villes et les communautés intelligentes. Le dernier groupe de travail constitué, qui relève du Groupe thématique de l'initiative U4SSC sur les plates-formes des villes intelligentes, travaillera sur les données et les interfaces API des plates-formes pour les villes intelligentes. Quatre nouvelles villes ont participé au </w:t>
      </w:r>
      <w:hyperlink r:id="rId70" w:anchor="/fr" w:history="1">
        <w:r w:rsidRPr="00274C1D">
          <w:rPr>
            <w:rStyle w:val="Hyperlink"/>
          </w:rPr>
          <w:t>projet de mise en œuvre des indicateurs fondamentaux de performance (IFP) relatifs aux villes intelligentes et durables</w:t>
        </w:r>
      </w:hyperlink>
      <w:r w:rsidRPr="00274C1D">
        <w:t xml:space="preserve">, qui relève de l'initiative U4SSC. Un nouveau module sur la gouvernance pour des villes intelligentes et durables a été ajouté au </w:t>
      </w:r>
      <w:hyperlink r:id="rId71" w:history="1">
        <w:r w:rsidRPr="00274C1D">
          <w:rPr>
            <w:rStyle w:val="Hyperlink"/>
          </w:rPr>
          <w:t>kit pratique sur la transformation numérique des villes et des communautés centrées sur la population.</w:t>
        </w:r>
      </w:hyperlink>
    </w:p>
    <w:p w14:paraId="4229923F" w14:textId="5708FC6F" w:rsidR="002677E3" w:rsidRPr="00274C1D" w:rsidRDefault="002677E3" w:rsidP="002677E3">
      <w:r w:rsidRPr="00274C1D">
        <w:t xml:space="preserve">Pour plus de détails, se référer à la </w:t>
      </w:r>
      <w:hyperlink r:id="rId72" w:history="1">
        <w:r w:rsidRPr="00274C1D">
          <w:rPr>
            <w:rStyle w:val="Hyperlink"/>
          </w:rPr>
          <w:t>liste des travaux publiés dans le cadre de l'initiative</w:t>
        </w:r>
        <w:r w:rsidR="00042CDE" w:rsidRPr="00274C1D">
          <w:rPr>
            <w:rStyle w:val="Hyperlink"/>
          </w:rPr>
          <w:t> </w:t>
        </w:r>
        <w:r w:rsidRPr="00274C1D">
          <w:rPr>
            <w:rStyle w:val="Hyperlink"/>
          </w:rPr>
          <w:t>U4SSC</w:t>
        </w:r>
      </w:hyperlink>
      <w:r w:rsidRPr="00274C1D">
        <w:t> et la </w:t>
      </w:r>
      <w:hyperlink r:id="rId73" w:history="1">
        <w:r w:rsidRPr="00274C1D">
          <w:rPr>
            <w:rStyle w:val="Hyperlink"/>
          </w:rPr>
          <w:t>liste des indicateurs IFP de l'initiative U4SSC</w:t>
        </w:r>
      </w:hyperlink>
      <w:r w:rsidRPr="00274C1D">
        <w:t>.</w:t>
      </w:r>
    </w:p>
    <w:p w14:paraId="4FDC582C" w14:textId="77777777" w:rsidR="002677E3" w:rsidRPr="00274C1D" w:rsidRDefault="002677E3" w:rsidP="00BE68C0">
      <w:pPr>
        <w:pStyle w:val="Heading2"/>
      </w:pPr>
      <w:bookmarkStart w:id="83" w:name="_Toc37943340"/>
      <w:bookmarkStart w:id="84" w:name="_Toc37943341"/>
      <w:bookmarkStart w:id="85" w:name="_Toc37943342"/>
      <w:bookmarkStart w:id="86" w:name="_Toc37943343"/>
      <w:bookmarkStart w:id="87" w:name="_Toc37860460"/>
      <w:bookmarkStart w:id="88" w:name="_Toc37861221"/>
      <w:bookmarkStart w:id="89" w:name="_Toc37943344"/>
      <w:bookmarkStart w:id="90" w:name="Section_3_1_2"/>
      <w:bookmarkStart w:id="91" w:name="Section_1_6"/>
      <w:bookmarkStart w:id="92" w:name="_Toc133303267"/>
      <w:bookmarkStart w:id="93" w:name="_Toc138838638"/>
      <w:bookmarkEnd w:id="83"/>
      <w:bookmarkEnd w:id="84"/>
      <w:bookmarkEnd w:id="85"/>
      <w:bookmarkEnd w:id="86"/>
      <w:r w:rsidRPr="00274C1D">
        <w:t>4.5</w:t>
      </w:r>
      <w:r w:rsidRPr="00274C1D">
        <w:tab/>
      </w:r>
      <w:bookmarkEnd w:id="87"/>
      <w:bookmarkEnd w:id="88"/>
      <w:bookmarkEnd w:id="89"/>
      <w:bookmarkEnd w:id="90"/>
      <w:bookmarkEnd w:id="91"/>
      <w:bookmarkEnd w:id="92"/>
      <w:r w:rsidRPr="00274C1D">
        <w:t>Cybersécurité: instaurer la confiance et la sécurité dans l'utilisation des TIC</w:t>
      </w:r>
      <w:bookmarkEnd w:id="93"/>
    </w:p>
    <w:p w14:paraId="532F6F4B" w14:textId="2F3D9DD7" w:rsidR="002677E3" w:rsidRPr="00274C1D" w:rsidRDefault="002677E3" w:rsidP="002677E3">
      <w:r w:rsidRPr="00274C1D">
        <w:t xml:space="preserve">Le Document </w:t>
      </w:r>
      <w:hyperlink r:id="rId74" w:history="1">
        <w:r w:rsidRPr="00274C1D">
          <w:rPr>
            <w:rStyle w:val="Hyperlink"/>
            <w:rFonts w:asciiTheme="minorHAnsi" w:hAnsiTheme="minorHAnsi" w:cstheme="minorHAnsi"/>
            <w:szCs w:val="24"/>
          </w:rPr>
          <w:t>C23/38</w:t>
        </w:r>
      </w:hyperlink>
      <w:r w:rsidRPr="00274C1D">
        <w:rPr>
          <w:rFonts w:asciiTheme="minorHAnsi" w:hAnsiTheme="minorHAnsi" w:cstheme="minorHAnsi"/>
          <w:szCs w:val="24"/>
        </w:rPr>
        <w:t xml:space="preserve"> décrit de manière détaillée </w:t>
      </w:r>
      <w:r w:rsidRPr="00274C1D">
        <w:t>les activités menées par l'UIT au titre de la Résolution 130 (Rév. Bucarest, 2022) de la Conférence de plénipotentiaires, du rôle de l'UIT en tant que coordonnateur unique pour la grande orientation C5 du SMSI et des autres décisions prises par les membres concernant le renforcement du rôle de l'UIT dans l'instauration de la confiance et de la sécurité dans l'utilisation des TIC. Il fait apparaître la complémentarité des programmes de travail de l'UIT, y compris les activités menées par le</w:t>
      </w:r>
      <w:r w:rsidR="00BE68C0" w:rsidRPr="00274C1D">
        <w:t> </w:t>
      </w:r>
      <w:r w:rsidRPr="00274C1D">
        <w:t>BDT, le TSB et le BR dans ce domaine.</w:t>
      </w:r>
    </w:p>
    <w:p w14:paraId="5DCD6BE2" w14:textId="77777777" w:rsidR="002677E3" w:rsidRPr="00274C1D" w:rsidRDefault="002677E3" w:rsidP="002677E3">
      <w:r w:rsidRPr="00274C1D">
        <w:t>Le rapport contient des informations relatives aux travaux de normalisation menés par diverses commissions d'études, au renforcement des capacités, dont l'aide apportée par les équipes d'intervention en cas d'incident informatique, les cyberexercices et diverses autres activités, et aux partenariats multi-parties prenantes.</w:t>
      </w:r>
    </w:p>
    <w:p w14:paraId="2CB09C90" w14:textId="77777777" w:rsidR="002677E3" w:rsidRPr="00274C1D" w:rsidRDefault="002677E3" w:rsidP="002677E3">
      <w:pPr>
        <w:pStyle w:val="Heading2"/>
      </w:pPr>
      <w:bookmarkStart w:id="94" w:name="_Toc37860461"/>
      <w:bookmarkStart w:id="95" w:name="_Toc37861222"/>
      <w:bookmarkStart w:id="96" w:name="_Toc37943345"/>
      <w:bookmarkStart w:id="97" w:name="Section_1_7"/>
      <w:bookmarkStart w:id="98" w:name="_Toc133303268"/>
      <w:bookmarkStart w:id="99" w:name="_Toc138838639"/>
      <w:r w:rsidRPr="00274C1D">
        <w:t>4.6</w:t>
      </w:r>
      <w:r w:rsidRPr="00274C1D">
        <w:tab/>
      </w:r>
      <w:bookmarkEnd w:id="94"/>
      <w:bookmarkEnd w:id="95"/>
      <w:bookmarkEnd w:id="96"/>
      <w:bookmarkEnd w:id="97"/>
      <w:bookmarkEnd w:id="98"/>
      <w:r w:rsidRPr="00274C1D">
        <w:t>Inclusion numérique – Garantir un accès et une utilisation des TIC inclusifs et équitables pour tous</w:t>
      </w:r>
      <w:bookmarkEnd w:id="99"/>
    </w:p>
    <w:p w14:paraId="0E730387" w14:textId="77777777" w:rsidR="002677E3" w:rsidRPr="00274C1D" w:rsidRDefault="002677E3" w:rsidP="002677E3">
      <w:pPr>
        <w:pStyle w:val="Headingb"/>
      </w:pPr>
      <w:r w:rsidRPr="00274C1D">
        <w:t>Égalité hommes-femmes</w:t>
      </w:r>
    </w:p>
    <w:p w14:paraId="6D5B02E5" w14:textId="5A8292E3" w:rsidR="002677E3" w:rsidRPr="00274C1D" w:rsidRDefault="002677E3" w:rsidP="002344E7">
      <w:pPr>
        <w:spacing w:after="120"/>
        <w:rPr>
          <w:rFonts w:eastAsia="Calibri"/>
        </w:rPr>
      </w:pPr>
      <w:r w:rsidRPr="00274C1D">
        <w:rPr>
          <w:rFonts w:eastAsia="Calibri"/>
        </w:rPr>
        <w:t xml:space="preserve">Le rapport </w:t>
      </w:r>
      <w:hyperlink r:id="rId75" w:history="1">
        <w:r w:rsidRPr="00274C1D">
          <w:rPr>
            <w:rStyle w:val="Hyperlink"/>
            <w:rFonts w:eastAsia="Calibri"/>
          </w:rPr>
          <w:t>C23/6</w:t>
        </w:r>
      </w:hyperlink>
      <w:r w:rsidRPr="00274C1D">
        <w:rPr>
          <w:rFonts w:eastAsia="Calibri"/>
        </w:rPr>
        <w:t xml:space="preserve"> donne davantage de précisions sur les activités relatives à l'égalité hommes</w:t>
      </w:r>
      <w:r w:rsidR="00721255" w:rsidRPr="00274C1D">
        <w:rPr>
          <w:rFonts w:eastAsia="Calibri"/>
        </w:rPr>
        <w:noBreakHyphen/>
      </w:r>
      <w:r w:rsidRPr="00274C1D">
        <w:rPr>
          <w:rFonts w:eastAsia="Calibri"/>
        </w:rPr>
        <w:t>femmes.</w:t>
      </w:r>
    </w:p>
    <w:p w14:paraId="578AF583" w14:textId="42E2068D" w:rsidR="002677E3" w:rsidRPr="00274C1D" w:rsidRDefault="002677E3" w:rsidP="002677E3">
      <w:r w:rsidRPr="00274C1D">
        <w:t xml:space="preserve">L'UIT œuvre pour réduire la fracture numérique entre les hommes et les femmes et les disparités entre hommes et femmes dans les professions des TIC. L'Union encourage les filles et les jeunes femmes à envisager des études et une carrière dans les TIC et dispense des programmes de formation sur le numérique et de tutorat au moyen notamment de la </w:t>
      </w:r>
      <w:hyperlink r:id="rId76">
        <w:r w:rsidRPr="00274C1D">
          <w:rPr>
            <w:rStyle w:val="Hyperlink"/>
          </w:rPr>
          <w:t>Journée internationale des jeunes filles dans le secteur des TIC</w:t>
        </w:r>
      </w:hyperlink>
      <w:r w:rsidRPr="00274C1D">
        <w:t xml:space="preserve">, de l'initiative "Les jeunes Africaines et Américaines savent coder", du Partenariat </w:t>
      </w:r>
      <w:hyperlink r:id="rId77">
        <w:r w:rsidRPr="00274C1D">
          <w:rPr>
            <w:rStyle w:val="Hyperlink"/>
          </w:rPr>
          <w:t>EQUALS</w:t>
        </w:r>
      </w:hyperlink>
      <w:r w:rsidRPr="00274C1D">
        <w:t>, du programme de mentorat "</w:t>
      </w:r>
      <w:hyperlink r:id="rId78">
        <w:r w:rsidRPr="00274C1D">
          <w:rPr>
            <w:rStyle w:val="Hyperlink"/>
          </w:rPr>
          <w:t>Les femmes dans le secteur de la cybersécurité</w:t>
        </w:r>
      </w:hyperlink>
      <w:r w:rsidRPr="00274C1D">
        <w:t xml:space="preserve">" et de l'initiative appelée </w:t>
      </w:r>
      <w:hyperlink r:id="rId79">
        <w:r w:rsidRPr="00274C1D">
          <w:rPr>
            <w:rStyle w:val="Hyperlink"/>
          </w:rPr>
          <w:t>Talking</w:t>
        </w:r>
        <w:r w:rsidR="002344E7" w:rsidRPr="00274C1D">
          <w:rPr>
            <w:rStyle w:val="Hyperlink"/>
          </w:rPr>
          <w:t> </w:t>
        </w:r>
        <w:r w:rsidRPr="00274C1D">
          <w:rPr>
            <w:rStyle w:val="Hyperlink"/>
          </w:rPr>
          <w:t>Tech</w:t>
        </w:r>
      </w:hyperlink>
      <w:r w:rsidRPr="00274C1D">
        <w:t xml:space="preserve"> (Parlons technologie).</w:t>
      </w:r>
    </w:p>
    <w:p w14:paraId="08F99934" w14:textId="77777777" w:rsidR="002677E3" w:rsidRPr="00274C1D" w:rsidRDefault="002677E3" w:rsidP="002677E3">
      <w:r w:rsidRPr="00274C1D">
        <w:t xml:space="preserve">En 2022, 94 pays avaient adopté des programmes nationaux en faveur du numérique. Toutefois, il n'y en a que 21 qui accordent une attention particulière aux femmes et aux jeunes filles. Le </w:t>
      </w:r>
      <w:hyperlink r:id="rId80">
        <w:r w:rsidRPr="00274C1D">
          <w:rPr>
            <w:rStyle w:val="Hyperlink"/>
          </w:rPr>
          <w:t>Manuel sur l'intégration du principe de la problématique hommes-femmes dans les politiques relatives au numérique</w:t>
        </w:r>
      </w:hyperlink>
      <w:r w:rsidRPr="00274C1D">
        <w:t xml:space="preserve"> de l'UIT vise à favoriser l'inclusion de la question de l'égalité hommes-femmes dans le cadre de l'élaboration de politiques.</w:t>
      </w:r>
    </w:p>
    <w:p w14:paraId="6A7727F8" w14:textId="7FB46233" w:rsidR="002677E3" w:rsidRPr="00274C1D" w:rsidRDefault="002677E3" w:rsidP="002677E3">
      <w:r w:rsidRPr="00274C1D">
        <w:lastRenderedPageBreak/>
        <w:t>Les communautés participant à l'initiative "Un réseau de femmes" (NOW), lancée par l'UIT, aident à accroître la visibilité et la représentation des femmes dans les travaux menés par l'UIT et dans le cadre de l'élaboration de politiques en fournissant aux déléguées un environnement de soutien. Chaque secteur comprend un réseau, qu'il s'agisse de l'</w:t>
      </w:r>
      <w:hyperlink r:id="rId81">
        <w:r w:rsidRPr="00274C1D">
          <w:rPr>
            <w:rStyle w:val="Hyperlink"/>
          </w:rPr>
          <w:t>UIT-R</w:t>
        </w:r>
      </w:hyperlink>
      <w:r w:rsidRPr="00274C1D">
        <w:t>, de l'UIT-T (antérieurement WISE) ou de l'</w:t>
      </w:r>
      <w:hyperlink r:id="rId82">
        <w:r w:rsidRPr="00274C1D">
          <w:rPr>
            <w:rStyle w:val="Hyperlink"/>
          </w:rPr>
          <w:t>UIT-D</w:t>
        </w:r>
      </w:hyperlink>
      <w:r w:rsidRPr="00274C1D">
        <w:t>. Une campagne ciblée de la PP-22 visant à intégrer le principe de l'égalité hommes-femmes en vue de renforcer la participation des femmes a enregistré 33 pour cent de femmes contre 29 pour cent à la PP-18. L'UIT-T vise à recueillir des contributions pour trouver des moyens d'améliorer l'équilibre hommes</w:t>
      </w:r>
      <w:r w:rsidR="00973F07" w:rsidRPr="00274C1D">
        <w:noBreakHyphen/>
      </w:r>
      <w:r w:rsidRPr="00274C1D">
        <w:t>femmes dans l'ensemble de ses travaux, en encourageant la participation et en assurant un suivi à cet égard dans le cadre d'une formation en ligne, dont l'objectif est d'intégrer la question de l'égalité hommes-femmes dans l'élaboration de normes.</w:t>
      </w:r>
    </w:p>
    <w:p w14:paraId="78454B41" w14:textId="544CE847" w:rsidR="002677E3" w:rsidRPr="00274C1D" w:rsidRDefault="002677E3" w:rsidP="002677E3">
      <w:r w:rsidRPr="00274C1D">
        <w:t>L'UIT présente chaque année un rapport au Plan d'action à l'échelle du système des Nations</w:t>
      </w:r>
      <w:r w:rsidR="00973F07" w:rsidRPr="00274C1D">
        <w:t> </w:t>
      </w:r>
      <w:r w:rsidRPr="00274C1D">
        <w:t>Unies</w:t>
      </w:r>
      <w:r w:rsidRPr="00274C1D" w:rsidDel="00C36F4B">
        <w:t xml:space="preserve"> </w:t>
      </w:r>
      <w:r w:rsidRPr="00274C1D">
        <w:t>(</w:t>
      </w:r>
      <w:hyperlink r:id="rId83" w:history="1">
        <w:r w:rsidRPr="00274C1D">
          <w:rPr>
            <w:rStyle w:val="Hyperlink"/>
          </w:rPr>
          <w:t>ONU-SWAP</w:t>
        </w:r>
      </w:hyperlink>
      <w:r w:rsidRPr="00274C1D">
        <w:t>) sur l'égalité hommes-femmes et l'autonomisation des femmes, fondé sur</w:t>
      </w:r>
      <w:r w:rsidR="00973F07" w:rsidRPr="00274C1D">
        <w:t> </w:t>
      </w:r>
      <w:r w:rsidRPr="00274C1D">
        <w:t xml:space="preserve">17 indicateurs de performance. Le </w:t>
      </w:r>
      <w:hyperlink r:id="rId84" w:history="1">
        <w:r w:rsidRPr="00274C1D">
          <w:rPr>
            <w:rStyle w:val="Hyperlink"/>
          </w:rPr>
          <w:t>Bilan concernant l'ONU-SWAP – 2021</w:t>
        </w:r>
      </w:hyperlink>
      <w:r w:rsidRPr="00274C1D">
        <w:t xml:space="preserve"> précise que l'UIT a "respecté" ou "dépassé" les exigences pour 11 des 17 indicateurs. Les données pour 2022, soumises en février, indiquent que les exigences ont été respectées pour seulement sept des indicateurs. Le bilan pour 2022 devrait être publié à la fin de l'année.</w:t>
      </w:r>
    </w:p>
    <w:p w14:paraId="1564E79D" w14:textId="3D9959AF" w:rsidR="002677E3" w:rsidRPr="00274C1D" w:rsidRDefault="002677E3" w:rsidP="002677E3">
      <w:r w:rsidRPr="00274C1D">
        <w:t>L'UIT a élu la première Secrétaire générale à la PP-22, qui a pris ses fonctions en</w:t>
      </w:r>
      <w:r w:rsidR="00973F07" w:rsidRPr="00274C1D">
        <w:t> </w:t>
      </w:r>
      <w:r w:rsidRPr="00274C1D">
        <w:t>janvier</w:t>
      </w:r>
      <w:r w:rsidR="00973F07" w:rsidRPr="00274C1D">
        <w:t> </w:t>
      </w:r>
      <w:r w:rsidRPr="00274C1D">
        <w:t>2023. À la fin de 2022, les femmes occupaient uniquement 31 pour cent des postes à responsabilité et de haute direction (P5-D1-D2), ne représentant qu'une amélioration nominale au cours des dernières années. Il faut redoubler d'efforts pour réduire l'</w:t>
      </w:r>
      <w:hyperlink r:id="rId85" w:history="1">
        <w:r w:rsidRPr="00274C1D">
          <w:rPr>
            <w:rStyle w:val="Hyperlink"/>
          </w:rPr>
          <w:t>écart entre les hommes et les femmes</w:t>
        </w:r>
      </w:hyperlink>
      <w:r w:rsidRPr="00274C1D">
        <w:t>. Les initiatives lancées portent notamment sur une nouvelle politique relative au congé parental, mise en place pour contribuer à attirer et à fidéliser les talents les plus prometteurs, assure un congé parental de 16 semaines aux parents, quel que soit leur sexe, et 10 semaines supplémentaires aux femmes ayant accouché.</w:t>
      </w:r>
    </w:p>
    <w:p w14:paraId="5B163432" w14:textId="023E004D" w:rsidR="002677E3" w:rsidRPr="00274C1D" w:rsidRDefault="002677E3" w:rsidP="002677E3">
      <w:r w:rsidRPr="00274C1D">
        <w:t xml:space="preserve">De plus amples informations sont disponibles sur les sites suivants: </w:t>
      </w:r>
      <w:hyperlink r:id="rId86" w:history="1">
        <w:r w:rsidRPr="00274C1D">
          <w:rPr>
            <w:rStyle w:val="Hyperlink"/>
          </w:rPr>
          <w:t>www.itu.int/gender</w:t>
        </w:r>
      </w:hyperlink>
      <w:r w:rsidRPr="00274C1D">
        <w:t xml:space="preserve"> et</w:t>
      </w:r>
      <w:r w:rsidR="00042CDE" w:rsidRPr="00274C1D">
        <w:t> </w:t>
      </w:r>
      <w:hyperlink r:id="rId87" w:history="1">
        <w:r w:rsidR="00042CDE" w:rsidRPr="00274C1D">
          <w:rPr>
            <w:rStyle w:val="Hyperlink"/>
          </w:rPr>
          <w:t>www.itu.int/genderdashboard</w:t>
        </w:r>
      </w:hyperlink>
      <w:r w:rsidRPr="00274C1D">
        <w:t>.</w:t>
      </w:r>
    </w:p>
    <w:p w14:paraId="7DDD4AE9" w14:textId="77777777" w:rsidR="002677E3" w:rsidRPr="00274C1D" w:rsidRDefault="002677E3" w:rsidP="002677E3">
      <w:pPr>
        <w:pStyle w:val="Headingb"/>
      </w:pPr>
      <w:r w:rsidRPr="00274C1D">
        <w:t>Jeunesse</w:t>
      </w:r>
    </w:p>
    <w:p w14:paraId="2D8FCA4D" w14:textId="70BA0789" w:rsidR="002677E3" w:rsidRPr="00274C1D" w:rsidRDefault="002677E3" w:rsidP="002677E3">
      <w:pPr>
        <w:rPr>
          <w:b/>
          <w:bCs/>
        </w:rPr>
      </w:pPr>
      <w:r w:rsidRPr="00274C1D">
        <w:t xml:space="preserve">L'année 2022 a été une année décisive pour l'initiative </w:t>
      </w:r>
      <w:hyperlink r:id="rId88">
        <w:r w:rsidRPr="00274C1D">
          <w:rPr>
            <w:rStyle w:val="Hyperlink"/>
          </w:rPr>
          <w:t>Generation Connect</w:t>
        </w:r>
      </w:hyperlink>
      <w:r w:rsidRPr="00274C1D">
        <w:t>, initiative incontournable mise en œuvre dans le cadre de la Stratégie de l'UIT pour la jeunesse qui vise à ce que les jeunes puissent faire entendre leur voix dans le dialogue sur le développement numérique, demandée par la CMDT dans sa Résolution 76 (Rév. Kigali, 2022) et dans la Résolution 198 (Rév. Bucarest, 2022) de la Conférence de plénipotentiaires.</w:t>
      </w:r>
    </w:p>
    <w:p w14:paraId="0050B6FB" w14:textId="4D632F54" w:rsidR="002677E3" w:rsidRPr="00274C1D" w:rsidRDefault="002677E3" w:rsidP="002677E3">
      <w:r w:rsidRPr="00274C1D">
        <w:t xml:space="preserve">Les principales activités portaient sur l'inauguration du </w:t>
      </w:r>
      <w:hyperlink r:id="rId89" w:history="1">
        <w:r w:rsidRPr="00274C1D">
          <w:rPr>
            <w:rStyle w:val="Hyperlink"/>
          </w:rPr>
          <w:t>Sommet mondial de la jeunesse organisé dans le cadre de l'initiative Generation Connect</w:t>
        </w:r>
      </w:hyperlink>
      <w:r w:rsidRPr="00274C1D">
        <w:t xml:space="preserve"> à Kigali (Rwanda), la participation des représentants des groupes pour la jeunesse Generation Connect à la </w:t>
      </w:r>
      <w:hyperlink r:id="rId90">
        <w:r w:rsidRPr="00274C1D">
          <w:rPr>
            <w:rStyle w:val="Hyperlink"/>
          </w:rPr>
          <w:t>Conférence de plénipotentiaires de l'UIT</w:t>
        </w:r>
      </w:hyperlink>
      <w:r w:rsidRPr="00274C1D">
        <w:t xml:space="preserve"> tenue en Roumanie (PP-22) en octobre 2022, composée de plénières, de dialogues intergénérationnels et d'un atelier sur le thème "Participation effective des jeunes" destiné aux délégués de la PP, la participation aux réunions des commissions d'études de l'UIT-D dont deux dialogues intergénérationnels, organisés en marge des réunions, sur les thèmes </w:t>
      </w:r>
      <w:hyperlink r:id="rId91" w:history="1">
        <w:r w:rsidRPr="00274C1D">
          <w:t>"</w:t>
        </w:r>
        <w:r w:rsidRPr="00274C1D">
          <w:rPr>
            <w:rStyle w:val="Hyperlink"/>
          </w:rPr>
          <w:t>Les jeunes et la promotion d'une connectivité efficace</w:t>
        </w:r>
        <w:r w:rsidRPr="00274C1D">
          <w:t>"</w:t>
        </w:r>
      </w:hyperlink>
      <w:r w:rsidRPr="00274C1D">
        <w:t xml:space="preserve"> et </w:t>
      </w:r>
      <w:hyperlink r:id="rId92" w:history="1">
        <w:r w:rsidRPr="00274C1D">
          <w:t>"</w:t>
        </w:r>
        <w:r w:rsidRPr="00274C1D">
          <w:rPr>
            <w:rStyle w:val="Hyperlink"/>
          </w:rPr>
          <w:t>Autonomisation des jeunes pour la transformation numérique</w:t>
        </w:r>
        <w:r w:rsidRPr="00274C1D">
          <w:t>"</w:t>
        </w:r>
      </w:hyperlink>
      <w:r w:rsidRPr="00274C1D">
        <w:t>.</w:t>
      </w:r>
    </w:p>
    <w:p w14:paraId="338867D8" w14:textId="2340E4A5" w:rsidR="002677E3" w:rsidRPr="00274C1D" w:rsidRDefault="002677E3" w:rsidP="002677E3">
      <w:r w:rsidRPr="00274C1D">
        <w:lastRenderedPageBreak/>
        <w:t xml:space="preserve">Plusieurs séances virtuelles se sont tenues dans le cadre de l'initiative Generation Connect à l'occasion de manifestations mondiales externes en 2022, comme le </w:t>
      </w:r>
      <w:hyperlink r:id="rId93" w:history="1">
        <w:r w:rsidRPr="00274C1D">
          <w:rPr>
            <w:rStyle w:val="Hyperlink"/>
          </w:rPr>
          <w:t>Forum de la jeunesse de l'ECOSOC</w:t>
        </w:r>
      </w:hyperlink>
      <w:r w:rsidRPr="00274C1D">
        <w:t xml:space="preserve">, le </w:t>
      </w:r>
      <w:hyperlink r:id="rId94" w:history="1">
        <w:r w:rsidRPr="00274C1D">
          <w:rPr>
            <w:rStyle w:val="Hyperlink"/>
          </w:rPr>
          <w:t>Forum mondial de l'alimentation</w:t>
        </w:r>
      </w:hyperlink>
      <w:r w:rsidRPr="00274C1D">
        <w:t xml:space="preserve">, </w:t>
      </w:r>
      <w:hyperlink r:id="rId95" w:history="1">
        <w:r w:rsidRPr="00274C1D">
          <w:rPr>
            <w:rStyle w:val="Hyperlink"/>
          </w:rPr>
          <w:t>YOUNGA</w:t>
        </w:r>
      </w:hyperlink>
      <w:r w:rsidRPr="00274C1D">
        <w:t xml:space="preserve"> et le Forum mondial de Misk tenu à Riyad (Arabie saoudite). En 2023, l'initiative Generation Connect a jusqu'à présent participé et contribué au volet jeunesse de la </w:t>
      </w:r>
      <w:hyperlink r:id="rId96">
        <w:r w:rsidRPr="00274C1D">
          <w:rPr>
            <w:rStyle w:val="Hyperlink"/>
          </w:rPr>
          <w:t>5ème Conférence sur les pays les moins avancés tenue à Doha (Qatar)</w:t>
        </w:r>
      </w:hyperlink>
      <w:r w:rsidRPr="00274C1D">
        <w:t xml:space="preserve">, au </w:t>
      </w:r>
      <w:hyperlink r:id="rId97" w:history="1">
        <w:r w:rsidRPr="00274C1D">
          <w:rPr>
            <w:rStyle w:val="Hyperlink"/>
          </w:rPr>
          <w:t>congrès mondial de la téléphonie mobile</w:t>
        </w:r>
      </w:hyperlink>
      <w:r w:rsidRPr="00274C1D">
        <w:t xml:space="preserve"> tenu à Barcelone (Espagne) et à la</w:t>
      </w:r>
      <w:r w:rsidR="00973F07" w:rsidRPr="00274C1D">
        <w:t> </w:t>
      </w:r>
      <w:hyperlink r:id="rId98" w:history="1">
        <w:r w:rsidRPr="00274C1D">
          <w:rPr>
            <w:rStyle w:val="Hyperlink"/>
          </w:rPr>
          <w:t>67ème session de la Commission de la condition de la femme des Nations Unies (CSW)</w:t>
        </w:r>
      </w:hyperlink>
      <w:r w:rsidRPr="00274C1D">
        <w:t xml:space="preserve"> tenue à New York.</w:t>
      </w:r>
    </w:p>
    <w:p w14:paraId="130486D7" w14:textId="6409C80B" w:rsidR="002677E3" w:rsidRPr="00274C1D" w:rsidRDefault="002677E3" w:rsidP="002677E3">
      <w:r w:rsidRPr="00274C1D">
        <w:t xml:space="preserve">Le </w:t>
      </w:r>
      <w:hyperlink r:id="rId99" w:history="1">
        <w:r w:rsidRPr="00274C1D">
          <w:rPr>
            <w:rStyle w:val="Hyperlink"/>
          </w:rPr>
          <w:t>Certificat d'apprentissage numérique de l'initiative Generation Connect</w:t>
        </w:r>
      </w:hyperlink>
      <w:r w:rsidRPr="00274C1D">
        <w:t xml:space="preserve"> a été lancé en</w:t>
      </w:r>
      <w:r w:rsidR="00973F07" w:rsidRPr="00274C1D">
        <w:t> </w:t>
      </w:r>
      <w:r w:rsidRPr="00274C1D">
        <w:t xml:space="preserve">2022 par l'intermédiaire de l'Académie de l'UIT, avec la participation de 80 jeunes. En outre, de nouveaux épisodes du </w:t>
      </w:r>
      <w:hyperlink r:id="rId100" w:history="1">
        <w:r w:rsidRPr="00274C1D">
          <w:rPr>
            <w:rStyle w:val="Hyperlink"/>
          </w:rPr>
          <w:t>podcast sur l'initiative Generation Connect</w:t>
        </w:r>
      </w:hyperlink>
      <w:r w:rsidRPr="00274C1D">
        <w:t xml:space="preserve"> ont été publiés et la collaboration dans le cadre du projet "</w:t>
      </w:r>
      <w:hyperlink r:id="rId101">
        <w:r w:rsidRPr="00274C1D">
          <w:rPr>
            <w:rStyle w:val="Hyperlink"/>
          </w:rPr>
          <w:t>Kofi Annan Changemakers</w:t>
        </w:r>
      </w:hyperlink>
      <w:r w:rsidRPr="00274C1D">
        <w:t>" a été renforcée.</w:t>
      </w:r>
    </w:p>
    <w:p w14:paraId="2FB59EE7" w14:textId="77777777" w:rsidR="002677E3" w:rsidRPr="00274C1D" w:rsidRDefault="002677E3" w:rsidP="002677E3">
      <w:r w:rsidRPr="00274C1D">
        <w:t xml:space="preserve">Les six groupes régionaux pour la jeunesse relevant de l'initiative Generation Connect ont été étendus et comptent désormais 180 représentants dans 120 pays. Les représentants des groupes pour la jeunesse Generation Connect ont organisé une </w:t>
      </w:r>
      <w:hyperlink r:id="rId102">
        <w:r w:rsidRPr="00274C1D">
          <w:rPr>
            <w:rStyle w:val="Hyperlink"/>
          </w:rPr>
          <w:t>session d'échange sur les jeunes et le numérique en Europe</w:t>
        </w:r>
      </w:hyperlink>
      <w:r w:rsidRPr="00274C1D">
        <w:t xml:space="preserve"> et les représentants pour l'Asie-Pacifique ont participé au projet "</w:t>
      </w:r>
      <w:hyperlink r:id="rId103" w:history="1">
        <w:r w:rsidRPr="00274C1D">
          <w:rPr>
            <w:rStyle w:val="Hyperlink"/>
          </w:rPr>
          <w:t>Seeds for the Future</w:t>
        </w:r>
      </w:hyperlink>
      <w:r w:rsidRPr="00274C1D">
        <w:t>" de Huawei à Bangkok en 2022.</w:t>
      </w:r>
    </w:p>
    <w:p w14:paraId="659DD19E" w14:textId="13AB2089" w:rsidR="002677E3" w:rsidRPr="00274C1D" w:rsidRDefault="002677E3" w:rsidP="002677E3">
      <w:r w:rsidRPr="00274C1D">
        <w:t xml:space="preserve">En mars 2023, le Forum du SMSI et l'initiative Generation Connect, en collaboration avec la Conférence Model UN de Genève (GIMUN, ONG fondée en 1999 par des étudiants et basée à Genève), ont participé au lancement du </w:t>
      </w:r>
      <w:hyperlink r:id="rId104" w:history="1">
        <w:r w:rsidRPr="00274C1D">
          <w:rPr>
            <w:rStyle w:val="Hyperlink"/>
          </w:rPr>
          <w:t>Prix de la jeunesse SMSI x Generation Connect</w:t>
        </w:r>
      </w:hyperlink>
      <w:r w:rsidRPr="00274C1D">
        <w:t>. Le thème de cette année est "Vers un avenir numérique avec l'inclusion véritable des jeunes".</w:t>
      </w:r>
    </w:p>
    <w:p w14:paraId="727F8219" w14:textId="77777777" w:rsidR="002677E3" w:rsidRPr="00274C1D" w:rsidRDefault="002677E3" w:rsidP="002677E3">
      <w:pPr>
        <w:pStyle w:val="Headingb"/>
      </w:pPr>
      <w:r w:rsidRPr="00274C1D">
        <w:t>Accessibilité des TIC</w:t>
      </w:r>
    </w:p>
    <w:p w14:paraId="7602CD41" w14:textId="77777777" w:rsidR="004B6FE5" w:rsidRPr="00274C1D" w:rsidRDefault="002677E3" w:rsidP="002677E3">
      <w:pPr>
        <w:rPr>
          <w:rFonts w:eastAsia="Calibri"/>
        </w:rPr>
      </w:pPr>
      <w:r w:rsidRPr="00274C1D">
        <w:rPr>
          <w:bCs/>
        </w:rPr>
        <w:t>Au cours de la période considérée, plus de 700 membres de l'UIT, parties prenantes et participants de plus de 60 pays ont renforcé leurs connaissances en matière d'accessibilité des TIC et du numérique dans le cadre d'une diversité d'activités. L'</w:t>
      </w:r>
      <w:hyperlink r:id="rId105" w:history="1">
        <w:r w:rsidRPr="00274C1D">
          <w:rPr>
            <w:rStyle w:val="Hyperlink"/>
          </w:rPr>
          <w:t>UIT-D</w:t>
        </w:r>
      </w:hyperlink>
      <w:r w:rsidRPr="00274C1D">
        <w:t xml:space="preserve"> a fourni des avis spécialisés en matière d'accessibilité des TIC visant à soutenir les efforts déployés par les membres de l'UIT pour faciliter l'inclusion numérique grâce à des programmes de formation à l'intention des cadres décideurs et régulateurs régionaux; apporté son appui dans le cadre de manifestations régionales ayant pour thème "Des TIC accessibles pour TOUS" </w:t>
      </w:r>
      <w:r w:rsidRPr="00274C1D">
        <w:rPr>
          <w:rFonts w:eastAsia="Calibri"/>
        </w:rPr>
        <w:t xml:space="preserve">(pour </w:t>
      </w:r>
      <w:hyperlink r:id="rId106">
        <w:r w:rsidRPr="00274C1D">
          <w:t>l'</w:t>
        </w:r>
        <w:r w:rsidRPr="00274C1D">
          <w:rPr>
            <w:rStyle w:val="Hyperlink"/>
          </w:rPr>
          <w:t>Asie</w:t>
        </w:r>
        <w:r w:rsidR="004B6FE5" w:rsidRPr="00274C1D">
          <w:rPr>
            <w:rStyle w:val="Hyperlink"/>
          </w:rPr>
          <w:t> </w:t>
        </w:r>
        <w:r w:rsidRPr="00274C1D">
          <w:rPr>
            <w:rStyle w:val="Hyperlink"/>
          </w:rPr>
          <w:t>et le Pacifique</w:t>
        </w:r>
      </w:hyperlink>
      <w:r w:rsidRPr="00274C1D">
        <w:t xml:space="preserve">, les </w:t>
      </w:r>
      <w:hyperlink r:id="rId107" w:anchor=":~:text=The%209th%20edition%20of%20Accessible,)%2C%20the%20Brazilian%20regulatory%20authority.">
        <w:r w:rsidRPr="00274C1D">
          <w:rPr>
            <w:rStyle w:val="Hyperlink"/>
            <w:rFonts w:eastAsia="Calibri"/>
          </w:rPr>
          <w:t>Amériques</w:t>
        </w:r>
      </w:hyperlink>
      <w:r w:rsidRPr="00274C1D">
        <w:t>, l'</w:t>
      </w:r>
      <w:hyperlink r:id="rId108" w:anchor=":~:text=The%20special%20event%20for%20Europe,virtually%20on%206%20December%202022.">
        <w:r w:rsidRPr="00274C1D">
          <w:rPr>
            <w:rStyle w:val="Hyperlink"/>
            <w:rFonts w:eastAsia="Calibri"/>
          </w:rPr>
          <w:t>Europe</w:t>
        </w:r>
      </w:hyperlink>
      <w:r w:rsidRPr="00274C1D">
        <w:t xml:space="preserve"> et les </w:t>
      </w:r>
      <w:hyperlink r:id="rId109" w:history="1">
        <w:r w:rsidRPr="00274C1D">
          <w:rPr>
            <w:rStyle w:val="Hyperlink"/>
            <w:rFonts w:eastAsia="Calibri"/>
          </w:rPr>
          <w:t>États arabes</w:t>
        </w:r>
      </w:hyperlink>
      <w:r w:rsidRPr="00274C1D">
        <w:rPr>
          <w:rFonts w:eastAsia="Calibri"/>
        </w:rPr>
        <w:t xml:space="preserve">); programmé des temps de parole et animé des débats dans le cadre de manifestations régionales connexes afin de diffuser des bonnes pratiques en matière de politiques et de stratégies, de faire savoir, grâce à plus de 25 manifestations et réunions, que </w:t>
      </w:r>
      <w:hyperlink r:id="rId110" w:history="1">
        <w:r w:rsidRPr="00274C1D">
          <w:rPr>
            <w:rStyle w:val="Hyperlink"/>
            <w:rFonts w:eastAsia="Calibri"/>
          </w:rPr>
          <w:t>70 outils et ressources de l'UIT-D sur l'accessibilité des</w:t>
        </w:r>
        <w:r w:rsidR="00973F07" w:rsidRPr="00274C1D">
          <w:rPr>
            <w:rStyle w:val="Hyperlink"/>
            <w:rFonts w:eastAsia="Calibri"/>
          </w:rPr>
          <w:t> </w:t>
        </w:r>
        <w:r w:rsidRPr="00274C1D">
          <w:rPr>
            <w:rStyle w:val="Hyperlink"/>
            <w:rFonts w:eastAsia="Calibri"/>
          </w:rPr>
          <w:t>TIC/du numérique</w:t>
        </w:r>
      </w:hyperlink>
      <w:r w:rsidRPr="00274C1D">
        <w:rPr>
          <w:rFonts w:eastAsia="Calibri"/>
        </w:rPr>
        <w:t xml:space="preserve"> sont disponibles; participé au premier Forum sur les technologies de la "</w:t>
      </w:r>
      <w:hyperlink r:id="rId111" w:history="1">
        <w:r w:rsidRPr="00274C1D">
          <w:rPr>
            <w:rStyle w:val="Hyperlink"/>
            <w:rFonts w:eastAsia="Calibri"/>
          </w:rPr>
          <w:t>Zero Project Conference</w:t>
        </w:r>
      </w:hyperlink>
      <w:r w:rsidRPr="00274C1D">
        <w:rPr>
          <w:rFonts w:eastAsia="Calibri"/>
        </w:rPr>
        <w:t>" qui plaide pour "un monde sans obstacles" et à la session dans le cadre du SMSI</w:t>
      </w:r>
      <w:r w:rsidR="004B6FE5" w:rsidRPr="00274C1D">
        <w:rPr>
          <w:rFonts w:eastAsia="Calibri"/>
        </w:rPr>
        <w:t>-</w:t>
      </w:r>
      <w:r w:rsidRPr="00274C1D">
        <w:rPr>
          <w:rFonts w:eastAsia="Calibri"/>
        </w:rPr>
        <w:t xml:space="preserve">23 visant à </w:t>
      </w:r>
      <w:hyperlink r:id="rId112" w:history="1">
        <w:r w:rsidRPr="00274C1D">
          <w:rPr>
            <w:rStyle w:val="Hyperlink"/>
            <w:rFonts w:eastAsia="Calibri"/>
          </w:rPr>
          <w:t>renforcer la collaboration sur la question de la maîtrise des outils numériques pour les personnes handicapées</w:t>
        </w:r>
      </w:hyperlink>
      <w:r w:rsidRPr="00274C1D">
        <w:rPr>
          <w:rFonts w:eastAsia="Calibri"/>
        </w:rPr>
        <w:t>.</w:t>
      </w:r>
    </w:p>
    <w:p w14:paraId="4E5BEF09" w14:textId="77777777" w:rsidR="005C5DB1" w:rsidRPr="00274C1D" w:rsidRDefault="002677E3" w:rsidP="002677E3">
      <w:r w:rsidRPr="00274C1D">
        <w:rPr>
          <w:rFonts w:eastAsia="Calibri"/>
        </w:rPr>
        <w:t xml:space="preserve">Au cours de cette période, 761 participants se sont inscrits à la formation en ligne adaptée au rythme de chacun dispensée par l'UIT et plus de 3 200 parties prenantes ou intéressées ont utilisé les ressources de l'UIT-D dans le domaine de l'accessibilité des TIC et du numérique. En décembre 2022, l'UIT-D a lancé, en partenariat avec l'OIT, un </w:t>
      </w:r>
      <w:hyperlink r:id="rId113" w:history="1">
        <w:r w:rsidRPr="00274C1D">
          <w:rPr>
            <w:rStyle w:val="Hyperlink"/>
          </w:rPr>
          <w:t>Manuel sur l'accessibilité des systèmes de candidature et de recrutement en ligne</w:t>
        </w:r>
      </w:hyperlink>
      <w:r w:rsidRPr="00274C1D">
        <w:t xml:space="preserve"> et une formation adaptée au rythme de chacun intitulée "</w:t>
      </w:r>
      <w:hyperlink r:id="rId114" w:history="1">
        <w:r w:rsidRPr="00274C1D">
          <w:rPr>
            <w:rStyle w:val="Hyperlink"/>
          </w:rPr>
          <w:t>Faire en sorte que les systèmes de candidature et de recrutement en ligne soient accessibles à tous</w:t>
        </w:r>
      </w:hyperlink>
      <w:r w:rsidRPr="00274C1D">
        <w:t xml:space="preserve">". D'autres kits pratiques et cours de formation en ligne adaptés au rythme de chacun ont été mis à disposition dans d'autres langues, </w:t>
      </w:r>
      <w:r w:rsidRPr="00274C1D">
        <w:lastRenderedPageBreak/>
        <w:t>comme la formation intitulée "</w:t>
      </w:r>
      <w:hyperlink r:id="rId115" w:history="1">
        <w:r w:rsidRPr="00274C1D">
          <w:rPr>
            <w:rStyle w:val="Hyperlink"/>
          </w:rPr>
          <w:t>Comment assurer une communication numérique inclusive en cas de crise et d'urgence</w:t>
        </w:r>
      </w:hyperlink>
      <w:r w:rsidRPr="00274C1D">
        <w:t>", en arabe, et le kit pratique de l'UIT intitulé "</w:t>
      </w:r>
      <w:hyperlink r:id="rId116" w:history="1">
        <w:r w:rsidRPr="00274C1D">
          <w:rPr>
            <w:rStyle w:val="Hyperlink"/>
          </w:rPr>
          <w:t>Vers la création de communautés numériques inclusives</w:t>
        </w:r>
      </w:hyperlink>
      <w:r w:rsidRPr="00274C1D">
        <w:t>" et l'autoévaluation pour la mise en œuvre de l'accessibilité des TIC, en russe et en espagnol. De plus, un guide pratique sur l'accessibilité des TIC/du numérique à l'intention des spécialistes ou des organismes chargés de la conception et de l'application du programme "Îles et villages intelligents" a été conçu pour améliorer les connaissances des parties prenantes élaborant des programmes pour l'inclusion numérique dans le contexte du passage au numérique des villages et des îles.</w:t>
      </w:r>
    </w:p>
    <w:p w14:paraId="46072A00" w14:textId="77777777" w:rsidR="005C5DB1" w:rsidRPr="00274C1D" w:rsidRDefault="002677E3" w:rsidP="002677E3">
      <w:r w:rsidRPr="00274C1D">
        <w:t>Les ressources de l'UIT-D sont disponibles gratuitement dans plusieurs langues.</w:t>
      </w:r>
    </w:p>
    <w:p w14:paraId="20AEE1E9" w14:textId="1BE31AA5" w:rsidR="002677E3" w:rsidRPr="00274C1D" w:rsidRDefault="002677E3" w:rsidP="002677E3">
      <w:r w:rsidRPr="00274C1D">
        <w:t>Une nouvelle norme mondiale OMS-UIT relative à l'"</w:t>
      </w:r>
      <w:hyperlink r:id="rId117">
        <w:r w:rsidRPr="00274C1D">
          <w:rPr>
            <w:rStyle w:val="Hyperlink"/>
          </w:rPr>
          <w:t>Accessibilité des services de télésanté</w:t>
        </w:r>
      </w:hyperlink>
      <w:r w:rsidRPr="00274C1D">
        <w:t xml:space="preserve">" a été élaborée et lancée en juin 2022. Elle définit des cas d'utilisation et des exigences concernant les services de télésanté accessibles que les responsables de la mise en œuvre et les fournisseurs de services doivent respecter pour garantir la prise en compte des besoins des personnes handicapées lors de l'utilisation de ces services. Les travaux sur les pratiques d'écoute sans danger de l'OMS sont en train d'être élargis aux jeux et sports électroniques. L'UIT a également mis en place, en collaboration avec l'OMS, un </w:t>
      </w:r>
      <w:hyperlink r:id="rId118" w:history="1">
        <w:r w:rsidRPr="00274C1D">
          <w:rPr>
            <w:rStyle w:val="Hyperlink"/>
          </w:rPr>
          <w:t>groupe spécialisé</w:t>
        </w:r>
      </w:hyperlink>
      <w:r w:rsidRPr="00274C1D">
        <w:t xml:space="preserve"> chargé d'encourager l'utilisation de l'intelligence artificielle en faveur de la santé, d'élaborer un cadre de référence pour aider les développeurs et les régulateurs à évaluer si les solutions de diagnostic médical fondées sur l'intelligence artificielle sont adaptées aux besoins, comme cela a été le cas pour les équipements médicaux.</w:t>
      </w:r>
    </w:p>
    <w:p w14:paraId="701D5F9D" w14:textId="1F3353A9" w:rsidR="002677E3" w:rsidRPr="00274C1D" w:rsidRDefault="002677E3" w:rsidP="002677E3">
      <w:r w:rsidRPr="00274C1D">
        <w:t>L'UIT-R a récemment publié une version actualisée du Rapport</w:t>
      </w:r>
      <w:r w:rsidRPr="00274C1D">
        <w:rPr>
          <w:bCs/>
        </w:rPr>
        <w:t xml:space="preserve"> </w:t>
      </w:r>
      <w:hyperlink r:id="rId119" w:history="1">
        <w:r w:rsidRPr="00274C1D">
          <w:rPr>
            <w:rStyle w:val="Hyperlink"/>
          </w:rPr>
          <w:t>UIT-R BT.2207</w:t>
        </w:r>
      </w:hyperlink>
      <w:r w:rsidRPr="00274C1D">
        <w:t xml:space="preserve"> intitulé "Accessibilité des services de radiodiffusion pour les personnes handicapées" et du Rapport</w:t>
      </w:r>
      <w:r w:rsidR="00973F07" w:rsidRPr="00274C1D">
        <w:rPr>
          <w:bCs/>
        </w:rPr>
        <w:t> </w:t>
      </w:r>
      <w:hyperlink r:id="rId120" w:history="1">
        <w:r w:rsidRPr="00274C1D">
          <w:rPr>
            <w:rStyle w:val="Hyperlink"/>
          </w:rPr>
          <w:t>UIT-R SM.2153</w:t>
        </w:r>
      </w:hyperlink>
      <w:r w:rsidRPr="00274C1D">
        <w:t xml:space="preserve"> intitulé "Paramètres techniques et de fonctionnement des dispositifs de radiocommunication à courte portée et fréquences utilisées".</w:t>
      </w:r>
    </w:p>
    <w:p w14:paraId="31E9FE2D" w14:textId="3E940C81" w:rsidR="002677E3" w:rsidRPr="00274C1D" w:rsidRDefault="002677E3" w:rsidP="002677E3">
      <w:r w:rsidRPr="00274C1D">
        <w:t>L'UIT-T a amélioré l'expérience utilisateur de ITUSearch, outil qui suit désormais les directives de conception de l'UIT, moyennant des filtres plus faciles à utiliser et des instructions à l'écran qui aident les utilisateurs.</w:t>
      </w:r>
    </w:p>
    <w:p w14:paraId="78C8CCCD" w14:textId="77777777" w:rsidR="002677E3" w:rsidRPr="00274C1D" w:rsidRDefault="002677E3" w:rsidP="002677E3">
      <w:pPr>
        <w:pStyle w:val="Headingb"/>
        <w:rPr>
          <w:u w:val="single"/>
        </w:rPr>
      </w:pPr>
      <w:r w:rsidRPr="00274C1D">
        <w:t>Peuples autochtones</w:t>
      </w:r>
    </w:p>
    <w:p w14:paraId="4A65C71D" w14:textId="77777777" w:rsidR="002677E3" w:rsidRPr="00274C1D" w:rsidRDefault="002677E3" w:rsidP="002677E3">
      <w:r w:rsidRPr="00274C1D">
        <w:t xml:space="preserve">Une </w:t>
      </w:r>
      <w:hyperlink r:id="rId121" w:history="1">
        <w:r w:rsidRPr="00274C1D">
          <w:rPr>
            <w:rStyle w:val="Hyperlink"/>
          </w:rPr>
          <w:t>première formation en ligne</w:t>
        </w:r>
      </w:hyperlink>
      <w:r w:rsidRPr="00274C1D">
        <w:t xml:space="preserve"> intitulée "Formation sur les outils de communication innovants pour le renforcement des capacités des communautés autochtones, l'accent étant mis sur la manière de créer, de gérer et d'exploiter des réseaux communautaires" a été proposée dans le cadre de l'Académie de l'UIT, à laquelle se sont inscrites 200 personnes autochtones (45 pour cent de femmes) issues de 16 pays (Argentine, Bolivie, Brésil, Chili, Colombie, Costa Rica, Cuba, Équateur, Guatemala, Honduras, Mexique, Nicaragua, Panama, Paraguay, Pérou et Venezuela).</w:t>
      </w:r>
    </w:p>
    <w:p w14:paraId="3D947A14" w14:textId="0F1D3FC8" w:rsidR="002677E3" w:rsidRPr="00274C1D" w:rsidRDefault="002677E3" w:rsidP="002677E3">
      <w:r w:rsidRPr="00274C1D">
        <w:t xml:space="preserve">Un </w:t>
      </w:r>
      <w:hyperlink r:id="rId122" w:history="1">
        <w:r w:rsidRPr="00274C1D">
          <w:rPr>
            <w:rStyle w:val="Hyperlink"/>
          </w:rPr>
          <w:t>deuxième programme mixte de formation</w:t>
        </w:r>
      </w:hyperlink>
      <w:r w:rsidRPr="00274C1D">
        <w:t xml:space="preserve"> a été mis en œuvre dans le cadre de l'Académie de l'UIT et des formations en présentiel ont été organisées en Colombie à l'intention des responsables des réseaux TIC dans les communautés autochtones et rurales d'Amérique latine. Quelque 40 professionnels ont été diplômés, dont le nombre d'hommes et de femmes était équilibré.</w:t>
      </w:r>
    </w:p>
    <w:p w14:paraId="041C233E" w14:textId="77777777" w:rsidR="002677E3" w:rsidRPr="00274C1D" w:rsidRDefault="002677E3" w:rsidP="002677E3">
      <w:r w:rsidRPr="00274C1D">
        <w:t>L'édition de 2023 de la formation des gestionnaires de réseaux TIC dans les communautés autochtones ou rurales d'Amérique latine a été mise en place pour veiller à répondre à l'évolution des besoins et des exigences des peuples autochtones et des communautés isolées.</w:t>
      </w:r>
    </w:p>
    <w:p w14:paraId="4680AA0F" w14:textId="408AFF51" w:rsidR="002677E3" w:rsidRPr="00274C1D" w:rsidRDefault="002677E3" w:rsidP="002677E3">
      <w:r w:rsidRPr="00274C1D">
        <w:lastRenderedPageBreak/>
        <w:t xml:space="preserve">Une </w:t>
      </w:r>
      <w:hyperlink r:id="rId123" w:history="1">
        <w:r w:rsidRPr="00274C1D">
          <w:rPr>
            <w:rStyle w:val="Hyperlink"/>
          </w:rPr>
          <w:t>Session du SMSI</w:t>
        </w:r>
      </w:hyperlink>
      <w:r w:rsidRPr="00274C1D">
        <w:t xml:space="preserve"> sur le thème "Renforcement des capacités et création d'un environnement propice pour garantir un accès efficace dans les communautés autochtones et rurales" s'est tenue en mars 2023, au cours de laquelle l'UIT a fait part de son expérience et des enseignements qu'elle a tirés au cours des 18 dernières années en matière de promotion de l'inclusion numérique des communautés autochtones et rurales.</w:t>
      </w:r>
    </w:p>
    <w:p w14:paraId="5108E58D" w14:textId="77777777" w:rsidR="002677E3" w:rsidRPr="00274C1D" w:rsidRDefault="002677E3" w:rsidP="002677E3">
      <w:pPr>
        <w:pStyle w:val="Headingb"/>
      </w:pPr>
      <w:r w:rsidRPr="00274C1D">
        <w:t>Vieillissement de la population</w:t>
      </w:r>
    </w:p>
    <w:p w14:paraId="5D5B45D6" w14:textId="2F718FC8" w:rsidR="002677E3" w:rsidRPr="00274C1D" w:rsidRDefault="002677E3" w:rsidP="002677E3">
      <w:r w:rsidRPr="00274C1D">
        <w:t>D'ici à 2050, la population mondiale de personnes âgées de plus de 60 ans devrait doubler, passant à 2,1 milliards. Dans le contexte des deux grandes tendances mondiales, à savoir le vieillissement de la population et l'essor des technologies, la situation socio-économique à l'échelle mondiale sera confrontée à d'importants défis et à d'importants changements.</w:t>
      </w:r>
    </w:p>
    <w:p w14:paraId="11930700" w14:textId="32A5BED4" w:rsidR="002677E3" w:rsidRPr="00274C1D" w:rsidRDefault="002677E3" w:rsidP="002677E3">
      <w:r w:rsidRPr="00274C1D">
        <w:t xml:space="preserve">Au cours de la période considérée et dans le cadre de la Décennie des Nations Unies pour le vieillissement en bonne santé (2021-2030), l'UIT-D a partagé des avis spécialisés en matière d'inclusion numérique lors de formations, de présentations, d'interventions et de temps de parole organisés dans le contexte de 17 manifestations et ateliers portant sur le vieillissement, notamment le </w:t>
      </w:r>
      <w:hyperlink r:id="rId124" w:history="1">
        <w:r w:rsidRPr="00274C1D">
          <w:rPr>
            <w:rStyle w:val="Hyperlink"/>
          </w:rPr>
          <w:t>dialogue sur les politiques mondiales du Département des affaires économiques et sociales des Nations Unies visant à ne laisser personne de côté dans un monde marqué par le vieillissement</w:t>
        </w:r>
      </w:hyperlink>
      <w:r w:rsidRPr="00274C1D">
        <w:t>, l'</w:t>
      </w:r>
      <w:hyperlink r:id="rId125" w:anchor="agendaDayTwoGeneva" w:history="1">
        <w:r w:rsidRPr="00274C1D">
          <w:rPr>
            <w:rStyle w:val="Hyperlink"/>
          </w:rPr>
          <w:t>édition 2022 du Forum de haut niveau sur l'économie des séniors</w:t>
        </w:r>
      </w:hyperlink>
      <w:r w:rsidRPr="00274C1D">
        <w:t>, une série de webinaires sur l'</w:t>
      </w:r>
      <w:hyperlink r:id="rId126" w:history="1">
        <w:r w:rsidRPr="00274C1D">
          <w:rPr>
            <w:rStyle w:val="Hyperlink"/>
          </w:rPr>
          <w:t>intégration des connaissances sur le vieillissement, de l'engagement à l'action pour la protection et la participation des personnes âgées</w:t>
        </w:r>
      </w:hyperlink>
      <w:r w:rsidRPr="00274C1D">
        <w:t xml:space="preserve"> organisés en partenariat avec des institutions des Nations Unies (OIM, UIT, HCDH, DAES, FNUAP, HCR, UNITAR, ONU Femmes, OMS) et sept organisations de la société civile. Durant ces manifestations, les travaux de l'UIT-D sur le thème "</w:t>
      </w:r>
      <w:hyperlink r:id="rId127" w:history="1">
        <w:r w:rsidRPr="00274C1D">
          <w:rPr>
            <w:rStyle w:val="Hyperlink"/>
          </w:rPr>
          <w:t>Vieillir dans un monde numérique</w:t>
        </w:r>
      </w:hyperlink>
      <w:r w:rsidRPr="00274C1D">
        <w:t>" ont également été partagés.</w:t>
      </w:r>
    </w:p>
    <w:p w14:paraId="50803FD3" w14:textId="77777777" w:rsidR="002677E3" w:rsidRPr="00274C1D" w:rsidRDefault="002677E3" w:rsidP="002677E3">
      <w:r w:rsidRPr="00274C1D">
        <w:t xml:space="preserve">Pour soutenir les pays dans leurs efforts de mise en œuvre, l'UIT-D a également partagé des ressources telles que le </w:t>
      </w:r>
      <w:hyperlink r:id="rId128" w:history="1">
        <w:r w:rsidRPr="00274C1D">
          <w:rPr>
            <w:rStyle w:val="Hyperlink"/>
          </w:rPr>
          <w:t>rapport "Vieillir dans un monde numérique – Ne plus être vulnérable, mais précieux</w:t>
        </w:r>
      </w:hyperlink>
      <w:r w:rsidRPr="00274C1D">
        <w:rPr>
          <w:rStyle w:val="Hyperlink"/>
        </w:rPr>
        <w:t>"</w:t>
      </w:r>
      <w:r w:rsidRPr="00274C1D">
        <w:t xml:space="preserve">, des didacticiels vidéo connexes disponibles avec un sous-titrage en </w:t>
      </w:r>
      <w:hyperlink r:id="rId129" w:history="1">
        <w:r w:rsidRPr="00274C1D">
          <w:rPr>
            <w:rStyle w:val="Hyperlink"/>
          </w:rPr>
          <w:t>arabe</w:t>
        </w:r>
      </w:hyperlink>
      <w:r w:rsidRPr="00274C1D">
        <w:t xml:space="preserve">, </w:t>
      </w:r>
      <w:hyperlink r:id="rId130" w:history="1">
        <w:r w:rsidRPr="00274C1D">
          <w:rPr>
            <w:rStyle w:val="Hyperlink"/>
          </w:rPr>
          <w:t>chinois</w:t>
        </w:r>
      </w:hyperlink>
      <w:r w:rsidRPr="00274C1D">
        <w:t xml:space="preserve">, </w:t>
      </w:r>
      <w:hyperlink r:id="rId131" w:history="1">
        <w:r w:rsidRPr="00274C1D">
          <w:rPr>
            <w:rStyle w:val="Hyperlink"/>
          </w:rPr>
          <w:t>anglais</w:t>
        </w:r>
      </w:hyperlink>
      <w:r w:rsidRPr="00274C1D">
        <w:t xml:space="preserve">, </w:t>
      </w:r>
      <w:hyperlink r:id="rId132" w:history="1">
        <w:r w:rsidRPr="00274C1D">
          <w:rPr>
            <w:rStyle w:val="Hyperlink"/>
          </w:rPr>
          <w:t>français</w:t>
        </w:r>
      </w:hyperlink>
      <w:r w:rsidRPr="00274C1D">
        <w:t xml:space="preserve">, </w:t>
      </w:r>
      <w:hyperlink r:id="rId133" w:history="1">
        <w:r w:rsidRPr="00274C1D">
          <w:rPr>
            <w:rStyle w:val="Hyperlink"/>
          </w:rPr>
          <w:t>russe</w:t>
        </w:r>
      </w:hyperlink>
      <w:r w:rsidRPr="00274C1D">
        <w:t xml:space="preserve"> et </w:t>
      </w:r>
      <w:hyperlink r:id="rId134" w:history="1">
        <w:r w:rsidRPr="00274C1D">
          <w:rPr>
            <w:rStyle w:val="Hyperlink"/>
          </w:rPr>
          <w:t>espagnol</w:t>
        </w:r>
      </w:hyperlink>
      <w:r w:rsidRPr="00274C1D">
        <w:t>, ainsi que la formation en ligne adaptée au rythme de chacun intitulée "</w:t>
      </w:r>
      <w:hyperlink r:id="rId135" w:history="1">
        <w:r w:rsidRPr="00274C1D">
          <w:rPr>
            <w:rStyle w:val="Hyperlink"/>
          </w:rPr>
          <w:t>Mieux vieillir et améliorer son quotidien grâce aux TIC à l'ère du numérique</w:t>
        </w:r>
      </w:hyperlink>
      <w:r w:rsidRPr="00274C1D">
        <w:t>" disponible en anglais, français et espagnol. Ces ressources ont été mises à la disposition des membres de l'UIT et de l'ensemble des parties prenantes pour les aider à renforcer leurs capacités sur la manière d'utiliser les TIC pour concevoir des solutions innovantes qui offrent des avantages économiques et sociaux, de façon à faire de ce défi un véritable atout.</w:t>
      </w:r>
    </w:p>
    <w:p w14:paraId="631D5DAA" w14:textId="77777777" w:rsidR="002677E3" w:rsidRPr="00274C1D" w:rsidRDefault="002677E3" w:rsidP="002677E3">
      <w:pPr>
        <w:pStyle w:val="Heading2"/>
      </w:pPr>
      <w:bookmarkStart w:id="100" w:name="_Toc37860463"/>
      <w:bookmarkStart w:id="101" w:name="_Toc37861224"/>
      <w:bookmarkStart w:id="102" w:name="_Toc37943347"/>
      <w:bookmarkStart w:id="103" w:name="_Toc133303269"/>
      <w:bookmarkStart w:id="104" w:name="Section_1_9"/>
      <w:bookmarkStart w:id="105" w:name="_Toc138838640"/>
      <w:r w:rsidRPr="00274C1D">
        <w:t>4.7</w:t>
      </w:r>
      <w:r w:rsidRPr="00274C1D">
        <w:tab/>
      </w:r>
      <w:bookmarkEnd w:id="100"/>
      <w:bookmarkEnd w:id="101"/>
      <w:bookmarkEnd w:id="102"/>
      <w:bookmarkEnd w:id="103"/>
      <w:bookmarkEnd w:id="104"/>
      <w:r w:rsidRPr="00274C1D">
        <w:t>Partenariats stratégiques en faveur de la réalisation des ODD</w:t>
      </w:r>
      <w:bookmarkEnd w:id="105"/>
    </w:p>
    <w:p w14:paraId="789F1EB1" w14:textId="77777777" w:rsidR="002677E3" w:rsidRPr="00274C1D" w:rsidRDefault="002677E3" w:rsidP="002677E3">
      <w:pPr>
        <w:rPr>
          <w:bCs/>
        </w:rPr>
      </w:pPr>
      <w:r w:rsidRPr="00274C1D">
        <w:rPr>
          <w:bCs/>
        </w:rPr>
        <w:t>La coopération, le partage des ressources et des mécanismes où tous les acteurs – pouvoirs publics, secteur privé et utilisateurs – sont gagnants, associés à une approche faisant intervenir toutes les entités publiques, contribuent à faire de la technologie un service de base fondamental qui est utile à tous. À cet égard, l'UIT met l'accent sur la conclusion de partenariats stratégiques qui permettent d'obtenir des résultats concrets et de qualité, et de produire de réelles répercussions, en vue d'atteindre les ODD grâce aux TIC.</w:t>
      </w:r>
    </w:p>
    <w:p w14:paraId="0B6967A3" w14:textId="77777777" w:rsidR="002677E3" w:rsidRPr="00274C1D" w:rsidRDefault="002677E3" w:rsidP="002677E3">
      <w:r w:rsidRPr="00274C1D">
        <w:rPr>
          <w:bCs/>
        </w:rPr>
        <w:t>La présente section résume les principaux partenariats pour la période couverte par le présent rapport.</w:t>
      </w:r>
    </w:p>
    <w:p w14:paraId="65B98B17" w14:textId="77777777" w:rsidR="002677E3" w:rsidRPr="00274C1D" w:rsidRDefault="002677E3" w:rsidP="002677E3">
      <w:pPr>
        <w:pStyle w:val="Headingb"/>
      </w:pPr>
      <w:r w:rsidRPr="00274C1D">
        <w:lastRenderedPageBreak/>
        <w:t>Partner2Connect</w:t>
      </w:r>
    </w:p>
    <w:p w14:paraId="1A19D803" w14:textId="4AA2ED7E" w:rsidR="002677E3" w:rsidRPr="00274C1D" w:rsidRDefault="002677E3" w:rsidP="002677E3">
      <w:r w:rsidRPr="00274C1D">
        <w:t xml:space="preserve">La </w:t>
      </w:r>
      <w:hyperlink r:id="rId136" w:history="1">
        <w:r w:rsidRPr="00274C1D">
          <w:rPr>
            <w:rStyle w:val="Hyperlink"/>
          </w:rPr>
          <w:t>Coalition pour le numérique "Partner2Connect"</w:t>
        </w:r>
      </w:hyperlink>
      <w:r w:rsidRPr="00274C1D">
        <w:t xml:space="preserve"> (Document </w:t>
      </w:r>
      <w:hyperlink r:id="rId137" w:history="1">
        <w:r w:rsidRPr="00274C1D">
          <w:rPr>
            <w:rStyle w:val="Hyperlink"/>
          </w:rPr>
          <w:t>C23/INF/8</w:t>
        </w:r>
      </w:hyperlink>
      <w:r w:rsidRPr="00274C1D">
        <w:t>) est une alliance multi-parties prenantes créée par l'UIT, en étroite collaboration avec le Bureau de l'Envoyé du Secrétaire général de l'ONU pour les technologies et le Bureau de la Haute-Représentante pour les pays les moins avancés, les pays en développement sans littoral et les petits États insulaires en développement, conformément au Plan d'action du Secrétaire général de l'ONU pour la coopération numérique. La Coalition pour le numérique "Partner2Connect" encourage une connectivité efficace et la transformation numérique dans le monde entier, en mettant l'accent, notamment, sur les communautés les plus difficiles à connecter des pays les moins avancés (PMA), des pays en développement sans littoral (PDSL) et des petits</w:t>
      </w:r>
      <w:r w:rsidR="00233DF3" w:rsidRPr="00274C1D">
        <w:t> </w:t>
      </w:r>
      <w:r w:rsidRPr="00274C1D">
        <w:t>États insulaires en développement (PEID).</w:t>
      </w:r>
    </w:p>
    <w:p w14:paraId="6C8098B8" w14:textId="77777777" w:rsidR="002677E3" w:rsidRPr="00274C1D" w:rsidRDefault="002677E3" w:rsidP="002677E3">
      <w:pPr>
        <w:pStyle w:val="Headingb"/>
        <w:tabs>
          <w:tab w:val="clear" w:pos="567"/>
        </w:tabs>
        <w:ind w:left="0" w:firstLine="0"/>
      </w:pPr>
      <w:bookmarkStart w:id="106" w:name="_Toc41032085"/>
      <w:bookmarkStart w:id="107" w:name="_Toc72845055"/>
      <w:bookmarkStart w:id="108" w:name="_Toc72846396"/>
      <w:bookmarkStart w:id="109" w:name="_Toc72846629"/>
      <w:bookmarkStart w:id="110" w:name="_Toc95387506"/>
      <w:r w:rsidRPr="00274C1D">
        <w:t>Commission sur le large bande</w:t>
      </w:r>
      <w:bookmarkEnd w:id="106"/>
      <w:bookmarkEnd w:id="107"/>
      <w:bookmarkEnd w:id="108"/>
      <w:bookmarkEnd w:id="109"/>
      <w:r w:rsidRPr="00274C1D">
        <w:t xml:space="preserve"> – placer le large bande au cœur des préoccupations des décideurs au niveau international</w:t>
      </w:r>
      <w:bookmarkEnd w:id="110"/>
    </w:p>
    <w:p w14:paraId="1C6FBC70" w14:textId="360F8690" w:rsidR="002677E3" w:rsidRPr="00274C1D" w:rsidRDefault="002677E3" w:rsidP="002677E3">
      <w:r w:rsidRPr="00274C1D">
        <w:t>L'UIT et l'UNESCO ont établi la Commission "Le large bande au service du développement numérique" en 2010 en vue d'inscrire le large bande au centre des préoccupations de la communauté internationale et d'accroître l'accès au large bande, en tant qu'élément central pour accélérer les progrès en faveur des objectifs de développement nationaux et internationaux. La Commission est dirigée par le Président S. E. M. Paul Kagame (Rwanda) et M. Carlos Slim Helù (Mexique) et elle est présidée conjointement par la Secrétaire générale de l'UIT et par la Directrice générale de l'UNESCO. En 2022, elle se composait de plus de 50</w:t>
      </w:r>
      <w:r w:rsidR="001A24B4" w:rsidRPr="00274C1D">
        <w:t> </w:t>
      </w:r>
      <w:r w:rsidRPr="00274C1D">
        <w:t>commissaires, dont sept nouveaux membres, plus de 150 spécialistes externes au sein de groupes de travail et 15 partenaires stratégiques.</w:t>
      </w:r>
    </w:p>
    <w:p w14:paraId="059CD641" w14:textId="77777777" w:rsidR="002677E3" w:rsidRPr="00274C1D" w:rsidRDefault="002677E3" w:rsidP="002677E3">
      <w:r w:rsidRPr="00274C1D">
        <w:t>Quelque 18 manifestations mobilisatrices ont été organisées dans le cadre de la Commission, choisies en concertation avec l'UIT, dont des conférences pertinentes de l'Union, avec deux rencontres physiques à l'invitation de la Commission et faisant intervenir des fonctionnaires élus de l'UIT:</w:t>
      </w:r>
    </w:p>
    <w:p w14:paraId="6CD42C9D" w14:textId="77777777" w:rsidR="002677E3" w:rsidRPr="00274C1D" w:rsidRDefault="002677E3" w:rsidP="002677E3">
      <w:pPr>
        <w:pStyle w:val="enumlev1"/>
      </w:pPr>
      <w:r w:rsidRPr="00274C1D">
        <w:t>•</w:t>
      </w:r>
      <w:r w:rsidRPr="00274C1D">
        <w:tab/>
      </w:r>
      <w:hyperlink r:id="rId138" w:history="1">
        <w:r w:rsidRPr="00274C1D">
          <w:rPr>
            <w:rStyle w:val="Hyperlink"/>
          </w:rPr>
          <w:t>Réunion annuelle de printemps</w:t>
        </w:r>
      </w:hyperlink>
      <w:r w:rsidRPr="00274C1D">
        <w:t>, organisée conjointement avec le Rwanda en marge de la CMDT-22 tenue à Kigali.</w:t>
      </w:r>
    </w:p>
    <w:p w14:paraId="22C07B4C" w14:textId="625AD0CF" w:rsidR="002677E3" w:rsidRPr="00274C1D" w:rsidRDefault="002677E3" w:rsidP="002677E3">
      <w:pPr>
        <w:pStyle w:val="enumlev1"/>
      </w:pPr>
      <w:r w:rsidRPr="00274C1D">
        <w:t>•</w:t>
      </w:r>
      <w:r w:rsidRPr="00274C1D">
        <w:tab/>
      </w:r>
      <w:hyperlink r:id="rId139" w:history="1">
        <w:r w:rsidRPr="00274C1D">
          <w:rPr>
            <w:rStyle w:val="Hyperlink"/>
          </w:rPr>
          <w:t>Réunion annuelle d'automne</w:t>
        </w:r>
      </w:hyperlink>
      <w:r w:rsidRPr="00274C1D">
        <w:t xml:space="preserve"> tenue à New York, organisée conjointement avec l'UNICEF parallèlement à la 77ème session de l'Assemblée générale des Nations</w:t>
      </w:r>
      <w:r w:rsidR="00233DF3" w:rsidRPr="00274C1D">
        <w:t> </w:t>
      </w:r>
      <w:r w:rsidRPr="00274C1D">
        <w:t>Unions.</w:t>
      </w:r>
    </w:p>
    <w:p w14:paraId="4D46DA9D" w14:textId="77777777" w:rsidR="002677E3" w:rsidRPr="00274C1D" w:rsidRDefault="002677E3" w:rsidP="002677E3">
      <w:r w:rsidRPr="00274C1D">
        <w:t>La Commission a participé à 10 manifestations organisées par des institutions du système des Nations Unies (y compris le SMSI, le Sommet des Nations Unies sur la transformation de l'éducation, le Forum politique de haut niveau des Nations Unies sur le développement durable (HLPF), et la 5ème Conférence des Nations Unies sur les pays les moins avancés) et six conférences du secteur privé.</w:t>
      </w:r>
    </w:p>
    <w:p w14:paraId="323DA83B" w14:textId="51097315" w:rsidR="002677E3" w:rsidRPr="00274C1D" w:rsidRDefault="002677E3" w:rsidP="002677E3">
      <w:r w:rsidRPr="00274C1D">
        <w:t>Au cours de la période considérée, des publications, des déclarations, des rapports de groupes de travail et des travaux de recherche relatifs aux ODD ont été produits:</w:t>
      </w:r>
    </w:p>
    <w:p w14:paraId="026BA831" w14:textId="77777777" w:rsidR="002677E3" w:rsidRPr="00274C1D" w:rsidRDefault="002677E3" w:rsidP="002677E3">
      <w:pPr>
        <w:pStyle w:val="enumlev1"/>
      </w:pPr>
      <w:r w:rsidRPr="00274C1D">
        <w:t>•</w:t>
      </w:r>
      <w:r w:rsidRPr="00274C1D">
        <w:tab/>
        <w:t xml:space="preserve">Le rapport de 2022 sur la </w:t>
      </w:r>
      <w:hyperlink r:id="rId140" w:history="1">
        <w:r w:rsidRPr="00274C1D">
          <w:rPr>
            <w:rStyle w:val="Hyperlink"/>
          </w:rPr>
          <w:t>situation du large bande</w:t>
        </w:r>
      </w:hyperlink>
      <w:r w:rsidRPr="00274C1D">
        <w:t xml:space="preserve">, intitulé </w:t>
      </w:r>
      <w:r w:rsidRPr="00274C1D">
        <w:rPr>
          <w:i/>
        </w:rPr>
        <w:t>Accelerating Broadband for New Realities</w:t>
      </w:r>
      <w:r w:rsidRPr="00274C1D">
        <w:rPr>
          <w:iCs/>
        </w:rPr>
        <w:t xml:space="preserve"> (Accélérer le déploiement du large bande pour s'adapter aux nouvelles réalités)</w:t>
      </w:r>
      <w:r w:rsidRPr="00274C1D">
        <w:t>, rapport annuel phare de la Commission.</w:t>
      </w:r>
    </w:p>
    <w:p w14:paraId="77202196" w14:textId="40228623" w:rsidR="002677E3" w:rsidRPr="00274C1D" w:rsidRDefault="002677E3" w:rsidP="00233DF3">
      <w:pPr>
        <w:pStyle w:val="enumlev1"/>
        <w:keepLines/>
      </w:pPr>
      <w:r w:rsidRPr="00274C1D">
        <w:lastRenderedPageBreak/>
        <w:t>•</w:t>
      </w:r>
      <w:r w:rsidRPr="00274C1D">
        <w:tab/>
        <w:t>Trois déclarations prononcées lors de manifestations des Nations Unies (</w:t>
      </w:r>
      <w:hyperlink r:id="rId141" w:history="1">
        <w:r w:rsidRPr="00274C1D">
          <w:rPr>
            <w:rStyle w:val="Hyperlink"/>
          </w:rPr>
          <w:t>Sommet des Nations Unies sur la transformation de l'éducation</w:t>
        </w:r>
      </w:hyperlink>
      <w:r w:rsidRPr="00274C1D">
        <w:t xml:space="preserve">, </w:t>
      </w:r>
      <w:hyperlink r:id="rId142" w:history="1">
        <w:r w:rsidRPr="00274C1D">
          <w:rPr>
            <w:rStyle w:val="Hyperlink"/>
          </w:rPr>
          <w:t>HLPF</w:t>
        </w:r>
      </w:hyperlink>
      <w:r w:rsidRPr="00274C1D">
        <w:t xml:space="preserve">, </w:t>
      </w:r>
      <w:hyperlink r:id="rId143" w:history="1">
        <w:r w:rsidRPr="00274C1D">
          <w:rPr>
            <w:rStyle w:val="Hyperlink"/>
          </w:rPr>
          <w:t>5ème Conférence des Nations Unies sur les pays les moins avancés</w:t>
        </w:r>
      </w:hyperlink>
      <w:r w:rsidRPr="00274C1D">
        <w:t xml:space="preserve">), la </w:t>
      </w:r>
      <w:hyperlink r:id="rId144" w:history="1">
        <w:r w:rsidRPr="00274C1D">
          <w:rPr>
            <w:rStyle w:val="Hyperlink"/>
          </w:rPr>
          <w:t>compilation des travaux de recherche concernant l'ODD 4</w:t>
        </w:r>
      </w:hyperlink>
      <w:r w:rsidRPr="00274C1D">
        <w:t xml:space="preserve"> (éducation de qualité) et les </w:t>
      </w:r>
      <w:hyperlink r:id="rId145" w:history="1">
        <w:r w:rsidRPr="00274C1D">
          <w:rPr>
            <w:rStyle w:val="Hyperlink"/>
          </w:rPr>
          <w:t>Recommandations relatives à l'ODD 5 (égalité hommes-femmes)</w:t>
        </w:r>
      </w:hyperlink>
      <w:r w:rsidRPr="00274C1D">
        <w:t>.</w:t>
      </w:r>
    </w:p>
    <w:p w14:paraId="26B563C5" w14:textId="4FAF51A0" w:rsidR="002677E3" w:rsidRPr="00274C1D" w:rsidRDefault="002677E3" w:rsidP="002677E3">
      <w:pPr>
        <w:pStyle w:val="enumlev1"/>
      </w:pPr>
      <w:r w:rsidRPr="00274C1D">
        <w:t>•</w:t>
      </w:r>
      <w:r w:rsidRPr="00274C1D">
        <w:tab/>
        <w:t xml:space="preserve">Les travaux de sept groupes de travail, dont trois sont prêts et portent sur le </w:t>
      </w:r>
      <w:hyperlink r:id="rId146" w:history="1">
        <w:r w:rsidRPr="00274C1D">
          <w:rPr>
            <w:rStyle w:val="Hyperlink"/>
          </w:rPr>
          <w:t>renforcement des capacités en matière d'intelligence artificielle</w:t>
        </w:r>
      </w:hyperlink>
      <w:r w:rsidRPr="00274C1D">
        <w:t>, l'</w:t>
      </w:r>
      <w:hyperlink r:id="rId147" w:history="1">
        <w:r w:rsidRPr="00274C1D">
          <w:rPr>
            <w:rStyle w:val="Hyperlink"/>
          </w:rPr>
          <w:t>accès aux smartphones</w:t>
        </w:r>
      </w:hyperlink>
      <w:r w:rsidRPr="00274C1D">
        <w:t xml:space="preserve"> et </w:t>
      </w:r>
      <w:hyperlink r:id="rId148" w:history="1">
        <w:r w:rsidRPr="00274C1D">
          <w:rPr>
            <w:rStyle w:val="Hyperlink"/>
          </w:rPr>
          <w:t>la santé et les soins virtuels</w:t>
        </w:r>
      </w:hyperlink>
      <w:r w:rsidRPr="00274C1D">
        <w:t xml:space="preserve">. Les travaux de deux groupes sont encore en cours, concernant les </w:t>
      </w:r>
      <w:hyperlink r:id="rId149" w:history="1">
        <w:r w:rsidRPr="00274C1D">
          <w:rPr>
            <w:rStyle w:val="Hyperlink"/>
          </w:rPr>
          <w:t>données au service de l'apprentissage</w:t>
        </w:r>
      </w:hyperlink>
      <w:r w:rsidRPr="00274C1D">
        <w:t xml:space="preserve"> et la </w:t>
      </w:r>
      <w:hyperlink r:id="rId150" w:history="1">
        <w:r w:rsidRPr="00274C1D">
          <w:rPr>
            <w:rStyle w:val="Hyperlink"/>
          </w:rPr>
          <w:t>connexion des</w:t>
        </w:r>
        <w:r w:rsidR="00233DF3" w:rsidRPr="00274C1D">
          <w:rPr>
            <w:rStyle w:val="Hyperlink"/>
          </w:rPr>
          <w:t> </w:t>
        </w:r>
        <w:r w:rsidRPr="00274C1D">
          <w:rPr>
            <w:rStyle w:val="Hyperlink"/>
          </w:rPr>
          <w:t>MPME</w:t>
        </w:r>
      </w:hyperlink>
      <w:r w:rsidRPr="00274C1D">
        <w:t>.</w:t>
      </w:r>
    </w:p>
    <w:p w14:paraId="17C132BE" w14:textId="5BCB673F" w:rsidR="002677E3" w:rsidRPr="00274C1D" w:rsidRDefault="002677E3" w:rsidP="002677E3">
      <w:r w:rsidRPr="00274C1D">
        <w:t>Les activités stratégiques de communication de la Commission ont permis d'acquérir plus de</w:t>
      </w:r>
      <w:r w:rsidR="00233DF3" w:rsidRPr="00274C1D">
        <w:t> </w:t>
      </w:r>
      <w:r w:rsidRPr="00274C1D">
        <w:t>600 abonnés au bulletin d'information et plus de 11 000 abonnés au total aux comptes Twitter, LinkedIn et Facebook. Les rapports ont été téléchargés plus de 26 000 fois au cours de la période considérée.</w:t>
      </w:r>
    </w:p>
    <w:p w14:paraId="69C46303" w14:textId="77777777" w:rsidR="002677E3" w:rsidRPr="00274C1D" w:rsidRDefault="002677E3" w:rsidP="002677E3">
      <w:pPr>
        <w:pStyle w:val="Headingb"/>
        <w:tabs>
          <w:tab w:val="clear" w:pos="567"/>
        </w:tabs>
        <w:ind w:left="0" w:firstLine="0"/>
      </w:pPr>
      <w:bookmarkStart w:id="111" w:name="lt_pId676"/>
      <w:bookmarkStart w:id="112" w:name="_Toc41032086"/>
      <w:bookmarkStart w:id="113" w:name="_Toc72845056"/>
      <w:bookmarkStart w:id="114" w:name="_Toc72846397"/>
      <w:bookmarkStart w:id="115" w:name="_Toc72846630"/>
      <w:bookmarkStart w:id="116" w:name="_Toc95387507"/>
      <w:r w:rsidRPr="00274C1D">
        <w:t>Partenariat EQUALS</w:t>
      </w:r>
      <w:bookmarkEnd w:id="111"/>
      <w:bookmarkEnd w:id="112"/>
      <w:bookmarkEnd w:id="113"/>
      <w:bookmarkEnd w:id="114"/>
      <w:bookmarkEnd w:id="115"/>
      <w:r w:rsidRPr="00274C1D">
        <w:t xml:space="preserve"> – promouvoir l'accès, les compétences et les responsabilités dans le secteur des TIC pour les femmes et les filles</w:t>
      </w:r>
      <w:bookmarkEnd w:id="116"/>
    </w:p>
    <w:p w14:paraId="2E174893" w14:textId="2544D4E6" w:rsidR="002677E3" w:rsidRPr="00274C1D" w:rsidRDefault="002677E3" w:rsidP="002677E3">
      <w:r w:rsidRPr="00274C1D">
        <w:t>L'UIT, en tant que partenaire et hôte du Partenariat mondial pour l'égalité hommes-femmes à l'ère du numérique (</w:t>
      </w:r>
      <w:hyperlink r:id="rId151" w:history="1">
        <w:r w:rsidRPr="00274C1D">
          <w:rPr>
            <w:rStyle w:val="Hyperlink"/>
          </w:rPr>
          <w:t>EQUALS</w:t>
        </w:r>
      </w:hyperlink>
      <w:r w:rsidRPr="00274C1D">
        <w:t>), a appuyé les efforts déployés concernant les axes de coalition (Accès, Compétences, Rôle directeur et Recherche) en 2022, notamment en présidant la coalition pour les compétences conjointement avec GSMA. Le Partenariat compte 113 représentants du secteur privé, de la société civile, du milieu universitaire, d'organisations internationales et d'institutions du système des Nations Unies.</w:t>
      </w:r>
    </w:p>
    <w:p w14:paraId="4E480B1D" w14:textId="24FFB38E" w:rsidR="002677E3" w:rsidRPr="00274C1D" w:rsidRDefault="002677E3" w:rsidP="002677E3">
      <w:r w:rsidRPr="00274C1D">
        <w:t xml:space="preserve">Grâce à ses partenaires, l'UIT a soutenu la nouvelle initiative EQUALS </w:t>
      </w:r>
      <w:hyperlink r:id="rId152" w:history="1">
        <w:r w:rsidRPr="00274C1D">
          <w:rPr>
            <w:rStyle w:val="Hyperlink"/>
          </w:rPr>
          <w:t>Her Digital Skills</w:t>
        </w:r>
      </w:hyperlink>
      <w:r w:rsidRPr="00274C1D">
        <w:t xml:space="preserve"> (Ses compétences numériques) qui vise à toucher 1 million de femmes et de jeunes filles d'ici à</w:t>
      </w:r>
      <w:r w:rsidR="00233DF3" w:rsidRPr="00274C1D">
        <w:t> </w:t>
      </w:r>
      <w:r w:rsidRPr="00274C1D">
        <w:t xml:space="preserve">2026. Il s'agit notamment de mettre en place des </w:t>
      </w:r>
      <w:hyperlink r:id="rId153" w:history="1">
        <w:r w:rsidRPr="00274C1D">
          <w:rPr>
            <w:rStyle w:val="Hyperlink"/>
          </w:rPr>
          <w:t>ateliers</w:t>
        </w:r>
      </w:hyperlink>
      <w:r w:rsidRPr="00274C1D">
        <w:t xml:space="preserve"> sur les compétences numériques, des sessions de </w:t>
      </w:r>
      <w:hyperlink r:id="rId154" w:history="1">
        <w:r w:rsidRPr="00274C1D">
          <w:rPr>
            <w:rStyle w:val="Hyperlink"/>
          </w:rPr>
          <w:t>mentorat en ligne</w:t>
        </w:r>
      </w:hyperlink>
      <w:r w:rsidRPr="00274C1D">
        <w:t xml:space="preserve"> auprès de professionnels aguerris et un </w:t>
      </w:r>
      <w:hyperlink r:id="rId155" w:history="1">
        <w:r w:rsidRPr="00274C1D">
          <w:rPr>
            <w:rStyle w:val="Hyperlink"/>
          </w:rPr>
          <w:t>programme de certification</w:t>
        </w:r>
      </w:hyperlink>
      <w:r w:rsidRPr="00274C1D">
        <w:t>. Au cours de la période considérée, 14 ateliers et sessions de mentorat en ligne ont été organisés pour couvrir 15 pays et profiter à plus de 1 000 jeunes filles.</w:t>
      </w:r>
    </w:p>
    <w:p w14:paraId="3CDF3DF6" w14:textId="73B684F8" w:rsidR="002677E3" w:rsidRPr="00274C1D" w:rsidRDefault="002677E3" w:rsidP="002677E3">
      <w:r w:rsidRPr="00274C1D">
        <w:t xml:space="preserve">En décembre 2022 a été organisée l'édition annuelle des prix </w:t>
      </w:r>
      <w:hyperlink r:id="rId156" w:history="1">
        <w:r w:rsidRPr="00274C1D">
          <w:rPr>
            <w:rStyle w:val="Hyperlink"/>
          </w:rPr>
          <w:t>EQUALS in Tech</w:t>
        </w:r>
      </w:hyperlink>
      <w:r w:rsidRPr="00274C1D">
        <w:t>, décernés à six</w:t>
      </w:r>
      <w:r w:rsidR="001A24B4" w:rsidRPr="00274C1D">
        <w:t> </w:t>
      </w:r>
      <w:r w:rsidRPr="00274C1D">
        <w:t>lauréats pour mettre à l'honneur des initiatives contribuant à réduire la fracture numérique entre les hommes et les femmes. La cérémonie s'est tenue au siège de l'UIT à Genève, dans le cadre de la première réunion annuelle de la Coalition Partner2Connect. Les lauréats ont été sélectionnés parmi 155 finalistes représentant plus de 55 pays.</w:t>
      </w:r>
    </w:p>
    <w:p w14:paraId="5B58EBD2" w14:textId="4D4706DA" w:rsidR="002677E3" w:rsidRPr="00274C1D" w:rsidRDefault="002677E3" w:rsidP="002677E3">
      <w:r w:rsidRPr="00274C1D">
        <w:rPr>
          <w:rFonts w:eastAsia="Calibri"/>
        </w:rPr>
        <w:t>L'</w:t>
      </w:r>
      <w:hyperlink r:id="rId157">
        <w:r w:rsidRPr="00274C1D">
          <w:rPr>
            <w:rStyle w:val="Hyperlink"/>
            <w:rFonts w:eastAsia="Calibri"/>
          </w:rPr>
          <w:t>initiative</w:t>
        </w:r>
      </w:hyperlink>
      <w:r w:rsidRPr="00274C1D">
        <w:rPr>
          <w:rFonts w:eastAsia="Calibri"/>
        </w:rPr>
        <w:t xml:space="preserve"> menée conjointement par l'UIT et le CIR</w:t>
      </w:r>
      <w:r w:rsidRPr="00274C1D">
        <w:rPr>
          <w:rStyle w:val="FootnoteReference"/>
          <w:rFonts w:eastAsia="Calibri"/>
        </w:rPr>
        <w:footnoteReference w:id="2"/>
      </w:r>
      <w:r w:rsidRPr="00274C1D">
        <w:rPr>
          <w:rFonts w:eastAsia="Calibri"/>
        </w:rPr>
        <w:t xml:space="preserve"> dans le cadre du Partenariat EQUALS, intitulée "Les technologies en tant que catalyseurs de débouchés économiques pour les femmes", a été marquée par des ateliers sur les compétences numériques, des sessions de mentorat et des activités en faveur de l'entrepreneuriat en ligne proposés aux femmes des secteurs du café, du thé, de la mode et du textile du Burundi, d'Haïti et d'Éthiopie en 2022 et en 2023. Au cours de la période considérée, 18 ateliers ont été organisés dans ces trois pays </w:t>
      </w:r>
      <w:r w:rsidRPr="00274C1D">
        <w:rPr>
          <w:rFonts w:eastAsia="Calibri"/>
        </w:rPr>
        <w:lastRenderedPageBreak/>
        <w:t>et à l'échelle internationale, regroupant plus de 800 participants, y compris des femmes entrepreneurs, des jeunes filles, des fonctionnaires, ainsi que des représentantes de la société civile et du secteur privé</w:t>
      </w:r>
      <w:r w:rsidRPr="00274C1D">
        <w:t>.</w:t>
      </w:r>
    </w:p>
    <w:p w14:paraId="7D5BAEE0" w14:textId="77777777" w:rsidR="002677E3" w:rsidRPr="00274C1D" w:rsidRDefault="002677E3" w:rsidP="002677E3">
      <w:pPr>
        <w:pStyle w:val="Headingb"/>
      </w:pPr>
      <w:bookmarkStart w:id="117" w:name="_Toc95387508"/>
      <w:r w:rsidRPr="00274C1D">
        <w:t>L'initiative Giga – à l'œuvre depuis 2019 pour connecter toutes les écoles à l'Internet</w:t>
      </w:r>
      <w:bookmarkEnd w:id="117"/>
    </w:p>
    <w:p w14:paraId="4150D48A" w14:textId="3B23B42F" w:rsidR="002677E3" w:rsidRPr="00274C1D" w:rsidRDefault="002677E3" w:rsidP="002677E3">
      <w:r w:rsidRPr="00274C1D">
        <w:t xml:space="preserve">L'initiative </w:t>
      </w:r>
      <w:hyperlink r:id="rId158" w:history="1">
        <w:r w:rsidRPr="00274C1D">
          <w:rPr>
            <w:rStyle w:val="Hyperlink"/>
          </w:rPr>
          <w:t>Giga</w:t>
        </w:r>
      </w:hyperlink>
      <w:r w:rsidRPr="00274C1D">
        <w:t xml:space="preserve"> a déjà permis de cartographier 2,1 millions d'écoles dans 136 pays sur une plate-forme à code source ouvert qui fournit un aperçu en temps réel de l'accès et des besoins de financement auprès de bailleurs de fonds, des pouvoirs publics et des fournisseurs de services. Depuis son lancement, plus de 2,1 millions d'élèves ont été connectés à l'Internet dans plus de 5 000 écoles en Afrique, en Asie centrale, en Amérique</w:t>
      </w:r>
      <w:r w:rsidR="001A370F" w:rsidRPr="00274C1D">
        <w:t> </w:t>
      </w:r>
      <w:r w:rsidRPr="00274C1D">
        <w:t>latine et dans les Caraïbes orientales.</w:t>
      </w:r>
    </w:p>
    <w:p w14:paraId="54F69410" w14:textId="77777777" w:rsidR="002677E3" w:rsidRPr="00274C1D" w:rsidRDefault="002677E3" w:rsidP="002677E3">
      <w:pPr>
        <w:pStyle w:val="Headingb"/>
        <w:tabs>
          <w:tab w:val="clear" w:pos="567"/>
        </w:tabs>
        <w:ind w:left="0" w:firstLine="0"/>
      </w:pPr>
      <w:r w:rsidRPr="00274C1D">
        <w:t>Partenariat entre l'UIT et l'Organisation mondiale de la santé dans le domaine de l'intelligence artificielle au service de la santé</w:t>
      </w:r>
    </w:p>
    <w:p w14:paraId="129B132A" w14:textId="2E1A0C12" w:rsidR="002677E3" w:rsidRPr="00274C1D" w:rsidRDefault="002677E3" w:rsidP="002677E3">
      <w:r w:rsidRPr="00274C1D">
        <w:rPr>
          <w:bCs/>
        </w:rPr>
        <w:t xml:space="preserve">Le </w:t>
      </w:r>
      <w:hyperlink r:id="rId159" w:history="1">
        <w:r w:rsidRPr="00274C1D">
          <w:rPr>
            <w:rStyle w:val="Hyperlink"/>
            <w:bCs/>
          </w:rPr>
          <w:t>Groupe spécialisé UIT/OMS sur l'intelligence artificielle au service de la santé (FG-AI4H)</w:t>
        </w:r>
      </w:hyperlink>
      <w:r w:rsidRPr="00274C1D">
        <w:rPr>
          <w:bCs/>
        </w:rPr>
        <w:t xml:space="preserve"> a collaboré avec l'Organisation mondiale de la santé (OMS) afin d'établir un cadre d'évaluation normalisé pour évaluer les méthodes basées sur l'intelligence artificielle au service de la santé, du diagnostic, du triage ou des décisions relatives au traitement.</w:t>
      </w:r>
      <w:r w:rsidRPr="00274C1D">
        <w:t xml:space="preserve"> Depuis juillet 2022, le groupe a achevé 15 produits supplémentaires et prévoit d'en achever d'autres d'ici à</w:t>
      </w:r>
      <w:r w:rsidR="00233DF3" w:rsidRPr="00274C1D">
        <w:t> </w:t>
      </w:r>
      <w:r w:rsidRPr="00274C1D">
        <w:t>juillet 2023.</w:t>
      </w:r>
    </w:p>
    <w:p w14:paraId="623AF491" w14:textId="3D4979B3" w:rsidR="002677E3" w:rsidRPr="00274C1D" w:rsidRDefault="002677E3" w:rsidP="002677E3">
      <w:r w:rsidRPr="00274C1D">
        <w:t>Outre les normes que le groupe a élaborées, il a utilisé des subventions (environ</w:t>
      </w:r>
      <w:r w:rsidR="00233DF3" w:rsidRPr="00274C1D">
        <w:t> </w:t>
      </w:r>
      <w:r w:rsidRPr="00274C1D">
        <w:t>600</w:t>
      </w:r>
      <w:r w:rsidR="00233DF3" w:rsidRPr="00274C1D">
        <w:t> </w:t>
      </w:r>
      <w:r w:rsidRPr="00274C1D">
        <w:t>000</w:t>
      </w:r>
      <w:r w:rsidR="00233DF3" w:rsidRPr="00274C1D">
        <w:t> </w:t>
      </w:r>
      <w:r w:rsidRPr="00274C1D">
        <w:t>CHF) de la Fondation Botnar pour construire une application de référence modulaire (DevSecOps) des normes, avec une licence permettant notamment aux régulateurs nationaux en matière de médecine de s'y adapter à leur rythme. En outre, les subventions sont utilisées pour financer des voyages d'experts dans les pays à revenu faible ou intermédiaire.</w:t>
      </w:r>
    </w:p>
    <w:p w14:paraId="0AC5555E" w14:textId="77777777" w:rsidR="002677E3" w:rsidRPr="00274C1D" w:rsidRDefault="002677E3" w:rsidP="002677E3">
      <w:pPr>
        <w:pStyle w:val="Headingb"/>
        <w:tabs>
          <w:tab w:val="clear" w:pos="567"/>
        </w:tabs>
        <w:ind w:left="0" w:firstLine="0"/>
      </w:pPr>
      <w:r w:rsidRPr="00274C1D">
        <w:t>L'UIT, l'Organisation météorologique mondiale et le PNUE examinent les possibilités de tirer parti de l'intelligence artificielle au service de la gestion des catastrophes naturelles</w:t>
      </w:r>
    </w:p>
    <w:p w14:paraId="4F689FD5" w14:textId="1152E7A7" w:rsidR="002677E3" w:rsidRPr="00274C1D" w:rsidRDefault="002677E3" w:rsidP="002677E3">
      <w:r w:rsidRPr="00274C1D">
        <w:t xml:space="preserve">Le </w:t>
      </w:r>
      <w:hyperlink r:id="rId160" w:history="1">
        <w:r w:rsidRPr="00274C1D">
          <w:rPr>
            <w:rStyle w:val="Hyperlink"/>
          </w:rPr>
          <w:t>Groupe spécialisé UIT/OMM/PNUE sur l'intelligence artificielle au service de la gestion des catastrophes naturelles</w:t>
        </w:r>
      </w:hyperlink>
      <w:r w:rsidRPr="00274C1D">
        <w:t xml:space="preserve"> a tenu trois réunions pendant la période couverte par le rapport. Trois livrables ont été rendus au cours de cette période: 1) rapport technique sur l'intelligence artificielle au service des communications pour la gestion des catastrophes naturelles; 2) rapport technique sur les travaux de normalisation de la gestion des catastrophes naturelles traitant des tendances et des écarts en matière de normalisation;</w:t>
      </w:r>
      <w:r w:rsidR="00233DF3" w:rsidRPr="00274C1D">
        <w:t> </w:t>
      </w:r>
      <w:r w:rsidRPr="00274C1D">
        <w:t>3)</w:t>
      </w:r>
      <w:r w:rsidR="00233DF3" w:rsidRPr="00274C1D">
        <w:t> </w:t>
      </w:r>
      <w:r w:rsidRPr="00274C1D">
        <w:t>glossaire de l'intelligence artificielle au service de la gestion des catastrophes naturelles.</w:t>
      </w:r>
    </w:p>
    <w:p w14:paraId="7BC8A06B" w14:textId="0F8F747A" w:rsidR="002677E3" w:rsidRPr="00274C1D" w:rsidRDefault="002677E3" w:rsidP="002677E3">
      <w:r w:rsidRPr="00274C1D">
        <w:t xml:space="preserve">Un </w:t>
      </w:r>
      <w:hyperlink r:id="rId161" w:history="1">
        <w:r w:rsidRPr="00274C1D">
          <w:rPr>
            <w:rStyle w:val="Hyperlink"/>
          </w:rPr>
          <w:t>atelier du Groupe spécialisé UIT/OMM/PNUE sur l'intelligence artificielle au service de la gestion des catastrophes naturelles</w:t>
        </w:r>
      </w:hyperlink>
      <w:r w:rsidRPr="00274C1D">
        <w:t xml:space="preserve"> a été organisé à Athènes (Grèce) le 24 octobre 2022. Un </w:t>
      </w:r>
      <w:hyperlink r:id="rId162" w:history="1">
        <w:r w:rsidRPr="00274C1D">
          <w:rPr>
            <w:rStyle w:val="Hyperlink"/>
          </w:rPr>
          <w:t>webinaire</w:t>
        </w:r>
      </w:hyperlink>
      <w:r w:rsidRPr="00274C1D">
        <w:t xml:space="preserve"> de l'UIT portant sur la lutte contre les incendies de forêt grâce à l'intelligence artificielle devrait avoir lieu en avril 2023.</w:t>
      </w:r>
    </w:p>
    <w:p w14:paraId="5ABF143E" w14:textId="77777777" w:rsidR="002677E3" w:rsidRPr="00274C1D" w:rsidRDefault="002677E3" w:rsidP="00233DF3">
      <w:pPr>
        <w:pStyle w:val="Headingb"/>
        <w:tabs>
          <w:tab w:val="clear" w:pos="567"/>
        </w:tabs>
        <w:ind w:left="0" w:firstLine="0"/>
      </w:pPr>
      <w:r w:rsidRPr="00274C1D">
        <w:lastRenderedPageBreak/>
        <w:t>L'UIT et l'Organisation des Nations Unies pour l'alimentation et l'</w:t>
      </w:r>
      <w:r w:rsidRPr="00274C1D">
        <w:rPr>
          <w:iCs/>
        </w:rPr>
        <w:t>agriculture</w:t>
      </w:r>
      <w:r w:rsidRPr="00274C1D">
        <w:t xml:space="preserve"> coopèrent étroitement en ce qui concerne l'intelligence artificielle et l'Internet des objets au service de l'agriculture numérique</w:t>
      </w:r>
    </w:p>
    <w:p w14:paraId="6F787399" w14:textId="63C43521" w:rsidR="002677E3" w:rsidRPr="00274C1D" w:rsidRDefault="002677E3" w:rsidP="00233DF3">
      <w:pPr>
        <w:keepNext/>
        <w:keepLines/>
      </w:pPr>
      <w:r w:rsidRPr="00274C1D">
        <w:t xml:space="preserve">Le </w:t>
      </w:r>
      <w:hyperlink r:id="rId163" w:history="1">
        <w:r w:rsidRPr="00274C1D">
          <w:rPr>
            <w:rStyle w:val="Hyperlink"/>
          </w:rPr>
          <w:t>Groupe spécialisé UIT/FAO sur l'intelligence artificielle et l'Internet des objets au service de l'agriculture numérique</w:t>
        </w:r>
      </w:hyperlink>
      <w:r w:rsidRPr="00274C1D">
        <w:t xml:space="preserve"> a tenu trois réunions pendant la période couverte par le rapport. L'</w:t>
      </w:r>
      <w:hyperlink r:id="rId164" w:tgtFrame="_blank" w:history="1">
        <w:r w:rsidRPr="00274C1D">
          <w:rPr>
            <w:rStyle w:val="Hyperlink"/>
          </w:rPr>
          <w:t>atelier UIT/FAO sur le thème "L'agriculture numérique d'échelle: les systèmes alimentaires durables grâce à l'Internet des objets et l'intelligence artificielle"</w:t>
        </w:r>
      </w:hyperlink>
      <w:r w:rsidRPr="00274C1D">
        <w:t> a eu lieu à Seongnam (Rép.</w:t>
      </w:r>
      <w:r w:rsidR="00233DF3" w:rsidRPr="00274C1D">
        <w:t> </w:t>
      </w:r>
      <w:r w:rsidRPr="00274C1D">
        <w:t>de Corée) le 24 août 2022.</w:t>
      </w:r>
    </w:p>
    <w:p w14:paraId="7AF7B60E" w14:textId="622F71FF" w:rsidR="002677E3" w:rsidRPr="00274C1D" w:rsidRDefault="002677E3" w:rsidP="002677E3">
      <w:r w:rsidRPr="00274C1D">
        <w:t>Dans le contexte de l'agriculture numérique, deux webinaires ont eu lieu dans le cadre de la </w:t>
      </w:r>
      <w:hyperlink r:id="rId165" w:tgtFrame="_blank" w:history="1">
        <w:r w:rsidRPr="00274C1D">
          <w:rPr>
            <w:rStyle w:val="Hyperlink"/>
          </w:rPr>
          <w:t>série de webinaires sur la transformation numérique</w:t>
        </w:r>
      </w:hyperlink>
      <w:r w:rsidRPr="00274C1D">
        <w:t>, qui présente les travaux en cours du</w:t>
      </w:r>
      <w:r w:rsidR="00233DF3" w:rsidRPr="00274C1D">
        <w:t> </w:t>
      </w:r>
      <w:r w:rsidRPr="00274C1D">
        <w:t>Groupe FG-AI4A dans ce domaine: </w:t>
      </w:r>
      <w:hyperlink r:id="rId166" w:tgtFrame="_blank" w:history="1">
        <w:r w:rsidR="00233DF3" w:rsidRPr="00274C1D">
          <w:rPr>
            <w:rStyle w:val="Hyperlink"/>
          </w:rPr>
          <w:t>É</w:t>
        </w:r>
        <w:r w:rsidRPr="00274C1D">
          <w:rPr>
            <w:rStyle w:val="Hyperlink"/>
          </w:rPr>
          <w:t>pisode 21</w:t>
        </w:r>
      </w:hyperlink>
      <w:r w:rsidRPr="00274C1D">
        <w:t>, en février 2023, "L'agriculture numérique: piloter la transformation numérique pour la sécurité alimentaire" (organisé conjointement par l'Organisation des Nations Unies pour l'alimentation et l'agriculture (FAO) et l'Organisation internationale de normalisation (ISO)); </w:t>
      </w:r>
      <w:hyperlink r:id="rId167" w:tgtFrame="_blank" w:history="1">
        <w:r w:rsidR="00233DF3" w:rsidRPr="00274C1D">
          <w:rPr>
            <w:rStyle w:val="Hyperlink"/>
          </w:rPr>
          <w:t>É</w:t>
        </w:r>
        <w:r w:rsidRPr="00274C1D">
          <w:rPr>
            <w:rStyle w:val="Hyperlink"/>
          </w:rPr>
          <w:t>pisode 22</w:t>
        </w:r>
      </w:hyperlink>
      <w:r w:rsidRPr="00274C1D">
        <w:t>, en mars 2023, sur les villes intelligentes et durables et sur la gestion intelligente de l'eau (organisé conjointement par</w:t>
      </w:r>
      <w:r w:rsidR="00233DF3" w:rsidRPr="00274C1D">
        <w:t> </w:t>
      </w:r>
      <w:r w:rsidRPr="00274C1D">
        <w:t>ONU-Eau et l'OMM).</w:t>
      </w:r>
    </w:p>
    <w:p w14:paraId="0C10327F" w14:textId="77777777" w:rsidR="002677E3" w:rsidRPr="00274C1D" w:rsidRDefault="002677E3" w:rsidP="002677E3">
      <w:pPr>
        <w:pStyle w:val="Heading2"/>
      </w:pPr>
      <w:bookmarkStart w:id="118" w:name="_Toc37860464"/>
      <w:bookmarkStart w:id="119" w:name="_Toc37861225"/>
      <w:bookmarkStart w:id="120" w:name="_Toc37943348"/>
      <w:bookmarkStart w:id="121" w:name="_Toc133303270"/>
      <w:bookmarkStart w:id="122" w:name="Section_1_10"/>
      <w:bookmarkStart w:id="123" w:name="_Toc138838641"/>
      <w:r w:rsidRPr="00274C1D">
        <w:t>4.8</w:t>
      </w:r>
      <w:r w:rsidRPr="00274C1D">
        <w:tab/>
      </w:r>
      <w:bookmarkEnd w:id="118"/>
      <w:bookmarkEnd w:id="119"/>
      <w:bookmarkEnd w:id="120"/>
      <w:bookmarkEnd w:id="121"/>
      <w:r w:rsidRPr="00274C1D">
        <w:t>Séminaires et ateliers</w:t>
      </w:r>
      <w:bookmarkEnd w:id="122"/>
      <w:bookmarkEnd w:id="123"/>
    </w:p>
    <w:p w14:paraId="646DEBE8" w14:textId="77777777" w:rsidR="002677E3" w:rsidRPr="00274C1D" w:rsidRDefault="002677E3" w:rsidP="002677E3">
      <w:pPr>
        <w:pStyle w:val="Headingb"/>
      </w:pPr>
      <w:r w:rsidRPr="00274C1D">
        <w:t>UIT-R</w:t>
      </w:r>
    </w:p>
    <w:p w14:paraId="67FFFED7" w14:textId="77777777" w:rsidR="002677E3" w:rsidRPr="00274C1D" w:rsidRDefault="002677E3" w:rsidP="002677E3">
      <w:r w:rsidRPr="00274C1D">
        <w:t>WRS-22 et RRS-22</w:t>
      </w:r>
    </w:p>
    <w:p w14:paraId="62E07CF5" w14:textId="394EC232" w:rsidR="002677E3" w:rsidRPr="00274C1D" w:rsidRDefault="002677E3" w:rsidP="002677E3">
      <w:r w:rsidRPr="00274C1D">
        <w:t xml:space="preserve">En 2022, l'UIT a organisé un </w:t>
      </w:r>
      <w:hyperlink r:id="rId168" w:history="1">
        <w:r w:rsidRPr="00274C1D">
          <w:rPr>
            <w:rStyle w:val="Hyperlink"/>
          </w:rPr>
          <w:t>Séminaire mondial des radiocommunications (RRS)</w:t>
        </w:r>
      </w:hyperlink>
      <w:r w:rsidRPr="00274C1D">
        <w:t xml:space="preserve"> et trois</w:t>
      </w:r>
      <w:r w:rsidR="001A370F" w:rsidRPr="00274C1D">
        <w:t> </w:t>
      </w:r>
      <w:r w:rsidRPr="00274C1D">
        <w:t xml:space="preserve">Séminaires régionaux des radiocommunications (RRS) pour la région des </w:t>
      </w:r>
      <w:hyperlink r:id="rId169" w:history="1">
        <w:r w:rsidRPr="00274C1D">
          <w:rPr>
            <w:rStyle w:val="Hyperlink"/>
          </w:rPr>
          <w:t>États arabes</w:t>
        </w:r>
      </w:hyperlink>
      <w:r w:rsidRPr="00274C1D">
        <w:t xml:space="preserve">, la région </w:t>
      </w:r>
      <w:hyperlink r:id="rId170" w:history="1">
        <w:r w:rsidRPr="00274C1D">
          <w:rPr>
            <w:rStyle w:val="Hyperlink"/>
          </w:rPr>
          <w:t>Europe</w:t>
        </w:r>
      </w:hyperlink>
      <w:r w:rsidRPr="00274C1D">
        <w:t xml:space="preserve"> et la région </w:t>
      </w:r>
      <w:hyperlink r:id="rId171" w:history="1">
        <w:r w:rsidRPr="00274C1D">
          <w:rPr>
            <w:rStyle w:val="Hyperlink"/>
          </w:rPr>
          <w:t>Asie-Pacifique</w:t>
        </w:r>
      </w:hyperlink>
      <w:r w:rsidRPr="00274C1D">
        <w:t>. Ces séminaires portaient sur l'utilisation du spectre des fréquences radioélectriques et des orbites de satellites, en mettant l'accent sur l'application du Règlement des radiocommunications de l'UIT.</w:t>
      </w:r>
      <w:r w:rsidRPr="00274C1D">
        <w:rPr>
          <w:rFonts w:ascii="Segoe UI" w:hAnsi="Segoe UI" w:cs="Segoe UI"/>
          <w:color w:val="000000"/>
          <w:sz w:val="20"/>
          <w:shd w:val="clear" w:color="auto" w:fill="FFFFFF"/>
        </w:rPr>
        <w:t xml:space="preserve"> </w:t>
      </w:r>
      <w:r w:rsidRPr="00274C1D">
        <w:t xml:space="preserve">Les séances portaient sur des questions générales se rapportant aux radiocommunications, l'évolution de divers services de radiocommunication, les activités menées par les </w:t>
      </w:r>
      <w:r w:rsidR="001A370F" w:rsidRPr="00274C1D">
        <w:t>c</w:t>
      </w:r>
      <w:r w:rsidRPr="00274C1D">
        <w:t>ommissions d'études de l'UIT-R, le Comité du Règlement des radiocommunications, l'Assemblée des radiocommunications et</w:t>
      </w:r>
      <w:r w:rsidRPr="00274C1D">
        <w:rPr>
          <w:rFonts w:ascii="Segoe UI" w:hAnsi="Segoe UI" w:cs="Segoe UI"/>
          <w:color w:val="000000"/>
          <w:sz w:val="20"/>
          <w:shd w:val="clear" w:color="auto" w:fill="FFFFFF"/>
        </w:rPr>
        <w:t xml:space="preserve"> la </w:t>
      </w:r>
      <w:r w:rsidRPr="00274C1D">
        <w:t>Conférence mondiale des radiocommunications (CMR). Les ateliers organisés dans le cadre des séminaires portaient notamment sur les services spatiaux et les services de Terre, qui ont permis aux participants de se familiariser directement avec les procédures de notification de l'UIT ainsi qu'avec les logiciels, les bases de données et les publications électroniques de l'Union. Chaque séminaire s'est achevé par un Forum</w:t>
      </w:r>
      <w:r w:rsidRPr="00274C1D">
        <w:rPr>
          <w:rFonts w:ascii="Segoe UI" w:hAnsi="Segoe UI" w:cs="Segoe UI"/>
          <w:color w:val="000000"/>
          <w:sz w:val="20"/>
          <w:shd w:val="clear" w:color="auto" w:fill="FFFFFF"/>
        </w:rPr>
        <w:t xml:space="preserve"> </w:t>
      </w:r>
      <w:r w:rsidRPr="00274C1D">
        <w:t>sur le thème "Tendances dans le domaine des radiocommunications" présentant un intérêt particulier pour chaque région.</w:t>
      </w:r>
    </w:p>
    <w:p w14:paraId="5926B0B3" w14:textId="77777777" w:rsidR="002677E3" w:rsidRPr="00274C1D" w:rsidRDefault="002677E3" w:rsidP="002677E3">
      <w:pPr>
        <w:pStyle w:val="Headingb"/>
      </w:pPr>
      <w:r w:rsidRPr="00274C1D">
        <w:t>UIT-T</w:t>
      </w:r>
    </w:p>
    <w:p w14:paraId="3C5599DF" w14:textId="79688CE9" w:rsidR="002677E3" w:rsidRPr="00274C1D" w:rsidRDefault="002677E3" w:rsidP="002677E3">
      <w:bookmarkStart w:id="124" w:name="_Hlk138253438"/>
      <w:r w:rsidRPr="00274C1D">
        <w:t xml:space="preserve">L'UIT-T a organisé </w:t>
      </w:r>
      <w:bookmarkEnd w:id="124"/>
      <w:r w:rsidRPr="00274C1D">
        <w:rPr>
          <w:bCs/>
        </w:rPr>
        <w:t>43 manifestations non statutaires, y compris des ateliers, des webinaires, des forums, des séminaires et des colloques au cours de la période considérée, dont 23 ont été organisées par des entités extérieures</w:t>
      </w:r>
      <w:r w:rsidRPr="00274C1D">
        <w:t>.</w:t>
      </w:r>
    </w:p>
    <w:p w14:paraId="3AFCC77E" w14:textId="77777777" w:rsidR="002677E3" w:rsidRPr="00274C1D" w:rsidRDefault="002677E3" w:rsidP="002677E3">
      <w:r w:rsidRPr="00274C1D">
        <w:t>Ces manifestations comprenaient:</w:t>
      </w:r>
    </w:p>
    <w:p w14:paraId="0E7E118E" w14:textId="6A09DC66" w:rsidR="002677E3" w:rsidRPr="00274C1D" w:rsidRDefault="002677E3" w:rsidP="002677E3">
      <w:pPr>
        <w:pStyle w:val="enumlev1"/>
      </w:pPr>
      <w:r w:rsidRPr="00274C1D">
        <w:rPr>
          <w:iCs/>
        </w:rPr>
        <w:t>•</w:t>
      </w:r>
      <w:r w:rsidRPr="00274C1D">
        <w:rPr>
          <w:iCs/>
        </w:rPr>
        <w:tab/>
        <w:t>21</w:t>
      </w:r>
      <w:r w:rsidRPr="00274C1D">
        <w:t xml:space="preserve"> réunions entièrement virtuelles auxquelles 2 794 personnes ont participé</w:t>
      </w:r>
      <w:r w:rsidR="00AA67A9" w:rsidRPr="00274C1D">
        <w:t>;</w:t>
      </w:r>
    </w:p>
    <w:p w14:paraId="157433D4" w14:textId="4F43F15D" w:rsidR="002677E3" w:rsidRPr="00274C1D" w:rsidRDefault="002677E3" w:rsidP="002677E3">
      <w:pPr>
        <w:pStyle w:val="enumlev1"/>
      </w:pPr>
      <w:r w:rsidRPr="00274C1D">
        <w:rPr>
          <w:iCs/>
        </w:rPr>
        <w:t>•</w:t>
      </w:r>
      <w:r w:rsidRPr="00274C1D">
        <w:rPr>
          <w:iCs/>
        </w:rPr>
        <w:tab/>
        <w:t xml:space="preserve">19 réunions physiques avec participation à distance au profit de </w:t>
      </w:r>
      <w:r w:rsidRPr="00274C1D">
        <w:t>3 051 participants</w:t>
      </w:r>
      <w:r w:rsidR="00AA67A9" w:rsidRPr="00274C1D">
        <w:t>;</w:t>
      </w:r>
    </w:p>
    <w:p w14:paraId="25F50B2F" w14:textId="7C8F4D54" w:rsidR="002677E3" w:rsidRPr="00274C1D" w:rsidRDefault="002677E3" w:rsidP="002677E3">
      <w:pPr>
        <w:pStyle w:val="enumlev1"/>
      </w:pPr>
      <w:r w:rsidRPr="00274C1D">
        <w:rPr>
          <w:iCs/>
        </w:rPr>
        <w:t>•</w:t>
      </w:r>
      <w:r w:rsidRPr="00274C1D">
        <w:rPr>
          <w:iCs/>
        </w:rPr>
        <w:tab/>
        <w:t xml:space="preserve">3 réunions entièrement physiques regroupant </w:t>
      </w:r>
      <w:r w:rsidRPr="00274C1D">
        <w:t>244 personnes.</w:t>
      </w:r>
    </w:p>
    <w:p w14:paraId="54B46E86" w14:textId="77777777" w:rsidR="001A370F" w:rsidRPr="00274C1D" w:rsidRDefault="002677E3" w:rsidP="002677E3">
      <w:r w:rsidRPr="00274C1D">
        <w:lastRenderedPageBreak/>
        <w:t xml:space="preserve">L'un des points forts de ces réunions a été la </w:t>
      </w:r>
      <w:hyperlink r:id="rId172" w:history="1">
        <w:r w:rsidRPr="00274C1D">
          <w:rPr>
            <w:rStyle w:val="Hyperlink"/>
          </w:rPr>
          <w:t>2ème édition de la "Conférence DC</w:t>
        </w:r>
        <w:r w:rsidRPr="00274C1D">
          <w:rPr>
            <w:rStyle w:val="Hyperlink"/>
            <w:vertAlign w:val="superscript"/>
          </w:rPr>
          <w:t>3</w:t>
        </w:r>
        <w:r w:rsidRPr="00274C1D">
          <w:rPr>
            <w:rStyle w:val="Hyperlink"/>
          </w:rPr>
          <w:t xml:space="preserve"> – Des cryptomonnaies aux monnaies numériques de banque centrale (CBDC)"</w:t>
        </w:r>
      </w:hyperlink>
      <w:r w:rsidRPr="00274C1D">
        <w:t xml:space="preserve"> qui a eu lieu du</w:t>
      </w:r>
      <w:r w:rsidR="00AA67A9" w:rsidRPr="00274C1D">
        <w:t> </w:t>
      </w:r>
      <w:r w:rsidRPr="00274C1D">
        <w:t>24</w:t>
      </w:r>
      <w:r w:rsidR="00AA67A9" w:rsidRPr="00274C1D">
        <w:t> </w:t>
      </w:r>
      <w:r w:rsidRPr="00274C1D">
        <w:t>au 27 janvier 2023. Les 11 séances ont réuni 1 226 participants à distance.</w:t>
      </w:r>
    </w:p>
    <w:p w14:paraId="44BAC245" w14:textId="2900E246" w:rsidR="002677E3" w:rsidRPr="00274C1D" w:rsidRDefault="002677E3" w:rsidP="002677E3">
      <w:r w:rsidRPr="00274C1D">
        <w:t xml:space="preserve">On trouvera de plus amples renseignements sur ces manifestations sur les pages web correspondant aux années </w:t>
      </w:r>
      <w:hyperlink r:id="rId173" w:history="1">
        <w:r w:rsidRPr="00274C1D">
          <w:rPr>
            <w:rStyle w:val="Hyperlink"/>
          </w:rPr>
          <w:t>2023</w:t>
        </w:r>
      </w:hyperlink>
      <w:r w:rsidRPr="00274C1D">
        <w:t xml:space="preserve"> et </w:t>
      </w:r>
      <w:hyperlink r:id="rId174" w:history="1">
        <w:r w:rsidRPr="00274C1D">
          <w:rPr>
            <w:rStyle w:val="Hyperlink"/>
          </w:rPr>
          <w:t>2022</w:t>
        </w:r>
      </w:hyperlink>
      <w:r w:rsidRPr="00274C1D">
        <w:t>.</w:t>
      </w:r>
    </w:p>
    <w:p w14:paraId="4BBBB3BF" w14:textId="77777777" w:rsidR="002677E3" w:rsidRPr="00274C1D" w:rsidRDefault="002677E3" w:rsidP="002677E3">
      <w:pPr>
        <w:pStyle w:val="Headingb"/>
      </w:pPr>
      <w:bookmarkStart w:id="125" w:name="_Hlk72319163"/>
      <w:r w:rsidRPr="00274C1D">
        <w:t>UIT-D</w:t>
      </w:r>
    </w:p>
    <w:p w14:paraId="7AEB88B0" w14:textId="677CDF22" w:rsidR="002677E3" w:rsidRPr="00274C1D" w:rsidRDefault="002677E3" w:rsidP="002677E3">
      <w:bookmarkStart w:id="126" w:name="_Toc37860465"/>
      <w:bookmarkStart w:id="127" w:name="_Toc37861226"/>
      <w:bookmarkStart w:id="128" w:name="_Toc37943349"/>
      <w:bookmarkStart w:id="129" w:name="Section_1_11"/>
      <w:bookmarkEnd w:id="125"/>
      <w:r w:rsidRPr="00274C1D">
        <w:t>L'UIT-D a organisé 66</w:t>
      </w:r>
      <w:r w:rsidRPr="00274C1D">
        <w:rPr>
          <w:bCs/>
        </w:rPr>
        <w:t xml:space="preserve"> manifestations non statutaires en 2022, y compris des ateliers, des séances d'information, des colloques, des séminaires et des forums, pour certains ouverts au public à l'international tandis que d'autres étaient limités aux participants</w:t>
      </w:r>
      <w:r w:rsidRPr="00274C1D">
        <w:t xml:space="preserve"> des régions.</w:t>
      </w:r>
    </w:p>
    <w:p w14:paraId="38E7D421" w14:textId="77777777" w:rsidR="002677E3" w:rsidRPr="00274C1D" w:rsidRDefault="002677E3" w:rsidP="002677E3">
      <w:r w:rsidRPr="00274C1D">
        <w:t>Bien que l'UIT ait renoué avec les manifestations physiques en 2022, toutes n'ont pas été tenues exclusivement selon cette modalité. L'UIT-D a tenu 8 réunions entièrement physiques, 15 réunions physiques avec participation à distance et 43 réunions entièrement virtuelles.</w:t>
      </w:r>
    </w:p>
    <w:p w14:paraId="30C1CA22" w14:textId="77777777" w:rsidR="002677E3" w:rsidRPr="00274C1D" w:rsidRDefault="002677E3" w:rsidP="002677E3">
      <w:r w:rsidRPr="00274C1D">
        <w:t>Ces manifestations couvraient toutes les priorités de l'UIT-D. Au cours de la première partie de 2022, elles ont été élaborées sur la base du Plan d'action de Buenos Aires, tandis que le Plan d'action de Kigali a servi de base aux travaux après la CMDT-22.</w:t>
      </w:r>
    </w:p>
    <w:p w14:paraId="15745385" w14:textId="77777777" w:rsidR="002677E3" w:rsidRPr="00274C1D" w:rsidRDefault="002677E3" w:rsidP="002677E3">
      <w:pPr>
        <w:pStyle w:val="Heading2"/>
      </w:pPr>
      <w:bookmarkStart w:id="130" w:name="_Toc133303271"/>
      <w:bookmarkStart w:id="131" w:name="_Toc138838642"/>
      <w:r w:rsidRPr="00274C1D">
        <w:t>4.9</w:t>
      </w:r>
      <w:r w:rsidRPr="00274C1D">
        <w:tab/>
      </w:r>
      <w:bookmarkEnd w:id="126"/>
      <w:bookmarkEnd w:id="127"/>
      <w:bookmarkEnd w:id="128"/>
      <w:bookmarkEnd w:id="129"/>
      <w:bookmarkEnd w:id="130"/>
      <w:r w:rsidRPr="00274C1D">
        <w:t>Manifestations essentielles</w:t>
      </w:r>
      <w:bookmarkEnd w:id="131"/>
    </w:p>
    <w:p w14:paraId="2AB4CEA3" w14:textId="77777777" w:rsidR="002677E3" w:rsidRPr="00274C1D" w:rsidRDefault="002677E3" w:rsidP="002677E3">
      <w:pPr>
        <w:pStyle w:val="Headingb"/>
      </w:pPr>
      <w:r w:rsidRPr="00274C1D">
        <w:t>Forum du SMSI</w:t>
      </w:r>
    </w:p>
    <w:p w14:paraId="75681B54" w14:textId="7989D7CB" w:rsidR="002677E3" w:rsidRPr="00274C1D" w:rsidRDefault="002677E3" w:rsidP="002677E3">
      <w:r w:rsidRPr="00274C1D">
        <w:t xml:space="preserve">Le </w:t>
      </w:r>
      <w:hyperlink r:id="rId175" w:history="1">
        <w:r w:rsidRPr="00274C1D">
          <w:rPr>
            <w:rStyle w:val="Hyperlink"/>
          </w:rPr>
          <w:t>Forum 2023 du SMSI</w:t>
        </w:r>
      </w:hyperlink>
      <w:r w:rsidRPr="00274C1D">
        <w:t>, tenu du 13 au 17 mars sur le thème "Les grandes orientations du</w:t>
      </w:r>
      <w:r w:rsidR="00AA67A9" w:rsidRPr="00274C1D">
        <w:t> </w:t>
      </w:r>
      <w:r w:rsidRPr="00274C1D">
        <w:t>SMSI pour reconstruire en mieux et accélérer la réalisation des ODD", a réuni plus de</w:t>
      </w:r>
      <w:r w:rsidR="00AA67A9" w:rsidRPr="00274C1D">
        <w:t> </w:t>
      </w:r>
      <w:r w:rsidRPr="00274C1D">
        <w:t>2</w:t>
      </w:r>
      <w:r w:rsidR="00AA67A9" w:rsidRPr="00274C1D">
        <w:t> </w:t>
      </w:r>
      <w:r w:rsidRPr="00274C1D">
        <w:t>700 participants sur place et à distance. Plus de 600 participants ont utilisé l'outil de mise en relation imeetyou@wsis pour nouer des contacts et collaborer avec d'autres (via</w:t>
      </w:r>
      <w:r w:rsidR="00AC3C73" w:rsidRPr="00274C1D">
        <w:t> </w:t>
      </w:r>
      <w:r w:rsidRPr="00274C1D">
        <w:t>LinkedIn). Pendant la semaine, le Forum a accueilli plus de 250 réunions selon de nouveaux formats, dont des espaces de dialogue ouvert, des cafés-découvertes et des tables rondes réunissant des participants issus de communautés nouvelles ou existantes de plus de 150 pays à travers le monde. Quelque 46 ministres, 50 ambassadeurs et 15 maires du monde entier ont participé aux discussions de haut niveau concernant le processus de mise en</w:t>
      </w:r>
      <w:r w:rsidR="00AA67A9" w:rsidRPr="00274C1D">
        <w:t> </w:t>
      </w:r>
      <w:r w:rsidRPr="00274C1D">
        <w:t xml:space="preserve">œuvre du SMSI et de ses grandes orientations, la réalisation des ODD, les contributions au </w:t>
      </w:r>
      <w:hyperlink r:id="rId176" w:history="1">
        <w:r w:rsidRPr="00274C1D">
          <w:rPr>
            <w:rStyle w:val="Hyperlink"/>
          </w:rPr>
          <w:t>Pacte numérique mondial</w:t>
        </w:r>
      </w:hyperlink>
      <w:r w:rsidRPr="00274C1D">
        <w:t xml:space="preserve"> et à d'autres actions menées partout dans le monde. Le Forum a été l'occasion de récompenser les contributions remarquables dans le domaine des TIC, notamment celles des parties prenantes sur différents thèmes, dont l'innovation sur la question du vieillissement en bonne santé, la conception du meilleur service numérique, l'initiative Generation Connect et les activités relatives au </w:t>
      </w:r>
      <w:hyperlink r:id="rId177" w:history="1">
        <w:r w:rsidRPr="00274C1D">
          <w:rPr>
            <w:rStyle w:val="Hyperlink"/>
          </w:rPr>
          <w:t>cybergouvernement</w:t>
        </w:r>
      </w:hyperlink>
      <w:r w:rsidRPr="00274C1D">
        <w:t>. Les ateliers virtuels se poursuivent en avril et en mai 2023.</w:t>
      </w:r>
    </w:p>
    <w:p w14:paraId="35ED56BC" w14:textId="7AF2EC0D" w:rsidR="002677E3" w:rsidRPr="00274C1D" w:rsidRDefault="002677E3" w:rsidP="002677E3">
      <w:r w:rsidRPr="00274C1D">
        <w:t xml:space="preserve">L'UIT a annoncé les noms des lauréats des </w:t>
      </w:r>
      <w:hyperlink r:id="rId178" w:history="1">
        <w:r w:rsidRPr="00274C1D">
          <w:rPr>
            <w:rStyle w:val="Hyperlink"/>
          </w:rPr>
          <w:t>prix 2023 du SMSI</w:t>
        </w:r>
      </w:hyperlink>
      <w:r w:rsidRPr="00274C1D">
        <w:t xml:space="preserve"> concernant les projets associant la transformation numérique au développement durable parmi 11 grandes orientations reconnues par la communauté internationale. Sur 900 projets soumis, 360 ont été retenus pour le vote en ligne, tandis que 18 lauréats et 72 champions ont été sélectionnés sur la base de 1,5 million de votes exprimés. Les prix ont été remis le</w:t>
      </w:r>
      <w:r w:rsidR="00AA67A9" w:rsidRPr="00274C1D">
        <w:t> </w:t>
      </w:r>
      <w:r w:rsidRPr="00274C1D">
        <w:t>14</w:t>
      </w:r>
      <w:r w:rsidR="00AA67A9" w:rsidRPr="00274C1D">
        <w:t> </w:t>
      </w:r>
      <w:r w:rsidRPr="00274C1D">
        <w:t>mars</w:t>
      </w:r>
      <w:r w:rsidR="00AA67A9" w:rsidRPr="00274C1D">
        <w:t> </w:t>
      </w:r>
      <w:r w:rsidRPr="00274C1D">
        <w:t>2023 et la liste des lauréats est disponible sur le site Web correspondant.</w:t>
      </w:r>
    </w:p>
    <w:p w14:paraId="6D252F74" w14:textId="54569BAB" w:rsidR="002677E3" w:rsidRPr="00274C1D" w:rsidRDefault="002677E3" w:rsidP="00AC3C73">
      <w:pPr>
        <w:keepNext/>
        <w:keepLines/>
      </w:pPr>
      <w:r w:rsidRPr="00274C1D">
        <w:lastRenderedPageBreak/>
        <w:t xml:space="preserve">La </w:t>
      </w:r>
      <w:hyperlink r:id="rId179" w:history="1">
        <w:r w:rsidRPr="00274C1D">
          <w:rPr>
            <w:rStyle w:val="Hyperlink"/>
          </w:rPr>
          <w:t>base de données de l'inventaire des activités du SMSI</w:t>
        </w:r>
      </w:hyperlink>
      <w:r w:rsidRPr="00274C1D">
        <w:t xml:space="preserve"> ne cesse d'exercer son rôle de répertoire international de premier plan en ce qui concerne les bonnes pratiques relatives aux TIC en faveur de la réalisation des ODD. Depuis 2004, date à laquelle l'UIT a commencé à assurer la coordination de ce segment du processus du SMSI, 15 000 entrées ont déjà été saisies, dont 1 200 entrées en 2023. Le rapport sur l'inventaire des activités du SMSI à l'échelle mondiale pour 2023, qui est en cours d'élaboration, doit être publié en mai 2023, après la fin du Forum du SMSI de cette année.</w:t>
      </w:r>
    </w:p>
    <w:p w14:paraId="469A6815" w14:textId="77777777" w:rsidR="002677E3" w:rsidRPr="00274C1D" w:rsidRDefault="002677E3" w:rsidP="002677E3">
      <w:pPr>
        <w:pStyle w:val="Headingb"/>
      </w:pPr>
      <w:r w:rsidRPr="00274C1D">
        <w:t>Conférence Kaléidoscope de l'UIT</w:t>
      </w:r>
    </w:p>
    <w:p w14:paraId="2C97B9AF" w14:textId="7C314FCB" w:rsidR="002677E3" w:rsidRPr="00274C1D" w:rsidRDefault="002677E3" w:rsidP="002677E3">
      <w:r w:rsidRPr="00274C1D">
        <w:t>L'innovation au service des ambitions mondiales en matière de métavers était au cœur de la conférence Kaléidoscope 2022, qui avait pour thème "</w:t>
      </w:r>
      <w:hyperlink r:id="rId180" w:history="1">
        <w:r w:rsidRPr="00274C1D">
          <w:rPr>
            <w:rStyle w:val="Hyperlink"/>
          </w:rPr>
          <w:t>Réalité étendue: Comment améliorer la qualité d'expérience et l'interopérabilité</w:t>
        </w:r>
      </w:hyperlink>
      <w:r w:rsidRPr="00274C1D">
        <w:t>". À l'invitation du Ministère des communications et de la numérisation du Ghana et en coordination avec le Centre d'excellence en matière de</w:t>
      </w:r>
      <w:r w:rsidR="00AA67A9" w:rsidRPr="00274C1D">
        <w:t> </w:t>
      </w:r>
      <w:r w:rsidRPr="00274C1D">
        <w:t xml:space="preserve">TIC local Kofi Annan entre le Ghana et l'Inde, la conférence s'est tenue dans les locaux de la National Communications Authority à Accra du 7 au 9 décembre 2022. Le </w:t>
      </w:r>
      <w:hyperlink r:id="rId181" w:tgtFrame="_blank" w:history="1">
        <w:r w:rsidRPr="00274C1D">
          <w:rPr>
            <w:rStyle w:val="Hyperlink"/>
          </w:rPr>
          <w:t>programme</w:t>
        </w:r>
      </w:hyperlink>
      <w:r w:rsidRPr="00274C1D">
        <w:t xml:space="preserve"> comprenait quatre sessions consacrées à des questions de prospective, une session portant sur un document soumis par un invité, l'intervention d'un invité, trois sessions présentant des travaux, une session de démonstration vidéo et une session de présentation de travaux universitaires.</w:t>
      </w:r>
    </w:p>
    <w:p w14:paraId="53BB3010" w14:textId="77777777" w:rsidR="002677E3" w:rsidRPr="00274C1D" w:rsidRDefault="002677E3" w:rsidP="002677E3">
      <w:pPr>
        <w:pStyle w:val="Headingb"/>
      </w:pPr>
      <w:bookmarkStart w:id="132" w:name="_AI_for_Good"/>
      <w:bookmarkStart w:id="133" w:name="AI_for_good"/>
      <w:bookmarkEnd w:id="132"/>
      <w:r w:rsidRPr="00274C1D">
        <w:t>Intelligence artificielle au service du bien social</w:t>
      </w:r>
      <w:bookmarkEnd w:id="133"/>
    </w:p>
    <w:p w14:paraId="4F2FA636" w14:textId="77777777" w:rsidR="002677E3" w:rsidRPr="00274C1D" w:rsidRDefault="002677E3" w:rsidP="002677E3">
      <w:r w:rsidRPr="00274C1D">
        <w:t xml:space="preserve">Le </w:t>
      </w:r>
      <w:hyperlink r:id="rId182" w:history="1">
        <w:r w:rsidRPr="00274C1D">
          <w:rPr>
            <w:rStyle w:val="Hyperlink"/>
          </w:rPr>
          <w:t>Sommet mondial sur l'intelligence artificielle au service du bien social</w:t>
        </w:r>
      </w:hyperlink>
      <w:r w:rsidRPr="00274C1D">
        <w:t xml:space="preserve">, manifestation mondiale, inclusive et axée sur l'action, est la principale tribune des Nations Unies consacrée à l'intelligence artificielle (IA). Il a pour objectif de rechercher des applications pratiques de l'intelligence artificielle en vue de la réalisation des ODD et de développer ces solutions pour susciter des retombées mondiales. Il propose trois grands axes de travail: l'apprentissage, la construction et la mise en relation. La liste complète des offres de services est disponible sur </w:t>
      </w:r>
      <w:hyperlink r:id="rId183" w:history="1">
        <w:r w:rsidRPr="00274C1D">
          <w:rPr>
            <w:rStyle w:val="Hyperlink"/>
          </w:rPr>
          <w:t>cette page</w:t>
        </w:r>
      </w:hyperlink>
      <w:r w:rsidRPr="00274C1D">
        <w:t>. Ces dernières permettent à tous les partenaires des Nations Unies de jouer un rôle actif dans la recherche de la réalisation des ODD.</w:t>
      </w:r>
    </w:p>
    <w:p w14:paraId="72083BA2" w14:textId="47093EA7" w:rsidR="002677E3" w:rsidRPr="00274C1D" w:rsidRDefault="002677E3" w:rsidP="002677E3">
      <w:r w:rsidRPr="00274C1D">
        <w:t xml:space="preserve">Le Sommet Mondial sur l'intelligence artificielle au service du bien social est une rencontre annuelle, mais aussi une plate-forme en ligne fonctionnant tout au long de l'année qui a permis de diffuser 160 webinaires en 2022. Le </w:t>
      </w:r>
      <w:hyperlink r:id="rId184" w:history="1">
        <w:r w:rsidRPr="00274C1D">
          <w:rPr>
            <w:rStyle w:val="Hyperlink"/>
          </w:rPr>
          <w:t>Sommet mondial</w:t>
        </w:r>
      </w:hyperlink>
      <w:r w:rsidRPr="00274C1D">
        <w:t xml:space="preserve"> est organisé à l'initiative de l'UIT, avec 40 institutions des Nations Unies, et conjointement avec le Gouvernement de la Suisse. L'</w:t>
      </w:r>
      <w:hyperlink r:id="rId185" w:history="1">
        <w:r w:rsidRPr="00274C1D">
          <w:rPr>
            <w:rStyle w:val="Hyperlink"/>
          </w:rPr>
          <w:t>édition 2023 du Sommet mondial sur l'IA au service du bien social</w:t>
        </w:r>
      </w:hyperlink>
      <w:r w:rsidRPr="00274C1D">
        <w:t xml:space="preserve"> (6</w:t>
      </w:r>
      <w:r w:rsidR="00AA67A9" w:rsidRPr="00274C1D">
        <w:noBreakHyphen/>
      </w:r>
      <w:r w:rsidRPr="00274C1D">
        <w:t>7</w:t>
      </w:r>
      <w:r w:rsidR="00AA67A9" w:rsidRPr="00274C1D">
        <w:t> </w:t>
      </w:r>
      <w:r w:rsidRPr="00274C1D">
        <w:t>juillet,</w:t>
      </w:r>
      <w:r w:rsidR="00AA67A9" w:rsidRPr="00274C1D">
        <w:t> </w:t>
      </w:r>
      <w:r w:rsidRPr="00274C1D">
        <w:t xml:space="preserve">Genève) rassemblera plus de 3 000 participants en présentiel, auxquels viendront s'ajouter les plus de 15 000 membres du </w:t>
      </w:r>
      <w:hyperlink r:id="rId186" w:history="1">
        <w:r w:rsidRPr="00274C1D">
          <w:rPr>
            <w:rStyle w:val="Hyperlink"/>
          </w:rPr>
          <w:t>Réseau neuronal de l'initiative IA au service du bien social</w:t>
        </w:r>
      </w:hyperlink>
      <w:r w:rsidRPr="00274C1D">
        <w:t>, qui participeront en ligne, faisant ainsi de ce Sommet la manifestation consacrée aux solutions et à l'établissement de contacts dans le domaine de l'IA la plus inclusive au monde.</w:t>
      </w:r>
    </w:p>
    <w:p w14:paraId="40E4A3C6" w14:textId="77777777" w:rsidR="002677E3" w:rsidRPr="00274C1D" w:rsidRDefault="002677E3" w:rsidP="002677E3">
      <w:r w:rsidRPr="00274C1D">
        <w:t>Dans le prolongement du Programme sur l'IA au service du bien social, le Réseau neuronal de l'initiative IA au service du bien social, plate-forme communautaire intelligente de mise en relation fondée sur l'IA, propose du contenu et des possibilités de collaboration en rapport avec chacun des 17 ODD. Le mécanisme de mise en relation intelligent, conçu conformément aux principes de l'</w:t>
      </w:r>
      <w:hyperlink r:id="rId187" w:history="1">
        <w:r w:rsidRPr="00274C1D">
          <w:rPr>
            <w:rStyle w:val="Hyperlink"/>
          </w:rPr>
          <w:t>Initiative mondiale sur les biens communs en matière d'intelligence artificielle et de données</w:t>
        </w:r>
      </w:hyperlink>
      <w:r w:rsidRPr="00274C1D">
        <w:t>, met en relation les innovateurs dans le domaine de l'intelligence artificielle et les personnes ayant un problème lié à l'IA à résoudre, ce qui constitue un pas en avant vers la création de solutions IA de dimension mondiale.</w:t>
      </w:r>
      <w:r w:rsidRPr="00274C1D" w:rsidDel="00C15576">
        <w:t xml:space="preserve"> </w:t>
      </w:r>
      <w:r w:rsidRPr="00274C1D">
        <w:t xml:space="preserve">Ce mécanisme vise à encourager une coopération sans précédent au-delà des frontières et des </w:t>
      </w:r>
      <w:r w:rsidRPr="00274C1D">
        <w:lastRenderedPageBreak/>
        <w:t>limites, à favoriser des partenariats efficaces axés sur les ODD dans le domaine de l'IA et à contribuer directement à la réalisation de l'Objectif 17, à savoir revitaliser le Partenariat mondial pour le développement durable.</w:t>
      </w:r>
    </w:p>
    <w:p w14:paraId="1E6BA864" w14:textId="77777777" w:rsidR="002677E3" w:rsidRPr="00274C1D" w:rsidRDefault="002677E3" w:rsidP="002677E3">
      <w:pPr>
        <w:pStyle w:val="Heading1"/>
      </w:pPr>
      <w:bookmarkStart w:id="134" w:name="_Toc133303272"/>
      <w:bookmarkStart w:id="135" w:name="_Toc138838643"/>
      <w:r w:rsidRPr="00274C1D">
        <w:t>5</w:t>
      </w:r>
      <w:r w:rsidRPr="00274C1D">
        <w:tab/>
        <w:t>Rapport sur la mise en œuvre des Résolutions de la PP</w:t>
      </w:r>
      <w:bookmarkEnd w:id="134"/>
      <w:bookmarkEnd w:id="135"/>
    </w:p>
    <w:p w14:paraId="2327C66B" w14:textId="3CF41925" w:rsidR="002677E3" w:rsidRPr="00274C1D" w:rsidRDefault="002677E3" w:rsidP="002677E3">
      <w:r w:rsidRPr="00274C1D">
        <w:t xml:space="preserve">Une plate-forme sur le web a été créée pour présenter l'état d'avancement de l'application des Résolutions de la PP, et il est demandé que des rapports soient soumis régulièrement au Conseil (voir </w:t>
      </w:r>
      <w:hyperlink r:id="rId188" w:history="1">
        <w:r w:rsidRPr="00652EBE">
          <w:rPr>
            <w:rStyle w:val="Hyperlink"/>
          </w:rPr>
          <w:t>ici</w:t>
        </w:r>
      </w:hyperlink>
      <w:r w:rsidRPr="00274C1D">
        <w:t>).</w:t>
      </w:r>
    </w:p>
    <w:p w14:paraId="58F64B97" w14:textId="77777777" w:rsidR="002677E3" w:rsidRPr="00730A74" w:rsidRDefault="002677E3">
      <w:pPr>
        <w:jc w:val="center"/>
      </w:pPr>
      <w:r w:rsidRPr="00274C1D">
        <w:t>______________</w:t>
      </w:r>
    </w:p>
    <w:sectPr w:rsidR="002677E3" w:rsidRPr="00730A74" w:rsidSect="00D72F49">
      <w:headerReference w:type="even" r:id="rId189"/>
      <w:headerReference w:type="default" r:id="rId190"/>
      <w:footerReference w:type="even" r:id="rId191"/>
      <w:footerReference w:type="default" r:id="rId192"/>
      <w:headerReference w:type="first" r:id="rId193"/>
      <w:footerReference w:type="first" r:id="rId194"/>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C36F2" w14:textId="77777777" w:rsidR="00415843" w:rsidRDefault="00415843">
      <w:r>
        <w:separator/>
      </w:r>
    </w:p>
  </w:endnote>
  <w:endnote w:type="continuationSeparator" w:id="0">
    <w:p w14:paraId="2B71F756" w14:textId="77777777" w:rsidR="00415843" w:rsidRDefault="0041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sans-serif">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venir Nxt2 W1G Medium">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2C951E9E" w:rsidR="00732045" w:rsidRDefault="00127DC0">
    <w:pPr>
      <w:pStyle w:val="Footer"/>
    </w:pPr>
    <w:r>
      <w:fldChar w:fldCharType="begin"/>
    </w:r>
    <w:r>
      <w:instrText xml:space="preserve"> FILENAME \p \* MERGEFORMAT </w:instrText>
    </w:r>
    <w:r>
      <w:fldChar w:fldCharType="separate"/>
    </w:r>
    <w:r w:rsidR="00274C1D">
      <w:t>P:\FRA\SG\CONSEIL\C23\000\035F.docx</w:t>
    </w:r>
    <w:r>
      <w:fldChar w:fldCharType="end"/>
    </w:r>
    <w:r w:rsidR="00732045">
      <w:tab/>
    </w:r>
    <w:r w:rsidR="002F1B76">
      <w:fldChar w:fldCharType="begin"/>
    </w:r>
    <w:r w:rsidR="00732045">
      <w:instrText xml:space="preserve"> savedate \@ dd.MM.yy </w:instrText>
    </w:r>
    <w:r w:rsidR="002F1B76">
      <w:fldChar w:fldCharType="separate"/>
    </w:r>
    <w:r>
      <w:t>06.07.23</w:t>
    </w:r>
    <w:r w:rsidR="002F1B76">
      <w:fldChar w:fldCharType="end"/>
    </w:r>
    <w:r w:rsidR="00732045">
      <w:tab/>
    </w:r>
    <w:r w:rsidR="002F1B76">
      <w:fldChar w:fldCharType="begin"/>
    </w:r>
    <w:r w:rsidR="00732045">
      <w:instrText xml:space="preserve"> printdate \@ dd.MM.yy </w:instrText>
    </w:r>
    <w:r w:rsidR="002F1B76">
      <w:fldChar w:fldCharType="separate"/>
    </w:r>
    <w:r w:rsidR="00274C1D">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52FFB405" w:rsidR="00A51849" w:rsidRDefault="00A51849" w:rsidP="00A51849">
          <w:pPr>
            <w:pStyle w:val="Header"/>
            <w:jc w:val="left"/>
            <w:rPr>
              <w:noProof/>
            </w:rPr>
          </w:pPr>
          <w:r>
            <w:rPr>
              <w:noProof/>
            </w:rPr>
            <w:t xml:space="preserve">DPS </w:t>
          </w:r>
          <w:r w:rsidR="00822829">
            <w:rPr>
              <w:noProof/>
            </w:rPr>
            <w:t>521069</w:t>
          </w:r>
        </w:p>
      </w:tc>
      <w:tc>
        <w:tcPr>
          <w:tcW w:w="8261" w:type="dxa"/>
        </w:tcPr>
        <w:p w14:paraId="0DB0A3C6" w14:textId="3DC7B53A"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2677E3">
            <w:rPr>
              <w:bCs/>
            </w:rPr>
            <w:t>35</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0C69E29A" w:rsidR="00732045" w:rsidRPr="00A51849" w:rsidRDefault="00AC579E" w:rsidP="00822829">
    <w:pPr>
      <w:pStyle w:val="Footer"/>
    </w:pPr>
    <w:r w:rsidRPr="008F066D">
      <w:rPr>
        <w:color w:val="F2F2F2" w:themeColor="background1" w:themeShade="F2"/>
      </w:rPr>
      <w:fldChar w:fldCharType="begin"/>
    </w:r>
    <w:r w:rsidRPr="008F066D">
      <w:rPr>
        <w:color w:val="F2F2F2" w:themeColor="background1" w:themeShade="F2"/>
      </w:rPr>
      <w:instrText xml:space="preserve"> FILENAME \p  \* MERGEFORMAT </w:instrText>
    </w:r>
    <w:r w:rsidRPr="008F066D">
      <w:rPr>
        <w:color w:val="F2F2F2" w:themeColor="background1" w:themeShade="F2"/>
      </w:rPr>
      <w:fldChar w:fldCharType="separate"/>
    </w:r>
    <w:r w:rsidR="00274C1D" w:rsidRPr="008F066D">
      <w:rPr>
        <w:color w:val="F2F2F2" w:themeColor="background1" w:themeShade="F2"/>
      </w:rPr>
      <w:t>P:\FRA\SG\CONSEIL\C23\000\035F.docx</w:t>
    </w:r>
    <w:r w:rsidRPr="008F066D">
      <w:rPr>
        <w:color w:val="F2F2F2" w:themeColor="background1" w:themeShade="F2"/>
      </w:rPr>
      <w:fldChar w:fldCharType="end"/>
    </w:r>
    <w:r w:rsidR="00822829" w:rsidRPr="008F066D">
      <w:rPr>
        <w:color w:val="F2F2F2" w:themeColor="background1" w:themeShade="F2"/>
      </w:rPr>
      <w:t xml:space="preserve"> (521069)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Default="00127DC0" w:rsidP="00A51849">
          <w:pPr>
            <w:pStyle w:val="Header"/>
            <w:jc w:val="left"/>
            <w:rPr>
              <w:noProof/>
            </w:rPr>
          </w:pPr>
          <w:hyperlink r:id="rId1" w:history="1">
            <w:r w:rsidR="00A51849" w:rsidRPr="00A514A4">
              <w:rPr>
                <w:rStyle w:val="Hyperlink"/>
                <w:szCs w:val="14"/>
              </w:rPr>
              <w:t>www.itu.int/council</w:t>
            </w:r>
          </w:hyperlink>
        </w:p>
      </w:tc>
      <w:tc>
        <w:tcPr>
          <w:tcW w:w="8261" w:type="dxa"/>
        </w:tcPr>
        <w:p w14:paraId="4C3D0956" w14:textId="321F5F8E"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822829">
            <w:rPr>
              <w:bCs/>
            </w:rPr>
            <w:t>35</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4F1E83DB" w:rsidR="00732045" w:rsidRPr="00A51849" w:rsidRDefault="00AC579E" w:rsidP="00822829">
    <w:pPr>
      <w:pStyle w:val="Footer"/>
    </w:pPr>
    <w:r w:rsidRPr="008F066D">
      <w:rPr>
        <w:color w:val="F2F2F2" w:themeColor="background1" w:themeShade="F2"/>
      </w:rPr>
      <w:fldChar w:fldCharType="begin"/>
    </w:r>
    <w:r w:rsidRPr="008F066D">
      <w:rPr>
        <w:color w:val="F2F2F2" w:themeColor="background1" w:themeShade="F2"/>
      </w:rPr>
      <w:instrText xml:space="preserve"> FILENAME \p  \* MERGEFORMAT </w:instrText>
    </w:r>
    <w:r w:rsidRPr="008F066D">
      <w:rPr>
        <w:color w:val="F2F2F2" w:themeColor="background1" w:themeShade="F2"/>
      </w:rPr>
      <w:fldChar w:fldCharType="separate"/>
    </w:r>
    <w:r w:rsidR="00274C1D" w:rsidRPr="008F066D">
      <w:rPr>
        <w:color w:val="F2F2F2" w:themeColor="background1" w:themeShade="F2"/>
      </w:rPr>
      <w:t>P:\FRA\SG\CONSEIL\C23\000\035F.docx</w:t>
    </w:r>
    <w:r w:rsidRPr="008F066D">
      <w:rPr>
        <w:color w:val="F2F2F2" w:themeColor="background1" w:themeShade="F2"/>
      </w:rPr>
      <w:fldChar w:fldCharType="end"/>
    </w:r>
    <w:r w:rsidR="00822829" w:rsidRPr="008F066D">
      <w:rPr>
        <w:color w:val="F2F2F2" w:themeColor="background1" w:themeShade="F2"/>
      </w:rPr>
      <w:t xml:space="preserve"> (521069)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37439" w14:textId="77777777" w:rsidR="00415843" w:rsidRDefault="00415843">
      <w:r>
        <w:t>____________________</w:t>
      </w:r>
    </w:p>
  </w:footnote>
  <w:footnote w:type="continuationSeparator" w:id="0">
    <w:p w14:paraId="28A1D425" w14:textId="77777777" w:rsidR="00415843" w:rsidRDefault="00415843">
      <w:r>
        <w:continuationSeparator/>
      </w:r>
    </w:p>
  </w:footnote>
  <w:footnote w:id="1">
    <w:p w14:paraId="25391FE7" w14:textId="231A77E0" w:rsidR="002677E3" w:rsidRPr="003B7A0B" w:rsidRDefault="002677E3" w:rsidP="002677E3">
      <w:pPr>
        <w:pStyle w:val="FootnoteText"/>
        <w:rPr>
          <w:sz w:val="20"/>
        </w:rPr>
      </w:pPr>
      <w:r w:rsidRPr="002A7955">
        <w:rPr>
          <w:rStyle w:val="FootnoteReference"/>
          <w:sz w:val="20"/>
        </w:rPr>
        <w:footnoteRef/>
      </w:r>
      <w:r>
        <w:rPr>
          <w:sz w:val="20"/>
        </w:rPr>
        <w:tab/>
      </w:r>
      <w:r w:rsidRPr="00751D43">
        <w:t>L'UIT, en collaboration avec l'Union africaine des télécommunications (UAT), a lancé le processus d'optimisation du Plan GE84 pour les pays africains qui a pour ambition de garantir une utilisation efficace de la bande (MF) 87,5-108 MHz pour la radiodiffusion sonore analogique et de trouver de nouvelles fréquences pour la radiodiffusion MF, afin de répondre aux besoins croissants de fréquences additionnelles des pays africains.</w:t>
      </w:r>
    </w:p>
  </w:footnote>
  <w:footnote w:id="2">
    <w:p w14:paraId="47F3B24A" w14:textId="01C298A4" w:rsidR="002677E3" w:rsidRPr="003B7A0B" w:rsidRDefault="002677E3" w:rsidP="002677E3">
      <w:pPr>
        <w:pStyle w:val="FootnoteText"/>
        <w:rPr>
          <w:sz w:val="20"/>
        </w:rPr>
      </w:pPr>
      <w:r w:rsidRPr="00A8341A">
        <w:rPr>
          <w:rStyle w:val="FootnoteReference"/>
          <w:sz w:val="20"/>
        </w:rPr>
        <w:footnoteRef/>
      </w:r>
      <w:r w:rsidR="001A24B4">
        <w:rPr>
          <w:sz w:val="20"/>
        </w:rPr>
        <w:tab/>
      </w:r>
      <w:r w:rsidRPr="001A24B4">
        <w:t>Le partenariat du CIR, qui regroupe 51 pays, 24 donateurs et huit organisations partenaires, travaille en étroite collaboration avec les gouvernements, les organisations de développement et la société civile pour aider les PMA à utiliser le commerce comme moteur de la croissance, du développement durable et de réduction de la pauvreté.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6DCE" w14:textId="224B5E10" w:rsidR="00822829" w:rsidRDefault="00822829">
    <w:pPr>
      <w:pStyle w:val="Header"/>
    </w:pPr>
    <w:r w:rsidRPr="00C31BBE">
      <w:rPr>
        <w:color w:val="1F497D" w:themeColor="text2"/>
        <w:szCs w:val="18"/>
      </w:rPr>
      <w:t>Rapport sur la mise en œuvre du Plan stratégique et les activités de l'Union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77777777" w:rsidR="00A51849" w:rsidRPr="009621F8" w:rsidRDefault="00A51849" w:rsidP="00A51849">
          <w:pPr>
            <w:pStyle w:val="Header"/>
            <w:jc w:val="left"/>
            <w:rPr>
              <w:rFonts w:ascii="Arial" w:hAnsi="Arial" w:cs="Arial"/>
              <w:b/>
              <w:bCs/>
              <w:color w:val="009CD6"/>
              <w:sz w:val="36"/>
              <w:szCs w:val="36"/>
            </w:rPr>
          </w:pPr>
          <w:r>
            <w:rPr>
              <w:noProof/>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C95E3"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9203"/>
    <w:multiLevelType w:val="hybridMultilevel"/>
    <w:tmpl w:val="FFFFFFFF"/>
    <w:lvl w:ilvl="0" w:tplc="8398D02E">
      <w:start w:val="1"/>
      <w:numFmt w:val="bullet"/>
      <w:lvlText w:val=""/>
      <w:lvlJc w:val="left"/>
      <w:pPr>
        <w:ind w:left="720" w:hanging="360"/>
      </w:pPr>
      <w:rPr>
        <w:rFonts w:ascii="Symbol" w:hAnsi="Symbol" w:hint="default"/>
      </w:rPr>
    </w:lvl>
    <w:lvl w:ilvl="1" w:tplc="1A70991C">
      <w:start w:val="1"/>
      <w:numFmt w:val="bullet"/>
      <w:lvlText w:val="o"/>
      <w:lvlJc w:val="left"/>
      <w:pPr>
        <w:ind w:left="1440" w:hanging="360"/>
      </w:pPr>
      <w:rPr>
        <w:rFonts w:ascii="Courier New" w:hAnsi="Courier New" w:hint="default"/>
      </w:rPr>
    </w:lvl>
    <w:lvl w:ilvl="2" w:tplc="61BE4B52">
      <w:start w:val="1"/>
      <w:numFmt w:val="bullet"/>
      <w:lvlText w:val=""/>
      <w:lvlJc w:val="left"/>
      <w:pPr>
        <w:ind w:left="2160" w:hanging="360"/>
      </w:pPr>
      <w:rPr>
        <w:rFonts w:ascii="Wingdings" w:hAnsi="Wingdings" w:hint="default"/>
      </w:rPr>
    </w:lvl>
    <w:lvl w:ilvl="3" w:tplc="E8D23CB6">
      <w:start w:val="1"/>
      <w:numFmt w:val="bullet"/>
      <w:lvlText w:val=""/>
      <w:lvlJc w:val="left"/>
      <w:pPr>
        <w:ind w:left="2880" w:hanging="360"/>
      </w:pPr>
      <w:rPr>
        <w:rFonts w:ascii="Symbol" w:hAnsi="Symbol" w:hint="default"/>
      </w:rPr>
    </w:lvl>
    <w:lvl w:ilvl="4" w:tplc="80EA0C74">
      <w:start w:val="1"/>
      <w:numFmt w:val="bullet"/>
      <w:lvlText w:val="o"/>
      <w:lvlJc w:val="left"/>
      <w:pPr>
        <w:ind w:left="3600" w:hanging="360"/>
      </w:pPr>
      <w:rPr>
        <w:rFonts w:ascii="Courier New" w:hAnsi="Courier New" w:hint="default"/>
      </w:rPr>
    </w:lvl>
    <w:lvl w:ilvl="5" w:tplc="07CC8246">
      <w:start w:val="1"/>
      <w:numFmt w:val="bullet"/>
      <w:lvlText w:val=""/>
      <w:lvlJc w:val="left"/>
      <w:pPr>
        <w:ind w:left="4320" w:hanging="360"/>
      </w:pPr>
      <w:rPr>
        <w:rFonts w:ascii="Wingdings" w:hAnsi="Wingdings" w:hint="default"/>
      </w:rPr>
    </w:lvl>
    <w:lvl w:ilvl="6" w:tplc="31A4D4CE">
      <w:start w:val="1"/>
      <w:numFmt w:val="bullet"/>
      <w:lvlText w:val=""/>
      <w:lvlJc w:val="left"/>
      <w:pPr>
        <w:ind w:left="5040" w:hanging="360"/>
      </w:pPr>
      <w:rPr>
        <w:rFonts w:ascii="Symbol" w:hAnsi="Symbol" w:hint="default"/>
      </w:rPr>
    </w:lvl>
    <w:lvl w:ilvl="7" w:tplc="77EAE0F6">
      <w:start w:val="1"/>
      <w:numFmt w:val="bullet"/>
      <w:lvlText w:val="o"/>
      <w:lvlJc w:val="left"/>
      <w:pPr>
        <w:ind w:left="5760" w:hanging="360"/>
      </w:pPr>
      <w:rPr>
        <w:rFonts w:ascii="Courier New" w:hAnsi="Courier New" w:hint="default"/>
      </w:rPr>
    </w:lvl>
    <w:lvl w:ilvl="8" w:tplc="EAAEAAF8">
      <w:start w:val="1"/>
      <w:numFmt w:val="bullet"/>
      <w:lvlText w:val=""/>
      <w:lvlJc w:val="left"/>
      <w:pPr>
        <w:ind w:left="6480" w:hanging="360"/>
      </w:pPr>
      <w:rPr>
        <w:rFonts w:ascii="Wingdings" w:hAnsi="Wingdings" w:hint="default"/>
      </w:rPr>
    </w:lvl>
  </w:abstractNum>
  <w:abstractNum w:abstractNumId="1" w15:restartNumberingAfterBreak="0">
    <w:nsid w:val="031732ED"/>
    <w:multiLevelType w:val="hybridMultilevel"/>
    <w:tmpl w:val="CA989E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4D12DF5"/>
    <w:multiLevelType w:val="hybridMultilevel"/>
    <w:tmpl w:val="618A54AA"/>
    <w:lvl w:ilvl="0" w:tplc="69DA4CF4">
      <w:start w:val="1"/>
      <w:numFmt w:val="bullet"/>
      <w:lvlText w:val=""/>
      <w:lvlJc w:val="left"/>
      <w:pPr>
        <w:ind w:left="720" w:hanging="360"/>
      </w:pPr>
      <w:rPr>
        <w:rFonts w:ascii="Symbol" w:hAnsi="Symbol" w:hint="default"/>
      </w:rPr>
    </w:lvl>
    <w:lvl w:ilvl="1" w:tplc="B2E22A3E">
      <w:start w:val="1"/>
      <w:numFmt w:val="bullet"/>
      <w:lvlText w:val="o"/>
      <w:lvlJc w:val="left"/>
      <w:pPr>
        <w:ind w:left="1440" w:hanging="360"/>
      </w:pPr>
      <w:rPr>
        <w:rFonts w:ascii="Courier New" w:hAnsi="Courier New" w:hint="default"/>
      </w:rPr>
    </w:lvl>
    <w:lvl w:ilvl="2" w:tplc="12FC980A">
      <w:start w:val="1"/>
      <w:numFmt w:val="bullet"/>
      <w:lvlText w:val=""/>
      <w:lvlJc w:val="left"/>
      <w:pPr>
        <w:ind w:left="2160" w:hanging="360"/>
      </w:pPr>
      <w:rPr>
        <w:rFonts w:ascii="Wingdings" w:hAnsi="Wingdings" w:hint="default"/>
      </w:rPr>
    </w:lvl>
    <w:lvl w:ilvl="3" w:tplc="5C4C67BE">
      <w:start w:val="1"/>
      <w:numFmt w:val="bullet"/>
      <w:lvlText w:val=""/>
      <w:lvlJc w:val="left"/>
      <w:pPr>
        <w:ind w:left="2880" w:hanging="360"/>
      </w:pPr>
      <w:rPr>
        <w:rFonts w:ascii="Symbol" w:hAnsi="Symbol" w:hint="default"/>
      </w:rPr>
    </w:lvl>
    <w:lvl w:ilvl="4" w:tplc="536AA22C">
      <w:start w:val="1"/>
      <w:numFmt w:val="bullet"/>
      <w:lvlText w:val="o"/>
      <w:lvlJc w:val="left"/>
      <w:pPr>
        <w:ind w:left="3600" w:hanging="360"/>
      </w:pPr>
      <w:rPr>
        <w:rFonts w:ascii="Courier New" w:hAnsi="Courier New" w:hint="default"/>
      </w:rPr>
    </w:lvl>
    <w:lvl w:ilvl="5" w:tplc="F866EF50">
      <w:start w:val="1"/>
      <w:numFmt w:val="bullet"/>
      <w:lvlText w:val=""/>
      <w:lvlJc w:val="left"/>
      <w:pPr>
        <w:ind w:left="4320" w:hanging="360"/>
      </w:pPr>
      <w:rPr>
        <w:rFonts w:ascii="Wingdings" w:hAnsi="Wingdings" w:hint="default"/>
      </w:rPr>
    </w:lvl>
    <w:lvl w:ilvl="6" w:tplc="7AFCA058">
      <w:start w:val="1"/>
      <w:numFmt w:val="bullet"/>
      <w:lvlText w:val=""/>
      <w:lvlJc w:val="left"/>
      <w:pPr>
        <w:ind w:left="5040" w:hanging="360"/>
      </w:pPr>
      <w:rPr>
        <w:rFonts w:ascii="Symbol" w:hAnsi="Symbol" w:hint="default"/>
      </w:rPr>
    </w:lvl>
    <w:lvl w:ilvl="7" w:tplc="B7EC6CE6">
      <w:start w:val="1"/>
      <w:numFmt w:val="bullet"/>
      <w:lvlText w:val="o"/>
      <w:lvlJc w:val="left"/>
      <w:pPr>
        <w:ind w:left="5760" w:hanging="360"/>
      </w:pPr>
      <w:rPr>
        <w:rFonts w:ascii="Courier New" w:hAnsi="Courier New" w:hint="default"/>
      </w:rPr>
    </w:lvl>
    <w:lvl w:ilvl="8" w:tplc="26B41120">
      <w:start w:val="1"/>
      <w:numFmt w:val="bullet"/>
      <w:lvlText w:val=""/>
      <w:lvlJc w:val="left"/>
      <w:pPr>
        <w:ind w:left="6480" w:hanging="360"/>
      </w:pPr>
      <w:rPr>
        <w:rFonts w:ascii="Wingdings" w:hAnsi="Wingdings" w:hint="default"/>
      </w:rPr>
    </w:lvl>
  </w:abstractNum>
  <w:abstractNum w:abstractNumId="3" w15:restartNumberingAfterBreak="0">
    <w:nsid w:val="0F42BD9C"/>
    <w:multiLevelType w:val="hybridMultilevel"/>
    <w:tmpl w:val="6E504B6C"/>
    <w:lvl w:ilvl="0" w:tplc="CA5E35DE">
      <w:start w:val="1"/>
      <w:numFmt w:val="bullet"/>
      <w:lvlText w:val="-"/>
      <w:lvlJc w:val="left"/>
      <w:pPr>
        <w:ind w:left="720" w:hanging="360"/>
      </w:pPr>
      <w:rPr>
        <w:rFonts w:ascii="Calibri, sans-serif" w:hAnsi="Calibri, sans-serif" w:hint="default"/>
      </w:rPr>
    </w:lvl>
    <w:lvl w:ilvl="1" w:tplc="E550CDA8">
      <w:start w:val="1"/>
      <w:numFmt w:val="bullet"/>
      <w:lvlText w:val="o"/>
      <w:lvlJc w:val="left"/>
      <w:pPr>
        <w:ind w:left="1440" w:hanging="360"/>
      </w:pPr>
      <w:rPr>
        <w:rFonts w:ascii="Courier New" w:hAnsi="Courier New" w:hint="default"/>
      </w:rPr>
    </w:lvl>
    <w:lvl w:ilvl="2" w:tplc="1B02A4FA">
      <w:start w:val="1"/>
      <w:numFmt w:val="bullet"/>
      <w:lvlText w:val=""/>
      <w:lvlJc w:val="left"/>
      <w:pPr>
        <w:ind w:left="2160" w:hanging="360"/>
      </w:pPr>
      <w:rPr>
        <w:rFonts w:ascii="Wingdings" w:hAnsi="Wingdings" w:hint="default"/>
      </w:rPr>
    </w:lvl>
    <w:lvl w:ilvl="3" w:tplc="AEC68AFC">
      <w:start w:val="1"/>
      <w:numFmt w:val="bullet"/>
      <w:lvlText w:val=""/>
      <w:lvlJc w:val="left"/>
      <w:pPr>
        <w:ind w:left="2880" w:hanging="360"/>
      </w:pPr>
      <w:rPr>
        <w:rFonts w:ascii="Symbol" w:hAnsi="Symbol" w:hint="default"/>
      </w:rPr>
    </w:lvl>
    <w:lvl w:ilvl="4" w:tplc="6CB62142">
      <w:start w:val="1"/>
      <w:numFmt w:val="bullet"/>
      <w:lvlText w:val="o"/>
      <w:lvlJc w:val="left"/>
      <w:pPr>
        <w:ind w:left="3600" w:hanging="360"/>
      </w:pPr>
      <w:rPr>
        <w:rFonts w:ascii="Courier New" w:hAnsi="Courier New" w:hint="default"/>
      </w:rPr>
    </w:lvl>
    <w:lvl w:ilvl="5" w:tplc="2FD2F51C">
      <w:start w:val="1"/>
      <w:numFmt w:val="bullet"/>
      <w:lvlText w:val=""/>
      <w:lvlJc w:val="left"/>
      <w:pPr>
        <w:ind w:left="4320" w:hanging="360"/>
      </w:pPr>
      <w:rPr>
        <w:rFonts w:ascii="Wingdings" w:hAnsi="Wingdings" w:hint="default"/>
      </w:rPr>
    </w:lvl>
    <w:lvl w:ilvl="6" w:tplc="B3DA45FA">
      <w:start w:val="1"/>
      <w:numFmt w:val="bullet"/>
      <w:lvlText w:val=""/>
      <w:lvlJc w:val="left"/>
      <w:pPr>
        <w:ind w:left="5040" w:hanging="360"/>
      </w:pPr>
      <w:rPr>
        <w:rFonts w:ascii="Symbol" w:hAnsi="Symbol" w:hint="default"/>
      </w:rPr>
    </w:lvl>
    <w:lvl w:ilvl="7" w:tplc="F0208416">
      <w:start w:val="1"/>
      <w:numFmt w:val="bullet"/>
      <w:lvlText w:val="o"/>
      <w:lvlJc w:val="left"/>
      <w:pPr>
        <w:ind w:left="5760" w:hanging="360"/>
      </w:pPr>
      <w:rPr>
        <w:rFonts w:ascii="Courier New" w:hAnsi="Courier New" w:hint="default"/>
      </w:rPr>
    </w:lvl>
    <w:lvl w:ilvl="8" w:tplc="CD7C8D60">
      <w:start w:val="1"/>
      <w:numFmt w:val="bullet"/>
      <w:lvlText w:val=""/>
      <w:lvlJc w:val="left"/>
      <w:pPr>
        <w:ind w:left="6480" w:hanging="360"/>
      </w:pPr>
      <w:rPr>
        <w:rFonts w:ascii="Wingdings" w:hAnsi="Wingdings" w:hint="default"/>
      </w:rPr>
    </w:lvl>
  </w:abstractNum>
  <w:abstractNum w:abstractNumId="4" w15:restartNumberingAfterBreak="0">
    <w:nsid w:val="10C17B6F"/>
    <w:multiLevelType w:val="hybridMultilevel"/>
    <w:tmpl w:val="FC306574"/>
    <w:lvl w:ilvl="0" w:tplc="B672D66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4113B6"/>
    <w:multiLevelType w:val="hybridMultilevel"/>
    <w:tmpl w:val="9CBECCDC"/>
    <w:lvl w:ilvl="0" w:tplc="55CAAEC0">
      <w:start w:val="1"/>
      <w:numFmt w:val="bullet"/>
      <w:pStyle w:val="boxbullet"/>
      <w:lvlText w:val="•"/>
      <w:lvlJc w:val="left"/>
      <w:pPr>
        <w:tabs>
          <w:tab w:val="num" w:pos="720"/>
        </w:tabs>
        <w:ind w:left="720" w:hanging="360"/>
      </w:pPr>
      <w:rPr>
        <w:rFonts w:ascii="Arial" w:hAnsi="Arial" w:hint="default"/>
      </w:rPr>
    </w:lvl>
    <w:lvl w:ilvl="1" w:tplc="C9D0C296">
      <w:numFmt w:val="bullet"/>
      <w:pStyle w:val="Boxbullet2"/>
      <w:lvlText w:val="–"/>
      <w:lvlJc w:val="left"/>
      <w:pPr>
        <w:tabs>
          <w:tab w:val="num" w:pos="1440"/>
        </w:tabs>
        <w:ind w:left="1440" w:hanging="360"/>
      </w:pPr>
      <w:rPr>
        <w:rFonts w:ascii="Arial" w:hAnsi="Arial" w:hint="default"/>
      </w:rPr>
    </w:lvl>
    <w:lvl w:ilvl="2" w:tplc="6B3AEB26" w:tentative="1">
      <w:start w:val="1"/>
      <w:numFmt w:val="bullet"/>
      <w:lvlText w:val="•"/>
      <w:lvlJc w:val="left"/>
      <w:pPr>
        <w:tabs>
          <w:tab w:val="num" w:pos="2160"/>
        </w:tabs>
        <w:ind w:left="2160" w:hanging="360"/>
      </w:pPr>
      <w:rPr>
        <w:rFonts w:ascii="Arial" w:hAnsi="Arial" w:hint="default"/>
      </w:rPr>
    </w:lvl>
    <w:lvl w:ilvl="3" w:tplc="9E5A5CAE" w:tentative="1">
      <w:start w:val="1"/>
      <w:numFmt w:val="bullet"/>
      <w:lvlText w:val="•"/>
      <w:lvlJc w:val="left"/>
      <w:pPr>
        <w:tabs>
          <w:tab w:val="num" w:pos="2880"/>
        </w:tabs>
        <w:ind w:left="2880" w:hanging="360"/>
      </w:pPr>
      <w:rPr>
        <w:rFonts w:ascii="Arial" w:hAnsi="Arial" w:hint="default"/>
      </w:rPr>
    </w:lvl>
    <w:lvl w:ilvl="4" w:tplc="DD3CF324" w:tentative="1">
      <w:start w:val="1"/>
      <w:numFmt w:val="bullet"/>
      <w:lvlText w:val="•"/>
      <w:lvlJc w:val="left"/>
      <w:pPr>
        <w:tabs>
          <w:tab w:val="num" w:pos="3600"/>
        </w:tabs>
        <w:ind w:left="3600" w:hanging="360"/>
      </w:pPr>
      <w:rPr>
        <w:rFonts w:ascii="Arial" w:hAnsi="Arial" w:hint="default"/>
      </w:rPr>
    </w:lvl>
    <w:lvl w:ilvl="5" w:tplc="67CEA002" w:tentative="1">
      <w:start w:val="1"/>
      <w:numFmt w:val="bullet"/>
      <w:lvlText w:val="•"/>
      <w:lvlJc w:val="left"/>
      <w:pPr>
        <w:tabs>
          <w:tab w:val="num" w:pos="4320"/>
        </w:tabs>
        <w:ind w:left="4320" w:hanging="360"/>
      </w:pPr>
      <w:rPr>
        <w:rFonts w:ascii="Arial" w:hAnsi="Arial" w:hint="default"/>
      </w:rPr>
    </w:lvl>
    <w:lvl w:ilvl="6" w:tplc="D9E47C00" w:tentative="1">
      <w:start w:val="1"/>
      <w:numFmt w:val="bullet"/>
      <w:lvlText w:val="•"/>
      <w:lvlJc w:val="left"/>
      <w:pPr>
        <w:tabs>
          <w:tab w:val="num" w:pos="5040"/>
        </w:tabs>
        <w:ind w:left="5040" w:hanging="360"/>
      </w:pPr>
      <w:rPr>
        <w:rFonts w:ascii="Arial" w:hAnsi="Arial" w:hint="default"/>
      </w:rPr>
    </w:lvl>
    <w:lvl w:ilvl="7" w:tplc="6FDEFE32" w:tentative="1">
      <w:start w:val="1"/>
      <w:numFmt w:val="bullet"/>
      <w:lvlText w:val="•"/>
      <w:lvlJc w:val="left"/>
      <w:pPr>
        <w:tabs>
          <w:tab w:val="num" w:pos="5760"/>
        </w:tabs>
        <w:ind w:left="5760" w:hanging="360"/>
      </w:pPr>
      <w:rPr>
        <w:rFonts w:ascii="Arial" w:hAnsi="Arial" w:hint="default"/>
      </w:rPr>
    </w:lvl>
    <w:lvl w:ilvl="8" w:tplc="784425A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4B6F4A"/>
    <w:multiLevelType w:val="hybridMultilevel"/>
    <w:tmpl w:val="BADC34C0"/>
    <w:lvl w:ilvl="0" w:tplc="0ED417A4">
      <w:start w:val="1"/>
      <w:numFmt w:val="bullet"/>
      <w:lvlText w:val="-"/>
      <w:lvlJc w:val="left"/>
      <w:pPr>
        <w:ind w:left="720" w:hanging="360"/>
      </w:pPr>
      <w:rPr>
        <w:rFonts w:ascii="Calibri, sans-serif" w:hAnsi="Calibri, sans-serif" w:hint="default"/>
      </w:rPr>
    </w:lvl>
    <w:lvl w:ilvl="1" w:tplc="62884F74">
      <w:start w:val="1"/>
      <w:numFmt w:val="bullet"/>
      <w:lvlText w:val="o"/>
      <w:lvlJc w:val="left"/>
      <w:pPr>
        <w:ind w:left="1440" w:hanging="360"/>
      </w:pPr>
      <w:rPr>
        <w:rFonts w:ascii="Courier New" w:hAnsi="Courier New" w:hint="default"/>
      </w:rPr>
    </w:lvl>
    <w:lvl w:ilvl="2" w:tplc="8392E630">
      <w:start w:val="1"/>
      <w:numFmt w:val="bullet"/>
      <w:lvlText w:val=""/>
      <w:lvlJc w:val="left"/>
      <w:pPr>
        <w:ind w:left="2160" w:hanging="360"/>
      </w:pPr>
      <w:rPr>
        <w:rFonts w:ascii="Wingdings" w:hAnsi="Wingdings" w:hint="default"/>
      </w:rPr>
    </w:lvl>
    <w:lvl w:ilvl="3" w:tplc="4FBC6F08">
      <w:start w:val="1"/>
      <w:numFmt w:val="bullet"/>
      <w:lvlText w:val=""/>
      <w:lvlJc w:val="left"/>
      <w:pPr>
        <w:ind w:left="2880" w:hanging="360"/>
      </w:pPr>
      <w:rPr>
        <w:rFonts w:ascii="Symbol" w:hAnsi="Symbol" w:hint="default"/>
      </w:rPr>
    </w:lvl>
    <w:lvl w:ilvl="4" w:tplc="0742AAE4">
      <w:start w:val="1"/>
      <w:numFmt w:val="bullet"/>
      <w:lvlText w:val="o"/>
      <w:lvlJc w:val="left"/>
      <w:pPr>
        <w:ind w:left="3600" w:hanging="360"/>
      </w:pPr>
      <w:rPr>
        <w:rFonts w:ascii="Courier New" w:hAnsi="Courier New" w:hint="default"/>
      </w:rPr>
    </w:lvl>
    <w:lvl w:ilvl="5" w:tplc="61D835D6">
      <w:start w:val="1"/>
      <w:numFmt w:val="bullet"/>
      <w:lvlText w:val=""/>
      <w:lvlJc w:val="left"/>
      <w:pPr>
        <w:ind w:left="4320" w:hanging="360"/>
      </w:pPr>
      <w:rPr>
        <w:rFonts w:ascii="Wingdings" w:hAnsi="Wingdings" w:hint="default"/>
      </w:rPr>
    </w:lvl>
    <w:lvl w:ilvl="6" w:tplc="C59A1A1E">
      <w:start w:val="1"/>
      <w:numFmt w:val="bullet"/>
      <w:lvlText w:val=""/>
      <w:lvlJc w:val="left"/>
      <w:pPr>
        <w:ind w:left="5040" w:hanging="360"/>
      </w:pPr>
      <w:rPr>
        <w:rFonts w:ascii="Symbol" w:hAnsi="Symbol" w:hint="default"/>
      </w:rPr>
    </w:lvl>
    <w:lvl w:ilvl="7" w:tplc="60CCFCC8">
      <w:start w:val="1"/>
      <w:numFmt w:val="bullet"/>
      <w:lvlText w:val="o"/>
      <w:lvlJc w:val="left"/>
      <w:pPr>
        <w:ind w:left="5760" w:hanging="360"/>
      </w:pPr>
      <w:rPr>
        <w:rFonts w:ascii="Courier New" w:hAnsi="Courier New" w:hint="default"/>
      </w:rPr>
    </w:lvl>
    <w:lvl w:ilvl="8" w:tplc="14AC4F3A">
      <w:start w:val="1"/>
      <w:numFmt w:val="bullet"/>
      <w:lvlText w:val=""/>
      <w:lvlJc w:val="left"/>
      <w:pPr>
        <w:ind w:left="6480" w:hanging="360"/>
      </w:pPr>
      <w:rPr>
        <w:rFonts w:ascii="Wingdings" w:hAnsi="Wingdings" w:hint="default"/>
      </w:rPr>
    </w:lvl>
  </w:abstractNum>
  <w:abstractNum w:abstractNumId="7" w15:restartNumberingAfterBreak="0">
    <w:nsid w:val="25E902CF"/>
    <w:multiLevelType w:val="hybridMultilevel"/>
    <w:tmpl w:val="D228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0E3561"/>
    <w:multiLevelType w:val="hybridMultilevel"/>
    <w:tmpl w:val="C8142D46"/>
    <w:lvl w:ilvl="0" w:tplc="4F1EA24A">
      <w:start w:val="1"/>
      <w:numFmt w:val="decimal"/>
      <w:pStyle w:val="normalWSIS"/>
      <w:lvlText w:val="%1."/>
      <w:lvlJc w:val="left"/>
      <w:pPr>
        <w:ind w:left="3195" w:hanging="360"/>
      </w:pPr>
      <w:rPr>
        <w:b w:val="0"/>
        <w:bCs w:val="0"/>
        <w:color w:val="auto"/>
        <w:sz w:val="20"/>
        <w:szCs w:val="20"/>
      </w:rPr>
    </w:lvl>
    <w:lvl w:ilvl="1" w:tplc="04090019">
      <w:start w:val="1"/>
      <w:numFmt w:val="lowerLetter"/>
      <w:lvlText w:val="%2."/>
      <w:lvlJc w:val="left"/>
      <w:pPr>
        <w:ind w:left="3566" w:hanging="360"/>
      </w:pPr>
    </w:lvl>
    <w:lvl w:ilvl="2" w:tplc="0409001B">
      <w:start w:val="1"/>
      <w:numFmt w:val="lowerRoman"/>
      <w:lvlText w:val="%3."/>
      <w:lvlJc w:val="right"/>
      <w:pPr>
        <w:ind w:left="4286" w:hanging="180"/>
      </w:pPr>
    </w:lvl>
    <w:lvl w:ilvl="3" w:tplc="0409000F">
      <w:start w:val="1"/>
      <w:numFmt w:val="decimal"/>
      <w:lvlText w:val="%4."/>
      <w:lvlJc w:val="left"/>
      <w:pPr>
        <w:ind w:left="5006" w:hanging="360"/>
      </w:pPr>
    </w:lvl>
    <w:lvl w:ilvl="4" w:tplc="04090019">
      <w:start w:val="1"/>
      <w:numFmt w:val="lowerLetter"/>
      <w:lvlText w:val="%5."/>
      <w:lvlJc w:val="left"/>
      <w:pPr>
        <w:ind w:left="5726" w:hanging="360"/>
      </w:pPr>
    </w:lvl>
    <w:lvl w:ilvl="5" w:tplc="0409001B">
      <w:start w:val="1"/>
      <w:numFmt w:val="lowerRoman"/>
      <w:lvlText w:val="%6."/>
      <w:lvlJc w:val="right"/>
      <w:pPr>
        <w:ind w:left="6446" w:hanging="180"/>
      </w:pPr>
    </w:lvl>
    <w:lvl w:ilvl="6" w:tplc="0409000F">
      <w:start w:val="1"/>
      <w:numFmt w:val="decimal"/>
      <w:lvlText w:val="%7."/>
      <w:lvlJc w:val="left"/>
      <w:pPr>
        <w:ind w:left="7166" w:hanging="360"/>
      </w:pPr>
    </w:lvl>
    <w:lvl w:ilvl="7" w:tplc="04090019">
      <w:start w:val="1"/>
      <w:numFmt w:val="lowerLetter"/>
      <w:lvlText w:val="%8."/>
      <w:lvlJc w:val="left"/>
      <w:pPr>
        <w:ind w:left="7886" w:hanging="360"/>
      </w:pPr>
    </w:lvl>
    <w:lvl w:ilvl="8" w:tplc="0409001B">
      <w:start w:val="1"/>
      <w:numFmt w:val="lowerRoman"/>
      <w:lvlText w:val="%9."/>
      <w:lvlJc w:val="right"/>
      <w:pPr>
        <w:ind w:left="8606" w:hanging="180"/>
      </w:pPr>
    </w:lvl>
  </w:abstractNum>
  <w:abstractNum w:abstractNumId="9" w15:restartNumberingAfterBreak="0">
    <w:nsid w:val="2F230542"/>
    <w:multiLevelType w:val="multilevel"/>
    <w:tmpl w:val="D508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851705"/>
    <w:multiLevelType w:val="hybridMultilevel"/>
    <w:tmpl w:val="AFFE3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2AFF99"/>
    <w:multiLevelType w:val="hybridMultilevel"/>
    <w:tmpl w:val="9CC60678"/>
    <w:lvl w:ilvl="0" w:tplc="9A96ECF2">
      <w:start w:val="1"/>
      <w:numFmt w:val="bullet"/>
      <w:lvlText w:val=""/>
      <w:lvlJc w:val="left"/>
      <w:pPr>
        <w:ind w:left="720" w:hanging="360"/>
      </w:pPr>
      <w:rPr>
        <w:rFonts w:ascii="Symbol" w:hAnsi="Symbol" w:hint="default"/>
      </w:rPr>
    </w:lvl>
    <w:lvl w:ilvl="1" w:tplc="8D4877F2">
      <w:start w:val="1"/>
      <w:numFmt w:val="bullet"/>
      <w:lvlText w:val="o"/>
      <w:lvlJc w:val="left"/>
      <w:pPr>
        <w:ind w:left="1440" w:hanging="360"/>
      </w:pPr>
      <w:rPr>
        <w:rFonts w:ascii="Courier New" w:hAnsi="Courier New" w:hint="default"/>
      </w:rPr>
    </w:lvl>
    <w:lvl w:ilvl="2" w:tplc="FEB2A120">
      <w:start w:val="1"/>
      <w:numFmt w:val="bullet"/>
      <w:lvlText w:val=""/>
      <w:lvlJc w:val="left"/>
      <w:pPr>
        <w:ind w:left="2160" w:hanging="360"/>
      </w:pPr>
      <w:rPr>
        <w:rFonts w:ascii="Wingdings" w:hAnsi="Wingdings" w:hint="default"/>
      </w:rPr>
    </w:lvl>
    <w:lvl w:ilvl="3" w:tplc="B2005528">
      <w:start w:val="1"/>
      <w:numFmt w:val="bullet"/>
      <w:lvlText w:val=""/>
      <w:lvlJc w:val="left"/>
      <w:pPr>
        <w:ind w:left="2880" w:hanging="360"/>
      </w:pPr>
      <w:rPr>
        <w:rFonts w:ascii="Symbol" w:hAnsi="Symbol" w:hint="default"/>
      </w:rPr>
    </w:lvl>
    <w:lvl w:ilvl="4" w:tplc="3DB4A518">
      <w:start w:val="1"/>
      <w:numFmt w:val="bullet"/>
      <w:lvlText w:val="o"/>
      <w:lvlJc w:val="left"/>
      <w:pPr>
        <w:ind w:left="3600" w:hanging="360"/>
      </w:pPr>
      <w:rPr>
        <w:rFonts w:ascii="Courier New" w:hAnsi="Courier New" w:hint="default"/>
      </w:rPr>
    </w:lvl>
    <w:lvl w:ilvl="5" w:tplc="20746C66">
      <w:start w:val="1"/>
      <w:numFmt w:val="bullet"/>
      <w:lvlText w:val=""/>
      <w:lvlJc w:val="left"/>
      <w:pPr>
        <w:ind w:left="4320" w:hanging="360"/>
      </w:pPr>
      <w:rPr>
        <w:rFonts w:ascii="Wingdings" w:hAnsi="Wingdings" w:hint="default"/>
      </w:rPr>
    </w:lvl>
    <w:lvl w:ilvl="6" w:tplc="22FC9942">
      <w:start w:val="1"/>
      <w:numFmt w:val="bullet"/>
      <w:lvlText w:val=""/>
      <w:lvlJc w:val="left"/>
      <w:pPr>
        <w:ind w:left="5040" w:hanging="360"/>
      </w:pPr>
      <w:rPr>
        <w:rFonts w:ascii="Symbol" w:hAnsi="Symbol" w:hint="default"/>
      </w:rPr>
    </w:lvl>
    <w:lvl w:ilvl="7" w:tplc="011A8D98">
      <w:start w:val="1"/>
      <w:numFmt w:val="bullet"/>
      <w:lvlText w:val="o"/>
      <w:lvlJc w:val="left"/>
      <w:pPr>
        <w:ind w:left="5760" w:hanging="360"/>
      </w:pPr>
      <w:rPr>
        <w:rFonts w:ascii="Courier New" w:hAnsi="Courier New" w:hint="default"/>
      </w:rPr>
    </w:lvl>
    <w:lvl w:ilvl="8" w:tplc="8FA887C0">
      <w:start w:val="1"/>
      <w:numFmt w:val="bullet"/>
      <w:lvlText w:val=""/>
      <w:lvlJc w:val="left"/>
      <w:pPr>
        <w:ind w:left="6480" w:hanging="360"/>
      </w:pPr>
      <w:rPr>
        <w:rFonts w:ascii="Wingdings" w:hAnsi="Wingdings" w:hint="default"/>
      </w:rPr>
    </w:lvl>
  </w:abstractNum>
  <w:abstractNum w:abstractNumId="12" w15:restartNumberingAfterBreak="0">
    <w:nsid w:val="3F13081E"/>
    <w:multiLevelType w:val="hybridMultilevel"/>
    <w:tmpl w:val="5426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A4A30"/>
    <w:multiLevelType w:val="hybridMultilevel"/>
    <w:tmpl w:val="9BA6B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114957"/>
    <w:multiLevelType w:val="multilevel"/>
    <w:tmpl w:val="AE8E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C114B2"/>
    <w:multiLevelType w:val="hybridMultilevel"/>
    <w:tmpl w:val="538CA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415D03"/>
    <w:multiLevelType w:val="multilevel"/>
    <w:tmpl w:val="22A4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F4AABC"/>
    <w:multiLevelType w:val="hybridMultilevel"/>
    <w:tmpl w:val="FFFFFFFF"/>
    <w:lvl w:ilvl="0" w:tplc="15FA9958">
      <w:start w:val="1"/>
      <w:numFmt w:val="bullet"/>
      <w:lvlText w:val="·"/>
      <w:lvlJc w:val="left"/>
      <w:pPr>
        <w:ind w:left="720" w:hanging="360"/>
      </w:pPr>
      <w:rPr>
        <w:rFonts w:ascii="Symbol" w:hAnsi="Symbol" w:hint="default"/>
      </w:rPr>
    </w:lvl>
    <w:lvl w:ilvl="1" w:tplc="61F0A6E4">
      <w:start w:val="1"/>
      <w:numFmt w:val="bullet"/>
      <w:lvlText w:val="o"/>
      <w:lvlJc w:val="left"/>
      <w:pPr>
        <w:ind w:left="1440" w:hanging="360"/>
      </w:pPr>
      <w:rPr>
        <w:rFonts w:ascii="Courier New" w:hAnsi="Courier New" w:hint="default"/>
      </w:rPr>
    </w:lvl>
    <w:lvl w:ilvl="2" w:tplc="F75C28D2">
      <w:start w:val="1"/>
      <w:numFmt w:val="bullet"/>
      <w:lvlText w:val=""/>
      <w:lvlJc w:val="left"/>
      <w:pPr>
        <w:ind w:left="2160" w:hanging="360"/>
      </w:pPr>
      <w:rPr>
        <w:rFonts w:ascii="Wingdings" w:hAnsi="Wingdings" w:hint="default"/>
      </w:rPr>
    </w:lvl>
    <w:lvl w:ilvl="3" w:tplc="874020A4">
      <w:start w:val="1"/>
      <w:numFmt w:val="bullet"/>
      <w:lvlText w:val=""/>
      <w:lvlJc w:val="left"/>
      <w:pPr>
        <w:ind w:left="2880" w:hanging="360"/>
      </w:pPr>
      <w:rPr>
        <w:rFonts w:ascii="Symbol" w:hAnsi="Symbol" w:hint="default"/>
      </w:rPr>
    </w:lvl>
    <w:lvl w:ilvl="4" w:tplc="77E27824">
      <w:start w:val="1"/>
      <w:numFmt w:val="bullet"/>
      <w:lvlText w:val="o"/>
      <w:lvlJc w:val="left"/>
      <w:pPr>
        <w:ind w:left="3600" w:hanging="360"/>
      </w:pPr>
      <w:rPr>
        <w:rFonts w:ascii="Courier New" w:hAnsi="Courier New" w:hint="default"/>
      </w:rPr>
    </w:lvl>
    <w:lvl w:ilvl="5" w:tplc="730AA9AC">
      <w:start w:val="1"/>
      <w:numFmt w:val="bullet"/>
      <w:lvlText w:val=""/>
      <w:lvlJc w:val="left"/>
      <w:pPr>
        <w:ind w:left="4320" w:hanging="360"/>
      </w:pPr>
      <w:rPr>
        <w:rFonts w:ascii="Wingdings" w:hAnsi="Wingdings" w:hint="default"/>
      </w:rPr>
    </w:lvl>
    <w:lvl w:ilvl="6" w:tplc="B360FDC8">
      <w:start w:val="1"/>
      <w:numFmt w:val="bullet"/>
      <w:lvlText w:val=""/>
      <w:lvlJc w:val="left"/>
      <w:pPr>
        <w:ind w:left="5040" w:hanging="360"/>
      </w:pPr>
      <w:rPr>
        <w:rFonts w:ascii="Symbol" w:hAnsi="Symbol" w:hint="default"/>
      </w:rPr>
    </w:lvl>
    <w:lvl w:ilvl="7" w:tplc="8F400EE8">
      <w:start w:val="1"/>
      <w:numFmt w:val="bullet"/>
      <w:lvlText w:val="o"/>
      <w:lvlJc w:val="left"/>
      <w:pPr>
        <w:ind w:left="5760" w:hanging="360"/>
      </w:pPr>
      <w:rPr>
        <w:rFonts w:ascii="Courier New" w:hAnsi="Courier New" w:hint="default"/>
      </w:rPr>
    </w:lvl>
    <w:lvl w:ilvl="8" w:tplc="5CEAED46">
      <w:start w:val="1"/>
      <w:numFmt w:val="bullet"/>
      <w:lvlText w:val=""/>
      <w:lvlJc w:val="left"/>
      <w:pPr>
        <w:ind w:left="6480" w:hanging="360"/>
      </w:pPr>
      <w:rPr>
        <w:rFonts w:ascii="Wingdings" w:hAnsi="Wingdings" w:hint="default"/>
      </w:rPr>
    </w:lvl>
  </w:abstractNum>
  <w:abstractNum w:abstractNumId="18" w15:restartNumberingAfterBreak="0">
    <w:nsid w:val="5B1E62EF"/>
    <w:multiLevelType w:val="hybridMultilevel"/>
    <w:tmpl w:val="7A347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E22F7C"/>
    <w:multiLevelType w:val="multilevel"/>
    <w:tmpl w:val="A666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FB5C9F"/>
    <w:multiLevelType w:val="hybridMultilevel"/>
    <w:tmpl w:val="F808E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6E21C9"/>
    <w:multiLevelType w:val="hybridMultilevel"/>
    <w:tmpl w:val="FFFFFFFF"/>
    <w:lvl w:ilvl="0" w:tplc="CCEE5B3E">
      <w:start w:val="1"/>
      <w:numFmt w:val="bullet"/>
      <w:lvlText w:val="·"/>
      <w:lvlJc w:val="left"/>
      <w:pPr>
        <w:ind w:left="720" w:hanging="360"/>
      </w:pPr>
      <w:rPr>
        <w:rFonts w:ascii="Symbol" w:hAnsi="Symbol" w:hint="default"/>
      </w:rPr>
    </w:lvl>
    <w:lvl w:ilvl="1" w:tplc="C23C0EB8">
      <w:start w:val="1"/>
      <w:numFmt w:val="bullet"/>
      <w:lvlText w:val="o"/>
      <w:lvlJc w:val="left"/>
      <w:pPr>
        <w:ind w:left="1440" w:hanging="360"/>
      </w:pPr>
      <w:rPr>
        <w:rFonts w:ascii="Courier New" w:hAnsi="Courier New" w:hint="default"/>
      </w:rPr>
    </w:lvl>
    <w:lvl w:ilvl="2" w:tplc="13A89A12">
      <w:start w:val="1"/>
      <w:numFmt w:val="bullet"/>
      <w:lvlText w:val=""/>
      <w:lvlJc w:val="left"/>
      <w:pPr>
        <w:ind w:left="2160" w:hanging="360"/>
      </w:pPr>
      <w:rPr>
        <w:rFonts w:ascii="Wingdings" w:hAnsi="Wingdings" w:hint="default"/>
      </w:rPr>
    </w:lvl>
    <w:lvl w:ilvl="3" w:tplc="4F90DB46">
      <w:start w:val="1"/>
      <w:numFmt w:val="bullet"/>
      <w:lvlText w:val=""/>
      <w:lvlJc w:val="left"/>
      <w:pPr>
        <w:ind w:left="2880" w:hanging="360"/>
      </w:pPr>
      <w:rPr>
        <w:rFonts w:ascii="Symbol" w:hAnsi="Symbol" w:hint="default"/>
      </w:rPr>
    </w:lvl>
    <w:lvl w:ilvl="4" w:tplc="8FAAFAB0">
      <w:start w:val="1"/>
      <w:numFmt w:val="bullet"/>
      <w:lvlText w:val="o"/>
      <w:lvlJc w:val="left"/>
      <w:pPr>
        <w:ind w:left="3600" w:hanging="360"/>
      </w:pPr>
      <w:rPr>
        <w:rFonts w:ascii="Courier New" w:hAnsi="Courier New" w:hint="default"/>
      </w:rPr>
    </w:lvl>
    <w:lvl w:ilvl="5" w:tplc="D2549002">
      <w:start w:val="1"/>
      <w:numFmt w:val="bullet"/>
      <w:lvlText w:val=""/>
      <w:lvlJc w:val="left"/>
      <w:pPr>
        <w:ind w:left="4320" w:hanging="360"/>
      </w:pPr>
      <w:rPr>
        <w:rFonts w:ascii="Wingdings" w:hAnsi="Wingdings" w:hint="default"/>
      </w:rPr>
    </w:lvl>
    <w:lvl w:ilvl="6" w:tplc="39BC2D16">
      <w:start w:val="1"/>
      <w:numFmt w:val="bullet"/>
      <w:lvlText w:val=""/>
      <w:lvlJc w:val="left"/>
      <w:pPr>
        <w:ind w:left="5040" w:hanging="360"/>
      </w:pPr>
      <w:rPr>
        <w:rFonts w:ascii="Symbol" w:hAnsi="Symbol" w:hint="default"/>
      </w:rPr>
    </w:lvl>
    <w:lvl w:ilvl="7" w:tplc="FCD0733E">
      <w:start w:val="1"/>
      <w:numFmt w:val="bullet"/>
      <w:lvlText w:val="o"/>
      <w:lvlJc w:val="left"/>
      <w:pPr>
        <w:ind w:left="5760" w:hanging="360"/>
      </w:pPr>
      <w:rPr>
        <w:rFonts w:ascii="Courier New" w:hAnsi="Courier New" w:hint="default"/>
      </w:rPr>
    </w:lvl>
    <w:lvl w:ilvl="8" w:tplc="9B069E9C">
      <w:start w:val="1"/>
      <w:numFmt w:val="bullet"/>
      <w:lvlText w:val=""/>
      <w:lvlJc w:val="left"/>
      <w:pPr>
        <w:ind w:left="6480" w:hanging="360"/>
      </w:pPr>
      <w:rPr>
        <w:rFonts w:ascii="Wingdings" w:hAnsi="Wingdings" w:hint="default"/>
      </w:rPr>
    </w:lvl>
  </w:abstractNum>
  <w:abstractNum w:abstractNumId="22" w15:restartNumberingAfterBreak="0">
    <w:nsid w:val="69F65C08"/>
    <w:multiLevelType w:val="hybridMultilevel"/>
    <w:tmpl w:val="C252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2A3039"/>
    <w:multiLevelType w:val="hybridMultilevel"/>
    <w:tmpl w:val="6F3257F8"/>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24" w15:restartNumberingAfterBreak="0">
    <w:nsid w:val="6E270690"/>
    <w:multiLevelType w:val="hybridMultilevel"/>
    <w:tmpl w:val="C78E2334"/>
    <w:lvl w:ilvl="0" w:tplc="FE6E6332">
      <w:start w:val="1"/>
      <w:numFmt w:val="bullet"/>
      <w:lvlText w:val="-"/>
      <w:lvlJc w:val="left"/>
      <w:pPr>
        <w:ind w:left="720" w:hanging="360"/>
      </w:pPr>
      <w:rPr>
        <w:rFonts w:ascii="Calibri, sans-serif" w:hAnsi="Calibri, sans-serif" w:hint="default"/>
      </w:rPr>
    </w:lvl>
    <w:lvl w:ilvl="1" w:tplc="F848A2DC">
      <w:start w:val="1"/>
      <w:numFmt w:val="bullet"/>
      <w:lvlText w:val="o"/>
      <w:lvlJc w:val="left"/>
      <w:pPr>
        <w:ind w:left="1440" w:hanging="360"/>
      </w:pPr>
      <w:rPr>
        <w:rFonts w:ascii="Courier New" w:hAnsi="Courier New" w:hint="default"/>
      </w:rPr>
    </w:lvl>
    <w:lvl w:ilvl="2" w:tplc="854E60A6">
      <w:start w:val="1"/>
      <w:numFmt w:val="bullet"/>
      <w:lvlText w:val=""/>
      <w:lvlJc w:val="left"/>
      <w:pPr>
        <w:ind w:left="2160" w:hanging="360"/>
      </w:pPr>
      <w:rPr>
        <w:rFonts w:ascii="Wingdings" w:hAnsi="Wingdings" w:hint="default"/>
      </w:rPr>
    </w:lvl>
    <w:lvl w:ilvl="3" w:tplc="4CB2D8A0">
      <w:start w:val="1"/>
      <w:numFmt w:val="bullet"/>
      <w:lvlText w:val=""/>
      <w:lvlJc w:val="left"/>
      <w:pPr>
        <w:ind w:left="2880" w:hanging="360"/>
      </w:pPr>
      <w:rPr>
        <w:rFonts w:ascii="Symbol" w:hAnsi="Symbol" w:hint="default"/>
      </w:rPr>
    </w:lvl>
    <w:lvl w:ilvl="4" w:tplc="060EC848">
      <w:start w:val="1"/>
      <w:numFmt w:val="bullet"/>
      <w:lvlText w:val="o"/>
      <w:lvlJc w:val="left"/>
      <w:pPr>
        <w:ind w:left="3600" w:hanging="360"/>
      </w:pPr>
      <w:rPr>
        <w:rFonts w:ascii="Courier New" w:hAnsi="Courier New" w:hint="default"/>
      </w:rPr>
    </w:lvl>
    <w:lvl w:ilvl="5" w:tplc="2C368D08">
      <w:start w:val="1"/>
      <w:numFmt w:val="bullet"/>
      <w:lvlText w:val=""/>
      <w:lvlJc w:val="left"/>
      <w:pPr>
        <w:ind w:left="4320" w:hanging="360"/>
      </w:pPr>
      <w:rPr>
        <w:rFonts w:ascii="Wingdings" w:hAnsi="Wingdings" w:hint="default"/>
      </w:rPr>
    </w:lvl>
    <w:lvl w:ilvl="6" w:tplc="021AE116">
      <w:start w:val="1"/>
      <w:numFmt w:val="bullet"/>
      <w:lvlText w:val=""/>
      <w:lvlJc w:val="left"/>
      <w:pPr>
        <w:ind w:left="5040" w:hanging="360"/>
      </w:pPr>
      <w:rPr>
        <w:rFonts w:ascii="Symbol" w:hAnsi="Symbol" w:hint="default"/>
      </w:rPr>
    </w:lvl>
    <w:lvl w:ilvl="7" w:tplc="BAAA9B12">
      <w:start w:val="1"/>
      <w:numFmt w:val="bullet"/>
      <w:lvlText w:val="o"/>
      <w:lvlJc w:val="left"/>
      <w:pPr>
        <w:ind w:left="5760" w:hanging="360"/>
      </w:pPr>
      <w:rPr>
        <w:rFonts w:ascii="Courier New" w:hAnsi="Courier New" w:hint="default"/>
      </w:rPr>
    </w:lvl>
    <w:lvl w:ilvl="8" w:tplc="9DEE436A">
      <w:start w:val="1"/>
      <w:numFmt w:val="bullet"/>
      <w:lvlText w:val=""/>
      <w:lvlJc w:val="left"/>
      <w:pPr>
        <w:ind w:left="6480" w:hanging="360"/>
      </w:pPr>
      <w:rPr>
        <w:rFonts w:ascii="Wingdings" w:hAnsi="Wingdings" w:hint="default"/>
      </w:rPr>
    </w:lvl>
  </w:abstractNum>
  <w:abstractNum w:abstractNumId="25" w15:restartNumberingAfterBreak="0">
    <w:nsid w:val="71EC4BB3"/>
    <w:multiLevelType w:val="hybridMultilevel"/>
    <w:tmpl w:val="D3C8176E"/>
    <w:lvl w:ilvl="0" w:tplc="19AEA076">
      <w:start w:val="1"/>
      <w:numFmt w:val="bullet"/>
      <w:lvlText w:val="-"/>
      <w:lvlJc w:val="left"/>
      <w:pPr>
        <w:ind w:left="720" w:hanging="360"/>
      </w:pPr>
      <w:rPr>
        <w:rFonts w:ascii="Calibri, sans-serif" w:hAnsi="Calibri, sans-serif" w:hint="default"/>
      </w:rPr>
    </w:lvl>
    <w:lvl w:ilvl="1" w:tplc="795E8D5A">
      <w:start w:val="1"/>
      <w:numFmt w:val="bullet"/>
      <w:lvlText w:val="o"/>
      <w:lvlJc w:val="left"/>
      <w:pPr>
        <w:ind w:left="1440" w:hanging="360"/>
      </w:pPr>
      <w:rPr>
        <w:rFonts w:ascii="Courier New" w:hAnsi="Courier New" w:hint="default"/>
      </w:rPr>
    </w:lvl>
    <w:lvl w:ilvl="2" w:tplc="3280CFF4">
      <w:start w:val="1"/>
      <w:numFmt w:val="bullet"/>
      <w:lvlText w:val=""/>
      <w:lvlJc w:val="left"/>
      <w:pPr>
        <w:ind w:left="2160" w:hanging="360"/>
      </w:pPr>
      <w:rPr>
        <w:rFonts w:ascii="Wingdings" w:hAnsi="Wingdings" w:hint="default"/>
      </w:rPr>
    </w:lvl>
    <w:lvl w:ilvl="3" w:tplc="5A68C9A2">
      <w:start w:val="1"/>
      <w:numFmt w:val="bullet"/>
      <w:lvlText w:val=""/>
      <w:lvlJc w:val="left"/>
      <w:pPr>
        <w:ind w:left="2880" w:hanging="360"/>
      </w:pPr>
      <w:rPr>
        <w:rFonts w:ascii="Symbol" w:hAnsi="Symbol" w:hint="default"/>
      </w:rPr>
    </w:lvl>
    <w:lvl w:ilvl="4" w:tplc="E5324F1C">
      <w:start w:val="1"/>
      <w:numFmt w:val="bullet"/>
      <w:lvlText w:val="o"/>
      <w:lvlJc w:val="left"/>
      <w:pPr>
        <w:ind w:left="3600" w:hanging="360"/>
      </w:pPr>
      <w:rPr>
        <w:rFonts w:ascii="Courier New" w:hAnsi="Courier New" w:hint="default"/>
      </w:rPr>
    </w:lvl>
    <w:lvl w:ilvl="5" w:tplc="57C0BAC2">
      <w:start w:val="1"/>
      <w:numFmt w:val="bullet"/>
      <w:lvlText w:val=""/>
      <w:lvlJc w:val="left"/>
      <w:pPr>
        <w:ind w:left="4320" w:hanging="360"/>
      </w:pPr>
      <w:rPr>
        <w:rFonts w:ascii="Wingdings" w:hAnsi="Wingdings" w:hint="default"/>
      </w:rPr>
    </w:lvl>
    <w:lvl w:ilvl="6" w:tplc="44166B04">
      <w:start w:val="1"/>
      <w:numFmt w:val="bullet"/>
      <w:lvlText w:val=""/>
      <w:lvlJc w:val="left"/>
      <w:pPr>
        <w:ind w:left="5040" w:hanging="360"/>
      </w:pPr>
      <w:rPr>
        <w:rFonts w:ascii="Symbol" w:hAnsi="Symbol" w:hint="default"/>
      </w:rPr>
    </w:lvl>
    <w:lvl w:ilvl="7" w:tplc="035E9800">
      <w:start w:val="1"/>
      <w:numFmt w:val="bullet"/>
      <w:lvlText w:val="o"/>
      <w:lvlJc w:val="left"/>
      <w:pPr>
        <w:ind w:left="5760" w:hanging="360"/>
      </w:pPr>
      <w:rPr>
        <w:rFonts w:ascii="Courier New" w:hAnsi="Courier New" w:hint="default"/>
      </w:rPr>
    </w:lvl>
    <w:lvl w:ilvl="8" w:tplc="BC6C28AC">
      <w:start w:val="1"/>
      <w:numFmt w:val="bullet"/>
      <w:lvlText w:val=""/>
      <w:lvlJc w:val="left"/>
      <w:pPr>
        <w:ind w:left="6480" w:hanging="360"/>
      </w:pPr>
      <w:rPr>
        <w:rFonts w:ascii="Wingdings" w:hAnsi="Wingdings" w:hint="default"/>
      </w:rPr>
    </w:lvl>
  </w:abstractNum>
  <w:abstractNum w:abstractNumId="26" w15:restartNumberingAfterBreak="0">
    <w:nsid w:val="73177AED"/>
    <w:multiLevelType w:val="hybridMultilevel"/>
    <w:tmpl w:val="3B823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0B4FF0"/>
    <w:multiLevelType w:val="hybridMultilevel"/>
    <w:tmpl w:val="FFFFFFFF"/>
    <w:lvl w:ilvl="0" w:tplc="EB40846A">
      <w:start w:val="1"/>
      <w:numFmt w:val="bullet"/>
      <w:lvlText w:val="·"/>
      <w:lvlJc w:val="left"/>
      <w:pPr>
        <w:ind w:left="720" w:hanging="360"/>
      </w:pPr>
      <w:rPr>
        <w:rFonts w:ascii="Symbol" w:hAnsi="Symbol" w:hint="default"/>
      </w:rPr>
    </w:lvl>
    <w:lvl w:ilvl="1" w:tplc="4D68EA2E">
      <w:start w:val="1"/>
      <w:numFmt w:val="bullet"/>
      <w:lvlText w:val="o"/>
      <w:lvlJc w:val="left"/>
      <w:pPr>
        <w:ind w:left="1440" w:hanging="360"/>
      </w:pPr>
      <w:rPr>
        <w:rFonts w:ascii="Courier New" w:hAnsi="Courier New" w:hint="default"/>
      </w:rPr>
    </w:lvl>
    <w:lvl w:ilvl="2" w:tplc="98FC6E78">
      <w:start w:val="1"/>
      <w:numFmt w:val="bullet"/>
      <w:lvlText w:val=""/>
      <w:lvlJc w:val="left"/>
      <w:pPr>
        <w:ind w:left="2160" w:hanging="360"/>
      </w:pPr>
      <w:rPr>
        <w:rFonts w:ascii="Wingdings" w:hAnsi="Wingdings" w:hint="default"/>
      </w:rPr>
    </w:lvl>
    <w:lvl w:ilvl="3" w:tplc="8988AC2A">
      <w:start w:val="1"/>
      <w:numFmt w:val="bullet"/>
      <w:lvlText w:val=""/>
      <w:lvlJc w:val="left"/>
      <w:pPr>
        <w:ind w:left="2880" w:hanging="360"/>
      </w:pPr>
      <w:rPr>
        <w:rFonts w:ascii="Symbol" w:hAnsi="Symbol" w:hint="default"/>
      </w:rPr>
    </w:lvl>
    <w:lvl w:ilvl="4" w:tplc="619655EC">
      <w:start w:val="1"/>
      <w:numFmt w:val="bullet"/>
      <w:lvlText w:val="o"/>
      <w:lvlJc w:val="left"/>
      <w:pPr>
        <w:ind w:left="3600" w:hanging="360"/>
      </w:pPr>
      <w:rPr>
        <w:rFonts w:ascii="Courier New" w:hAnsi="Courier New" w:hint="default"/>
      </w:rPr>
    </w:lvl>
    <w:lvl w:ilvl="5" w:tplc="8F74DD86">
      <w:start w:val="1"/>
      <w:numFmt w:val="bullet"/>
      <w:lvlText w:val=""/>
      <w:lvlJc w:val="left"/>
      <w:pPr>
        <w:ind w:left="4320" w:hanging="360"/>
      </w:pPr>
      <w:rPr>
        <w:rFonts w:ascii="Wingdings" w:hAnsi="Wingdings" w:hint="default"/>
      </w:rPr>
    </w:lvl>
    <w:lvl w:ilvl="6" w:tplc="DA6AC4AC">
      <w:start w:val="1"/>
      <w:numFmt w:val="bullet"/>
      <w:lvlText w:val=""/>
      <w:lvlJc w:val="left"/>
      <w:pPr>
        <w:ind w:left="5040" w:hanging="360"/>
      </w:pPr>
      <w:rPr>
        <w:rFonts w:ascii="Symbol" w:hAnsi="Symbol" w:hint="default"/>
      </w:rPr>
    </w:lvl>
    <w:lvl w:ilvl="7" w:tplc="A50EB680">
      <w:start w:val="1"/>
      <w:numFmt w:val="bullet"/>
      <w:lvlText w:val="o"/>
      <w:lvlJc w:val="left"/>
      <w:pPr>
        <w:ind w:left="5760" w:hanging="360"/>
      </w:pPr>
      <w:rPr>
        <w:rFonts w:ascii="Courier New" w:hAnsi="Courier New" w:hint="default"/>
      </w:rPr>
    </w:lvl>
    <w:lvl w:ilvl="8" w:tplc="C0FAD55E">
      <w:start w:val="1"/>
      <w:numFmt w:val="bullet"/>
      <w:lvlText w:val=""/>
      <w:lvlJc w:val="left"/>
      <w:pPr>
        <w:ind w:left="6480" w:hanging="360"/>
      </w:pPr>
      <w:rPr>
        <w:rFonts w:ascii="Wingdings" w:hAnsi="Wingdings" w:hint="default"/>
      </w:rPr>
    </w:lvl>
  </w:abstractNum>
  <w:abstractNum w:abstractNumId="28" w15:restartNumberingAfterBreak="0">
    <w:nsid w:val="77A83EEE"/>
    <w:multiLevelType w:val="hybridMultilevel"/>
    <w:tmpl w:val="E5FCB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8829F9"/>
    <w:multiLevelType w:val="hybridMultilevel"/>
    <w:tmpl w:val="78885A54"/>
    <w:lvl w:ilvl="0" w:tplc="9A760DB0">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02876E"/>
    <w:multiLevelType w:val="hybridMultilevel"/>
    <w:tmpl w:val="1646BD68"/>
    <w:lvl w:ilvl="0" w:tplc="F5AA29E8">
      <w:start w:val="1"/>
      <w:numFmt w:val="bullet"/>
      <w:lvlText w:val="-"/>
      <w:lvlJc w:val="left"/>
      <w:pPr>
        <w:ind w:left="720" w:hanging="360"/>
      </w:pPr>
      <w:rPr>
        <w:rFonts w:ascii="Calibri, sans-serif" w:hAnsi="Calibri, sans-serif" w:hint="default"/>
      </w:rPr>
    </w:lvl>
    <w:lvl w:ilvl="1" w:tplc="3278728C">
      <w:start w:val="1"/>
      <w:numFmt w:val="bullet"/>
      <w:lvlText w:val="o"/>
      <w:lvlJc w:val="left"/>
      <w:pPr>
        <w:ind w:left="1440" w:hanging="360"/>
      </w:pPr>
      <w:rPr>
        <w:rFonts w:ascii="Courier New" w:hAnsi="Courier New" w:hint="default"/>
      </w:rPr>
    </w:lvl>
    <w:lvl w:ilvl="2" w:tplc="F24C08F4">
      <w:start w:val="1"/>
      <w:numFmt w:val="bullet"/>
      <w:lvlText w:val=""/>
      <w:lvlJc w:val="left"/>
      <w:pPr>
        <w:ind w:left="2160" w:hanging="360"/>
      </w:pPr>
      <w:rPr>
        <w:rFonts w:ascii="Wingdings" w:hAnsi="Wingdings" w:hint="default"/>
      </w:rPr>
    </w:lvl>
    <w:lvl w:ilvl="3" w:tplc="D252307C">
      <w:start w:val="1"/>
      <w:numFmt w:val="bullet"/>
      <w:lvlText w:val=""/>
      <w:lvlJc w:val="left"/>
      <w:pPr>
        <w:ind w:left="2880" w:hanging="360"/>
      </w:pPr>
      <w:rPr>
        <w:rFonts w:ascii="Symbol" w:hAnsi="Symbol" w:hint="default"/>
      </w:rPr>
    </w:lvl>
    <w:lvl w:ilvl="4" w:tplc="6AE2DABE">
      <w:start w:val="1"/>
      <w:numFmt w:val="bullet"/>
      <w:lvlText w:val="o"/>
      <w:lvlJc w:val="left"/>
      <w:pPr>
        <w:ind w:left="3600" w:hanging="360"/>
      </w:pPr>
      <w:rPr>
        <w:rFonts w:ascii="Courier New" w:hAnsi="Courier New" w:hint="default"/>
      </w:rPr>
    </w:lvl>
    <w:lvl w:ilvl="5" w:tplc="5366E07A">
      <w:start w:val="1"/>
      <w:numFmt w:val="bullet"/>
      <w:lvlText w:val=""/>
      <w:lvlJc w:val="left"/>
      <w:pPr>
        <w:ind w:left="4320" w:hanging="360"/>
      </w:pPr>
      <w:rPr>
        <w:rFonts w:ascii="Wingdings" w:hAnsi="Wingdings" w:hint="default"/>
      </w:rPr>
    </w:lvl>
    <w:lvl w:ilvl="6" w:tplc="3800B7BA">
      <w:start w:val="1"/>
      <w:numFmt w:val="bullet"/>
      <w:lvlText w:val=""/>
      <w:lvlJc w:val="left"/>
      <w:pPr>
        <w:ind w:left="5040" w:hanging="360"/>
      </w:pPr>
      <w:rPr>
        <w:rFonts w:ascii="Symbol" w:hAnsi="Symbol" w:hint="default"/>
      </w:rPr>
    </w:lvl>
    <w:lvl w:ilvl="7" w:tplc="06CAEAE4">
      <w:start w:val="1"/>
      <w:numFmt w:val="bullet"/>
      <w:lvlText w:val="o"/>
      <w:lvlJc w:val="left"/>
      <w:pPr>
        <w:ind w:left="5760" w:hanging="360"/>
      </w:pPr>
      <w:rPr>
        <w:rFonts w:ascii="Courier New" w:hAnsi="Courier New" w:hint="default"/>
      </w:rPr>
    </w:lvl>
    <w:lvl w:ilvl="8" w:tplc="D1A643CC">
      <w:start w:val="1"/>
      <w:numFmt w:val="bullet"/>
      <w:lvlText w:val=""/>
      <w:lvlJc w:val="left"/>
      <w:pPr>
        <w:ind w:left="6480" w:hanging="360"/>
      </w:pPr>
      <w:rPr>
        <w:rFonts w:ascii="Wingdings" w:hAnsi="Wingdings" w:hint="default"/>
      </w:rPr>
    </w:lvl>
  </w:abstractNum>
  <w:abstractNum w:abstractNumId="31" w15:restartNumberingAfterBreak="0">
    <w:nsid w:val="7BDE35D5"/>
    <w:multiLevelType w:val="hybridMultilevel"/>
    <w:tmpl w:val="A69E7F94"/>
    <w:lvl w:ilvl="0" w:tplc="6F00D5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F42F515"/>
    <w:multiLevelType w:val="hybridMultilevel"/>
    <w:tmpl w:val="28BC30AC"/>
    <w:lvl w:ilvl="0" w:tplc="9BE2C0DE">
      <w:start w:val="1"/>
      <w:numFmt w:val="bullet"/>
      <w:lvlText w:val=""/>
      <w:lvlJc w:val="left"/>
      <w:pPr>
        <w:ind w:left="720" w:hanging="360"/>
      </w:pPr>
      <w:rPr>
        <w:rFonts w:ascii="Symbol" w:hAnsi="Symbol" w:hint="default"/>
      </w:rPr>
    </w:lvl>
    <w:lvl w:ilvl="1" w:tplc="84064A54">
      <w:start w:val="1"/>
      <w:numFmt w:val="bullet"/>
      <w:lvlText w:val="o"/>
      <w:lvlJc w:val="left"/>
      <w:pPr>
        <w:ind w:left="1440" w:hanging="360"/>
      </w:pPr>
      <w:rPr>
        <w:rFonts w:ascii="Courier New" w:hAnsi="Courier New" w:hint="default"/>
      </w:rPr>
    </w:lvl>
    <w:lvl w:ilvl="2" w:tplc="DA7E951A">
      <w:start w:val="1"/>
      <w:numFmt w:val="bullet"/>
      <w:lvlText w:val=""/>
      <w:lvlJc w:val="left"/>
      <w:pPr>
        <w:ind w:left="2160" w:hanging="360"/>
      </w:pPr>
      <w:rPr>
        <w:rFonts w:ascii="Wingdings" w:hAnsi="Wingdings" w:hint="default"/>
      </w:rPr>
    </w:lvl>
    <w:lvl w:ilvl="3" w:tplc="7E34029E">
      <w:start w:val="1"/>
      <w:numFmt w:val="bullet"/>
      <w:lvlText w:val=""/>
      <w:lvlJc w:val="left"/>
      <w:pPr>
        <w:ind w:left="2880" w:hanging="360"/>
      </w:pPr>
      <w:rPr>
        <w:rFonts w:ascii="Symbol" w:hAnsi="Symbol" w:hint="default"/>
      </w:rPr>
    </w:lvl>
    <w:lvl w:ilvl="4" w:tplc="D7902956">
      <w:start w:val="1"/>
      <w:numFmt w:val="bullet"/>
      <w:lvlText w:val="o"/>
      <w:lvlJc w:val="left"/>
      <w:pPr>
        <w:ind w:left="3600" w:hanging="360"/>
      </w:pPr>
      <w:rPr>
        <w:rFonts w:ascii="Courier New" w:hAnsi="Courier New" w:hint="default"/>
      </w:rPr>
    </w:lvl>
    <w:lvl w:ilvl="5" w:tplc="4A1CAC1A">
      <w:start w:val="1"/>
      <w:numFmt w:val="bullet"/>
      <w:lvlText w:val=""/>
      <w:lvlJc w:val="left"/>
      <w:pPr>
        <w:ind w:left="4320" w:hanging="360"/>
      </w:pPr>
      <w:rPr>
        <w:rFonts w:ascii="Wingdings" w:hAnsi="Wingdings" w:hint="default"/>
      </w:rPr>
    </w:lvl>
    <w:lvl w:ilvl="6" w:tplc="CDFA7A4E">
      <w:start w:val="1"/>
      <w:numFmt w:val="bullet"/>
      <w:lvlText w:val=""/>
      <w:lvlJc w:val="left"/>
      <w:pPr>
        <w:ind w:left="5040" w:hanging="360"/>
      </w:pPr>
      <w:rPr>
        <w:rFonts w:ascii="Symbol" w:hAnsi="Symbol" w:hint="default"/>
      </w:rPr>
    </w:lvl>
    <w:lvl w:ilvl="7" w:tplc="A8123D72">
      <w:start w:val="1"/>
      <w:numFmt w:val="bullet"/>
      <w:lvlText w:val="o"/>
      <w:lvlJc w:val="left"/>
      <w:pPr>
        <w:ind w:left="5760" w:hanging="360"/>
      </w:pPr>
      <w:rPr>
        <w:rFonts w:ascii="Courier New" w:hAnsi="Courier New" w:hint="default"/>
      </w:rPr>
    </w:lvl>
    <w:lvl w:ilvl="8" w:tplc="A574F2DE">
      <w:start w:val="1"/>
      <w:numFmt w:val="bullet"/>
      <w:lvlText w:val=""/>
      <w:lvlJc w:val="left"/>
      <w:pPr>
        <w:ind w:left="6480" w:hanging="360"/>
      </w:pPr>
      <w:rPr>
        <w:rFonts w:ascii="Wingdings" w:hAnsi="Wingdings" w:hint="default"/>
      </w:rPr>
    </w:lvl>
  </w:abstractNum>
  <w:abstractNum w:abstractNumId="33" w15:restartNumberingAfterBreak="0">
    <w:nsid w:val="7FC908BF"/>
    <w:multiLevelType w:val="multilevel"/>
    <w:tmpl w:val="7C9CEFE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95831671">
    <w:abstractNumId w:val="4"/>
  </w:num>
  <w:num w:numId="2" w16cid:durableId="200898055">
    <w:abstractNumId w:val="20"/>
  </w:num>
  <w:num w:numId="3" w16cid:durableId="891622183">
    <w:abstractNumId w:val="6"/>
  </w:num>
  <w:num w:numId="4" w16cid:durableId="2065568536">
    <w:abstractNumId w:val="24"/>
  </w:num>
  <w:num w:numId="5" w16cid:durableId="976452371">
    <w:abstractNumId w:val="25"/>
  </w:num>
  <w:num w:numId="6" w16cid:durableId="1801070083">
    <w:abstractNumId w:val="3"/>
  </w:num>
  <w:num w:numId="7" w16cid:durableId="131605826">
    <w:abstractNumId w:val="30"/>
  </w:num>
  <w:num w:numId="8" w16cid:durableId="346173547">
    <w:abstractNumId w:val="17"/>
  </w:num>
  <w:num w:numId="9" w16cid:durableId="873267613">
    <w:abstractNumId w:val="21"/>
  </w:num>
  <w:num w:numId="10" w16cid:durableId="202639667">
    <w:abstractNumId w:val="27"/>
  </w:num>
  <w:num w:numId="11" w16cid:durableId="464809527">
    <w:abstractNumId w:val="0"/>
  </w:num>
  <w:num w:numId="12" w16cid:durableId="13905732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8717065">
    <w:abstractNumId w:val="5"/>
  </w:num>
  <w:num w:numId="14" w16cid:durableId="1484814705">
    <w:abstractNumId w:val="31"/>
  </w:num>
  <w:num w:numId="15" w16cid:durableId="617294137">
    <w:abstractNumId w:val="7"/>
  </w:num>
  <w:num w:numId="16" w16cid:durableId="476849403">
    <w:abstractNumId w:val="10"/>
  </w:num>
  <w:num w:numId="17" w16cid:durableId="1720546725">
    <w:abstractNumId w:val="29"/>
  </w:num>
  <w:num w:numId="18" w16cid:durableId="264458733">
    <w:abstractNumId w:val="22"/>
  </w:num>
  <w:num w:numId="19" w16cid:durableId="845553552">
    <w:abstractNumId w:val="33"/>
  </w:num>
  <w:num w:numId="20" w16cid:durableId="418793849">
    <w:abstractNumId w:val="16"/>
  </w:num>
  <w:num w:numId="21" w16cid:durableId="1622766936">
    <w:abstractNumId w:val="9"/>
  </w:num>
  <w:num w:numId="22" w16cid:durableId="291640017">
    <w:abstractNumId w:val="19"/>
  </w:num>
  <w:num w:numId="23" w16cid:durableId="20396321">
    <w:abstractNumId w:val="14"/>
  </w:num>
  <w:num w:numId="24" w16cid:durableId="1600092762">
    <w:abstractNumId w:val="32"/>
  </w:num>
  <w:num w:numId="25" w16cid:durableId="658577805">
    <w:abstractNumId w:val="11"/>
  </w:num>
  <w:num w:numId="26" w16cid:durableId="2075350216">
    <w:abstractNumId w:val="2"/>
  </w:num>
  <w:num w:numId="27" w16cid:durableId="1167747681">
    <w:abstractNumId w:val="26"/>
  </w:num>
  <w:num w:numId="28" w16cid:durableId="1760172072">
    <w:abstractNumId w:val="13"/>
  </w:num>
  <w:num w:numId="29" w16cid:durableId="1956014365">
    <w:abstractNumId w:val="23"/>
  </w:num>
  <w:num w:numId="30" w16cid:durableId="1106509959">
    <w:abstractNumId w:val="28"/>
  </w:num>
  <w:num w:numId="31" w16cid:durableId="1965845537">
    <w:abstractNumId w:val="18"/>
  </w:num>
  <w:num w:numId="32" w16cid:durableId="249390668">
    <w:abstractNumId w:val="15"/>
  </w:num>
  <w:num w:numId="33" w16cid:durableId="1283074362">
    <w:abstractNumId w:val="1"/>
  </w:num>
  <w:num w:numId="34" w16cid:durableId="4132088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93708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42CDE"/>
    <w:rsid w:val="00076707"/>
    <w:rsid w:val="00076A2C"/>
    <w:rsid w:val="00095349"/>
    <w:rsid w:val="000D0D0A"/>
    <w:rsid w:val="00103163"/>
    <w:rsid w:val="00106B19"/>
    <w:rsid w:val="00115D93"/>
    <w:rsid w:val="001247A8"/>
    <w:rsid w:val="00127DC0"/>
    <w:rsid w:val="001378C0"/>
    <w:rsid w:val="001561E6"/>
    <w:rsid w:val="00164ED3"/>
    <w:rsid w:val="0018694A"/>
    <w:rsid w:val="00197936"/>
    <w:rsid w:val="001A24B4"/>
    <w:rsid w:val="001A3287"/>
    <w:rsid w:val="001A370F"/>
    <w:rsid w:val="001A6508"/>
    <w:rsid w:val="001D4C31"/>
    <w:rsid w:val="001E4D21"/>
    <w:rsid w:val="00207CD1"/>
    <w:rsid w:val="00226657"/>
    <w:rsid w:val="00233DF3"/>
    <w:rsid w:val="002344E7"/>
    <w:rsid w:val="002477A2"/>
    <w:rsid w:val="00263A51"/>
    <w:rsid w:val="002677E3"/>
    <w:rsid w:val="00267E02"/>
    <w:rsid w:val="00274C1D"/>
    <w:rsid w:val="002A5D44"/>
    <w:rsid w:val="002E0BC4"/>
    <w:rsid w:val="002F1B76"/>
    <w:rsid w:val="00300629"/>
    <w:rsid w:val="0033568E"/>
    <w:rsid w:val="00355FF5"/>
    <w:rsid w:val="00361350"/>
    <w:rsid w:val="003C3FAE"/>
    <w:rsid w:val="004038CB"/>
    <w:rsid w:val="0040546F"/>
    <w:rsid w:val="00415843"/>
    <w:rsid w:val="0042404A"/>
    <w:rsid w:val="0044618F"/>
    <w:rsid w:val="00461C31"/>
    <w:rsid w:val="0046769A"/>
    <w:rsid w:val="00475FB3"/>
    <w:rsid w:val="004B6FE5"/>
    <w:rsid w:val="004C37A9"/>
    <w:rsid w:val="004D1D50"/>
    <w:rsid w:val="004F259E"/>
    <w:rsid w:val="00511F1D"/>
    <w:rsid w:val="00520F36"/>
    <w:rsid w:val="00534E13"/>
    <w:rsid w:val="00540615"/>
    <w:rsid w:val="00540A6D"/>
    <w:rsid w:val="00566679"/>
    <w:rsid w:val="00571EEA"/>
    <w:rsid w:val="0057287A"/>
    <w:rsid w:val="00575417"/>
    <w:rsid w:val="005768E1"/>
    <w:rsid w:val="005B1938"/>
    <w:rsid w:val="005C3890"/>
    <w:rsid w:val="005C5DB1"/>
    <w:rsid w:val="005D3B7C"/>
    <w:rsid w:val="005F7BFE"/>
    <w:rsid w:val="00600017"/>
    <w:rsid w:val="006235CA"/>
    <w:rsid w:val="006365CE"/>
    <w:rsid w:val="00652EBE"/>
    <w:rsid w:val="006643AB"/>
    <w:rsid w:val="006F0A53"/>
    <w:rsid w:val="007210CD"/>
    <w:rsid w:val="00721255"/>
    <w:rsid w:val="00730A74"/>
    <w:rsid w:val="00732045"/>
    <w:rsid w:val="007369DB"/>
    <w:rsid w:val="00751D43"/>
    <w:rsid w:val="007956C2"/>
    <w:rsid w:val="007A187E"/>
    <w:rsid w:val="007C72C2"/>
    <w:rsid w:val="007D4436"/>
    <w:rsid w:val="007F257A"/>
    <w:rsid w:val="007F3665"/>
    <w:rsid w:val="00800037"/>
    <w:rsid w:val="00822829"/>
    <w:rsid w:val="008300BB"/>
    <w:rsid w:val="0083391C"/>
    <w:rsid w:val="00861D73"/>
    <w:rsid w:val="00895E75"/>
    <w:rsid w:val="00897553"/>
    <w:rsid w:val="008A4E87"/>
    <w:rsid w:val="008D76E6"/>
    <w:rsid w:val="008F066D"/>
    <w:rsid w:val="0092392D"/>
    <w:rsid w:val="0093234A"/>
    <w:rsid w:val="009453FA"/>
    <w:rsid w:val="00956A78"/>
    <w:rsid w:val="0097363B"/>
    <w:rsid w:val="00973F07"/>
    <w:rsid w:val="00973F53"/>
    <w:rsid w:val="009C307F"/>
    <w:rsid w:val="009C353C"/>
    <w:rsid w:val="009E628C"/>
    <w:rsid w:val="009F57AB"/>
    <w:rsid w:val="00A2113E"/>
    <w:rsid w:val="00A23A51"/>
    <w:rsid w:val="00A24607"/>
    <w:rsid w:val="00A25CD3"/>
    <w:rsid w:val="00A51849"/>
    <w:rsid w:val="00A5247F"/>
    <w:rsid w:val="00A709FE"/>
    <w:rsid w:val="00A73C60"/>
    <w:rsid w:val="00A82767"/>
    <w:rsid w:val="00AA332F"/>
    <w:rsid w:val="00AA67A9"/>
    <w:rsid w:val="00AA7BBB"/>
    <w:rsid w:val="00AB64A8"/>
    <w:rsid w:val="00AC0266"/>
    <w:rsid w:val="00AC3C73"/>
    <w:rsid w:val="00AC579E"/>
    <w:rsid w:val="00AD24EC"/>
    <w:rsid w:val="00AD405E"/>
    <w:rsid w:val="00B309F9"/>
    <w:rsid w:val="00B32B60"/>
    <w:rsid w:val="00B61619"/>
    <w:rsid w:val="00B65B21"/>
    <w:rsid w:val="00B8131C"/>
    <w:rsid w:val="00B85312"/>
    <w:rsid w:val="00B95ACD"/>
    <w:rsid w:val="00BB4545"/>
    <w:rsid w:val="00BD5873"/>
    <w:rsid w:val="00BE68C0"/>
    <w:rsid w:val="00C04BE3"/>
    <w:rsid w:val="00C25D29"/>
    <w:rsid w:val="00C27A7C"/>
    <w:rsid w:val="00C42437"/>
    <w:rsid w:val="00CA08ED"/>
    <w:rsid w:val="00CA2FCD"/>
    <w:rsid w:val="00CF183B"/>
    <w:rsid w:val="00D375CD"/>
    <w:rsid w:val="00D553A2"/>
    <w:rsid w:val="00D65090"/>
    <w:rsid w:val="00D67441"/>
    <w:rsid w:val="00D72F49"/>
    <w:rsid w:val="00D774D3"/>
    <w:rsid w:val="00D904E8"/>
    <w:rsid w:val="00DA08C3"/>
    <w:rsid w:val="00DB5A3E"/>
    <w:rsid w:val="00DC22AA"/>
    <w:rsid w:val="00DF290B"/>
    <w:rsid w:val="00DF74DD"/>
    <w:rsid w:val="00E25AD0"/>
    <w:rsid w:val="00E4428F"/>
    <w:rsid w:val="00E93668"/>
    <w:rsid w:val="00E95647"/>
    <w:rsid w:val="00E95A4F"/>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uiPriority w:val="9"/>
    <w:qFormat/>
    <w:rsid w:val="00732045"/>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732045"/>
    <w:pPr>
      <w:spacing w:before="320"/>
      <w:outlineLvl w:val="1"/>
    </w:pPr>
    <w:rPr>
      <w:sz w:val="24"/>
    </w:rPr>
  </w:style>
  <w:style w:type="paragraph" w:styleId="Heading3">
    <w:name w:val="heading 3"/>
    <w:basedOn w:val="Heading1"/>
    <w:next w:val="Normal"/>
    <w:link w:val="Heading3Char"/>
    <w:uiPriority w:val="9"/>
    <w:qFormat/>
    <w:rsid w:val="00732045"/>
    <w:pPr>
      <w:spacing w:before="200"/>
      <w:outlineLvl w:val="2"/>
    </w:pPr>
    <w:rPr>
      <w:sz w:val="24"/>
    </w:rPr>
  </w:style>
  <w:style w:type="paragraph" w:styleId="Heading4">
    <w:name w:val="heading 4"/>
    <w:basedOn w:val="Heading3"/>
    <w:next w:val="Normal"/>
    <w:link w:val="Heading4Char"/>
    <w:uiPriority w:val="9"/>
    <w:qFormat/>
    <w:rsid w:val="00732045"/>
    <w:pPr>
      <w:ind w:left="1134" w:hanging="1134"/>
      <w:outlineLvl w:val="3"/>
    </w:pPr>
  </w:style>
  <w:style w:type="paragraph" w:styleId="Heading5">
    <w:name w:val="heading 5"/>
    <w:basedOn w:val="Heading4"/>
    <w:next w:val="Normal"/>
    <w:link w:val="Heading5Char"/>
    <w:uiPriority w:val="9"/>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link w:val="Heading9Char"/>
    <w:uiPriority w:val="9"/>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uiPriority w:val="99"/>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aliases w:val="ALTS FOOTNOTE,Schriftart: 9 pt,Schriftart: 10 p... + 10 p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uiPriority w:val="39"/>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Style 58,超?级链,超????,하이퍼링크2,하이퍼링크21,超链接1,CEO_Hyperlink,超??级链Ú,fL????,fL?级,超??级链"/>
    <w:basedOn w:val="DefaultParagraphFont"/>
    <w:uiPriority w:val="99"/>
    <w:qFormat/>
    <w:rsid w:val="00732045"/>
    <w:rPr>
      <w:color w:val="0000FF"/>
      <w:u w:val="single"/>
    </w:rPr>
  </w:style>
  <w:style w:type="character" w:styleId="FollowedHyperlink">
    <w:name w:val="FollowedHyperlink"/>
    <w:basedOn w:val="DefaultParagraphFont"/>
    <w:uiPriority w:val="99"/>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link w:val="TabletextChar"/>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822829"/>
    <w:rPr>
      <w:color w:val="605E5C"/>
      <w:shd w:val="clear" w:color="auto" w:fill="E1DFDD"/>
    </w:rPr>
  </w:style>
  <w:style w:type="table" w:customStyle="1" w:styleId="ListTable3-Accent11">
    <w:name w:val="List Table 3 - Accent 11"/>
    <w:basedOn w:val="TableNormal"/>
    <w:next w:val="ListTable3-Accent1"/>
    <w:uiPriority w:val="48"/>
    <w:rsid w:val="00CA2FCD"/>
    <w:rPr>
      <w:rFonts w:asciiTheme="minorHAnsi" w:eastAsiaTheme="minorHAnsi" w:hAnsiTheme="minorHAnsi" w:cstheme="minorBidi"/>
      <w:sz w:val="22"/>
      <w:szCs w:val="22"/>
      <w:lang w:val="en-GB"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TabletextChar">
    <w:name w:val="Table_text Char"/>
    <w:basedOn w:val="DefaultParagraphFont"/>
    <w:link w:val="Tabletext"/>
    <w:locked/>
    <w:rsid w:val="00CA2FCD"/>
    <w:rPr>
      <w:rFonts w:ascii="Calibri" w:hAnsi="Calibri"/>
      <w:sz w:val="22"/>
      <w:lang w:val="fr-FR" w:eastAsia="en-US"/>
    </w:rPr>
  </w:style>
  <w:style w:type="table" w:styleId="ListTable3-Accent1">
    <w:name w:val="List Table 3 Accent 1"/>
    <w:basedOn w:val="TableNormal"/>
    <w:uiPriority w:val="48"/>
    <w:rsid w:val="00CA2FC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Heading1Char">
    <w:name w:val="Heading 1 Char"/>
    <w:basedOn w:val="DefaultParagraphFont"/>
    <w:link w:val="Heading1"/>
    <w:uiPriority w:val="9"/>
    <w:rsid w:val="002677E3"/>
    <w:rPr>
      <w:rFonts w:ascii="Calibri" w:hAnsi="Calibri"/>
      <w:b/>
      <w:sz w:val="28"/>
      <w:lang w:val="fr-FR" w:eastAsia="en-US"/>
    </w:rPr>
  </w:style>
  <w:style w:type="character" w:customStyle="1" w:styleId="Heading2Char">
    <w:name w:val="Heading 2 Char"/>
    <w:basedOn w:val="DefaultParagraphFont"/>
    <w:link w:val="Heading2"/>
    <w:uiPriority w:val="9"/>
    <w:rsid w:val="002677E3"/>
    <w:rPr>
      <w:rFonts w:ascii="Calibri" w:hAnsi="Calibri"/>
      <w:b/>
      <w:sz w:val="24"/>
      <w:lang w:val="fr-FR" w:eastAsia="en-US"/>
    </w:rPr>
  </w:style>
  <w:style w:type="character" w:customStyle="1" w:styleId="enumlev1Char">
    <w:name w:val="enumlev1 Char"/>
    <w:basedOn w:val="DefaultParagraphFont"/>
    <w:link w:val="enumlev1"/>
    <w:rsid w:val="002677E3"/>
    <w:rPr>
      <w:rFonts w:ascii="Calibri" w:hAnsi="Calibri"/>
      <w:sz w:val="24"/>
      <w:lang w:val="fr-FR" w:eastAsia="en-US"/>
    </w:rPr>
  </w:style>
  <w:style w:type="table" w:styleId="ListTable4-Accent1">
    <w:name w:val="List Table 4 Accent 1"/>
    <w:basedOn w:val="TableNormal"/>
    <w:uiPriority w:val="49"/>
    <w:rsid w:val="002677E3"/>
    <w:rPr>
      <w:rFonts w:asciiTheme="minorHAnsi" w:eastAsiaTheme="minorHAnsi" w:hAnsiTheme="minorHAnsi" w:cstheme="minorBidi"/>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legend10pt">
    <w:name w:val="Table_legend + 10 pt"/>
    <w:aliases w:val="Bold"/>
    <w:basedOn w:val="Tablelegend"/>
    <w:rsid w:val="002677E3"/>
    <w:pPr>
      <w:tabs>
        <w:tab w:val="left" w:pos="308"/>
      </w:tabs>
    </w:pPr>
    <w:rPr>
      <w:rFonts w:eastAsiaTheme="minorHAnsi" w:cstheme="minorBidi"/>
      <w:b/>
      <w:bCs/>
      <w:sz w:val="20"/>
      <w:szCs w:val="22"/>
    </w:rPr>
  </w:style>
  <w:style w:type="character" w:customStyle="1" w:styleId="FootnoteTextChar">
    <w:name w:val="Footnote Text Char"/>
    <w:aliases w:val="ALTS FOOTNOTE Char,Schriftart: 9 pt Char,Schriftart: 10 p... + 10 pt Char"/>
    <w:basedOn w:val="DefaultParagraphFont"/>
    <w:link w:val="FootnoteText"/>
    <w:uiPriority w:val="99"/>
    <w:rsid w:val="002677E3"/>
    <w:rPr>
      <w:rFonts w:ascii="Calibri" w:hAnsi="Calibri"/>
      <w:sz w:val="24"/>
      <w:lang w:val="fr-FR" w:eastAsia="en-US"/>
    </w:rPr>
  </w:style>
  <w:style w:type="character" w:customStyle="1" w:styleId="findhit">
    <w:name w:val="findhit"/>
    <w:basedOn w:val="DefaultParagraphFont"/>
    <w:rsid w:val="002677E3"/>
  </w:style>
  <w:style w:type="paragraph" w:customStyle="1" w:styleId="msonormal0">
    <w:name w:val="msonormal"/>
    <w:basedOn w:val="Normal"/>
    <w:rsid w:val="002677E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paragraph" w:customStyle="1" w:styleId="paragraph">
    <w:name w:val="paragraph"/>
    <w:basedOn w:val="Normal"/>
    <w:rsid w:val="002677E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customStyle="1" w:styleId="eop">
    <w:name w:val="eop"/>
    <w:basedOn w:val="DefaultParagraphFont"/>
    <w:rsid w:val="002677E3"/>
  </w:style>
  <w:style w:type="character" w:customStyle="1" w:styleId="textrun">
    <w:name w:val="textrun"/>
    <w:basedOn w:val="DefaultParagraphFont"/>
    <w:rsid w:val="002677E3"/>
  </w:style>
  <w:style w:type="character" w:customStyle="1" w:styleId="normaltextrun">
    <w:name w:val="normaltextrun"/>
    <w:basedOn w:val="DefaultParagraphFont"/>
    <w:rsid w:val="002677E3"/>
  </w:style>
  <w:style w:type="paragraph" w:customStyle="1" w:styleId="outlineelement">
    <w:name w:val="outlineelement"/>
    <w:basedOn w:val="Normal"/>
    <w:rsid w:val="002677E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customStyle="1" w:styleId="trackchangetextdeletion">
    <w:name w:val="trackchangetextdeletion"/>
    <w:basedOn w:val="DefaultParagraphFont"/>
    <w:rsid w:val="002677E3"/>
  </w:style>
  <w:style w:type="character" w:customStyle="1" w:styleId="trackchangetextinsertion">
    <w:name w:val="trackchangetextinsertion"/>
    <w:basedOn w:val="DefaultParagraphFont"/>
    <w:rsid w:val="002677E3"/>
  </w:style>
  <w:style w:type="character" w:customStyle="1" w:styleId="fieldrange">
    <w:name w:val="fieldrange"/>
    <w:basedOn w:val="DefaultParagraphFont"/>
    <w:rsid w:val="002677E3"/>
  </w:style>
  <w:style w:type="character" w:customStyle="1" w:styleId="pagebreakblob">
    <w:name w:val="pagebreakblob"/>
    <w:basedOn w:val="DefaultParagraphFont"/>
    <w:rsid w:val="002677E3"/>
  </w:style>
  <w:style w:type="character" w:customStyle="1" w:styleId="pagebreakborderspan">
    <w:name w:val="pagebreakborderspan"/>
    <w:basedOn w:val="DefaultParagraphFont"/>
    <w:rsid w:val="002677E3"/>
  </w:style>
  <w:style w:type="character" w:customStyle="1" w:styleId="pagebreaktextspan">
    <w:name w:val="pagebreaktextspan"/>
    <w:basedOn w:val="DefaultParagraphFont"/>
    <w:rsid w:val="002677E3"/>
  </w:style>
  <w:style w:type="character" w:customStyle="1" w:styleId="superscript">
    <w:name w:val="superscript"/>
    <w:basedOn w:val="DefaultParagraphFont"/>
    <w:rsid w:val="002677E3"/>
  </w:style>
  <w:style w:type="character" w:customStyle="1" w:styleId="linebreakblob">
    <w:name w:val="linebreakblob"/>
    <w:basedOn w:val="DefaultParagraphFont"/>
    <w:rsid w:val="002677E3"/>
  </w:style>
  <w:style w:type="character" w:customStyle="1" w:styleId="bcx7">
    <w:name w:val="bcx7"/>
    <w:basedOn w:val="DefaultParagraphFont"/>
    <w:rsid w:val="002677E3"/>
  </w:style>
  <w:style w:type="character" w:customStyle="1" w:styleId="UnresolvedMention1">
    <w:name w:val="Unresolved Mention1"/>
    <w:basedOn w:val="DefaultParagraphFont"/>
    <w:uiPriority w:val="99"/>
    <w:unhideWhenUsed/>
    <w:rsid w:val="002677E3"/>
    <w:rPr>
      <w:color w:val="605E5C"/>
      <w:shd w:val="clear" w:color="auto" w:fill="E1DFDD"/>
    </w:rPr>
  </w:style>
  <w:style w:type="paragraph" w:styleId="Title">
    <w:name w:val="Title"/>
    <w:basedOn w:val="Normal"/>
    <w:next w:val="Normal"/>
    <w:link w:val="TitleChar"/>
    <w:uiPriority w:val="10"/>
    <w:qFormat/>
    <w:rsid w:val="002677E3"/>
    <w:pPr>
      <w:tabs>
        <w:tab w:val="clear" w:pos="567"/>
        <w:tab w:val="clear" w:pos="1134"/>
        <w:tab w:val="clear" w:pos="1701"/>
        <w:tab w:val="clear" w:pos="2268"/>
        <w:tab w:val="clear" w:pos="283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2677E3"/>
    <w:rPr>
      <w:rFonts w:asciiTheme="majorHAnsi" w:eastAsiaTheme="majorEastAsia" w:hAnsiTheme="majorHAnsi" w:cstheme="majorBidi"/>
      <w:spacing w:val="-10"/>
      <w:kern w:val="28"/>
      <w:sz w:val="56"/>
      <w:szCs w:val="56"/>
      <w:lang w:val="en-GB" w:eastAsia="en-US"/>
    </w:rPr>
  </w:style>
  <w:style w:type="character" w:customStyle="1" w:styleId="scxw33153122">
    <w:name w:val="scxw33153122"/>
    <w:basedOn w:val="DefaultParagraphFont"/>
    <w:rsid w:val="002677E3"/>
  </w:style>
  <w:style w:type="character" w:customStyle="1" w:styleId="FooterChar">
    <w:name w:val="Footer Char"/>
    <w:basedOn w:val="DefaultParagraphFont"/>
    <w:link w:val="Footer"/>
    <w:uiPriority w:val="99"/>
    <w:rsid w:val="002677E3"/>
    <w:rPr>
      <w:rFonts w:ascii="Calibri" w:hAnsi="Calibri"/>
      <w:caps/>
      <w:noProof/>
      <w:sz w:val="16"/>
      <w:lang w:val="fr-FR" w:eastAsia="en-US"/>
    </w:rPr>
  </w:style>
  <w:style w:type="paragraph" w:styleId="BalloonText">
    <w:name w:val="Balloon Text"/>
    <w:basedOn w:val="Normal"/>
    <w:link w:val="BalloonTextChar"/>
    <w:uiPriority w:val="99"/>
    <w:semiHidden/>
    <w:unhideWhenUsed/>
    <w:rsid w:val="002677E3"/>
    <w:pPr>
      <w:tabs>
        <w:tab w:val="clear" w:pos="567"/>
        <w:tab w:val="clear" w:pos="1134"/>
        <w:tab w:val="clear" w:pos="1701"/>
        <w:tab w:val="clear" w:pos="2268"/>
        <w:tab w:val="clear" w:pos="2835"/>
      </w:tabs>
      <w:overflowPunct/>
      <w:autoSpaceDE/>
      <w:autoSpaceDN/>
      <w:adjustRightInd/>
      <w:spacing w:before="0"/>
      <w:textAlignment w:val="auto"/>
    </w:pPr>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2677E3"/>
    <w:rPr>
      <w:rFonts w:ascii="Segoe UI" w:eastAsiaTheme="minorHAnsi" w:hAnsi="Segoe UI" w:cs="Segoe UI"/>
      <w:sz w:val="18"/>
      <w:szCs w:val="18"/>
      <w:lang w:val="en-GB" w:eastAsia="en-US"/>
    </w:rPr>
  </w:style>
  <w:style w:type="character" w:styleId="CommentReference">
    <w:name w:val="annotation reference"/>
    <w:uiPriority w:val="99"/>
    <w:rsid w:val="002677E3"/>
    <w:rPr>
      <w:sz w:val="16"/>
      <w:szCs w:val="16"/>
    </w:rPr>
  </w:style>
  <w:style w:type="paragraph" w:styleId="CommentText">
    <w:name w:val="annotation text"/>
    <w:basedOn w:val="Normal"/>
    <w:link w:val="CommentTextChar"/>
    <w:uiPriority w:val="99"/>
    <w:rsid w:val="002677E3"/>
    <w:pPr>
      <w:tabs>
        <w:tab w:val="clear" w:pos="567"/>
        <w:tab w:val="clear" w:pos="1134"/>
        <w:tab w:val="clear" w:pos="1701"/>
        <w:tab w:val="clear" w:pos="2268"/>
        <w:tab w:val="clear" w:pos="2835"/>
      </w:tabs>
      <w:overflowPunct/>
      <w:autoSpaceDE/>
      <w:autoSpaceDN/>
      <w:adjustRightInd/>
      <w:textAlignment w:val="auto"/>
    </w:pPr>
    <w:rPr>
      <w:rFonts w:eastAsiaTheme="minorEastAsia"/>
      <w:sz w:val="20"/>
      <w:szCs w:val="22"/>
      <w:lang w:val="en-US" w:eastAsia="fr-FR"/>
    </w:rPr>
  </w:style>
  <w:style w:type="character" w:customStyle="1" w:styleId="CommentTextChar">
    <w:name w:val="Comment Text Char"/>
    <w:basedOn w:val="DefaultParagraphFont"/>
    <w:link w:val="CommentText"/>
    <w:uiPriority w:val="99"/>
    <w:rsid w:val="002677E3"/>
    <w:rPr>
      <w:rFonts w:ascii="Calibri" w:eastAsiaTheme="minorEastAsia" w:hAnsi="Calibri"/>
      <w:szCs w:val="22"/>
      <w:lang w:eastAsia="fr-FR"/>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2677E3"/>
    <w:pPr>
      <w:tabs>
        <w:tab w:val="clear" w:pos="567"/>
        <w:tab w:val="clear" w:pos="1134"/>
        <w:tab w:val="clear" w:pos="1701"/>
        <w:tab w:val="clear" w:pos="2268"/>
        <w:tab w:val="clear" w:pos="2835"/>
      </w:tabs>
      <w:overflowPunct/>
      <w:autoSpaceDE/>
      <w:autoSpaceDN/>
      <w:adjustRightInd/>
      <w:ind w:left="510"/>
      <w:textAlignment w:val="auto"/>
    </w:pPr>
    <w:rPr>
      <w:rFonts w:eastAsia="PMingLiU"/>
      <w:sz w:val="22"/>
      <w:szCs w:val="22"/>
      <w:lang w:val="en-US" w:eastAsia="zh-TW"/>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basedOn w:val="DefaultParagraphFont"/>
    <w:link w:val="ListParagraph"/>
    <w:uiPriority w:val="34"/>
    <w:qFormat/>
    <w:locked/>
    <w:rsid w:val="002677E3"/>
    <w:rPr>
      <w:rFonts w:ascii="Calibri" w:eastAsia="PMingLiU" w:hAnsi="Calibri"/>
      <w:sz w:val="22"/>
      <w:szCs w:val="22"/>
      <w:lang w:eastAsia="zh-TW"/>
    </w:rPr>
  </w:style>
  <w:style w:type="paragraph" w:customStyle="1" w:styleId="Tableheadwhitecentred">
    <w:name w:val="Table head white centred"/>
    <w:basedOn w:val="Normal"/>
    <w:rsid w:val="002677E3"/>
    <w:pPr>
      <w:tabs>
        <w:tab w:val="clear" w:pos="567"/>
        <w:tab w:val="clear" w:pos="1134"/>
        <w:tab w:val="clear" w:pos="1701"/>
        <w:tab w:val="clear" w:pos="2268"/>
        <w:tab w:val="clear" w:pos="2835"/>
      </w:tabs>
      <w:overflowPunct/>
      <w:autoSpaceDE/>
      <w:autoSpaceDN/>
      <w:adjustRightInd/>
      <w:textAlignment w:val="auto"/>
    </w:pPr>
    <w:rPr>
      <w:rFonts w:eastAsiaTheme="minorEastAsia"/>
      <w:sz w:val="21"/>
      <w:szCs w:val="22"/>
      <w:lang w:val="en-US" w:eastAsia="fr-FR"/>
    </w:rPr>
  </w:style>
  <w:style w:type="paragraph" w:customStyle="1" w:styleId="boxtext">
    <w:name w:val="box_text"/>
    <w:basedOn w:val="Normal"/>
    <w:link w:val="boxtextChar"/>
    <w:rsid w:val="002677E3"/>
    <w:pPr>
      <w:tabs>
        <w:tab w:val="clear" w:pos="567"/>
        <w:tab w:val="clear" w:pos="1134"/>
        <w:tab w:val="clear" w:pos="1701"/>
        <w:tab w:val="clear" w:pos="2268"/>
        <w:tab w:val="clear" w:pos="2835"/>
      </w:tabs>
      <w:overflowPunct/>
      <w:autoSpaceDE/>
      <w:autoSpaceDN/>
      <w:adjustRightInd/>
      <w:spacing w:before="60" w:after="60"/>
      <w:textAlignment w:val="auto"/>
    </w:pPr>
    <w:rPr>
      <w:rFonts w:eastAsiaTheme="minorEastAsia" w:cs="Calibri"/>
      <w:sz w:val="22"/>
      <w:szCs w:val="22"/>
      <w:lang w:val="en-US" w:eastAsia="fr-FR"/>
    </w:rPr>
  </w:style>
  <w:style w:type="character" w:customStyle="1" w:styleId="boxtextChar">
    <w:name w:val="box_text Char"/>
    <w:basedOn w:val="DefaultParagraphFont"/>
    <w:link w:val="boxtext"/>
    <w:locked/>
    <w:rsid w:val="002677E3"/>
    <w:rPr>
      <w:rFonts w:ascii="Calibri" w:eastAsiaTheme="minorEastAsia" w:hAnsi="Calibri" w:cs="Calibri"/>
      <w:sz w:val="22"/>
      <w:szCs w:val="22"/>
      <w:lang w:eastAsia="fr-FR"/>
    </w:rPr>
  </w:style>
  <w:style w:type="paragraph" w:customStyle="1" w:styleId="Tabletextcentred">
    <w:name w:val="Table text centred"/>
    <w:basedOn w:val="Normal"/>
    <w:rsid w:val="002677E3"/>
    <w:pPr>
      <w:tabs>
        <w:tab w:val="clear" w:pos="567"/>
        <w:tab w:val="clear" w:pos="1134"/>
        <w:tab w:val="clear" w:pos="1701"/>
        <w:tab w:val="clear" w:pos="2268"/>
        <w:tab w:val="clear" w:pos="2835"/>
      </w:tabs>
      <w:overflowPunct/>
      <w:autoSpaceDE/>
      <w:autoSpaceDN/>
      <w:adjustRightInd/>
      <w:textAlignment w:val="auto"/>
    </w:pPr>
    <w:rPr>
      <w:rFonts w:eastAsiaTheme="minorEastAsia"/>
      <w:sz w:val="21"/>
      <w:szCs w:val="22"/>
      <w:lang w:val="en-GB" w:eastAsia="fr-FR"/>
    </w:rPr>
  </w:style>
  <w:style w:type="paragraph" w:customStyle="1" w:styleId="Tabletextrightaligned">
    <w:name w:val="Table text right aligned"/>
    <w:basedOn w:val="Normal"/>
    <w:rsid w:val="002677E3"/>
    <w:pPr>
      <w:tabs>
        <w:tab w:val="clear" w:pos="567"/>
        <w:tab w:val="clear" w:pos="1134"/>
        <w:tab w:val="clear" w:pos="1701"/>
        <w:tab w:val="clear" w:pos="2268"/>
        <w:tab w:val="clear" w:pos="2835"/>
      </w:tabs>
      <w:overflowPunct/>
      <w:autoSpaceDE/>
      <w:autoSpaceDN/>
      <w:adjustRightInd/>
      <w:textAlignment w:val="auto"/>
    </w:pPr>
    <w:rPr>
      <w:rFonts w:eastAsiaTheme="minorEastAsia"/>
      <w:sz w:val="21"/>
      <w:szCs w:val="22"/>
      <w:lang w:val="en-GB" w:eastAsia="fr-FR"/>
    </w:rPr>
  </w:style>
  <w:style w:type="paragraph" w:styleId="NormalWeb">
    <w:name w:val="Normal (Web)"/>
    <w:basedOn w:val="Normal"/>
    <w:link w:val="NormalWebChar"/>
    <w:uiPriority w:val="99"/>
    <w:rsid w:val="002677E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1"/>
      <w:szCs w:val="24"/>
      <w:lang w:val="en-US" w:eastAsia="zh-CN"/>
    </w:rPr>
  </w:style>
  <w:style w:type="character" w:customStyle="1" w:styleId="NormalWebChar">
    <w:name w:val="Normal (Web) Char"/>
    <w:link w:val="NormalWeb"/>
    <w:uiPriority w:val="99"/>
    <w:locked/>
    <w:rsid w:val="002677E3"/>
    <w:rPr>
      <w:rFonts w:ascii="Calibri" w:eastAsia="SimSun" w:hAnsi="Calibri"/>
      <w:sz w:val="21"/>
      <w:szCs w:val="24"/>
    </w:rPr>
  </w:style>
  <w:style w:type="paragraph" w:styleId="PlainText">
    <w:name w:val="Plain Text"/>
    <w:basedOn w:val="Normal"/>
    <w:link w:val="PlainTextChar"/>
    <w:uiPriority w:val="99"/>
    <w:unhideWhenUsed/>
    <w:rsid w:val="002677E3"/>
    <w:pPr>
      <w:tabs>
        <w:tab w:val="clear" w:pos="567"/>
        <w:tab w:val="clear" w:pos="1134"/>
        <w:tab w:val="clear" w:pos="1701"/>
        <w:tab w:val="clear" w:pos="2268"/>
        <w:tab w:val="clear" w:pos="2835"/>
      </w:tabs>
      <w:overflowPunct/>
      <w:autoSpaceDE/>
      <w:autoSpaceDN/>
      <w:adjustRightInd/>
      <w:spacing w:before="0"/>
      <w:textAlignment w:val="auto"/>
    </w:pPr>
    <w:rPr>
      <w:rFonts w:ascii="Courier New" w:eastAsia="SimSun" w:hAnsi="Courier New" w:cs="Courier New"/>
      <w:sz w:val="20"/>
      <w:szCs w:val="22"/>
      <w:lang w:val="en-US" w:eastAsia="zh-CN"/>
    </w:rPr>
  </w:style>
  <w:style w:type="character" w:customStyle="1" w:styleId="PlainTextChar">
    <w:name w:val="Plain Text Char"/>
    <w:basedOn w:val="DefaultParagraphFont"/>
    <w:link w:val="PlainText"/>
    <w:uiPriority w:val="99"/>
    <w:rsid w:val="002677E3"/>
    <w:rPr>
      <w:rFonts w:ascii="Courier New" w:eastAsia="SimSun" w:hAnsi="Courier New" w:cs="Courier New"/>
      <w:szCs w:val="22"/>
    </w:rPr>
  </w:style>
  <w:style w:type="character" w:styleId="Emphasis">
    <w:name w:val="Emphasis"/>
    <w:basedOn w:val="DefaultParagraphFont"/>
    <w:uiPriority w:val="20"/>
    <w:qFormat/>
    <w:rsid w:val="002677E3"/>
    <w:rPr>
      <w:i/>
      <w:iCs/>
    </w:rPr>
  </w:style>
  <w:style w:type="character" w:customStyle="1" w:styleId="normalWSISChar">
    <w:name w:val="normal WSIS Char"/>
    <w:basedOn w:val="DefaultParagraphFont"/>
    <w:link w:val="normalWSIS"/>
    <w:locked/>
    <w:rsid w:val="002677E3"/>
    <w:rPr>
      <w:rFonts w:ascii="Calibri" w:eastAsia="SimSun" w:hAnsi="Calibri" w:cs="Arial"/>
    </w:rPr>
  </w:style>
  <w:style w:type="paragraph" w:customStyle="1" w:styleId="normalWSIS">
    <w:name w:val="normal WSIS"/>
    <w:basedOn w:val="ListParagraph"/>
    <w:link w:val="normalWSISChar"/>
    <w:qFormat/>
    <w:rsid w:val="002677E3"/>
    <w:pPr>
      <w:numPr>
        <w:numId w:val="12"/>
      </w:numPr>
      <w:tabs>
        <w:tab w:val="left" w:pos="426"/>
      </w:tabs>
      <w:spacing w:after="200"/>
    </w:pPr>
    <w:rPr>
      <w:rFonts w:eastAsia="SimSun" w:cs="Arial"/>
      <w:sz w:val="20"/>
      <w:szCs w:val="20"/>
      <w:lang w:eastAsia="zh-CN"/>
    </w:rPr>
  </w:style>
  <w:style w:type="paragraph" w:styleId="CommentSubject">
    <w:name w:val="annotation subject"/>
    <w:basedOn w:val="CommentText"/>
    <w:next w:val="CommentText"/>
    <w:link w:val="CommentSubjectChar"/>
    <w:uiPriority w:val="99"/>
    <w:semiHidden/>
    <w:unhideWhenUsed/>
    <w:rsid w:val="002677E3"/>
    <w:pPr>
      <w:spacing w:before="0"/>
    </w:pPr>
    <w:rPr>
      <w:rFonts w:asciiTheme="minorHAnsi" w:eastAsiaTheme="minorHAnsi" w:hAnsiTheme="minorHAnsi" w:cstheme="minorBidi"/>
      <w:b/>
      <w:bCs/>
      <w:szCs w:val="20"/>
      <w:lang w:val="en-GB" w:eastAsia="en-US"/>
    </w:rPr>
  </w:style>
  <w:style w:type="character" w:customStyle="1" w:styleId="CommentSubjectChar">
    <w:name w:val="Comment Subject Char"/>
    <w:basedOn w:val="CommentTextChar"/>
    <w:link w:val="CommentSubject"/>
    <w:uiPriority w:val="99"/>
    <w:semiHidden/>
    <w:rsid w:val="002677E3"/>
    <w:rPr>
      <w:rFonts w:asciiTheme="minorHAnsi" w:eastAsiaTheme="minorHAnsi" w:hAnsiTheme="minorHAnsi" w:cstheme="minorBidi"/>
      <w:b/>
      <w:bCs/>
      <w:szCs w:val="22"/>
      <w:lang w:val="en-GB" w:eastAsia="en-US"/>
    </w:rPr>
  </w:style>
  <w:style w:type="character" w:customStyle="1" w:styleId="Mention1">
    <w:name w:val="Mention1"/>
    <w:basedOn w:val="DefaultParagraphFont"/>
    <w:uiPriority w:val="99"/>
    <w:unhideWhenUsed/>
    <w:rsid w:val="002677E3"/>
    <w:rPr>
      <w:color w:val="2B579A"/>
      <w:shd w:val="clear" w:color="auto" w:fill="E1DFDD"/>
    </w:rPr>
  </w:style>
  <w:style w:type="character" w:customStyle="1" w:styleId="Heading5Char">
    <w:name w:val="Heading 5 Char"/>
    <w:basedOn w:val="DefaultParagraphFont"/>
    <w:link w:val="Heading5"/>
    <w:uiPriority w:val="9"/>
    <w:rsid w:val="002677E3"/>
    <w:rPr>
      <w:rFonts w:ascii="Calibri" w:hAnsi="Calibri"/>
      <w:b/>
      <w:sz w:val="24"/>
      <w:lang w:val="fr-FR" w:eastAsia="en-US"/>
    </w:rPr>
  </w:style>
  <w:style w:type="character" w:customStyle="1" w:styleId="Heading3Char">
    <w:name w:val="Heading 3 Char"/>
    <w:basedOn w:val="DefaultParagraphFont"/>
    <w:link w:val="Heading3"/>
    <w:uiPriority w:val="9"/>
    <w:rsid w:val="002677E3"/>
    <w:rPr>
      <w:rFonts w:ascii="Calibri" w:hAnsi="Calibri"/>
      <w:b/>
      <w:sz w:val="24"/>
      <w:lang w:val="fr-FR" w:eastAsia="en-US"/>
    </w:rPr>
  </w:style>
  <w:style w:type="paragraph" w:styleId="TOCHeading">
    <w:name w:val="TOC Heading"/>
    <w:basedOn w:val="Heading1"/>
    <w:next w:val="Normal"/>
    <w:uiPriority w:val="39"/>
    <w:unhideWhenUsed/>
    <w:qFormat/>
    <w:rsid w:val="002677E3"/>
    <w:pPr>
      <w:tabs>
        <w:tab w:val="clear" w:pos="567"/>
        <w:tab w:val="clear" w:pos="1134"/>
        <w:tab w:val="clear" w:pos="1701"/>
        <w:tab w:val="clear" w:pos="2268"/>
        <w:tab w:val="clear" w:pos="2835"/>
      </w:tabs>
      <w:overflowPunct/>
      <w:autoSpaceDE/>
      <w:autoSpaceDN/>
      <w:adjustRightInd/>
      <w:spacing w:before="240" w:line="259" w:lineRule="auto"/>
      <w:textAlignment w:val="auto"/>
      <w:outlineLvl w:val="9"/>
    </w:pPr>
    <w:rPr>
      <w:rFonts w:eastAsiaTheme="majorEastAsia" w:cs="Calibri"/>
      <w:b w:val="0"/>
      <w:color w:val="365F91" w:themeColor="accent1" w:themeShade="BF"/>
      <w:sz w:val="32"/>
      <w:szCs w:val="32"/>
      <w:lang w:val="en-US"/>
    </w:rPr>
  </w:style>
  <w:style w:type="character" w:styleId="Strong">
    <w:name w:val="Strong"/>
    <w:basedOn w:val="DefaultParagraphFont"/>
    <w:uiPriority w:val="22"/>
    <w:qFormat/>
    <w:rsid w:val="002677E3"/>
    <w:rPr>
      <w:b/>
      <w:bCs/>
    </w:rPr>
  </w:style>
  <w:style w:type="paragraph" w:customStyle="1" w:styleId="xmsolistparagraph">
    <w:name w:val="x_msolistparagraph"/>
    <w:basedOn w:val="Normal"/>
    <w:rsid w:val="002677E3"/>
    <w:pPr>
      <w:tabs>
        <w:tab w:val="clear" w:pos="567"/>
        <w:tab w:val="clear" w:pos="1134"/>
        <w:tab w:val="clear" w:pos="1701"/>
        <w:tab w:val="clear" w:pos="2268"/>
        <w:tab w:val="clear" w:pos="2835"/>
      </w:tabs>
      <w:overflowPunct/>
      <w:autoSpaceDE/>
      <w:autoSpaceDN/>
      <w:adjustRightInd/>
      <w:spacing w:before="0"/>
      <w:ind w:left="720"/>
      <w:textAlignment w:val="auto"/>
    </w:pPr>
    <w:rPr>
      <w:rFonts w:eastAsiaTheme="minorHAnsi" w:cs="Calibri"/>
      <w:sz w:val="22"/>
      <w:szCs w:val="22"/>
      <w:lang w:val="en-GB" w:eastAsia="en-GB"/>
    </w:rPr>
  </w:style>
  <w:style w:type="character" w:customStyle="1" w:styleId="apple-style-span">
    <w:name w:val="apple-style-span"/>
    <w:basedOn w:val="DefaultParagraphFont"/>
    <w:rsid w:val="002677E3"/>
  </w:style>
  <w:style w:type="character" w:styleId="SubtleEmphasis">
    <w:name w:val="Subtle Emphasis"/>
    <w:basedOn w:val="DefaultParagraphFont"/>
    <w:uiPriority w:val="19"/>
    <w:qFormat/>
    <w:rsid w:val="002677E3"/>
    <w:rPr>
      <w:i/>
      <w:iCs/>
      <w:color w:val="404040" w:themeColor="text1" w:themeTint="BF"/>
    </w:rPr>
  </w:style>
  <w:style w:type="paragraph" w:customStyle="1" w:styleId="tabletitle0">
    <w:name w:val="table_title"/>
    <w:basedOn w:val="Normal"/>
    <w:qFormat/>
    <w:rsid w:val="002677E3"/>
    <w:pPr>
      <w:keepNext/>
      <w:tabs>
        <w:tab w:val="clear" w:pos="567"/>
        <w:tab w:val="clear" w:pos="1134"/>
        <w:tab w:val="clear" w:pos="1701"/>
        <w:tab w:val="clear" w:pos="2268"/>
        <w:tab w:val="clear" w:pos="2835"/>
      </w:tabs>
      <w:overflowPunct/>
      <w:autoSpaceDE/>
      <w:autoSpaceDN/>
      <w:adjustRightInd/>
      <w:spacing w:before="0" w:after="120"/>
      <w:jc w:val="both"/>
      <w:textAlignment w:val="auto"/>
    </w:pPr>
    <w:rPr>
      <w:rFonts w:eastAsiaTheme="minorHAnsi" w:cs="Calibri"/>
      <w:b/>
      <w:bCs/>
      <w:color w:val="4472C4"/>
      <w:sz w:val="22"/>
      <w:szCs w:val="22"/>
      <w:lang w:val="en-GB"/>
    </w:rPr>
  </w:style>
  <w:style w:type="paragraph" w:customStyle="1" w:styleId="boxhead">
    <w:name w:val="box_head"/>
    <w:basedOn w:val="Normal"/>
    <w:qFormat/>
    <w:rsid w:val="002677E3"/>
    <w:pPr>
      <w:tabs>
        <w:tab w:val="clear" w:pos="567"/>
        <w:tab w:val="clear" w:pos="1134"/>
        <w:tab w:val="clear" w:pos="1701"/>
        <w:tab w:val="clear" w:pos="2268"/>
        <w:tab w:val="clear" w:pos="2835"/>
      </w:tabs>
      <w:overflowPunct/>
      <w:autoSpaceDE/>
      <w:autoSpaceDN/>
      <w:adjustRightInd/>
      <w:spacing w:after="60"/>
      <w:textAlignment w:val="auto"/>
    </w:pPr>
    <w:rPr>
      <w:rFonts w:eastAsia="Calibri" w:cs="Calibri"/>
      <w:b/>
      <w:sz w:val="22"/>
      <w:szCs w:val="22"/>
      <w:u w:val="single"/>
      <w:lang w:val="en-GB" w:eastAsia="zh-CN"/>
    </w:rPr>
  </w:style>
  <w:style w:type="paragraph" w:customStyle="1" w:styleId="boxbullet">
    <w:name w:val="box_bullet"/>
    <w:basedOn w:val="Normal"/>
    <w:qFormat/>
    <w:rsid w:val="002677E3"/>
    <w:pPr>
      <w:numPr>
        <w:numId w:val="13"/>
      </w:numPr>
      <w:tabs>
        <w:tab w:val="clear" w:pos="567"/>
        <w:tab w:val="clear" w:pos="1134"/>
        <w:tab w:val="clear" w:pos="1701"/>
        <w:tab w:val="clear" w:pos="2268"/>
        <w:tab w:val="clear" w:pos="2835"/>
      </w:tabs>
      <w:overflowPunct/>
      <w:autoSpaceDE/>
      <w:autoSpaceDN/>
      <w:adjustRightInd/>
      <w:spacing w:before="60" w:after="60"/>
      <w:ind w:left="714" w:hanging="357"/>
      <w:jc w:val="both"/>
      <w:textAlignment w:val="auto"/>
    </w:pPr>
    <w:rPr>
      <w:rFonts w:eastAsiaTheme="minorEastAsia" w:cs="Calibri"/>
      <w:sz w:val="22"/>
      <w:szCs w:val="22"/>
      <w:lang w:val="en-GB" w:eastAsia="zh-CN"/>
    </w:rPr>
  </w:style>
  <w:style w:type="paragraph" w:customStyle="1" w:styleId="Boxbullet2">
    <w:name w:val="Box_bullet2"/>
    <w:basedOn w:val="Normal"/>
    <w:qFormat/>
    <w:rsid w:val="002677E3"/>
    <w:pPr>
      <w:numPr>
        <w:ilvl w:val="1"/>
        <w:numId w:val="13"/>
      </w:numPr>
      <w:tabs>
        <w:tab w:val="clear" w:pos="567"/>
        <w:tab w:val="clear" w:pos="1134"/>
        <w:tab w:val="clear" w:pos="1701"/>
        <w:tab w:val="clear" w:pos="2268"/>
        <w:tab w:val="clear" w:pos="2835"/>
      </w:tabs>
      <w:overflowPunct/>
      <w:autoSpaceDE/>
      <w:autoSpaceDN/>
      <w:adjustRightInd/>
      <w:spacing w:before="60" w:after="60"/>
      <w:ind w:left="1434" w:hanging="357"/>
      <w:jc w:val="both"/>
      <w:textAlignment w:val="auto"/>
    </w:pPr>
    <w:rPr>
      <w:rFonts w:eastAsiaTheme="minorEastAsia"/>
      <w:sz w:val="22"/>
      <w:szCs w:val="22"/>
      <w:lang w:val="en-GB" w:eastAsia="zh-CN"/>
    </w:rPr>
  </w:style>
  <w:style w:type="paragraph" w:customStyle="1" w:styleId="tabletext0">
    <w:name w:val="table_text"/>
    <w:basedOn w:val="Normal"/>
    <w:rsid w:val="002677E3"/>
    <w:pPr>
      <w:tabs>
        <w:tab w:val="clear" w:pos="567"/>
        <w:tab w:val="clear" w:pos="1134"/>
        <w:tab w:val="clear" w:pos="1701"/>
        <w:tab w:val="clear" w:pos="2268"/>
        <w:tab w:val="clear" w:pos="2835"/>
      </w:tabs>
      <w:overflowPunct/>
      <w:autoSpaceDE/>
      <w:autoSpaceDN/>
      <w:adjustRightInd/>
      <w:spacing w:before="80" w:after="80"/>
      <w:jc w:val="both"/>
      <w:textAlignment w:val="auto"/>
    </w:pPr>
    <w:rPr>
      <w:rFonts w:eastAsiaTheme="minorEastAsia" w:cs="Calibri"/>
      <w:sz w:val="22"/>
      <w:szCs w:val="22"/>
      <w:lang w:val="en-GB" w:eastAsia="zh-CN"/>
    </w:rPr>
  </w:style>
  <w:style w:type="character" w:customStyle="1" w:styleId="Heading9Char">
    <w:name w:val="Heading 9 Char"/>
    <w:basedOn w:val="DefaultParagraphFont"/>
    <w:link w:val="Heading9"/>
    <w:uiPriority w:val="9"/>
    <w:rsid w:val="002677E3"/>
    <w:rPr>
      <w:rFonts w:ascii="Calibri" w:hAnsi="Calibri"/>
      <w:b/>
      <w:sz w:val="24"/>
      <w:lang w:val="fr-FR" w:eastAsia="en-US"/>
    </w:rPr>
  </w:style>
  <w:style w:type="character" w:customStyle="1" w:styleId="A0">
    <w:name w:val="A0"/>
    <w:uiPriority w:val="99"/>
    <w:rsid w:val="002677E3"/>
    <w:rPr>
      <w:color w:val="404041"/>
      <w:sz w:val="21"/>
      <w:szCs w:val="21"/>
    </w:rPr>
  </w:style>
  <w:style w:type="paragraph" w:customStyle="1" w:styleId="Bulletlist1">
    <w:name w:val="Bullet list 1"/>
    <w:basedOn w:val="Normal"/>
    <w:rsid w:val="002677E3"/>
    <w:pPr>
      <w:tabs>
        <w:tab w:val="clear" w:pos="567"/>
        <w:tab w:val="clear" w:pos="1134"/>
        <w:tab w:val="clear" w:pos="1701"/>
        <w:tab w:val="clear" w:pos="2268"/>
        <w:tab w:val="clear" w:pos="2835"/>
      </w:tabs>
      <w:overflowPunct/>
      <w:autoSpaceDE/>
      <w:autoSpaceDN/>
      <w:adjustRightInd/>
      <w:ind w:left="425" w:hanging="425"/>
      <w:textAlignment w:val="auto"/>
    </w:pPr>
    <w:rPr>
      <w:rFonts w:eastAsiaTheme="minorEastAsia"/>
      <w:sz w:val="21"/>
      <w:szCs w:val="22"/>
      <w:lang w:val="en-US" w:eastAsia="fr-FR"/>
    </w:rPr>
  </w:style>
  <w:style w:type="paragraph" w:customStyle="1" w:styleId="xxxmsonormal">
    <w:name w:val="x_xxmsonormal"/>
    <w:basedOn w:val="Normal"/>
    <w:rsid w:val="002677E3"/>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 w:val="22"/>
      <w:szCs w:val="22"/>
      <w:lang w:val="en-GB" w:eastAsia="en-GB"/>
    </w:rPr>
  </w:style>
  <w:style w:type="character" w:customStyle="1" w:styleId="SmartLink1">
    <w:name w:val="SmartLink1"/>
    <w:basedOn w:val="DefaultParagraphFont"/>
    <w:uiPriority w:val="99"/>
    <w:semiHidden/>
    <w:unhideWhenUsed/>
    <w:rsid w:val="002677E3"/>
    <w:rPr>
      <w:color w:val="0000FF"/>
      <w:u w:val="single"/>
      <w:shd w:val="clear" w:color="auto" w:fill="F3F2F1"/>
    </w:rPr>
  </w:style>
  <w:style w:type="character" w:customStyle="1" w:styleId="apple-converted-space">
    <w:name w:val="apple-converted-space"/>
    <w:basedOn w:val="DefaultParagraphFont"/>
    <w:rsid w:val="002677E3"/>
  </w:style>
  <w:style w:type="character" w:customStyle="1" w:styleId="ms-rtethemeforecolor-2-0">
    <w:name w:val="ms-rtethemeforecolor-2-0"/>
    <w:basedOn w:val="DefaultParagraphFont"/>
    <w:rsid w:val="002677E3"/>
  </w:style>
  <w:style w:type="character" w:customStyle="1" w:styleId="Heading4Char">
    <w:name w:val="Heading 4 Char"/>
    <w:basedOn w:val="DefaultParagraphFont"/>
    <w:link w:val="Heading4"/>
    <w:uiPriority w:val="9"/>
    <w:rsid w:val="002677E3"/>
    <w:rPr>
      <w:rFonts w:ascii="Calibri" w:hAnsi="Calibri"/>
      <w:b/>
      <w:sz w:val="24"/>
      <w:lang w:val="fr-FR" w:eastAsia="en-US"/>
    </w:rPr>
  </w:style>
  <w:style w:type="character" w:customStyle="1" w:styleId="UnresolvedMention10">
    <w:name w:val="Unresolved Mention10"/>
    <w:basedOn w:val="DefaultParagraphFont"/>
    <w:uiPriority w:val="99"/>
    <w:unhideWhenUsed/>
    <w:rsid w:val="002677E3"/>
    <w:rPr>
      <w:color w:val="605E5C"/>
      <w:shd w:val="clear" w:color="auto" w:fill="E1DFDD"/>
    </w:rPr>
  </w:style>
  <w:style w:type="character" w:customStyle="1" w:styleId="Mention10">
    <w:name w:val="Mention10"/>
    <w:basedOn w:val="DefaultParagraphFont"/>
    <w:uiPriority w:val="99"/>
    <w:unhideWhenUsed/>
    <w:rsid w:val="002677E3"/>
    <w:rPr>
      <w:color w:val="2B579A"/>
      <w:shd w:val="clear" w:color="auto" w:fill="E1DFDD"/>
    </w:rPr>
  </w:style>
  <w:style w:type="numbering" w:customStyle="1" w:styleId="NoList1">
    <w:name w:val="No List1"/>
    <w:next w:val="NoList"/>
    <w:uiPriority w:val="99"/>
    <w:semiHidden/>
    <w:unhideWhenUsed/>
    <w:rsid w:val="002677E3"/>
  </w:style>
  <w:style w:type="character" w:customStyle="1" w:styleId="UnresolvedMention2">
    <w:name w:val="Unresolved Mention2"/>
    <w:basedOn w:val="DefaultParagraphFont"/>
    <w:uiPriority w:val="99"/>
    <w:semiHidden/>
    <w:unhideWhenUsed/>
    <w:rsid w:val="002677E3"/>
    <w:rPr>
      <w:color w:val="605E5C"/>
      <w:shd w:val="clear" w:color="auto" w:fill="E1DFDD"/>
    </w:rPr>
  </w:style>
  <w:style w:type="character" w:customStyle="1" w:styleId="Mention2">
    <w:name w:val="Mention2"/>
    <w:basedOn w:val="DefaultParagraphFont"/>
    <w:uiPriority w:val="99"/>
    <w:unhideWhenUsed/>
    <w:rsid w:val="002677E3"/>
    <w:rPr>
      <w:color w:val="2B579A"/>
      <w:shd w:val="clear" w:color="auto" w:fill="E1DFDD"/>
    </w:rPr>
  </w:style>
  <w:style w:type="paragraph" w:styleId="EndnoteText">
    <w:name w:val="endnote text"/>
    <w:basedOn w:val="Normal"/>
    <w:link w:val="EndnoteTextChar"/>
    <w:uiPriority w:val="99"/>
    <w:semiHidden/>
    <w:unhideWhenUsed/>
    <w:rsid w:val="002677E3"/>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Theme="minorHAnsi" w:hAnsiTheme="minorHAnsi" w:cstheme="minorBidi"/>
      <w:sz w:val="20"/>
      <w:lang w:val="en-GB"/>
    </w:rPr>
  </w:style>
  <w:style w:type="character" w:customStyle="1" w:styleId="EndnoteTextChar">
    <w:name w:val="Endnote Text Char"/>
    <w:basedOn w:val="DefaultParagraphFont"/>
    <w:link w:val="EndnoteText"/>
    <w:uiPriority w:val="99"/>
    <w:semiHidden/>
    <w:rsid w:val="002677E3"/>
    <w:rPr>
      <w:rFonts w:asciiTheme="minorHAnsi" w:eastAsiaTheme="minorHAnsi" w:hAnsiTheme="minorHAnsi" w:cstheme="minorBidi"/>
      <w:lang w:val="en-GB" w:eastAsia="en-US"/>
    </w:rPr>
  </w:style>
  <w:style w:type="character" w:styleId="EndnoteReference">
    <w:name w:val="endnote reference"/>
    <w:basedOn w:val="DefaultParagraphFont"/>
    <w:uiPriority w:val="99"/>
    <w:semiHidden/>
    <w:unhideWhenUsed/>
    <w:rsid w:val="002677E3"/>
    <w:rPr>
      <w:vertAlign w:val="superscript"/>
    </w:rPr>
  </w:style>
  <w:style w:type="paragraph" w:customStyle="1" w:styleId="yiv3170009829msonormal">
    <w:name w:val="yiv3170009829msonormal"/>
    <w:basedOn w:val="Normal"/>
    <w:rsid w:val="002677E3"/>
    <w:pPr>
      <w:tabs>
        <w:tab w:val="clear" w:pos="567"/>
        <w:tab w:val="clear" w:pos="1134"/>
        <w:tab w:val="clear" w:pos="1701"/>
        <w:tab w:val="clear" w:pos="2268"/>
        <w:tab w:val="clear" w:pos="2835"/>
      </w:tabs>
      <w:suppressAutoHyphens/>
      <w:overflowPunct/>
      <w:autoSpaceDE/>
      <w:adjustRightInd/>
      <w:spacing w:before="100" w:after="100"/>
    </w:pPr>
    <w:rPr>
      <w:rFonts w:ascii="Times New Roman" w:hAnsi="Times New Roman"/>
      <w:szCs w:val="24"/>
      <w:lang w:val="fr-CH" w:eastAsia="fr-CH"/>
    </w:rPr>
  </w:style>
  <w:style w:type="character" w:customStyle="1" w:styleId="yiv3170009829msohyperlink">
    <w:name w:val="yiv3170009829msohyperlink"/>
    <w:basedOn w:val="DefaultParagraphFont"/>
    <w:rsid w:val="002677E3"/>
  </w:style>
  <w:style w:type="character" w:customStyle="1" w:styleId="tabchar">
    <w:name w:val="tabchar"/>
    <w:basedOn w:val="DefaultParagraphFont"/>
    <w:rsid w:val="002677E3"/>
  </w:style>
  <w:style w:type="character" w:customStyle="1" w:styleId="ui-provider">
    <w:name w:val="ui-provider"/>
    <w:basedOn w:val="DefaultParagraphFont"/>
    <w:rsid w:val="002677E3"/>
  </w:style>
  <w:style w:type="paragraph" w:customStyle="1" w:styleId="Subtitle1">
    <w:name w:val="Subtitle1"/>
    <w:basedOn w:val="Title1"/>
    <w:qFormat/>
    <w:rsid w:val="002677E3"/>
    <w:pPr>
      <w:framePr w:hSpace="180" w:wrap="around" w:hAnchor="page" w:x="1821" w:y="2317"/>
      <w:spacing w:before="120" w:after="160"/>
      <w:jc w:val="left"/>
    </w:pPr>
    <w:rPr>
      <w:caps w:val="0"/>
      <w:sz w:val="3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rec/T-REC-F.780.2" TargetMode="External"/><Relationship Id="rId21" Type="http://schemas.openxmlformats.org/officeDocument/2006/relationships/hyperlink" Target="https://council.itu.int/en/networking/resources/annual-activities-report/" TargetMode="External"/><Relationship Id="rId42" Type="http://schemas.openxmlformats.org/officeDocument/2006/relationships/hyperlink" Target="https://www.itu.int/en/ITU-T/extcoop/ai-data-commons/Pages/default.aspx" TargetMode="External"/><Relationship Id="rId63" Type="http://schemas.openxmlformats.org/officeDocument/2006/relationships/hyperlink" Target="https://www.itu.int/en/ITU-D/Emergency-Telecommunications/Pages/Response.aspx" TargetMode="External"/><Relationship Id="rId84" Type="http://schemas.openxmlformats.org/officeDocument/2006/relationships/hyperlink" Target="https://www.itu.int/md/S23-CL-INF-0002" TargetMode="External"/><Relationship Id="rId138" Type="http://schemas.openxmlformats.org/officeDocument/2006/relationships/hyperlink" Target="https://www.broadbandcommission.org/event/2022-annual-spring-meeting-of-the-broadband-commission/" TargetMode="External"/><Relationship Id="rId159" Type="http://schemas.openxmlformats.org/officeDocument/2006/relationships/hyperlink" Target="https://www.itu.int/en/ITU-T/focusgroups/ai4h/Pages/default.aspx" TargetMode="External"/><Relationship Id="rId170" Type="http://schemas.openxmlformats.org/officeDocument/2006/relationships/hyperlink" Target="https://www.itu.int/en/ITU-R/seminars/rrs/rrs-22-ee/Pages/default.aspx" TargetMode="External"/><Relationship Id="rId191" Type="http://schemas.openxmlformats.org/officeDocument/2006/relationships/footer" Target="footer1.xml"/><Relationship Id="rId107" Type="http://schemas.openxmlformats.org/officeDocument/2006/relationships/hyperlink" Target="https://www.itu.int/en/ITU-D/Regional-Presence/Americas/Pages/EVENTS/2022/AA-2022.aspx" TargetMode="External"/><Relationship Id="rId11" Type="http://schemas.openxmlformats.org/officeDocument/2006/relationships/hyperlink" Target="https://www.itu.int/en/council/Documents/basic-texts-2023/Convention-F.pdf" TargetMode="External"/><Relationship Id="rId32" Type="http://schemas.openxmlformats.org/officeDocument/2006/relationships/hyperlink" Target="https://www.itu.int/fr/ITU-T/publications/Pages/recs.aspx" TargetMode="External"/><Relationship Id="rId53" Type="http://schemas.openxmlformats.org/officeDocument/2006/relationships/hyperlink" Target="https://www.itu.int/en/ITU-D/Environment/Pages/Toolbox/thought-paper-2022.aspx" TargetMode="External"/><Relationship Id="rId74" Type="http://schemas.openxmlformats.org/officeDocument/2006/relationships/hyperlink" Target="https://www.itu.int/md/S23-CL-C-0038/en" TargetMode="External"/><Relationship Id="rId128" Type="http://schemas.openxmlformats.org/officeDocument/2006/relationships/hyperlink" Target="https://www.itu.int/pub/D-PHCB-DIG_AGE-2021" TargetMode="External"/><Relationship Id="rId149" Type="http://schemas.openxmlformats.org/officeDocument/2006/relationships/hyperlink" Target="https://broadbandcommission.org/publication/the-transformative-potential-of-data-for-learning-interim-report/" TargetMode="External"/><Relationship Id="rId5" Type="http://schemas.openxmlformats.org/officeDocument/2006/relationships/webSettings" Target="webSettings.xml"/><Relationship Id="rId95" Type="http://schemas.openxmlformats.org/officeDocument/2006/relationships/hyperlink" Target="https://youngaworld.com/youthdelegate/" TargetMode="External"/><Relationship Id="rId160" Type="http://schemas.openxmlformats.org/officeDocument/2006/relationships/hyperlink" Target="https://www.itu.int/en/ITU-T/focusgroups/ai4ndm/Pages/default.aspx" TargetMode="External"/><Relationship Id="rId181" Type="http://schemas.openxmlformats.org/officeDocument/2006/relationships/hyperlink" Target="https://www.itu.int/en/ITU-T/academia/kaleidoscope/2022/Pages/programme.aspx" TargetMode="External"/><Relationship Id="rId22" Type="http://schemas.openxmlformats.org/officeDocument/2006/relationships/hyperlink" Target="https://www.itu.int/itu-d/reports/statistics/2022/11/24/ff22-the-gender-digital-divide/" TargetMode="External"/><Relationship Id="rId43" Type="http://schemas.openxmlformats.org/officeDocument/2006/relationships/hyperlink" Target="https://www.itu.int/fr/ITU-T/studygroups/2022-2024/20/Pages/default.aspx" TargetMode="External"/><Relationship Id="rId64" Type="http://schemas.openxmlformats.org/officeDocument/2006/relationships/hyperlink" Target="https://www.itu.int/en/ITU-D/Emergency-Telecommunications/Pages/Response.aspx" TargetMode="External"/><Relationship Id="rId118" Type="http://schemas.openxmlformats.org/officeDocument/2006/relationships/hyperlink" Target="https://www.itu.int/en/ITU-T/focusgroups/ai4h/Pages/default.aspx" TargetMode="External"/><Relationship Id="rId139" Type="http://schemas.openxmlformats.org/officeDocument/2006/relationships/hyperlink" Target="https://www.broadbandcommission.org/event/2022-annual-fall-meeting-of-the-broadband-commission/" TargetMode="External"/><Relationship Id="rId85" Type="http://schemas.openxmlformats.org/officeDocument/2006/relationships/hyperlink" Target="https://app.powerbi.com/view?r=eyJrIjoiNTNlMzVkYmItZWE5ZC00NTMwLTk2ZTgtZjJiM2IxZmJjY2UyIiwidCI6IjIzZTQ2NGQ3LTA0ZTYtNGI4Ny05MTNjLTI0YmQ4OTIxOWZkMyIsImMiOjl9" TargetMode="External"/><Relationship Id="rId150" Type="http://schemas.openxmlformats.org/officeDocument/2006/relationships/hyperlink" Target="https://www.broadbandcommission.org/working-groups/msmes/" TargetMode="External"/><Relationship Id="rId171" Type="http://schemas.openxmlformats.org/officeDocument/2006/relationships/hyperlink" Target="https://www.itu.int/en/ITU-R/seminars/rrs/RRS-22-Asia-Pacific/Pages/default.aspx" TargetMode="External"/><Relationship Id="rId192" Type="http://schemas.openxmlformats.org/officeDocument/2006/relationships/footer" Target="footer2.xml"/><Relationship Id="rId12" Type="http://schemas.openxmlformats.org/officeDocument/2006/relationships/image" Target="media/image1.png"/><Relationship Id="rId33" Type="http://schemas.openxmlformats.org/officeDocument/2006/relationships/hyperlink" Target="https://www.itu.int/fr/ITU-T/studygroups/2022-2024/Pages/default.aspx" TargetMode="External"/><Relationship Id="rId108" Type="http://schemas.openxmlformats.org/officeDocument/2006/relationships/hyperlink" Target="https://www.itu.int/en/ITU-D/Regional-Presence/Europe/Pages/Events/2022/Accessible%20Europe%20ICT%204%20All%20Forum%20-%206%20Dec%202022/Accessible-Europe-ICT-4-All-Forum--Celebration-of-the-International-Day-of-Persons-with-Disabilities-.aspx" TargetMode="External"/><Relationship Id="rId129" Type="http://schemas.openxmlformats.org/officeDocument/2006/relationships/hyperlink" Target="https://www.youtube.com/watch?v=eWjCQKBIuwE&amp;list=PLpoIPNlF8P2Pnmu-cTQbhvGjeDnkY_bX9&amp;index=5" TargetMode="External"/><Relationship Id="rId54" Type="http://schemas.openxmlformats.org/officeDocument/2006/relationships/hyperlink" Target="https://www.itu.int/en/ITU-T/climatechange/symposia/202210/Pages/default.aspx" TargetMode="External"/><Relationship Id="rId75" Type="http://schemas.openxmlformats.org/officeDocument/2006/relationships/hyperlink" Target="https://www.itu.int/md/S23-CL-C-0006/en" TargetMode="External"/><Relationship Id="rId96" Type="http://schemas.openxmlformats.org/officeDocument/2006/relationships/hyperlink" Target="https://www.itu.int/generationconnect/generation-connect-at-ldc5/" TargetMode="External"/><Relationship Id="rId140" Type="http://schemas.openxmlformats.org/officeDocument/2006/relationships/hyperlink" Target="https://broadbandcommission.org/publication/state-of-broadband-2022/" TargetMode="External"/><Relationship Id="rId161" Type="http://schemas.openxmlformats.org/officeDocument/2006/relationships/hyperlink" Target="https://www.itu.int/en/ITU-T/Workshops-and-Seminars/2022/1024/Pages/default.aspx" TargetMode="External"/><Relationship Id="rId182" Type="http://schemas.openxmlformats.org/officeDocument/2006/relationships/hyperlink" Target="https://aiforgood.itu.int/" TargetMode="External"/><Relationship Id="rId6" Type="http://schemas.openxmlformats.org/officeDocument/2006/relationships/footnotes" Target="footnotes.xml"/><Relationship Id="rId23" Type="http://schemas.openxmlformats.org/officeDocument/2006/relationships/hyperlink" Target="https://council.itu.int/en/networking/resources/annual-activities-report/" TargetMode="External"/><Relationship Id="rId119" Type="http://schemas.openxmlformats.org/officeDocument/2006/relationships/hyperlink" Target="https://www.itu.int/pub/R-REP-BT.2207" TargetMode="External"/><Relationship Id="rId44" Type="http://schemas.openxmlformats.org/officeDocument/2006/relationships/hyperlink" Target="https://www.itu.int/ITU-T/recommendations/index_sg.aspx?sg=20" TargetMode="External"/><Relationship Id="rId65" Type="http://schemas.openxmlformats.org/officeDocument/2006/relationships/hyperlink" Target="https://www.itu.int/en/ITU-D/Emergency-Telecommunications/Pages/ITU-Online-Modules-on-Emergency-Telecommunications.aspx" TargetMode="External"/><Relationship Id="rId86" Type="http://schemas.openxmlformats.org/officeDocument/2006/relationships/hyperlink" Target="http://www.itu.int/gender" TargetMode="External"/><Relationship Id="rId130" Type="http://schemas.openxmlformats.org/officeDocument/2006/relationships/hyperlink" Target="https://www.youtube.com/watch?v=yHDbZqMkHYA&amp;list=PLpoIPNlF8P2Pnmu-cTQbhvGjeDnkY_bX9&amp;index=6" TargetMode="External"/><Relationship Id="rId151" Type="http://schemas.openxmlformats.org/officeDocument/2006/relationships/hyperlink" Target="https://www.equalsintech.org/" TargetMode="External"/><Relationship Id="rId172" Type="http://schemas.openxmlformats.org/officeDocument/2006/relationships/hyperlink" Target="https://www.itu.int/en/ITU-T/Workshops-and-Seminars/2023/0124/Pages/default.aspx" TargetMode="External"/><Relationship Id="rId193" Type="http://schemas.openxmlformats.org/officeDocument/2006/relationships/header" Target="header3.xml"/><Relationship Id="rId13" Type="http://schemas.openxmlformats.org/officeDocument/2006/relationships/image" Target="media/image2.png"/><Relationship Id="rId109" Type="http://schemas.openxmlformats.org/officeDocument/2006/relationships/hyperlink" Target="https://www.itu.int/itu-d/sites/arabstates/fr/" TargetMode="External"/><Relationship Id="rId34" Type="http://schemas.openxmlformats.org/officeDocument/2006/relationships/hyperlink" Target="https://www.itu.int/en/ITU-T/focusgroups/Pages/default.aspx" TargetMode="External"/><Relationship Id="rId50" Type="http://schemas.openxmlformats.org/officeDocument/2006/relationships/hyperlink" Target="https://www.itu.int/en/ITU-D/Environment/Pages/Priority-Areas/E-waste-Data-Support.aspx" TargetMode="External"/><Relationship Id="rId55" Type="http://schemas.openxmlformats.org/officeDocument/2006/relationships/hyperlink" Target="https://www.itu.int/en/ITU-D/Environment/Pages/Toolbox/Greening-Digital-Companies.aspx" TargetMode="External"/><Relationship Id="rId76" Type="http://schemas.openxmlformats.org/officeDocument/2006/relationships/hyperlink" Target="https://www.itu.int/women-and-girls/girls-in-ict/fr/" TargetMode="External"/><Relationship Id="rId97" Type="http://schemas.openxmlformats.org/officeDocument/2006/relationships/hyperlink" Target="https://www.mwcbarcelona.com/" TargetMode="External"/><Relationship Id="rId104" Type="http://schemas.openxmlformats.org/officeDocument/2006/relationships/hyperlink" Target="https://www.itu.int/net4/wsis/forum/2023/fr/Home/ICTsYouthPrize" TargetMode="External"/><Relationship Id="rId120" Type="http://schemas.openxmlformats.org/officeDocument/2006/relationships/hyperlink" Target="https://www.itu.int/pub/R-REP-SM.2153" TargetMode="External"/><Relationship Id="rId125" Type="http://schemas.openxmlformats.org/officeDocument/2006/relationships/hyperlink" Target="https://event.silvereconomyforum.com/" TargetMode="External"/><Relationship Id="rId141" Type="http://schemas.openxmlformats.org/officeDocument/2006/relationships/hyperlink" Target="https://broadbandcommission.org/publication/tes-open-statement/" TargetMode="External"/><Relationship Id="rId146" Type="http://schemas.openxmlformats.org/officeDocument/2006/relationships/hyperlink" Target="https://www.broadbandcommission.org/working-groups/ai-capacity-building/" TargetMode="External"/><Relationship Id="rId167" Type="http://schemas.openxmlformats.org/officeDocument/2006/relationships/hyperlink" Target="https://www.itu.int/cities/standards4dt/ep22/" TargetMode="External"/><Relationship Id="rId188" Type="http://schemas.openxmlformats.org/officeDocument/2006/relationships/hyperlink" Target="https://www.itu.int/net4/Search/CL23/Main/Reader" TargetMode="External"/><Relationship Id="rId7" Type="http://schemas.openxmlformats.org/officeDocument/2006/relationships/endnotes" Target="endnotes.xml"/><Relationship Id="rId71" Type="http://schemas.openxmlformats.org/officeDocument/2006/relationships/hyperlink" Target="https://toolkit-dt4c.itu.int/" TargetMode="External"/><Relationship Id="rId92" Type="http://schemas.openxmlformats.org/officeDocument/2006/relationships/hyperlink" Target="https://youtu.be/-nX0Uldv56s" TargetMode="External"/><Relationship Id="rId162" Type="http://schemas.openxmlformats.org/officeDocument/2006/relationships/hyperlink" Target="https://www.itu.int/en/ITU-T/webinars/20230419/Pages/default.aspx" TargetMode="External"/><Relationship Id="rId183" Type="http://schemas.openxmlformats.org/officeDocument/2006/relationships/hyperlink" Target="https://aiforgood.itu.int/" TargetMode="External"/><Relationship Id="rId2" Type="http://schemas.openxmlformats.org/officeDocument/2006/relationships/numbering" Target="numbering.xml"/><Relationship Id="rId29" Type="http://schemas.openxmlformats.org/officeDocument/2006/relationships/hyperlink" Target="https://www.itu.int/md/R00-CR-CIR-0495/en" TargetMode="External"/><Relationship Id="rId24" Type="http://schemas.openxmlformats.org/officeDocument/2006/relationships/hyperlink" Target="https://www.itu.int/en/ITU-D/Environment/Pages/Spotlight/Global-Ewaste-Monitor-2020.aspx" TargetMode="External"/><Relationship Id="rId40" Type="http://schemas.openxmlformats.org/officeDocument/2006/relationships/hyperlink" Target="https://www.itu.int/dms_pub/itu-s/opb/gen/S-GEN-UNACT-2022-PDF-E.pdf" TargetMode="External"/><Relationship Id="rId45" Type="http://schemas.openxmlformats.org/officeDocument/2006/relationships/hyperlink" Target="https://www.itu.int/en/ITU-T/focusgroups/mv/Pages/default.aspx" TargetMode="External"/><Relationship Id="rId66" Type="http://schemas.openxmlformats.org/officeDocument/2006/relationships/hyperlink" Target="https://www.itu.int/en/ITU-D/Emergency-Telecommunications/Pages/Simulation-Exercises.aspx" TargetMode="External"/><Relationship Id="rId87" Type="http://schemas.openxmlformats.org/officeDocument/2006/relationships/hyperlink" Target="http://www.itu.int/genderdashboard" TargetMode="External"/><Relationship Id="rId110" Type="http://schemas.openxmlformats.org/officeDocument/2006/relationships/hyperlink" Target="https://www.itu.int/en/ITU-D/Digital-Inclusion/Pages/resources-on-ICT-accessibility/default.aspx" TargetMode="External"/><Relationship Id="rId115" Type="http://schemas.openxmlformats.org/officeDocument/2006/relationships/hyperlink" Target="https://academy.itu.int/training-courses/full-catalogue/how-ensure-inclusive-digital-communication-during-crises-and-emergency-situations-1" TargetMode="External"/><Relationship Id="rId131" Type="http://schemas.openxmlformats.org/officeDocument/2006/relationships/hyperlink" Target="https://www.youtube.com/watch?v=41HiCZwPN5E&amp;list=PLpoIPNlF8P2Pnmu-cTQbhvGjeDnkY_bX9&amp;index=2" TargetMode="External"/><Relationship Id="rId136" Type="http://schemas.openxmlformats.org/officeDocument/2006/relationships/hyperlink" Target="https://www.itu.int/itu-d/sites/partner2connect/fr/" TargetMode="External"/><Relationship Id="rId157" Type="http://schemas.openxmlformats.org/officeDocument/2006/relationships/hyperlink" Target="https://www.itu.int/en/ITU-D/Digital-Inclusion/Pages/EIF-Regional-Project-.aspx" TargetMode="External"/><Relationship Id="rId178" Type="http://schemas.openxmlformats.org/officeDocument/2006/relationships/hyperlink" Target="https://www.itu.int/net4/wsis/stocktaking/prizes/2023/" TargetMode="External"/><Relationship Id="rId61" Type="http://schemas.openxmlformats.org/officeDocument/2006/relationships/hyperlink" Target="https://www.itu.int/en/ITU-D/Emergency-Telecommunications/Pages/ITU-SADC-Validation-Workshop-Mar23.aspx" TargetMode="External"/><Relationship Id="rId82" Type="http://schemas.openxmlformats.org/officeDocument/2006/relationships/hyperlink" Target="https://www.itu.int/fr/ITU-D/Conferences/WTDC/WTDC21/NoW/Pages/default.aspx" TargetMode="External"/><Relationship Id="rId152" Type="http://schemas.openxmlformats.org/officeDocument/2006/relationships/hyperlink" Target="https://www.equalsintech.org/her-digital-skills" TargetMode="External"/><Relationship Id="rId173" Type="http://schemas.openxmlformats.org/officeDocument/2006/relationships/hyperlink" Target="https://www.itu.int/en/ITU-T/Workshops-and-Seminars/2023/Pages/default.aspx" TargetMode="External"/><Relationship Id="rId194" Type="http://schemas.openxmlformats.org/officeDocument/2006/relationships/footer" Target="footer3.xml"/><Relationship Id="rId19" Type="http://schemas.openxmlformats.org/officeDocument/2006/relationships/hyperlink" Target="https://www.itu.int/pub/S-CONF-ACTF-2022/fr" TargetMode="External"/><Relationship Id="rId14" Type="http://schemas.openxmlformats.org/officeDocument/2006/relationships/hyperlink" Target="https://pp22.itu.int/fr/elections/elections-results/" TargetMode="External"/><Relationship Id="rId30" Type="http://schemas.openxmlformats.org/officeDocument/2006/relationships/hyperlink" Target="https://www.itu.int/en/ITU-R/space/Pages/ITU-Space-RadioMonitoring.aspx" TargetMode="External"/><Relationship Id="rId35" Type="http://schemas.openxmlformats.org/officeDocument/2006/relationships/hyperlink" Target="https://www.itu.int/en/ITU-T/focusgroups/tbfxg/Pages/default.aspx" TargetMode="External"/><Relationship Id="rId56" Type="http://schemas.openxmlformats.org/officeDocument/2006/relationships/hyperlink" Target="https://www.itu.int/en/ITU-D/Environment/Pages/Events/2022/Greening-Digital-Companies.aspx" TargetMode="External"/><Relationship Id="rId77" Type="http://schemas.openxmlformats.org/officeDocument/2006/relationships/hyperlink" Target="https://www.equalsintech.org/" TargetMode="External"/><Relationship Id="rId100" Type="http://schemas.openxmlformats.org/officeDocument/2006/relationships/hyperlink" Target="https://www.itu.int/generationconnect/generation-connect-podcast/" TargetMode="External"/><Relationship Id="rId105" Type="http://schemas.openxmlformats.org/officeDocument/2006/relationships/hyperlink" Target="https://www.itu.int/en/ITU-D/Digital-Inclusion/Pages/ICT-digital-accessibility/default.aspx" TargetMode="External"/><Relationship Id="rId126" Type="http://schemas.openxmlformats.org/officeDocument/2006/relationships/hyperlink" Target="https://www.un.org/development/desa/ageing/news/2022/05/mainstreaming-knowledge-on-ageing-virtual-roundtable-series/" TargetMode="External"/><Relationship Id="rId147" Type="http://schemas.openxmlformats.org/officeDocument/2006/relationships/hyperlink" Target="https://www.broadbandcommission.org/working-groups/smartphone-access/" TargetMode="External"/><Relationship Id="rId168" Type="http://schemas.openxmlformats.org/officeDocument/2006/relationships/hyperlink" Target="https://www.itu.int/wrs-22/" TargetMode="External"/><Relationship Id="rId8" Type="http://schemas.openxmlformats.org/officeDocument/2006/relationships/hyperlink" Target="https://www.itu.int/en/council/Documents/basic-texts-2023/RES-071-F.pdf" TargetMode="External"/><Relationship Id="rId51" Type="http://schemas.openxmlformats.org/officeDocument/2006/relationships/hyperlink" Target="https://www.itu.int/en/ITU-D/Environment/Pages/Toolbox/learning-opportunities.aspx" TargetMode="External"/><Relationship Id="rId72" Type="http://schemas.openxmlformats.org/officeDocument/2006/relationships/hyperlink" Target="https://u4ssc.itu.int/publications/" TargetMode="External"/><Relationship Id="rId93" Type="http://schemas.openxmlformats.org/officeDocument/2006/relationships/hyperlink" Target="https://www.youtube.com/watch?v=zZFNByEQ15k" TargetMode="External"/><Relationship Id="rId98" Type="http://schemas.openxmlformats.org/officeDocument/2006/relationships/hyperlink" Target="https://indico.un.org/event/1002946/" TargetMode="External"/><Relationship Id="rId121" Type="http://schemas.openxmlformats.org/officeDocument/2006/relationships/hyperlink" Target="https://academy.itu.int/training-courses/full-catalogue/formacion-en-herramientas-innovadoras-de-comunicacion-para-el-fortalecimiento-de-las-capacidades-de-2" TargetMode="External"/><Relationship Id="rId142" Type="http://schemas.openxmlformats.org/officeDocument/2006/relationships/hyperlink" Target="https://broadbandcommission.org/publication/open-statement-from-the-broadband-commission-to-the-un-high-level-political-forum-hlpf-2022/" TargetMode="External"/><Relationship Id="rId163" Type="http://schemas.openxmlformats.org/officeDocument/2006/relationships/hyperlink" Target="https://www.itu.int/en/ITU-T/focusgroups/ai4a/Pages/default.aspx" TargetMode="External"/><Relationship Id="rId184" Type="http://schemas.openxmlformats.org/officeDocument/2006/relationships/hyperlink" Target="https://aiforgood.itu.int/" TargetMode="External"/><Relationship Id="rId189"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https://www.itu.int/ITU-T/recommendations/rec.aspx?rec=15030&amp;lang=fr" TargetMode="External"/><Relationship Id="rId46" Type="http://schemas.openxmlformats.org/officeDocument/2006/relationships/hyperlink" Target="https://www.itu.int/en/ITU-T/focusgroups/mv/Pages/FG-MV-structure-and-workplan.aspx" TargetMode="External"/><Relationship Id="rId67" Type="http://schemas.openxmlformats.org/officeDocument/2006/relationships/hyperlink" Target="https://www.itu.int/en/ITU-D/Emergency-Telecommunications/Pages/TampereConvention.aspx" TargetMode="External"/><Relationship Id="rId116" Type="http://schemas.openxmlformats.org/officeDocument/2006/relationships/hyperlink" Target="https://www.itu.int/pub/D-PHCB-TOOLKIT.01-2021" TargetMode="External"/><Relationship Id="rId137" Type="http://schemas.openxmlformats.org/officeDocument/2006/relationships/hyperlink" Target="https://www.itu.int/md/S23-CL-INF-0008/en" TargetMode="External"/><Relationship Id="rId158" Type="http://schemas.openxmlformats.org/officeDocument/2006/relationships/hyperlink" Target="https://www.itu.int/fr/ITU-D/Initiatives/GIGA/Pages/default.aspx" TargetMode="External"/><Relationship Id="rId20" Type="http://schemas.openxmlformats.org/officeDocument/2006/relationships/hyperlink" Target="https://council.itu.int/en/networking/resources/annual-activities-report/" TargetMode="External"/><Relationship Id="rId41" Type="http://schemas.openxmlformats.org/officeDocument/2006/relationships/hyperlink" Target="https://unsceb.org/inter-agency-working-group-artificial-intelligence" TargetMode="External"/><Relationship Id="rId62" Type="http://schemas.openxmlformats.org/officeDocument/2006/relationships/hyperlink" Target="https://www.itu.int/en/ITU-D/Emergency-Telecommunications/Pages/Early-Warnings-for-All-Initiative.aspx" TargetMode="External"/><Relationship Id="rId83" Type="http://schemas.openxmlformats.org/officeDocument/2006/relationships/hyperlink" Target="https://www.unwomen.org/fr/how-we-work/un-system-coordination/promoting-un-accountability" TargetMode="External"/><Relationship Id="rId88" Type="http://schemas.openxmlformats.org/officeDocument/2006/relationships/hyperlink" Target="https://www.itu.int/generationconnect/fr/" TargetMode="External"/><Relationship Id="rId111" Type="http://schemas.openxmlformats.org/officeDocument/2006/relationships/hyperlink" Target="https://zeroproject.org/zerocon23/the-zero-project-technology-forum" TargetMode="External"/><Relationship Id="rId132" Type="http://schemas.openxmlformats.org/officeDocument/2006/relationships/hyperlink" Target="https://www.youtube.com/watch?v=oa93ig1grjo&amp;list=PLpoIPNlF8P2Pnmu-cTQbhvGjeDnkY_bX9&amp;index=3" TargetMode="External"/><Relationship Id="rId153" Type="http://schemas.openxmlformats.org/officeDocument/2006/relationships/hyperlink" Target="https://www.equalsintech.org/tech4girls" TargetMode="External"/><Relationship Id="rId174" Type="http://schemas.openxmlformats.org/officeDocument/2006/relationships/hyperlink" Target="https://www.itu.int/en/ITU-T/Workshops-and-Seminars/2022/Pages/default.aspx" TargetMode="External"/><Relationship Id="rId179" Type="http://schemas.openxmlformats.org/officeDocument/2006/relationships/hyperlink" Target="https://www.itu.int/net4/wsis/stocktaking" TargetMode="External"/><Relationship Id="rId195" Type="http://schemas.openxmlformats.org/officeDocument/2006/relationships/fontTable" Target="fontTable.xml"/><Relationship Id="rId190" Type="http://schemas.openxmlformats.org/officeDocument/2006/relationships/header" Target="header2.xml"/><Relationship Id="rId15" Type="http://schemas.openxmlformats.org/officeDocument/2006/relationships/image" Target="media/image3.png"/><Relationship Id="rId36" Type="http://schemas.openxmlformats.org/officeDocument/2006/relationships/hyperlink" Target="https://www.itu.int/pub/R-REC/fr" TargetMode="External"/><Relationship Id="rId57" Type="http://schemas.openxmlformats.org/officeDocument/2006/relationships/hyperlink" Target="https://www.greeningtheblue.org/entities/itus" TargetMode="External"/><Relationship Id="rId106" Type="http://schemas.openxmlformats.org/officeDocument/2006/relationships/hyperlink" Target="https://www.itu.int/en/ITU-D/Regional-Presence/AsiaPacific/Pages/v2/regional-events.aspx" TargetMode="External"/><Relationship Id="rId127" Type="http://schemas.openxmlformats.org/officeDocument/2006/relationships/hyperlink" Target="https://www.itu.int/en/ITU-D/Digital-Inclusion/Pages/ageing-in-a-digital-world/default.aspx" TargetMode="External"/><Relationship Id="rId10" Type="http://schemas.openxmlformats.org/officeDocument/2006/relationships/hyperlink" Target="https://www.itu.int/en/council/Documents/basic-texts-2023/RES-200-F.pdf" TargetMode="External"/><Relationship Id="rId31" Type="http://schemas.openxmlformats.org/officeDocument/2006/relationships/hyperlink" Target="https://www.itu.int/itu-t/workprog/wp_search.aspx?isn_sp=8265&amp;isn_status=-1,2&amp;adf=2022-07-01&amp;adt=2023-03-20&amp;details=0&amp;field=acdefghijo" TargetMode="External"/><Relationship Id="rId52" Type="http://schemas.openxmlformats.org/officeDocument/2006/relationships/hyperlink" Target="https://academy.itu.int/main-activities/capacity-development/icts-and-environmente-waste" TargetMode="External"/><Relationship Id="rId73" Type="http://schemas.openxmlformats.org/officeDocument/2006/relationships/hyperlink" Target="https://u4ssc.itu.int/u4ssc-kpis-report/" TargetMode="External"/><Relationship Id="rId78" Type="http://schemas.openxmlformats.org/officeDocument/2006/relationships/hyperlink" Target="https://www.itu.int/en/ITU-D/Cybersecurity/Pages/Women-in-Cyber/Women-in-Cyber-Mentorship-Programme.aspx" TargetMode="External"/><Relationship Id="rId94" Type="http://schemas.openxmlformats.org/officeDocument/2006/relationships/hyperlink" Target="https://www.youtube.com/watch?v=j1o2mY676TA" TargetMode="External"/><Relationship Id="rId99" Type="http://schemas.openxmlformats.org/officeDocument/2006/relationships/hyperlink" Target="https://academy.itu.int/training-courses/full-catalogue/generation-connect-digital-learning" TargetMode="External"/><Relationship Id="rId101" Type="http://schemas.openxmlformats.org/officeDocument/2006/relationships/hyperlink" Target="https://www.kofiannanfoundation.org/our-work/kofi-annan-changemakers/" TargetMode="External"/><Relationship Id="rId122" Type="http://schemas.openxmlformats.org/officeDocument/2006/relationships/hyperlink" Target="https://academy.itu.int/training-courses/full-catalogue/formacion-de-promotoras-y-promotores-tecnicos-en-comunidades-indigenas-en-telecomunicaciones-y-0" TargetMode="External"/><Relationship Id="rId143" Type="http://schemas.openxmlformats.org/officeDocument/2006/relationships/hyperlink" Target="https://broadbandcommission.org/publication/ldc5-open-letter/" TargetMode="External"/><Relationship Id="rId148" Type="http://schemas.openxmlformats.org/officeDocument/2006/relationships/hyperlink" Target="https://broadbandcommission.org/publication/the-future-of-virtual-health-and-care/" TargetMode="External"/><Relationship Id="rId164" Type="http://schemas.openxmlformats.org/officeDocument/2006/relationships/hyperlink" Target="https://www.itu.int/en/ITU-T/Workshops-and-Seminars/2022/0824/Pages/default.aspx" TargetMode="External"/><Relationship Id="rId169" Type="http://schemas.openxmlformats.org/officeDocument/2006/relationships/hyperlink" Target="https://www.itu.int/en/ITU-R/seminars/rrs/2022-Arab/Pages/default.aspx" TargetMode="External"/><Relationship Id="rId185" Type="http://schemas.openxmlformats.org/officeDocument/2006/relationships/hyperlink" Target="https://aiforgood.itu.int/summit23/" TargetMode="External"/><Relationship Id="rId4" Type="http://schemas.openxmlformats.org/officeDocument/2006/relationships/settings" Target="settings.xml"/><Relationship Id="rId9" Type="http://schemas.openxmlformats.org/officeDocument/2006/relationships/hyperlink" Target="https://www.itu.int/en/council/Documents/basic-texts-2023/RES-151-F.pdf" TargetMode="External"/><Relationship Id="rId180" Type="http://schemas.openxmlformats.org/officeDocument/2006/relationships/hyperlink" Target="https://www.itu.int/en/ITU-T/academia/kaleidoscope/2022/Pages/default.aspx" TargetMode="External"/><Relationship Id="rId26" Type="http://schemas.openxmlformats.org/officeDocument/2006/relationships/hyperlink" Target="https://gesi.org/" TargetMode="External"/><Relationship Id="rId47" Type="http://schemas.openxmlformats.org/officeDocument/2006/relationships/hyperlink" Target="https://www.itu.int/en/ITU-T/ssc/Pages/1st-forum-metaverse.aspx" TargetMode="External"/><Relationship Id="rId68" Type="http://schemas.openxmlformats.org/officeDocument/2006/relationships/hyperlink" Target="https://academy.itu.int/" TargetMode="External"/><Relationship Id="rId89" Type="http://schemas.openxmlformats.org/officeDocument/2006/relationships/hyperlink" Target="https://www.itu.int/generationconnect/fr/sommet-de-la-jeunesse-generation-connect-de-2022/" TargetMode="External"/><Relationship Id="rId112" Type="http://schemas.openxmlformats.org/officeDocument/2006/relationships/hyperlink" Target="https://www.itu.int/net4/wsis/forum/2023/fr/Agenda/Session/181" TargetMode="External"/><Relationship Id="rId133" Type="http://schemas.openxmlformats.org/officeDocument/2006/relationships/hyperlink" Target="https://www.youtube.com/watch?v=Bl37CeWMi9w&amp;list=PLpoIPNlF8P2Pnmu-cTQbhvGjeDnkY_bX9&amp;index=7" TargetMode="External"/><Relationship Id="rId154" Type="http://schemas.openxmlformats.org/officeDocument/2006/relationships/hyperlink" Target="https://www.equalsintech.org/e-mentoring" TargetMode="External"/><Relationship Id="rId175" Type="http://schemas.openxmlformats.org/officeDocument/2006/relationships/hyperlink" Target="https://www.itu.int/net4/wsis/forum/2023/fr/Agenda/Session/181" TargetMode="External"/><Relationship Id="rId196" Type="http://schemas.openxmlformats.org/officeDocument/2006/relationships/theme" Target="theme/theme1.xml"/><Relationship Id="rId16" Type="http://schemas.openxmlformats.org/officeDocument/2006/relationships/hyperlink" Target="https://www.itu.int/hub/publication/s-gen-news-2022-5/" TargetMode="External"/><Relationship Id="rId37" Type="http://schemas.openxmlformats.org/officeDocument/2006/relationships/hyperlink" Target="https://www.itu.int/en/action/ai/Pages/default.aspx" TargetMode="External"/><Relationship Id="rId58" Type="http://schemas.openxmlformats.org/officeDocument/2006/relationships/hyperlink" Target="https://www.itu.int/hub/2021/04/greening-the-blue-and-itu/" TargetMode="External"/><Relationship Id="rId79" Type="http://schemas.openxmlformats.org/officeDocument/2006/relationships/hyperlink" Target="https://www.youtube.com/playlist?list=PLdCp2BJdjaQAJmm_GD2T15HgepUAuENQ-" TargetMode="External"/><Relationship Id="rId102" Type="http://schemas.openxmlformats.org/officeDocument/2006/relationships/hyperlink" Target="https://www.youtube.com/watch?v=uB2eLaPDdDc" TargetMode="External"/><Relationship Id="rId123" Type="http://schemas.openxmlformats.org/officeDocument/2006/relationships/hyperlink" Target="https://www.itu.int/net4/wsis/forum/2023/Agenda/Session/383" TargetMode="External"/><Relationship Id="rId144" Type="http://schemas.openxmlformats.org/officeDocument/2006/relationships/hyperlink" Target="https://www.broadbandcommission.org/publication/recommendations-sdg4/" TargetMode="External"/><Relationship Id="rId90" Type="http://schemas.openxmlformats.org/officeDocument/2006/relationships/hyperlink" Target="https://pp22.itu.int/fr/" TargetMode="External"/><Relationship Id="rId165" Type="http://schemas.openxmlformats.org/officeDocument/2006/relationships/hyperlink" Target="https://www.itu.int/cities/standards4dt/" TargetMode="External"/><Relationship Id="rId186" Type="http://schemas.openxmlformats.org/officeDocument/2006/relationships/hyperlink" Target="https://aiforgood.itu.int/neural-network/" TargetMode="External"/><Relationship Id="rId27" Type="http://schemas.openxmlformats.org/officeDocument/2006/relationships/hyperlink" Target="https://www.itu.int/en/ITU-D/Environment/Pages/Toolbox/Greening-Digital-Companies.aspx" TargetMode="External"/><Relationship Id="rId48" Type="http://schemas.openxmlformats.org/officeDocument/2006/relationships/hyperlink" Target="https://www.itu.int/en/ITU-T/ssc/Pages/1st-forum-metaverse.aspx" TargetMode="External"/><Relationship Id="rId69" Type="http://schemas.openxmlformats.org/officeDocument/2006/relationships/hyperlink" Target="https://www.itu.int/fr/ITU-T/studygroups/2022-2024/20/Pages/default.aspx" TargetMode="External"/><Relationship Id="rId113" Type="http://schemas.openxmlformats.org/officeDocument/2006/relationships/hyperlink" Target="https://www.itu.int/en/ITU-D/Digital-Inclusion/Pages/itu-ilo/default.aspx" TargetMode="External"/><Relationship Id="rId134" Type="http://schemas.openxmlformats.org/officeDocument/2006/relationships/hyperlink" Target="https://www.youtube.com/watch?v=M4nD2r3r-7M&amp;list=PLpoIPNlF8P2Pnmu-cTQbhvGjeDnkY_bX9&amp;index=4" TargetMode="External"/><Relationship Id="rId80" Type="http://schemas.openxmlformats.org/officeDocument/2006/relationships/hyperlink" Target="https://www.itu.int/hub/publication/d-hdb-gender-2023-01/" TargetMode="External"/><Relationship Id="rId155" Type="http://schemas.openxmlformats.org/officeDocument/2006/relationships/hyperlink" Target="https://www.equalsintech.org/equals-badge" TargetMode="External"/><Relationship Id="rId176" Type="http://schemas.openxmlformats.org/officeDocument/2006/relationships/hyperlink" Target="https://www.itu.int/net4/wsis/forum/2023/en/Agenda/Session/445" TargetMode="External"/><Relationship Id="rId17" Type="http://schemas.openxmlformats.org/officeDocument/2006/relationships/hyperlink" Target="https://www.itu.int/fr/mediacentre/Pages/PP22-closing-press-release.aspx" TargetMode="External"/><Relationship Id="rId38" Type="http://schemas.openxmlformats.org/officeDocument/2006/relationships/hyperlink" Target="https://www.itu.int/en/ITU-T/focusgroups/Pages/default.aspx" TargetMode="External"/><Relationship Id="rId59" Type="http://schemas.openxmlformats.org/officeDocument/2006/relationships/hyperlink" Target="https://www.itu.int/ITU-T/recommendations/rec.aspx?rec=15023" TargetMode="External"/><Relationship Id="rId103" Type="http://schemas.openxmlformats.org/officeDocument/2006/relationships/hyperlink" Target="https://www.huawei.com/en/news/2022/8/seeds-for-future-camp" TargetMode="External"/><Relationship Id="rId124" Type="http://schemas.openxmlformats.org/officeDocument/2006/relationships/hyperlink" Target="https://www.un.org/development/desa/dspd/2023/01/undesa-globalpolicydialogue/" TargetMode="External"/><Relationship Id="rId70" Type="http://schemas.openxmlformats.org/officeDocument/2006/relationships/hyperlink" Target="https://u4ssc.itu.int/u4ssc-kpi/" TargetMode="External"/><Relationship Id="rId91" Type="http://schemas.openxmlformats.org/officeDocument/2006/relationships/hyperlink" Target="https://youtu.be/PYlI15b0Mvo" TargetMode="External"/><Relationship Id="rId145" Type="http://schemas.openxmlformats.org/officeDocument/2006/relationships/hyperlink" Target="https://www.broadbandcommission.org/publication/recommendations-on-sdg5/" TargetMode="External"/><Relationship Id="rId166" Type="http://schemas.openxmlformats.org/officeDocument/2006/relationships/hyperlink" Target="https://www.itu.int/cities/standards4dt/ep21/" TargetMode="External"/><Relationship Id="rId187" Type="http://schemas.openxmlformats.org/officeDocument/2006/relationships/hyperlink" Target="https://www.itu.int/en/ITU-T/extcoop/ai-data-commons/Pages/default.aspx" TargetMode="External"/><Relationship Id="rId1" Type="http://schemas.openxmlformats.org/officeDocument/2006/relationships/customXml" Target="../customXml/item1.xml"/><Relationship Id="rId28" Type="http://schemas.openxmlformats.org/officeDocument/2006/relationships/hyperlink" Target="https://www.itu.int/en/ITU-D/Environment/Documents/Events/2022/Greening-Digital-Companies-Report-key-messages.pdf" TargetMode="External"/><Relationship Id="rId49" Type="http://schemas.openxmlformats.org/officeDocument/2006/relationships/hyperlink" Target="https://www.itu.int/en/ITU-D/Environment/Pages/Priority-Areas/National-WEEE-Policy-Support.aspx" TargetMode="External"/><Relationship Id="rId114" Type="http://schemas.openxmlformats.org/officeDocument/2006/relationships/hyperlink" Target="https://academy.itu.int/training-courses/full-catalogue/inclusive-employment-how-ensure-online-job-applications-and-recruitment-systems-are-accessible-all-0" TargetMode="External"/><Relationship Id="rId60" Type="http://schemas.openxmlformats.org/officeDocument/2006/relationships/hyperlink" Target="https://www.itu.int/en/ITU-D/Emergency-Telecommunications/Pages/NETPs.aspx" TargetMode="External"/><Relationship Id="rId81" Type="http://schemas.openxmlformats.org/officeDocument/2006/relationships/hyperlink" Target="https://www.itu.int/now4wrc23/fr/" TargetMode="External"/><Relationship Id="rId135" Type="http://schemas.openxmlformats.org/officeDocument/2006/relationships/hyperlink" Target="https://academy.itu.int/training-courses/full-catalogue/icts-better-ageing-and-livelihood-digital-landscape-1" TargetMode="External"/><Relationship Id="rId156" Type="http://schemas.openxmlformats.org/officeDocument/2006/relationships/hyperlink" Target="https://www.equalsintech.org/awards" TargetMode="External"/><Relationship Id="rId177" Type="http://schemas.openxmlformats.org/officeDocument/2006/relationships/hyperlink" Target="https://www.itu.int/net4/wsis/forum/2023/fr/Home/Hackathon" TargetMode="External"/><Relationship Id="rId18" Type="http://schemas.openxmlformats.org/officeDocument/2006/relationships/hyperlink" Target="https://pp22.itu.int/en/newsroom/highlights/" TargetMode="External"/><Relationship Id="rId39" Type="http://schemas.openxmlformats.org/officeDocument/2006/relationships/hyperlink" Target="https://aiforgood.itu.in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91164-78A3-4549-B091-FDCEF7E4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14185</Words>
  <Characters>96112</Characters>
  <Application>Microsoft Office Word</Application>
  <DocSecurity>0</DocSecurity>
  <Lines>800</Lines>
  <Paragraphs>220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110077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la mise en œuvre du Plan stratégique et les activités de l'Union, juillet 2022 – avril 2023</dc:title>
  <dc:subject>Conseil 2023</dc:subject>
  <dc:creator>Xue, Kun</dc:creator>
  <cp:keywords>C2023, C23, Council-23</cp:keywords>
  <dc:description/>
  <cp:lastModifiedBy>Xue, Kun</cp:lastModifiedBy>
  <cp:revision>3</cp:revision>
  <cp:lastPrinted>2000-07-18T08:55:00Z</cp:lastPrinted>
  <dcterms:created xsi:type="dcterms:W3CDTF">2023-07-06T11:05:00Z</dcterms:created>
  <dcterms:modified xsi:type="dcterms:W3CDTF">2023-07-06T13:30:00Z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