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11472E" w14:paraId="72C9B931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9CB0D3B" w14:textId="55ABE426" w:rsidR="00796BD3" w:rsidRPr="0011472E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11472E">
              <w:rPr>
                <w:b/>
                <w:lang w:val="ru-RU"/>
              </w:rPr>
              <w:t>Пункт повестки дня:</w:t>
            </w:r>
            <w:r w:rsidR="001E3CDC" w:rsidRPr="0011472E">
              <w:rPr>
                <w:b/>
                <w:lang w:val="ru-RU"/>
              </w:rPr>
              <w:t xml:space="preserve"> PL 1</w:t>
            </w:r>
          </w:p>
        </w:tc>
        <w:tc>
          <w:tcPr>
            <w:tcW w:w="5245" w:type="dxa"/>
          </w:tcPr>
          <w:p w14:paraId="4DC7530B" w14:textId="6A500C7A" w:rsidR="00796BD3" w:rsidRPr="0011472E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11472E">
              <w:rPr>
                <w:b/>
                <w:lang w:val="ru-RU"/>
              </w:rPr>
              <w:t xml:space="preserve">Документ </w:t>
            </w:r>
            <w:r w:rsidR="00796BD3" w:rsidRPr="0011472E">
              <w:rPr>
                <w:b/>
                <w:lang w:val="ru-RU"/>
              </w:rPr>
              <w:t>C23/</w:t>
            </w:r>
            <w:r w:rsidR="001E3CDC" w:rsidRPr="0011472E">
              <w:rPr>
                <w:b/>
                <w:lang w:val="ru-RU"/>
              </w:rPr>
              <w:t>36</w:t>
            </w:r>
            <w:r w:rsidR="00796BD3" w:rsidRPr="0011472E">
              <w:rPr>
                <w:b/>
                <w:lang w:val="ru-RU"/>
              </w:rPr>
              <w:t>-R</w:t>
            </w:r>
          </w:p>
        </w:tc>
      </w:tr>
      <w:tr w:rsidR="00796BD3" w:rsidRPr="0011472E" w14:paraId="50E24F54" w14:textId="77777777" w:rsidTr="0099131E">
        <w:trPr>
          <w:cantSplit/>
        </w:trPr>
        <w:tc>
          <w:tcPr>
            <w:tcW w:w="3969" w:type="dxa"/>
            <w:vMerge/>
          </w:tcPr>
          <w:p w14:paraId="3FD271BB" w14:textId="77777777" w:rsidR="00796BD3" w:rsidRPr="0011472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761E030" w14:textId="6AFDB550" w:rsidR="00796BD3" w:rsidRPr="0011472E" w:rsidRDefault="001E3CDC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11472E">
              <w:rPr>
                <w:b/>
                <w:lang w:val="ru-RU"/>
              </w:rPr>
              <w:t>12 июня</w:t>
            </w:r>
            <w:r w:rsidR="00796BD3" w:rsidRPr="0011472E">
              <w:rPr>
                <w:b/>
                <w:lang w:val="ru-RU"/>
              </w:rPr>
              <w:t xml:space="preserve"> 2023</w:t>
            </w:r>
            <w:r w:rsidRPr="0011472E">
              <w:rPr>
                <w:b/>
                <w:lang w:val="ru-RU"/>
              </w:rPr>
              <w:t xml:space="preserve"> года</w:t>
            </w:r>
          </w:p>
        </w:tc>
      </w:tr>
      <w:tr w:rsidR="00796BD3" w:rsidRPr="0011472E" w14:paraId="3FBCF05B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150A24B5" w14:textId="77777777" w:rsidR="00796BD3" w:rsidRPr="0011472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412EE967" w14:textId="77777777" w:rsidR="00796BD3" w:rsidRPr="0011472E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11472E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11472E" w14:paraId="03C03892" w14:textId="77777777" w:rsidTr="0099131E">
        <w:trPr>
          <w:cantSplit/>
          <w:trHeight w:val="23"/>
        </w:trPr>
        <w:tc>
          <w:tcPr>
            <w:tcW w:w="3969" w:type="dxa"/>
          </w:tcPr>
          <w:p w14:paraId="4E5DA807" w14:textId="77777777" w:rsidR="00796BD3" w:rsidRPr="0011472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7A03EDA1" w14:textId="77777777" w:rsidR="00796BD3" w:rsidRPr="0011472E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11472E" w14:paraId="3C48517D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046EEEB" w14:textId="77777777" w:rsidR="00796BD3" w:rsidRPr="0011472E" w:rsidRDefault="0033025A" w:rsidP="0099131E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11472E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11472E" w14:paraId="4AAD0F0D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D6AF105" w14:textId="01363E3F" w:rsidR="00796BD3" w:rsidRPr="0011472E" w:rsidRDefault="001E3CDC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11472E">
              <w:rPr>
                <w:rFonts w:cstheme="minorHAnsi"/>
                <w:sz w:val="32"/>
                <w:szCs w:val="32"/>
                <w:lang w:val="ru-RU"/>
              </w:rPr>
              <w:t>УСКОРЕНИЕ ВЫПОЛНЕНИЯ СТРАТЕГИЧЕСКОГО ПЛАНА МСЭ НА</w:t>
            </w:r>
            <w:r w:rsidR="0011472E" w:rsidRPr="0011472E">
              <w:rPr>
                <w:rFonts w:cstheme="minorHAnsi"/>
                <w:sz w:val="32"/>
                <w:szCs w:val="32"/>
                <w:lang w:val="ru-RU"/>
              </w:rPr>
              <w:t> </w:t>
            </w:r>
            <w:r w:rsidRPr="0011472E">
              <w:rPr>
                <w:rFonts w:cstheme="minorHAnsi"/>
                <w:sz w:val="32"/>
                <w:szCs w:val="32"/>
                <w:lang w:val="ru-RU"/>
              </w:rPr>
              <w:t>2024–2027 ГОДЫ</w:t>
            </w:r>
          </w:p>
        </w:tc>
      </w:tr>
      <w:tr w:rsidR="00796BD3" w:rsidRPr="0011472E" w14:paraId="0EDD5E4B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C275570" w14:textId="18FEABDD" w:rsidR="00796BD3" w:rsidRPr="0011472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1472E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3C05A339" w14:textId="4AB9F452" w:rsidR="00796BD3" w:rsidRPr="0011472E" w:rsidRDefault="00340B96" w:rsidP="0099131E">
            <w:pPr>
              <w:rPr>
                <w:lang w:val="ru-RU"/>
              </w:rPr>
            </w:pPr>
            <w:r w:rsidRPr="0011472E">
              <w:rPr>
                <w:lang w:val="ru-RU"/>
              </w:rPr>
              <w:t xml:space="preserve">В настоящем документе представлен план секретариата по </w:t>
            </w:r>
            <w:r w:rsidR="007C57C0" w:rsidRPr="0011472E">
              <w:rPr>
                <w:lang w:val="ru-RU"/>
              </w:rPr>
              <w:t xml:space="preserve">продвижению от замысла к действиям, ускоряя выполнение Стратегического плана МСЭ на </w:t>
            </w:r>
            <w:r w:rsidR="008B1C9D" w:rsidRPr="0011472E">
              <w:rPr>
                <w:lang w:val="ru-RU"/>
              </w:rPr>
              <w:t>2024–2027</w:t>
            </w:r>
            <w:r w:rsidR="007C57C0" w:rsidRPr="0011472E">
              <w:rPr>
                <w:lang w:val="ru-RU"/>
              </w:rPr>
              <w:t> годы</w:t>
            </w:r>
            <w:r w:rsidR="008B1C9D" w:rsidRPr="0011472E">
              <w:rPr>
                <w:lang w:val="ru-RU"/>
              </w:rPr>
              <w:t>.</w:t>
            </w:r>
          </w:p>
          <w:p w14:paraId="3F538D29" w14:textId="77777777" w:rsidR="00796BD3" w:rsidRPr="0011472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1472E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35B345E" w14:textId="685AA851" w:rsidR="00796BD3" w:rsidRPr="0011472E" w:rsidRDefault="007C57C0" w:rsidP="0099131E">
            <w:pPr>
              <w:rPr>
                <w:lang w:val="ru-RU"/>
              </w:rPr>
            </w:pPr>
            <w:r w:rsidRPr="0011472E">
              <w:rPr>
                <w:lang w:val="ru-RU"/>
              </w:rPr>
              <w:t xml:space="preserve">Совету предлагается </w:t>
            </w:r>
            <w:r w:rsidR="00194E38" w:rsidRPr="0011472E">
              <w:rPr>
                <w:b/>
                <w:bCs/>
                <w:lang w:val="ru-RU"/>
              </w:rPr>
              <w:t xml:space="preserve">принять </w:t>
            </w:r>
            <w:r w:rsidR="0011472E" w:rsidRPr="0011472E">
              <w:rPr>
                <w:b/>
                <w:bCs/>
                <w:lang w:val="ru-RU"/>
              </w:rPr>
              <w:t>к сведению</w:t>
            </w:r>
            <w:r w:rsidR="0011472E" w:rsidRPr="0011472E">
              <w:rPr>
                <w:lang w:val="ru-RU"/>
              </w:rPr>
              <w:t xml:space="preserve"> </w:t>
            </w:r>
            <w:r w:rsidR="00194E38" w:rsidRPr="0011472E">
              <w:rPr>
                <w:lang w:val="ru-RU"/>
              </w:rPr>
              <w:t>настоящий отчет</w:t>
            </w:r>
            <w:r w:rsidR="008B1C9D" w:rsidRPr="0011472E">
              <w:rPr>
                <w:lang w:val="ru-RU"/>
              </w:rPr>
              <w:t>.</w:t>
            </w:r>
          </w:p>
          <w:p w14:paraId="5CF49EC9" w14:textId="77777777" w:rsidR="00796BD3" w:rsidRPr="0011472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1472E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2F7C7E68" w14:textId="6F79E442" w:rsidR="00796BD3" w:rsidRPr="0011472E" w:rsidRDefault="00CF2D2A" w:rsidP="0099131E">
            <w:pPr>
              <w:rPr>
                <w:lang w:val="ru-RU"/>
              </w:rPr>
            </w:pPr>
            <w:bookmarkStart w:id="7" w:name="lt_pId016"/>
            <w:r w:rsidRPr="0011472E">
              <w:rPr>
                <w:lang w:val="ru-RU"/>
              </w:rPr>
              <w:t>Рекомендации базируются на Стратегическом плане МСЭ на</w:t>
            </w:r>
            <w:r w:rsidR="008B1C9D" w:rsidRPr="0011472E">
              <w:rPr>
                <w:lang w:val="ru-RU"/>
              </w:rPr>
              <w:t xml:space="preserve"> 2024–2027</w:t>
            </w:r>
            <w:r w:rsidRPr="0011472E">
              <w:rPr>
                <w:lang w:val="ru-RU"/>
              </w:rPr>
              <w:t xml:space="preserve"> годы с целью ускорения достижения и полномасштабного выполнения </w:t>
            </w:r>
            <w:r w:rsidR="00E06957" w:rsidRPr="0011472E">
              <w:rPr>
                <w:lang w:val="ru-RU"/>
              </w:rPr>
              <w:t>двух стратегических задач Союза</w:t>
            </w:r>
            <w:r w:rsidR="008B1C9D" w:rsidRPr="0011472E">
              <w:rPr>
                <w:lang w:val="ru-RU"/>
              </w:rPr>
              <w:t xml:space="preserve">: </w:t>
            </w:r>
            <w:r w:rsidR="00E06957" w:rsidRPr="0011472E">
              <w:rPr>
                <w:color w:val="000000"/>
                <w:lang w:val="ru-RU"/>
              </w:rPr>
              <w:t>обеспечение универсальной возможности установления соединений и устойчивой цифровой трансформации</w:t>
            </w:r>
            <w:r w:rsidR="008B1C9D" w:rsidRPr="0011472E">
              <w:rPr>
                <w:lang w:val="ru-RU"/>
              </w:rPr>
              <w:t>.</w:t>
            </w:r>
            <w:bookmarkEnd w:id="7"/>
          </w:p>
          <w:p w14:paraId="560A1926" w14:textId="21758F85" w:rsidR="00796BD3" w:rsidRPr="0011472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1472E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0ECE8551" w14:textId="1CF2A90C" w:rsidR="008B1C9D" w:rsidRPr="0011472E" w:rsidRDefault="00E06957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bookmarkStart w:id="8" w:name="lt_pId018"/>
            <w:r w:rsidRPr="0011472E">
              <w:rPr>
                <w:color w:val="333333"/>
                <w:shd w:val="clear" w:color="auto" w:fill="FFFFFF"/>
                <w:lang w:val="ru-RU"/>
              </w:rPr>
              <w:t>Средства на мероприятия, упоминаемые в настоящем документе, распределяются в рамках бюджета МСЭ</w:t>
            </w:r>
            <w:r w:rsidR="008B1C9D" w:rsidRPr="0011472E">
              <w:rPr>
                <w:szCs w:val="24"/>
                <w:lang w:val="ru-RU"/>
              </w:rPr>
              <w:t>.</w:t>
            </w:r>
            <w:bookmarkEnd w:id="8"/>
          </w:p>
          <w:p w14:paraId="5C739793" w14:textId="77777777" w:rsidR="00796BD3" w:rsidRPr="0011472E" w:rsidRDefault="00796BD3" w:rsidP="0099131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11472E">
              <w:rPr>
                <w:sz w:val="20"/>
                <w:szCs w:val="18"/>
                <w:lang w:val="ru-RU"/>
              </w:rPr>
              <w:t>__________________</w:t>
            </w:r>
          </w:p>
          <w:p w14:paraId="598ADB43" w14:textId="77777777" w:rsidR="00796BD3" w:rsidRPr="0011472E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11472E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bookmarkStart w:id="9" w:name="lt_pId021"/>
          <w:p w14:paraId="3F0A72A8" w14:textId="35543803" w:rsidR="00796BD3" w:rsidRPr="0011472E" w:rsidRDefault="008B1C9D" w:rsidP="0099131E">
            <w:pPr>
              <w:spacing w:after="120"/>
              <w:rPr>
                <w:i/>
                <w:iCs/>
                <w:lang w:val="ru-RU"/>
              </w:rPr>
            </w:pPr>
            <w:r w:rsidRPr="0011472E">
              <w:rPr>
                <w:rStyle w:val="Hyperlink"/>
                <w:i/>
                <w:iCs/>
                <w:lang w:val="ru-RU"/>
              </w:rPr>
              <w:fldChar w:fldCharType="begin"/>
            </w:r>
            <w:r w:rsidR="0011472E" w:rsidRPr="0011472E">
              <w:rPr>
                <w:rStyle w:val="Hyperlink"/>
                <w:i/>
                <w:iCs/>
                <w:lang w:val="ru-RU"/>
              </w:rPr>
              <w:instrText>HYPERLINK "https://www.itu.int/en/council/Documents/basic-texts-2023/RES-071-R.pdf" \t "_blank"</w:instrText>
            </w:r>
            <w:r w:rsidRPr="0011472E">
              <w:rPr>
                <w:rStyle w:val="Hyperlink"/>
                <w:i/>
                <w:iCs/>
                <w:lang w:val="ru-RU"/>
              </w:rPr>
            </w:r>
            <w:r w:rsidRPr="0011472E">
              <w:rPr>
                <w:rStyle w:val="Hyperlink"/>
                <w:i/>
                <w:iCs/>
                <w:lang w:val="ru-RU"/>
              </w:rPr>
              <w:fldChar w:fldCharType="separate"/>
            </w:r>
            <w:r w:rsidR="00E06957" w:rsidRPr="0011472E">
              <w:rPr>
                <w:rStyle w:val="Hyperlink"/>
                <w:i/>
                <w:iCs/>
                <w:lang w:val="ru-RU"/>
              </w:rPr>
              <w:t>Резолюция</w:t>
            </w:r>
            <w:r w:rsidRPr="0011472E">
              <w:rPr>
                <w:rStyle w:val="Hyperlink"/>
                <w:i/>
                <w:iCs/>
                <w:lang w:val="ru-RU"/>
              </w:rPr>
              <w:t xml:space="preserve"> 71</w:t>
            </w:r>
            <w:r w:rsidRPr="0011472E">
              <w:rPr>
                <w:rStyle w:val="Hyperlink"/>
                <w:i/>
                <w:iCs/>
                <w:lang w:val="ru-RU"/>
              </w:rPr>
              <w:fldChar w:fldCharType="end"/>
            </w:r>
            <w:r w:rsidRPr="0011472E">
              <w:rPr>
                <w:rStyle w:val="normaltextrun"/>
                <w:rFonts w:cs="Calibri"/>
                <w:i/>
                <w:iCs/>
                <w:color w:val="000000"/>
                <w:shd w:val="clear" w:color="auto" w:fill="FFFFFF"/>
                <w:lang w:val="ru-RU"/>
              </w:rPr>
              <w:t xml:space="preserve"> (</w:t>
            </w:r>
            <w:proofErr w:type="spellStart"/>
            <w:r w:rsidR="00E06957" w:rsidRPr="0011472E">
              <w:rPr>
                <w:rStyle w:val="normaltextrun"/>
                <w:rFonts w:cs="Calibri"/>
                <w:i/>
                <w:iCs/>
                <w:color w:val="000000"/>
                <w:shd w:val="clear" w:color="auto" w:fill="FFFFFF"/>
                <w:lang w:val="ru-RU"/>
              </w:rPr>
              <w:t>Пересм</w:t>
            </w:r>
            <w:proofErr w:type="spellEnd"/>
            <w:r w:rsidR="00E06957" w:rsidRPr="0011472E">
              <w:rPr>
                <w:rStyle w:val="normaltextrun"/>
                <w:rFonts w:cs="Calibri"/>
                <w:i/>
                <w:iCs/>
                <w:color w:val="000000"/>
                <w:shd w:val="clear" w:color="auto" w:fill="FFFFFF"/>
                <w:lang w:val="ru-RU"/>
              </w:rPr>
              <w:t>. Бухарест</w:t>
            </w:r>
            <w:r w:rsidRPr="0011472E">
              <w:rPr>
                <w:rStyle w:val="normaltextrun"/>
                <w:rFonts w:cs="Calibri"/>
                <w:i/>
                <w:iCs/>
                <w:color w:val="000000"/>
                <w:shd w:val="clear" w:color="auto" w:fill="FFFFFF"/>
                <w:lang w:val="ru-RU"/>
              </w:rPr>
              <w:t>, 2022</w:t>
            </w:r>
            <w:r w:rsidR="00E06957" w:rsidRPr="0011472E">
              <w:rPr>
                <w:rStyle w:val="normaltextrun"/>
                <w:rFonts w:cs="Calibri"/>
                <w:i/>
                <w:iCs/>
                <w:color w:val="000000"/>
                <w:shd w:val="clear" w:color="auto" w:fill="FFFFFF"/>
                <w:lang w:val="ru-RU"/>
              </w:rPr>
              <w:t> г.</w:t>
            </w:r>
            <w:r w:rsidRPr="0011472E">
              <w:rPr>
                <w:rStyle w:val="normaltextrun"/>
                <w:rFonts w:cs="Calibri"/>
                <w:i/>
                <w:iCs/>
                <w:color w:val="000000"/>
                <w:shd w:val="clear" w:color="auto" w:fill="FFFFFF"/>
                <w:lang w:val="ru-RU"/>
              </w:rPr>
              <w:t xml:space="preserve">) </w:t>
            </w:r>
            <w:r w:rsidR="00E06957" w:rsidRPr="0011472E">
              <w:rPr>
                <w:rStyle w:val="normaltextrun"/>
                <w:rFonts w:cs="Calibri"/>
                <w:i/>
                <w:iCs/>
                <w:color w:val="000000"/>
                <w:shd w:val="clear" w:color="auto" w:fill="FFFFFF"/>
                <w:lang w:val="ru-RU"/>
              </w:rPr>
              <w:t>Полномочной конференции</w:t>
            </w:r>
            <w:r w:rsidRPr="0011472E">
              <w:rPr>
                <w:rStyle w:val="eop"/>
                <w:i/>
                <w:iCs/>
                <w:lang w:val="ru-RU"/>
              </w:rPr>
              <w:t xml:space="preserve">; </w:t>
            </w:r>
            <w:r w:rsidR="0011472E" w:rsidRPr="0011472E">
              <w:rPr>
                <w:rStyle w:val="eop"/>
                <w:i/>
                <w:iCs/>
                <w:lang w:val="ru-RU"/>
              </w:rPr>
              <w:br/>
            </w:r>
            <w:r w:rsidR="00E06957" w:rsidRPr="0011472E">
              <w:rPr>
                <w:rStyle w:val="eop"/>
                <w:i/>
                <w:iCs/>
                <w:lang w:val="ru-RU"/>
              </w:rPr>
              <w:t>Документы</w:t>
            </w:r>
            <w:r w:rsidRPr="0011472E">
              <w:rPr>
                <w:i/>
                <w:iCs/>
                <w:szCs w:val="22"/>
                <w:lang w:val="ru-RU"/>
              </w:rPr>
              <w:t xml:space="preserve"> </w:t>
            </w:r>
            <w:hyperlink r:id="rId7" w:history="1">
              <w:r w:rsidRPr="0011472E">
                <w:rPr>
                  <w:rStyle w:val="Hyperlink"/>
                  <w:i/>
                  <w:iCs/>
                  <w:szCs w:val="22"/>
                  <w:lang w:val="ru-RU"/>
                </w:rPr>
                <w:t>C23/52</w:t>
              </w:r>
            </w:hyperlink>
            <w:r w:rsidR="008C3118" w:rsidRPr="0011472E">
              <w:rPr>
                <w:i/>
                <w:iCs/>
                <w:szCs w:val="22"/>
                <w:lang w:val="ru-RU"/>
              </w:rPr>
              <w:t xml:space="preserve"> и</w:t>
            </w:r>
            <w:r w:rsidRPr="0011472E">
              <w:rPr>
                <w:i/>
                <w:iCs/>
                <w:szCs w:val="22"/>
                <w:lang w:val="ru-RU"/>
              </w:rPr>
              <w:t xml:space="preserve"> </w:t>
            </w:r>
            <w:hyperlink r:id="rId8" w:history="1">
              <w:r w:rsidRPr="0011472E">
                <w:rPr>
                  <w:rStyle w:val="Hyperlink"/>
                  <w:i/>
                  <w:iCs/>
                  <w:szCs w:val="22"/>
                  <w:lang w:val="ru-RU"/>
                </w:rPr>
                <w:t>C23/62</w:t>
              </w:r>
            </w:hyperlink>
            <w:bookmarkEnd w:id="9"/>
            <w:r w:rsidR="00E06957" w:rsidRPr="0011472E">
              <w:rPr>
                <w:i/>
                <w:iCs/>
                <w:szCs w:val="22"/>
                <w:lang w:val="ru-RU"/>
              </w:rPr>
              <w:t xml:space="preserve"> Совета</w:t>
            </w:r>
          </w:p>
        </w:tc>
      </w:tr>
    </w:tbl>
    <w:p w14:paraId="32559733" w14:textId="77777777" w:rsidR="002573FC" w:rsidRPr="002573FC" w:rsidRDefault="002573FC" w:rsidP="002573FC">
      <w:bookmarkStart w:id="10" w:name="lt_pId022"/>
      <w:bookmarkStart w:id="11" w:name="_Hlk136506519"/>
      <w:bookmarkEnd w:id="2"/>
      <w:bookmarkEnd w:id="6"/>
      <w:r w:rsidRPr="002573FC">
        <w:br w:type="page"/>
      </w:r>
    </w:p>
    <w:p w14:paraId="42EE96FB" w14:textId="6C8B2D4B" w:rsidR="0011472E" w:rsidRPr="0011472E" w:rsidRDefault="0011472E" w:rsidP="002573FC">
      <w:pPr>
        <w:pStyle w:val="Headingb"/>
        <w:rPr>
          <w:lang w:val="ru-RU"/>
        </w:rPr>
      </w:pPr>
      <w:r w:rsidRPr="0011472E">
        <w:rPr>
          <w:lang w:val="ru-RU"/>
        </w:rPr>
        <w:lastRenderedPageBreak/>
        <w:t>Базовая информация</w:t>
      </w:r>
    </w:p>
    <w:p w14:paraId="5622E67C" w14:textId="10E5D96C" w:rsidR="0011472E" w:rsidRPr="0011472E" w:rsidRDefault="0011472E" w:rsidP="0011472E">
      <w:pPr>
        <w:rPr>
          <w:lang w:val="ru-RU"/>
        </w:rPr>
      </w:pPr>
      <w:bookmarkStart w:id="12" w:name="lt_pId023"/>
      <w:r w:rsidRPr="0011472E">
        <w:rPr>
          <w:lang w:val="ru-RU"/>
        </w:rPr>
        <w:t>1</w:t>
      </w:r>
      <w:r w:rsidRPr="0011472E">
        <w:rPr>
          <w:lang w:val="ru-RU"/>
        </w:rPr>
        <w:tab/>
        <w:t>Почти 40 лет назад в революционном Отчете Мейтленда 1984 года "Недостающее звено" впервые была дана оценка преимуществ электросвязи.</w:t>
      </w:r>
      <w:bookmarkEnd w:id="12"/>
      <w:r w:rsidRPr="0011472E">
        <w:rPr>
          <w:lang w:val="ru-RU"/>
        </w:rPr>
        <w:t xml:space="preserve"> В нем говорилось: "Не может быть правильным, чтобы в конце XX века меньшинство человечества пользовалось преимуществами новой технологии, а большинство жило в сравнительной изоляции".</w:t>
      </w:r>
    </w:p>
    <w:p w14:paraId="13F111F2" w14:textId="1DB8B1F1" w:rsidR="0011472E" w:rsidRPr="0011472E" w:rsidRDefault="0011472E" w:rsidP="0011472E">
      <w:pPr>
        <w:rPr>
          <w:lang w:val="ru-RU"/>
        </w:rPr>
      </w:pPr>
      <w:bookmarkStart w:id="13" w:name="lt_pId025"/>
      <w:r w:rsidRPr="0011472E">
        <w:rPr>
          <w:lang w:val="ru-RU"/>
        </w:rPr>
        <w:t>2</w:t>
      </w:r>
      <w:r w:rsidRPr="0011472E">
        <w:rPr>
          <w:lang w:val="ru-RU"/>
        </w:rPr>
        <w:tab/>
        <w:t>В 1980-х годах люди могли работать без телефона.</w:t>
      </w:r>
      <w:bookmarkEnd w:id="13"/>
      <w:r w:rsidRPr="0011472E">
        <w:rPr>
          <w:lang w:val="ru-RU"/>
        </w:rPr>
        <w:t xml:space="preserve"> </w:t>
      </w:r>
      <w:bookmarkStart w:id="14" w:name="lt_pId026"/>
      <w:r w:rsidRPr="0011472E">
        <w:rPr>
          <w:lang w:val="ru-RU"/>
        </w:rPr>
        <w:t>Сегодня для двух третей населения мира просто невозможно себе представить отсутствие доступа к цифровому миру.</w:t>
      </w:r>
      <w:bookmarkEnd w:id="14"/>
      <w:r w:rsidRPr="0011472E">
        <w:rPr>
          <w:lang w:val="ru-RU"/>
        </w:rPr>
        <w:t xml:space="preserve"> Некоторые страны уже живут в условиях пятой промышленной революции, и для взаимодействия людей и роботов потребуется совершенно иной способ работы.</w:t>
      </w:r>
    </w:p>
    <w:p w14:paraId="224A1DCC" w14:textId="7E8A95A7" w:rsidR="0011472E" w:rsidRPr="0011472E" w:rsidRDefault="0011472E" w:rsidP="0011472E">
      <w:pPr>
        <w:rPr>
          <w:lang w:val="ru-RU"/>
        </w:rPr>
      </w:pPr>
      <w:bookmarkStart w:id="15" w:name="lt_pId029"/>
      <w:r w:rsidRPr="0011472E">
        <w:rPr>
          <w:lang w:val="ru-RU"/>
        </w:rPr>
        <w:t>3</w:t>
      </w:r>
      <w:r w:rsidRPr="0011472E">
        <w:rPr>
          <w:lang w:val="ru-RU"/>
        </w:rPr>
        <w:tab/>
        <w:t xml:space="preserve">Вместе с тем сохраняющиеся цифровые разрывы означают, что необходимо дать миллиардам людей возможность пользоваться интернетом. </w:t>
      </w:r>
      <w:bookmarkEnd w:id="15"/>
      <w:r w:rsidRPr="0011472E">
        <w:rPr>
          <w:lang w:val="ru-RU"/>
        </w:rPr>
        <w:t xml:space="preserve">Больше, чем когда-либо, возможность установления соединений требуется для преодоления этих разрывов, пока они не стали необратимыми. </w:t>
      </w:r>
    </w:p>
    <w:p w14:paraId="1065ED62" w14:textId="748412CE" w:rsidR="0011472E" w:rsidRPr="0011472E" w:rsidRDefault="0011472E" w:rsidP="0011472E">
      <w:pPr>
        <w:rPr>
          <w:lang w:val="ru-RU"/>
        </w:rPr>
      </w:pPr>
      <w:r w:rsidRPr="0011472E">
        <w:rPr>
          <w:lang w:val="ru-RU"/>
        </w:rPr>
        <w:t>4</w:t>
      </w:r>
      <w:r w:rsidRPr="0011472E">
        <w:rPr>
          <w:lang w:val="ru-RU"/>
        </w:rPr>
        <w:tab/>
        <w:t>Если не прервать эту тенденцию, то, по всей вероятности, значительная часть следующего поколения работающих окажется под угрозой, если они не получат доступа сегодня для приобретения квалификации для завтрашнего дня.</w:t>
      </w:r>
    </w:p>
    <w:p w14:paraId="31508D03" w14:textId="74153D4B" w:rsidR="0011472E" w:rsidRPr="0011472E" w:rsidRDefault="0011472E" w:rsidP="0011472E">
      <w:pPr>
        <w:rPr>
          <w:lang w:val="ru-RU"/>
        </w:rPr>
      </w:pPr>
      <w:bookmarkStart w:id="16" w:name="lt_pId031"/>
      <w:r w:rsidRPr="0011472E">
        <w:rPr>
          <w:lang w:val="ru-RU"/>
        </w:rPr>
        <w:t>5</w:t>
      </w:r>
      <w:r w:rsidRPr="0011472E">
        <w:rPr>
          <w:lang w:val="ru-RU"/>
        </w:rPr>
        <w:tab/>
        <w:t>В этой обстановке Полномочная конференция МСЭ (Бухарест, 2022 г.) (ПК-22) приняла масштабный план (</w:t>
      </w:r>
      <w:hyperlink r:id="rId9" w:history="1">
        <w:r w:rsidRPr="0011472E">
          <w:rPr>
            <w:rStyle w:val="Hyperlink"/>
            <w:lang w:val="ru-RU"/>
          </w:rPr>
          <w:t>Резолюция 71</w:t>
        </w:r>
      </w:hyperlink>
      <w:r w:rsidRPr="0011472E">
        <w:rPr>
          <w:lang w:val="ru-RU"/>
        </w:rPr>
        <w:t>), предусматривающий две грандиозные и радикальные стратегические цели, которые должны быть достигнуты в течение следующих четырех лет</w:t>
      </w:r>
      <w:r w:rsidR="002573FC">
        <w:rPr>
          <w:lang w:val="en-US"/>
        </w:rPr>
        <w:t> </w:t>
      </w:r>
      <w:r w:rsidRPr="0011472E">
        <w:rPr>
          <w:lang w:val="ru-RU"/>
        </w:rPr>
        <w:t>– универсальная возможность установления соединений и устойчивая цифровая трансформация.</w:t>
      </w:r>
      <w:bookmarkEnd w:id="16"/>
      <w:r w:rsidRPr="0011472E">
        <w:rPr>
          <w:lang w:val="ru-RU"/>
        </w:rPr>
        <w:t xml:space="preserve"> </w:t>
      </w:r>
    </w:p>
    <w:p w14:paraId="7A3E7FB5" w14:textId="4C5CEA16" w:rsidR="0011472E" w:rsidRPr="0011472E" w:rsidRDefault="0011472E" w:rsidP="0011472E">
      <w:pPr>
        <w:rPr>
          <w:lang w:val="ru-RU"/>
        </w:rPr>
      </w:pPr>
      <w:r w:rsidRPr="00DD07F3">
        <w:rPr>
          <w:lang w:val="en-US"/>
        </w:rPr>
        <w:t>6</w:t>
      </w:r>
      <w:r w:rsidRPr="00DD07F3">
        <w:rPr>
          <w:lang w:val="en-US"/>
        </w:rPr>
        <w:tab/>
      </w:r>
      <w:r w:rsidR="00DD07F3" w:rsidRPr="00DD07F3">
        <w:rPr>
          <w:lang w:val="ru-RU"/>
        </w:rPr>
        <w:t>Учитывая, что в 2022 году 2,7 млрд. людей не имели доступа к интернету</w:t>
      </w:r>
      <w:r w:rsidR="00DD07F3">
        <w:rPr>
          <w:lang w:val="ru-RU"/>
        </w:rPr>
        <w:t>,</w:t>
      </w:r>
      <w:r w:rsidR="00DD07F3" w:rsidRPr="00DD07F3">
        <w:rPr>
          <w:lang w:val="ru-RU"/>
        </w:rPr>
        <w:t xml:space="preserve"> и необходимо срочно достичь Целей в области устойчивого развития (ЦУР) и выполнить Повестку дня на период до 2030 года, МСЭ </w:t>
      </w:r>
      <w:r w:rsidRPr="0011472E">
        <w:rPr>
          <w:lang w:val="ru-RU"/>
        </w:rPr>
        <w:t>должен стимулировать диалог и меры, направленные на обеспечение того, чтобы технологии действовали в качестве катализатора и не способствовали дальнейшему расширению цифровых разрывов.</w:t>
      </w:r>
    </w:p>
    <w:p w14:paraId="4AB637DE" w14:textId="6F34119A" w:rsidR="0011472E" w:rsidRPr="0011472E" w:rsidRDefault="0011472E" w:rsidP="0011472E">
      <w:pPr>
        <w:rPr>
          <w:lang w:val="ru-RU"/>
        </w:rPr>
      </w:pPr>
      <w:r w:rsidRPr="0011472E">
        <w:rPr>
          <w:lang w:val="ru-RU"/>
        </w:rPr>
        <w:t>7</w:t>
      </w:r>
      <w:r w:rsidRPr="0011472E">
        <w:rPr>
          <w:lang w:val="ru-RU"/>
        </w:rPr>
        <w:tab/>
        <w:t>МСЭ призван играть важную роль и сделать то, чего ожидают от нас Генеральный секретарь Организации Объединенных Наций и система Организации Объединенных Наций</w:t>
      </w:r>
      <w:r w:rsidR="002573FC">
        <w:rPr>
          <w:lang w:val="en-US"/>
        </w:rPr>
        <w:t> </w:t>
      </w:r>
      <w:r w:rsidRPr="0011472E">
        <w:rPr>
          <w:lang w:val="ru-RU"/>
        </w:rPr>
        <w:t xml:space="preserve">– ввести мир в цифровое будущее. </w:t>
      </w:r>
    </w:p>
    <w:p w14:paraId="4B8A15E4" w14:textId="2C93DE2B" w:rsidR="0011472E" w:rsidRPr="0011472E" w:rsidRDefault="0011472E" w:rsidP="0011472E">
      <w:pPr>
        <w:rPr>
          <w:lang w:val="ru-RU"/>
        </w:rPr>
      </w:pPr>
      <w:bookmarkStart w:id="17" w:name="lt_pId035"/>
      <w:r w:rsidRPr="0011472E">
        <w:rPr>
          <w:lang w:val="ru-RU"/>
        </w:rPr>
        <w:t>8</w:t>
      </w:r>
      <w:r w:rsidRPr="0011472E">
        <w:rPr>
          <w:lang w:val="ru-RU"/>
        </w:rPr>
        <w:tab/>
        <w:t xml:space="preserve">Цифровые технологии являются ключевым фактором, способствующим достижению ЦУР, тогда как установление соединений является основой и фундаментом цифрового общества. </w:t>
      </w:r>
      <w:bookmarkEnd w:id="17"/>
      <w:r w:rsidRPr="0011472E">
        <w:rPr>
          <w:lang w:val="ru-RU"/>
        </w:rPr>
        <w:t>В этом качестве МСЭ должен и далее обеспечивать универсальную и реальную возможность установления соединений, чтобы цифровые технологии могли реализовать свои перспективы.</w:t>
      </w:r>
    </w:p>
    <w:p w14:paraId="0B76A84B" w14:textId="1B534CC4" w:rsidR="0011472E" w:rsidRPr="0011472E" w:rsidRDefault="0011472E" w:rsidP="0011472E">
      <w:pPr>
        <w:rPr>
          <w:lang w:val="ru-RU"/>
        </w:rPr>
      </w:pPr>
      <w:bookmarkStart w:id="18" w:name="lt_pId037"/>
      <w:r w:rsidRPr="0011472E">
        <w:rPr>
          <w:lang w:val="ru-RU"/>
        </w:rPr>
        <w:t>9</w:t>
      </w:r>
      <w:r w:rsidRPr="0011472E">
        <w:rPr>
          <w:lang w:val="ru-RU"/>
        </w:rPr>
        <w:tab/>
        <w:t xml:space="preserve">Для этого МСЭ должен на практике осуществлять свои намерения, преобразуя организацию, чтобы она играла активную и руководящую роль. </w:t>
      </w:r>
      <w:bookmarkEnd w:id="18"/>
      <w:r w:rsidRPr="0011472E">
        <w:rPr>
          <w:lang w:val="ru-RU"/>
        </w:rPr>
        <w:t xml:space="preserve">Организация должна соответствовать своему назначению. </w:t>
      </w:r>
      <w:bookmarkStart w:id="19" w:name="lt_pId038"/>
      <w:r w:rsidRPr="0011472E">
        <w:rPr>
          <w:lang w:val="ru-RU"/>
        </w:rPr>
        <w:t>Что еще важнее, она должна отвечать задачам будущего.</w:t>
      </w:r>
      <w:bookmarkEnd w:id="19"/>
    </w:p>
    <w:p w14:paraId="6222FE44" w14:textId="77777777" w:rsidR="0011472E" w:rsidRPr="0011472E" w:rsidRDefault="0011472E" w:rsidP="0011472E">
      <w:pPr>
        <w:pStyle w:val="Headingb"/>
        <w:rPr>
          <w:lang w:val="ru-RU"/>
        </w:rPr>
      </w:pPr>
      <w:r w:rsidRPr="0011472E">
        <w:rPr>
          <w:lang w:val="ru-RU"/>
        </w:rPr>
        <w:t>Процесс формирования концепции</w:t>
      </w:r>
    </w:p>
    <w:p w14:paraId="7381594E" w14:textId="646B6C45" w:rsidR="0011472E" w:rsidRPr="0011472E" w:rsidRDefault="0011472E" w:rsidP="0011472E">
      <w:pPr>
        <w:rPr>
          <w:lang w:val="ru-RU"/>
        </w:rPr>
      </w:pPr>
      <w:bookmarkStart w:id="20" w:name="lt_pId040"/>
      <w:r w:rsidRPr="0011472E">
        <w:rPr>
          <w:lang w:val="ru-RU"/>
        </w:rPr>
        <w:t>10</w:t>
      </w:r>
      <w:r>
        <w:rPr>
          <w:lang w:val="ru-RU"/>
        </w:rPr>
        <w:tab/>
      </w:r>
      <w:r w:rsidRPr="0011472E">
        <w:rPr>
          <w:lang w:val="ru-RU"/>
        </w:rPr>
        <w:t>Сразу же после ПК-22 новая команда руководства начала безотлагательно действовать, приступив к процессу разработки концепции всего МСЭ.</w:t>
      </w:r>
      <w:bookmarkEnd w:id="20"/>
      <w:r w:rsidRPr="0011472E">
        <w:rPr>
          <w:lang w:val="ru-RU"/>
        </w:rPr>
        <w:t xml:space="preserve"> При разработке концепции в качестве ориентира использовался Стратегический план и его цели, при этом основное внимание уделялось трем вопросам:</w:t>
      </w:r>
    </w:p>
    <w:p w14:paraId="444C0709" w14:textId="222B4B49" w:rsidR="0011472E" w:rsidRPr="0011472E" w:rsidRDefault="0011472E" w:rsidP="0011472E">
      <w:pPr>
        <w:pStyle w:val="enumlev1"/>
        <w:rPr>
          <w:lang w:val="ru-RU"/>
        </w:rPr>
      </w:pPr>
      <w:r w:rsidRPr="0011472E">
        <w:rPr>
          <w:lang w:val="ru-RU"/>
        </w:rPr>
        <w:t>•</w:t>
      </w:r>
      <w:r>
        <w:rPr>
          <w:lang w:val="ru-RU"/>
        </w:rPr>
        <w:tab/>
      </w:r>
      <w:r w:rsidRPr="0011472E">
        <w:rPr>
          <w:lang w:val="ru-RU"/>
        </w:rPr>
        <w:t>В контексте основ, обеспечиваемых ЦУР и собственной Повесткой дня МСЭ "Соединим к 2030 году", где мы хотим быть к 2030 году?</w:t>
      </w:r>
    </w:p>
    <w:p w14:paraId="33B6CE4B" w14:textId="0F245704" w:rsidR="0011472E" w:rsidRPr="0011472E" w:rsidRDefault="0011472E" w:rsidP="0011472E">
      <w:pPr>
        <w:pStyle w:val="enumlev1"/>
        <w:rPr>
          <w:lang w:val="ru-RU"/>
        </w:rPr>
      </w:pPr>
      <w:r w:rsidRPr="0011472E">
        <w:rPr>
          <w:lang w:val="ru-RU"/>
        </w:rPr>
        <w:t>•</w:t>
      </w:r>
      <w:r>
        <w:rPr>
          <w:lang w:val="ru-RU"/>
        </w:rPr>
        <w:tab/>
      </w:r>
      <w:r w:rsidRPr="0011472E">
        <w:rPr>
          <w:lang w:val="ru-RU"/>
        </w:rPr>
        <w:t>Где мы находимся сегодня?</w:t>
      </w:r>
    </w:p>
    <w:p w14:paraId="0714EDEA" w14:textId="002AE2FD" w:rsidR="0011472E" w:rsidRPr="0011472E" w:rsidRDefault="0011472E" w:rsidP="0011472E">
      <w:pPr>
        <w:pStyle w:val="enumlev1"/>
        <w:rPr>
          <w:lang w:val="ru-RU"/>
        </w:rPr>
      </w:pPr>
      <w:r w:rsidRPr="0011472E">
        <w:rPr>
          <w:lang w:val="ru-RU"/>
        </w:rPr>
        <w:t>•</w:t>
      </w:r>
      <w:r>
        <w:rPr>
          <w:lang w:val="ru-RU"/>
        </w:rPr>
        <w:tab/>
      </w:r>
      <w:r w:rsidRPr="0011472E">
        <w:rPr>
          <w:lang w:val="ru-RU"/>
        </w:rPr>
        <w:t>Что нам нужно, чтобы достичь этого?</w:t>
      </w:r>
    </w:p>
    <w:p w14:paraId="48F7D53E" w14:textId="0B0AD094" w:rsidR="0011472E" w:rsidRPr="0011472E" w:rsidRDefault="0011472E" w:rsidP="0011472E">
      <w:pPr>
        <w:rPr>
          <w:lang w:val="ru-RU"/>
        </w:rPr>
      </w:pPr>
      <w:r w:rsidRPr="0011472E">
        <w:rPr>
          <w:lang w:val="ru-RU"/>
        </w:rPr>
        <w:lastRenderedPageBreak/>
        <w:t>11</w:t>
      </w:r>
      <w:r>
        <w:rPr>
          <w:lang w:val="ru-RU"/>
        </w:rPr>
        <w:tab/>
      </w:r>
      <w:r w:rsidRPr="0011472E">
        <w:rPr>
          <w:lang w:val="ru-RU"/>
        </w:rPr>
        <w:t>Для повышения своей внутренней способности решать эти масштабные задачи МСЭ привлек широкий круг специалистов и сотрудников всех уровней из трех Бюро, начав с 40 человек, а затем увеличив их число до 65</w:t>
      </w:r>
      <w:r w:rsidR="002573FC">
        <w:rPr>
          <w:lang w:val="en-US"/>
        </w:rPr>
        <w:t> </w:t>
      </w:r>
      <w:r w:rsidRPr="0011472E">
        <w:rPr>
          <w:lang w:val="ru-RU"/>
        </w:rPr>
        <w:t>сотрудников, которые участвуют в прокладывании дальнейшего курса.</w:t>
      </w:r>
    </w:p>
    <w:p w14:paraId="66BC7DF1" w14:textId="7B888571" w:rsidR="0011472E" w:rsidRPr="0011472E" w:rsidRDefault="0011472E" w:rsidP="0011472E">
      <w:pPr>
        <w:rPr>
          <w:lang w:val="ru-RU"/>
        </w:rPr>
      </w:pPr>
      <w:bookmarkStart w:id="21" w:name="lt_pId047"/>
      <w:r w:rsidRPr="0011472E">
        <w:rPr>
          <w:lang w:val="ru-RU"/>
        </w:rPr>
        <w:t>12</w:t>
      </w:r>
      <w:r w:rsidRPr="0011472E">
        <w:rPr>
          <w:lang w:val="ru-RU"/>
        </w:rPr>
        <w:tab/>
        <w:t>Одновременно с этим Генеральный секретарь привлек к участию более 40</w:t>
      </w:r>
      <w:r w:rsidR="002573FC">
        <w:rPr>
          <w:lang w:val="en-US"/>
        </w:rPr>
        <w:t> </w:t>
      </w:r>
      <w:r w:rsidRPr="0011472E">
        <w:rPr>
          <w:lang w:val="ru-RU"/>
        </w:rPr>
        <w:t xml:space="preserve">внешних заинтересованных сторон на уровне руководства на глобальном уровне. </w:t>
      </w:r>
      <w:bookmarkEnd w:id="21"/>
      <w:r w:rsidRPr="0011472E">
        <w:rPr>
          <w:lang w:val="ru-RU"/>
        </w:rPr>
        <w:t>В их числе Государства-Члены, частный сектор, учреждения Организации Объединенных Наций и межправительственные организации, гражданское общество, академические организации и несколько известных деятелей.</w:t>
      </w:r>
    </w:p>
    <w:p w14:paraId="68387F42" w14:textId="6AE318DF" w:rsidR="0011472E" w:rsidRPr="0011472E" w:rsidRDefault="0011472E" w:rsidP="0011472E">
      <w:pPr>
        <w:rPr>
          <w:lang w:val="ru-RU"/>
        </w:rPr>
      </w:pPr>
      <w:bookmarkStart w:id="22" w:name="lt_pId048"/>
      <w:r w:rsidRPr="0011472E">
        <w:rPr>
          <w:lang w:val="ru-RU"/>
        </w:rPr>
        <w:t>13</w:t>
      </w:r>
      <w:r>
        <w:rPr>
          <w:lang w:val="ru-RU"/>
        </w:rPr>
        <w:tab/>
      </w:r>
      <w:r w:rsidRPr="0011472E">
        <w:rPr>
          <w:lang w:val="ru-RU"/>
        </w:rPr>
        <w:t>Проводившиеся действия были открытыми, надежными, обдуманными и взвешенными, что необходимо для выработки концепции будущего МСЭ.</w:t>
      </w:r>
      <w:bookmarkEnd w:id="22"/>
      <w:r w:rsidRPr="0011472E">
        <w:rPr>
          <w:lang w:val="ru-RU"/>
        </w:rPr>
        <w:t xml:space="preserve"> </w:t>
      </w:r>
      <w:bookmarkStart w:id="23" w:name="lt_pId049"/>
      <w:r w:rsidRPr="0011472E">
        <w:rPr>
          <w:lang w:val="ru-RU"/>
        </w:rPr>
        <w:t>Обсуждения были посвящены трем основным направлениям:</w:t>
      </w:r>
      <w:bookmarkEnd w:id="23"/>
    </w:p>
    <w:p w14:paraId="5A76F8B7" w14:textId="53A3DF00" w:rsidR="0011472E" w:rsidRPr="0011472E" w:rsidRDefault="0011472E" w:rsidP="0011472E">
      <w:pPr>
        <w:pStyle w:val="enumlev1"/>
        <w:rPr>
          <w:lang w:val="ru-RU"/>
        </w:rPr>
      </w:pPr>
      <w:bookmarkStart w:id="24" w:name="lt_pId050"/>
      <w:r w:rsidRPr="0011472E">
        <w:rPr>
          <w:lang w:val="ru-RU"/>
        </w:rPr>
        <w:t>•</w:t>
      </w:r>
      <w:r>
        <w:rPr>
          <w:lang w:val="ru-RU"/>
        </w:rPr>
        <w:tab/>
      </w:r>
      <w:r w:rsidRPr="0011472E">
        <w:rPr>
          <w:b/>
          <w:bCs/>
          <w:i/>
          <w:iCs/>
          <w:lang w:val="ru-RU"/>
        </w:rPr>
        <w:t>Направление 1: идейное лидерство</w:t>
      </w:r>
      <w:r w:rsidRPr="0011472E">
        <w:rPr>
          <w:lang w:val="ru-RU"/>
        </w:rPr>
        <w:t xml:space="preserve"> </w:t>
      </w:r>
      <w:r w:rsidR="002573FC">
        <w:rPr>
          <w:lang w:val="en-US"/>
        </w:rPr>
        <w:t>−</w:t>
      </w:r>
      <w:r w:rsidRPr="0011472E">
        <w:rPr>
          <w:lang w:val="ru-RU"/>
        </w:rPr>
        <w:t xml:space="preserve"> позиционирование МСЭ как глобального идейного лидера в цифровой экосистеме.</w:t>
      </w:r>
      <w:bookmarkEnd w:id="24"/>
    </w:p>
    <w:p w14:paraId="21307A58" w14:textId="621E704F" w:rsidR="0011472E" w:rsidRPr="0011472E" w:rsidRDefault="0011472E" w:rsidP="0011472E">
      <w:pPr>
        <w:pStyle w:val="enumlev1"/>
        <w:rPr>
          <w:lang w:val="ru-RU"/>
        </w:rPr>
      </w:pPr>
      <w:r w:rsidRPr="0011472E">
        <w:rPr>
          <w:lang w:val="ru-RU"/>
        </w:rPr>
        <w:t>•</w:t>
      </w:r>
      <w:r>
        <w:rPr>
          <w:lang w:val="ru-RU"/>
        </w:rPr>
        <w:tab/>
      </w:r>
      <w:r w:rsidRPr="0011472E">
        <w:rPr>
          <w:b/>
          <w:bCs/>
          <w:i/>
          <w:iCs/>
          <w:lang w:val="ru-RU"/>
        </w:rPr>
        <w:t>Направление 2</w:t>
      </w:r>
      <w:r w:rsidR="002573FC">
        <w:rPr>
          <w:b/>
          <w:bCs/>
          <w:i/>
          <w:iCs/>
          <w:lang w:val="en-US"/>
        </w:rPr>
        <w:t>:</w:t>
      </w:r>
      <w:r w:rsidRPr="0011472E">
        <w:rPr>
          <w:b/>
          <w:bCs/>
          <w:i/>
          <w:iCs/>
          <w:lang w:val="ru-RU"/>
        </w:rPr>
        <w:t xml:space="preserve"> стратегическое партнерство и участие членов</w:t>
      </w:r>
      <w:r w:rsidRPr="0011472E">
        <w:rPr>
          <w:lang w:val="ru-RU"/>
        </w:rPr>
        <w:t xml:space="preserve"> </w:t>
      </w:r>
      <w:r w:rsidR="002573FC" w:rsidRPr="002573FC">
        <w:rPr>
          <w:lang w:val="en-US"/>
        </w:rPr>
        <w:t>−</w:t>
      </w:r>
      <w:r w:rsidRPr="0011472E">
        <w:rPr>
          <w:lang w:val="ru-RU"/>
        </w:rPr>
        <w:t xml:space="preserve"> поддержка и расширение участия наших Государств-Членов, Членов Секторов, Ассоциированных членов и Академических организаций, создание и развитие стратегических партнерств и мобилизация значительных финансовых ресурсов.</w:t>
      </w:r>
    </w:p>
    <w:p w14:paraId="5BD25117" w14:textId="6916F7D7" w:rsidR="0011472E" w:rsidRPr="0011472E" w:rsidRDefault="0011472E" w:rsidP="0011472E">
      <w:pPr>
        <w:pStyle w:val="enumlev1"/>
        <w:rPr>
          <w:lang w:val="ru-RU"/>
        </w:rPr>
      </w:pPr>
      <w:r w:rsidRPr="0011472E">
        <w:rPr>
          <w:lang w:val="ru-RU"/>
        </w:rPr>
        <w:t>•</w:t>
      </w:r>
      <w:r>
        <w:rPr>
          <w:lang w:val="ru-RU"/>
        </w:rPr>
        <w:tab/>
      </w:r>
      <w:r w:rsidRPr="0011472E">
        <w:rPr>
          <w:b/>
          <w:bCs/>
          <w:i/>
          <w:iCs/>
          <w:lang w:val="ru-RU"/>
        </w:rPr>
        <w:t>Направление 3: организационная эффективность</w:t>
      </w:r>
      <w:r w:rsidRPr="0011472E">
        <w:rPr>
          <w:lang w:val="ru-RU"/>
        </w:rPr>
        <w:t xml:space="preserve"> </w:t>
      </w:r>
      <w:r w:rsidR="002573FC">
        <w:rPr>
          <w:lang w:val="en-US"/>
        </w:rPr>
        <w:t>−</w:t>
      </w:r>
      <w:r w:rsidRPr="0011472E">
        <w:rPr>
          <w:lang w:val="ru-RU"/>
        </w:rPr>
        <w:t xml:space="preserve"> обеспечение организационной эффективности в рамках МСЭ, с тем чтобы эта организация получила признание за технические знания, эффективность и качество и актуальность широкого спектра услуг, предоставляемых членам МСЭ.</w:t>
      </w:r>
    </w:p>
    <w:p w14:paraId="2E7DD85E" w14:textId="51979C10" w:rsidR="0011472E" w:rsidRPr="0011472E" w:rsidRDefault="0011472E" w:rsidP="0011472E">
      <w:pPr>
        <w:rPr>
          <w:lang w:val="ru-RU"/>
        </w:rPr>
      </w:pPr>
      <w:bookmarkStart w:id="25" w:name="lt_pId054"/>
      <w:r w:rsidRPr="0011472E">
        <w:rPr>
          <w:lang w:val="ru-RU"/>
        </w:rPr>
        <w:t>14</w:t>
      </w:r>
      <w:r>
        <w:rPr>
          <w:lang w:val="ru-RU"/>
        </w:rPr>
        <w:tab/>
      </w:r>
      <w:r w:rsidRPr="0011472E">
        <w:rPr>
          <w:lang w:val="ru-RU"/>
        </w:rPr>
        <w:t xml:space="preserve">Сотрудники также получали информацию и участвовали в общих собраниях МСЭ, встречах с молодежью, стажерами и собраниях в региональных отделениях. </w:t>
      </w:r>
      <w:bookmarkEnd w:id="25"/>
      <w:r w:rsidRPr="0011472E">
        <w:rPr>
          <w:lang w:val="ru-RU"/>
        </w:rPr>
        <w:t>Всем было предложено высказывать свои мнения, и двери были оставлены открытыми, чтобы они могли делиться мыслями и замечаниями в электронных сообщениях по теме "Концепция".</w:t>
      </w:r>
    </w:p>
    <w:p w14:paraId="2CE24F0A" w14:textId="404AF851" w:rsidR="0011472E" w:rsidRPr="0011472E" w:rsidRDefault="0011472E" w:rsidP="0011472E">
      <w:pPr>
        <w:rPr>
          <w:lang w:val="ru-RU"/>
        </w:rPr>
      </w:pPr>
      <w:r w:rsidRPr="0011472E">
        <w:rPr>
          <w:lang w:val="ru-RU"/>
        </w:rPr>
        <w:t>15</w:t>
      </w:r>
      <w:r>
        <w:rPr>
          <w:lang w:val="ru-RU"/>
        </w:rPr>
        <w:tab/>
      </w:r>
      <w:r w:rsidRPr="0011472E">
        <w:rPr>
          <w:lang w:val="ru-RU"/>
        </w:rPr>
        <w:t>Внешние консультации проводились в рамках брифингов для послов и других членов дипломатического сообщества, отрасли, собраний на уровне министров и других групп.</w:t>
      </w:r>
    </w:p>
    <w:p w14:paraId="00FEF1A7" w14:textId="1725017D" w:rsidR="0011472E" w:rsidRPr="0011472E" w:rsidRDefault="0011472E" w:rsidP="0011472E">
      <w:pPr>
        <w:rPr>
          <w:lang w:val="ru-RU"/>
        </w:rPr>
      </w:pPr>
      <w:bookmarkStart w:id="26" w:name="lt_pId057"/>
      <w:r w:rsidRPr="0011472E">
        <w:rPr>
          <w:lang w:val="ru-RU"/>
        </w:rPr>
        <w:t>16</w:t>
      </w:r>
      <w:r>
        <w:rPr>
          <w:lang w:val="ru-RU"/>
        </w:rPr>
        <w:tab/>
      </w:r>
      <w:r w:rsidRPr="0011472E">
        <w:rPr>
          <w:lang w:val="ru-RU"/>
        </w:rPr>
        <w:t xml:space="preserve">В феврале новая команда руководства провела выездное совещание руководства МСЭ высшего звена, чтобы уточнить выводы первого этапа разработки концепции. </w:t>
      </w:r>
      <w:bookmarkStart w:id="27" w:name="lt_pId058"/>
      <w:bookmarkEnd w:id="26"/>
      <w:r w:rsidRPr="0011472E">
        <w:rPr>
          <w:lang w:val="ru-RU"/>
        </w:rPr>
        <w:t xml:space="preserve">На выездном совещании была предоставлена возможность далее разработать заявление МСЭ о предлагаемых преимуществах и определить оптимальную позицию МСЭ в этом стремительно меняющемся мире, движимом технологиями. </w:t>
      </w:r>
      <w:bookmarkEnd w:id="27"/>
      <w:r w:rsidRPr="0011472E">
        <w:rPr>
          <w:lang w:val="ru-RU"/>
        </w:rPr>
        <w:t>Руководство определило приоритетные области, в которых МСЭ должен стать ведущим цифровым учреждением.</w:t>
      </w:r>
    </w:p>
    <w:p w14:paraId="4F893DED" w14:textId="77777777" w:rsidR="0011472E" w:rsidRPr="0011472E" w:rsidRDefault="0011472E" w:rsidP="0011472E">
      <w:pPr>
        <w:pStyle w:val="Headingb"/>
        <w:rPr>
          <w:lang w:val="ru-RU"/>
        </w:rPr>
      </w:pPr>
      <w:bookmarkStart w:id="28" w:name="lt_pId059"/>
      <w:r w:rsidRPr="0011472E">
        <w:rPr>
          <w:lang w:val="ru-RU"/>
        </w:rPr>
        <w:t>Результаты</w:t>
      </w:r>
      <w:bookmarkEnd w:id="28"/>
    </w:p>
    <w:p w14:paraId="5F199805" w14:textId="55926BD5" w:rsidR="0011472E" w:rsidRPr="0011472E" w:rsidRDefault="0011472E" w:rsidP="0011472E">
      <w:pPr>
        <w:rPr>
          <w:lang w:val="ru-RU"/>
        </w:rPr>
      </w:pPr>
      <w:bookmarkStart w:id="29" w:name="lt_pId060"/>
      <w:r w:rsidRPr="0011472E">
        <w:rPr>
          <w:lang w:val="ru-RU"/>
        </w:rPr>
        <w:t>17</w:t>
      </w:r>
      <w:r>
        <w:rPr>
          <w:lang w:val="ru-RU"/>
        </w:rPr>
        <w:tab/>
      </w:r>
      <w:r w:rsidRPr="0011472E">
        <w:rPr>
          <w:lang w:val="ru-RU"/>
        </w:rPr>
        <w:t>Было достигнуто общее согласие относительно того, что МСЭ должен уделять особое внимание обеспечению финансовой стабильности и организационной эффективности, укреплению доверия среди внешних организаций, расширению взаимодействия с молодежью и усилению роли МСЭ в цифровом будущем посредством анализа перспектив и идейного руководства в области преобразующих технологий, способных оказать воздействие на глобальном уровне.</w:t>
      </w:r>
      <w:bookmarkEnd w:id="29"/>
    </w:p>
    <w:p w14:paraId="73E9E4D6" w14:textId="65701F61" w:rsidR="0011472E" w:rsidRPr="0011472E" w:rsidRDefault="0011472E" w:rsidP="0011472E">
      <w:pPr>
        <w:rPr>
          <w:lang w:val="ru-RU"/>
        </w:rPr>
      </w:pPr>
      <w:bookmarkStart w:id="30" w:name="lt_pId062"/>
      <w:r w:rsidRPr="0011472E">
        <w:rPr>
          <w:lang w:val="ru-RU"/>
        </w:rPr>
        <w:t>18</w:t>
      </w:r>
      <w:r>
        <w:rPr>
          <w:lang w:val="ru-RU"/>
        </w:rPr>
        <w:tab/>
      </w:r>
      <w:r w:rsidRPr="0011472E">
        <w:rPr>
          <w:lang w:val="ru-RU"/>
        </w:rPr>
        <w:t xml:space="preserve">Что еще важнее, принцип "Единый МСЭ" должен применяться во всех аспектах работы. </w:t>
      </w:r>
      <w:bookmarkStart w:id="31" w:name="lt_pId063"/>
      <w:bookmarkEnd w:id="30"/>
      <w:r w:rsidRPr="0011472E">
        <w:rPr>
          <w:lang w:val="ru-RU"/>
        </w:rPr>
        <w:t xml:space="preserve">Для деятельности на местах следует поощрять добровольную мобильность в целях увеличения производительности и обеспечения распространения знаний в отделениях на местах. </w:t>
      </w:r>
      <w:bookmarkEnd w:id="31"/>
      <w:r w:rsidRPr="0011472E">
        <w:rPr>
          <w:lang w:val="ru-RU"/>
        </w:rPr>
        <w:t>В долгосрочной перспективе следует пересмотреть стратегии и политику набора персонала, с тем чтобы всех сотрудников категории специалистов можно было переводить в любое место службы МСЭ в зависимости от потребностей организации.</w:t>
      </w:r>
    </w:p>
    <w:p w14:paraId="6EFCCA98" w14:textId="24E9828B" w:rsidR="0011472E" w:rsidRPr="0011472E" w:rsidRDefault="0011472E" w:rsidP="0011472E">
      <w:pPr>
        <w:rPr>
          <w:lang w:val="ru-RU"/>
        </w:rPr>
      </w:pPr>
      <w:r w:rsidRPr="0011472E">
        <w:rPr>
          <w:lang w:val="ru-RU"/>
        </w:rPr>
        <w:lastRenderedPageBreak/>
        <w:t>19</w:t>
      </w:r>
      <w:r>
        <w:rPr>
          <w:lang w:val="ru-RU"/>
        </w:rPr>
        <w:tab/>
      </w:r>
      <w:r w:rsidRPr="0011472E">
        <w:rPr>
          <w:lang w:val="ru-RU"/>
        </w:rPr>
        <w:t xml:space="preserve">Все эти выводы, сделанные в ходе работы по определению концепции, на выездном совещании руководителей высшего звена и в процессе консультаций, свидетельствуют о </w:t>
      </w:r>
      <w:r w:rsidRPr="0011472E">
        <w:rPr>
          <w:b/>
          <w:bCs/>
          <w:lang w:val="ru-RU"/>
        </w:rPr>
        <w:t>необходимости того, чтобы МСЭ в большей мере соответствовал задачам сегодняшнего дня и будущего</w:t>
      </w:r>
      <w:r w:rsidRPr="0011472E">
        <w:rPr>
          <w:lang w:val="ru-RU"/>
        </w:rPr>
        <w:t>.</w:t>
      </w:r>
    </w:p>
    <w:p w14:paraId="72F515F0" w14:textId="12DD1067" w:rsidR="0011472E" w:rsidRPr="0011472E" w:rsidRDefault="0011472E" w:rsidP="0011472E">
      <w:pPr>
        <w:rPr>
          <w:lang w:val="ru-RU"/>
        </w:rPr>
      </w:pPr>
      <w:bookmarkStart w:id="32" w:name="lt_pId066"/>
      <w:r w:rsidRPr="0011472E">
        <w:rPr>
          <w:lang w:val="ru-RU"/>
        </w:rPr>
        <w:t>20</w:t>
      </w:r>
      <w:r w:rsidRPr="0011472E">
        <w:rPr>
          <w:lang w:val="ru-RU"/>
        </w:rPr>
        <w:tab/>
        <w:t xml:space="preserve">МСЭ должен быть на передовых позициях. </w:t>
      </w:r>
      <w:bookmarkEnd w:id="32"/>
      <w:r w:rsidRPr="0011472E">
        <w:rPr>
          <w:lang w:val="ru-RU"/>
        </w:rPr>
        <w:t>Действовать согласно устоявшейся практике</w:t>
      </w:r>
      <w:r w:rsidR="002573FC">
        <w:rPr>
          <w:lang w:val="en-US"/>
        </w:rPr>
        <w:t> </w:t>
      </w:r>
      <w:r w:rsidRPr="0011472E">
        <w:rPr>
          <w:lang w:val="ru-RU"/>
        </w:rPr>
        <w:t>– это не вариант для продвижения вперед. Чтобы МСЭ вел мир в цифровое будущее, необходимо изменить то, как организация думает, планирует, действует и руководит.</w:t>
      </w:r>
    </w:p>
    <w:p w14:paraId="3F57879B" w14:textId="26C66EC0" w:rsidR="0011472E" w:rsidRPr="0011472E" w:rsidRDefault="0011472E" w:rsidP="0011472E">
      <w:pPr>
        <w:rPr>
          <w:lang w:val="ru-RU"/>
        </w:rPr>
      </w:pPr>
      <w:r w:rsidRPr="0011472E">
        <w:rPr>
          <w:lang w:val="ru-RU"/>
        </w:rPr>
        <w:t>21</w:t>
      </w:r>
      <w:r>
        <w:rPr>
          <w:lang w:val="ru-RU"/>
        </w:rPr>
        <w:tab/>
      </w:r>
      <w:r w:rsidRPr="0011472E">
        <w:rPr>
          <w:lang w:val="ru-RU"/>
        </w:rPr>
        <w:t>Существует план, основанный на трех основных направлениях деятельности по разработке концепции и согласованный со Стратегическим планом на 2024−2027</w:t>
      </w:r>
      <w:r>
        <w:rPr>
          <w:lang w:val="en-US"/>
        </w:rPr>
        <w:t> </w:t>
      </w:r>
      <w:r w:rsidRPr="0011472E">
        <w:rPr>
          <w:lang w:val="ru-RU"/>
        </w:rPr>
        <w:t>годы и руководящими указаниями, полученными от ПК-22.</w:t>
      </w:r>
    </w:p>
    <w:p w14:paraId="1BFA230C" w14:textId="70405DD4" w:rsidR="0011472E" w:rsidRPr="0011472E" w:rsidRDefault="0011472E" w:rsidP="0011472E">
      <w:pPr>
        <w:rPr>
          <w:lang w:val="ru-RU"/>
        </w:rPr>
      </w:pPr>
      <w:r w:rsidRPr="0011472E">
        <w:rPr>
          <w:lang w:val="ru-RU"/>
        </w:rPr>
        <w:t>22</w:t>
      </w:r>
      <w:r>
        <w:rPr>
          <w:lang w:val="ru-RU"/>
        </w:rPr>
        <w:tab/>
      </w:r>
      <w:r w:rsidRPr="0011472E">
        <w:rPr>
          <w:lang w:val="ru-RU"/>
        </w:rPr>
        <w:t>Работа была разделена на внутренние и внешние категории на краткосрочную и среднесрочную перспективу (2023–2024 гг.).</w:t>
      </w:r>
    </w:p>
    <w:p w14:paraId="661F3FC0" w14:textId="77777777" w:rsidR="0011472E" w:rsidRPr="0011472E" w:rsidRDefault="0011472E" w:rsidP="0011472E">
      <w:pPr>
        <w:pStyle w:val="Headingb"/>
        <w:rPr>
          <w:lang w:val="ru-RU"/>
        </w:rPr>
      </w:pPr>
      <w:bookmarkStart w:id="33" w:name="lt_pId070"/>
      <w:r w:rsidRPr="0011472E">
        <w:rPr>
          <w:lang w:val="ru-RU"/>
        </w:rPr>
        <w:t>Следующие этапы</w:t>
      </w:r>
      <w:bookmarkEnd w:id="33"/>
    </w:p>
    <w:p w14:paraId="57DD9206" w14:textId="18840DF5" w:rsidR="0011472E" w:rsidRPr="0011472E" w:rsidRDefault="0011472E" w:rsidP="0011472E">
      <w:pPr>
        <w:rPr>
          <w:lang w:val="ru-RU"/>
        </w:rPr>
      </w:pPr>
      <w:bookmarkStart w:id="34" w:name="lt_pId072"/>
      <w:r w:rsidRPr="0011472E">
        <w:rPr>
          <w:lang w:val="ru-RU"/>
        </w:rPr>
        <w:t>23</w:t>
      </w:r>
      <w:r>
        <w:rPr>
          <w:lang w:val="ru-RU"/>
        </w:rPr>
        <w:tab/>
      </w:r>
      <w:r w:rsidRPr="0011472E">
        <w:rPr>
          <w:b/>
          <w:bCs/>
          <w:lang w:val="ru-RU"/>
        </w:rPr>
        <w:t>Внутренние усилия</w:t>
      </w:r>
      <w:r w:rsidRPr="0011472E">
        <w:rPr>
          <w:lang w:val="ru-RU"/>
        </w:rPr>
        <w:t xml:space="preserve"> будут предприниматься в основном по третьему направлению</w:t>
      </w:r>
      <w:r w:rsidR="002573FC">
        <w:rPr>
          <w:lang w:val="en-US"/>
        </w:rPr>
        <w:t> </w:t>
      </w:r>
      <w:r w:rsidRPr="0011472E">
        <w:rPr>
          <w:lang w:val="ru-RU"/>
        </w:rPr>
        <w:t xml:space="preserve">– </w:t>
      </w:r>
      <w:r w:rsidRPr="0011472E">
        <w:rPr>
          <w:b/>
          <w:bCs/>
          <w:lang w:val="ru-RU"/>
        </w:rPr>
        <w:t>организационной эффективности</w:t>
      </w:r>
      <w:r w:rsidRPr="0011472E">
        <w:rPr>
          <w:lang w:val="ru-RU"/>
        </w:rPr>
        <w:t>. Предложение изменений во внутренних преобразованиях, представленное Совету МСЭ, содержит дорожную карту преобразований для достижения организационной эффективности (</w:t>
      </w:r>
      <w:hyperlink r:id="rId10" w:history="1">
        <w:r w:rsidRPr="0011472E">
          <w:rPr>
            <w:rStyle w:val="Hyperlink"/>
            <w:lang w:val="ru-RU"/>
          </w:rPr>
          <w:t>C23/52</w:t>
        </w:r>
      </w:hyperlink>
      <w:r w:rsidRPr="0011472E">
        <w:rPr>
          <w:lang w:val="ru-RU"/>
        </w:rPr>
        <w:t xml:space="preserve">), и основное внимание в нем будет уделяться: </w:t>
      </w:r>
      <w:bookmarkEnd w:id="34"/>
    </w:p>
    <w:p w14:paraId="6A37D1E2" w14:textId="1F31E545" w:rsidR="0011472E" w:rsidRPr="0011472E" w:rsidRDefault="0011472E" w:rsidP="0011472E">
      <w:pPr>
        <w:pStyle w:val="enumlev1"/>
        <w:rPr>
          <w:lang w:val="ru-RU"/>
        </w:rPr>
      </w:pPr>
      <w:bookmarkStart w:id="35" w:name="lt_pId073"/>
      <w:r w:rsidRPr="0011472E">
        <w:rPr>
          <w:lang w:val="ru-RU"/>
        </w:rPr>
        <w:t>•</w:t>
      </w:r>
      <w:r>
        <w:rPr>
          <w:lang w:val="ru-RU"/>
        </w:rPr>
        <w:tab/>
      </w:r>
      <w:r w:rsidRPr="0011472E">
        <w:rPr>
          <w:lang w:val="ru-RU"/>
        </w:rPr>
        <w:t>людям и культуре;</w:t>
      </w:r>
      <w:bookmarkEnd w:id="35"/>
    </w:p>
    <w:p w14:paraId="7A7BC5E8" w14:textId="583549A1" w:rsidR="0011472E" w:rsidRPr="0011472E" w:rsidRDefault="0011472E" w:rsidP="0011472E">
      <w:pPr>
        <w:pStyle w:val="enumlev1"/>
        <w:rPr>
          <w:lang w:val="ru-RU"/>
        </w:rPr>
      </w:pPr>
      <w:bookmarkStart w:id="36" w:name="lt_pId074"/>
      <w:r w:rsidRPr="0011472E">
        <w:rPr>
          <w:lang w:val="ru-RU"/>
        </w:rPr>
        <w:t>•</w:t>
      </w:r>
      <w:r>
        <w:rPr>
          <w:lang w:val="ru-RU"/>
        </w:rPr>
        <w:tab/>
      </w:r>
      <w:r w:rsidRPr="0011472E">
        <w:rPr>
          <w:lang w:val="ru-RU"/>
        </w:rPr>
        <w:t>управлению финансами и финансовому планированию;</w:t>
      </w:r>
      <w:bookmarkEnd w:id="36"/>
    </w:p>
    <w:p w14:paraId="79644A51" w14:textId="0F567CDC" w:rsidR="0011472E" w:rsidRPr="0011472E" w:rsidRDefault="0011472E" w:rsidP="0011472E">
      <w:pPr>
        <w:pStyle w:val="enumlev1"/>
        <w:rPr>
          <w:lang w:val="ru-RU"/>
        </w:rPr>
      </w:pPr>
      <w:bookmarkStart w:id="37" w:name="lt_pId075"/>
      <w:r w:rsidRPr="0011472E">
        <w:rPr>
          <w:lang w:val="ru-RU"/>
        </w:rPr>
        <w:t>•</w:t>
      </w:r>
      <w:r>
        <w:rPr>
          <w:lang w:val="ru-RU"/>
        </w:rPr>
        <w:tab/>
      </w:r>
      <w:r w:rsidRPr="0011472E">
        <w:rPr>
          <w:lang w:val="ru-RU"/>
        </w:rPr>
        <w:t xml:space="preserve">системам, процессам и инструментам; </w:t>
      </w:r>
      <w:bookmarkEnd w:id="37"/>
    </w:p>
    <w:p w14:paraId="1783FB24" w14:textId="0400AF76" w:rsidR="0011472E" w:rsidRPr="0011472E" w:rsidRDefault="0011472E" w:rsidP="0011472E">
      <w:pPr>
        <w:pStyle w:val="enumlev1"/>
        <w:rPr>
          <w:lang w:val="ru-RU"/>
        </w:rPr>
      </w:pPr>
      <w:bookmarkStart w:id="38" w:name="lt_pId076"/>
      <w:r w:rsidRPr="0011472E">
        <w:rPr>
          <w:lang w:val="ru-RU"/>
        </w:rPr>
        <w:t>•</w:t>
      </w:r>
      <w:r>
        <w:rPr>
          <w:lang w:val="ru-RU"/>
        </w:rPr>
        <w:tab/>
      </w:r>
      <w:r w:rsidRPr="0011472E">
        <w:rPr>
          <w:lang w:val="ru-RU"/>
        </w:rPr>
        <w:t>надзору, мерам внутреннего контроля и управлению.</w:t>
      </w:r>
      <w:bookmarkEnd w:id="38"/>
    </w:p>
    <w:p w14:paraId="3D465557" w14:textId="58BD75A6" w:rsidR="0011472E" w:rsidRPr="0011472E" w:rsidRDefault="0011472E" w:rsidP="0011472E">
      <w:pPr>
        <w:rPr>
          <w:lang w:val="ru-RU"/>
        </w:rPr>
      </w:pPr>
      <w:r w:rsidRPr="0011472E">
        <w:rPr>
          <w:lang w:val="ru-RU"/>
        </w:rPr>
        <w:t>24</w:t>
      </w:r>
      <w:r>
        <w:rPr>
          <w:lang w:val="ru-RU"/>
        </w:rPr>
        <w:tab/>
      </w:r>
      <w:r w:rsidRPr="0011472E">
        <w:rPr>
          <w:lang w:val="ru-RU"/>
        </w:rPr>
        <w:t>Также больше внимания стало уделяться способности персонала осуществлять деятельность, благодаря реализации инициативы "Learning Labs" (практическое обучение и</w:t>
      </w:r>
      <w:r w:rsidR="002573FC">
        <w:rPr>
          <w:lang w:val="en-US"/>
        </w:rPr>
        <w:t> </w:t>
      </w:r>
      <w:r w:rsidRPr="0011472E">
        <w:rPr>
          <w:lang w:val="ru-RU"/>
        </w:rPr>
        <w:t>непрерывное образование для сотрудников) и программы "Носители перемен" (с</w:t>
      </w:r>
      <w:r w:rsidR="002573FC">
        <w:rPr>
          <w:lang w:val="en-US"/>
        </w:rPr>
        <w:t> </w:t>
      </w:r>
      <w:r w:rsidRPr="0011472E">
        <w:rPr>
          <w:lang w:val="ru-RU"/>
        </w:rPr>
        <w:t>использованием результатов разработки концепции в качестве исследования конкретных ситуаций).</w:t>
      </w:r>
    </w:p>
    <w:p w14:paraId="4E44CC76" w14:textId="7566A63D" w:rsidR="0011472E" w:rsidRPr="0011472E" w:rsidRDefault="0011472E" w:rsidP="0011472E">
      <w:pPr>
        <w:rPr>
          <w:lang w:val="ru-RU"/>
        </w:rPr>
      </w:pPr>
      <w:bookmarkStart w:id="39" w:name="lt_pId079"/>
      <w:r w:rsidRPr="0011472E">
        <w:rPr>
          <w:lang w:val="ru-RU"/>
        </w:rPr>
        <w:t>25</w:t>
      </w:r>
      <w:r>
        <w:rPr>
          <w:lang w:val="ru-RU"/>
        </w:rPr>
        <w:tab/>
      </w:r>
      <w:r w:rsidRPr="0011472E">
        <w:rPr>
          <w:lang w:val="ru-RU"/>
        </w:rPr>
        <w:t xml:space="preserve">К концу этого пути МСЭ 2027 года должен работать эффективнее, чтобы быть в состоянии обеспечивать более высокие преимущества по первым двум направлениям. </w:t>
      </w:r>
      <w:bookmarkEnd w:id="39"/>
      <w:r w:rsidRPr="0011472E">
        <w:rPr>
          <w:lang w:val="ru-RU"/>
        </w:rPr>
        <w:t>Все, что делается в рамках Союза, имеет целью обеспечить идейное лидерство и предоставление более весомых преимуществ членам и партнерам в качестве "Единого МСЭ".</w:t>
      </w:r>
    </w:p>
    <w:p w14:paraId="4064AD40" w14:textId="67AD35D0" w:rsidR="0011472E" w:rsidRPr="0011472E" w:rsidRDefault="0011472E" w:rsidP="0011472E">
      <w:pPr>
        <w:rPr>
          <w:lang w:val="ru-RU"/>
        </w:rPr>
      </w:pPr>
      <w:r w:rsidRPr="0011472E">
        <w:rPr>
          <w:lang w:val="ru-RU"/>
        </w:rPr>
        <w:t>26</w:t>
      </w:r>
      <w:r>
        <w:rPr>
          <w:lang w:val="ru-RU"/>
        </w:rPr>
        <w:tab/>
      </w:r>
      <w:r w:rsidRPr="0011472E">
        <w:rPr>
          <w:b/>
          <w:bCs/>
          <w:lang w:val="ru-RU"/>
        </w:rPr>
        <w:t>Внешние усилия</w:t>
      </w:r>
      <w:r w:rsidRPr="0011472E">
        <w:rPr>
          <w:lang w:val="ru-RU"/>
        </w:rPr>
        <w:t xml:space="preserve"> сосредоточены на двух первых направлениях</w:t>
      </w:r>
      <w:r w:rsidR="002573FC">
        <w:rPr>
          <w:lang w:val="en-US"/>
        </w:rPr>
        <w:t> </w:t>
      </w:r>
      <w:r w:rsidRPr="0011472E">
        <w:rPr>
          <w:lang w:val="ru-RU"/>
        </w:rPr>
        <w:t>– идейное лидерство, стратегическое партнерство и участие членов.</w:t>
      </w:r>
    </w:p>
    <w:p w14:paraId="715736AE" w14:textId="5429D716" w:rsidR="0011472E" w:rsidRPr="0011472E" w:rsidRDefault="0011472E" w:rsidP="0011472E">
      <w:pPr>
        <w:rPr>
          <w:lang w:val="ru-RU"/>
        </w:rPr>
      </w:pPr>
      <w:r>
        <w:rPr>
          <w:lang w:val="en-US"/>
        </w:rPr>
        <w:t>27</w:t>
      </w:r>
      <w:r>
        <w:rPr>
          <w:lang w:val="en-US"/>
        </w:rPr>
        <w:tab/>
      </w:r>
      <w:r w:rsidRPr="0011472E">
        <w:rPr>
          <w:lang w:val="ru-RU"/>
        </w:rPr>
        <w:t xml:space="preserve">Работа по Направлению 1 началась с наблюдения за возникающими тенденциями по четырем аспектам: </w:t>
      </w:r>
      <w:r w:rsidRPr="0011472E">
        <w:rPr>
          <w:i/>
          <w:iCs/>
          <w:lang w:val="ru-RU"/>
        </w:rPr>
        <w:t>Будущая концепция</w:t>
      </w:r>
      <w:r w:rsidRPr="0011472E">
        <w:rPr>
          <w:lang w:val="ru-RU"/>
        </w:rPr>
        <w:t xml:space="preserve"> (возникающие тенденции), </w:t>
      </w:r>
      <w:r w:rsidRPr="0011472E">
        <w:rPr>
          <w:i/>
          <w:iCs/>
          <w:lang w:val="ru-RU"/>
        </w:rPr>
        <w:t xml:space="preserve">Развенчание мифов о цифровых технологиях </w:t>
      </w:r>
      <w:r w:rsidRPr="0011472E">
        <w:rPr>
          <w:lang w:val="ru-RU"/>
        </w:rPr>
        <w:t xml:space="preserve">(работа с дипломатическим сообществом по таким темам, как ИИ, метавселенная, "МСЭ 101" и т. д.), </w:t>
      </w:r>
      <w:r w:rsidRPr="0011472E">
        <w:rPr>
          <w:i/>
          <w:iCs/>
          <w:lang w:val="ru-RU"/>
        </w:rPr>
        <w:t xml:space="preserve">Learning Labs </w:t>
      </w:r>
      <w:r w:rsidRPr="0011472E">
        <w:rPr>
          <w:lang w:val="ru-RU"/>
        </w:rPr>
        <w:t xml:space="preserve">и </w:t>
      </w:r>
      <w:r w:rsidRPr="0011472E">
        <w:rPr>
          <w:i/>
          <w:iCs/>
          <w:lang w:val="ru-RU"/>
        </w:rPr>
        <w:t xml:space="preserve">Академическая сеть "Друзья МСЭ" </w:t>
      </w:r>
      <w:r w:rsidRPr="0011472E">
        <w:rPr>
          <w:lang w:val="ru-RU"/>
        </w:rPr>
        <w:t>(для оказания поддержки в виде "белых книг", кратких исследовательских сессий, результатов размышлений и т. д.).</w:t>
      </w:r>
    </w:p>
    <w:p w14:paraId="39D9A786" w14:textId="2C769471" w:rsidR="0011472E" w:rsidRPr="0011472E" w:rsidRDefault="0011472E" w:rsidP="0011472E">
      <w:pPr>
        <w:rPr>
          <w:lang w:val="ru-RU"/>
        </w:rPr>
      </w:pPr>
      <w:r>
        <w:rPr>
          <w:lang w:val="en-US"/>
        </w:rPr>
        <w:t>28</w:t>
      </w:r>
      <w:r>
        <w:rPr>
          <w:lang w:val="en-US"/>
        </w:rPr>
        <w:tab/>
      </w:r>
      <w:r w:rsidRPr="0011472E">
        <w:rPr>
          <w:lang w:val="ru-RU"/>
        </w:rPr>
        <w:t xml:space="preserve">Тем временем продолжаются брифинги с участием послов и других членов дипломатического сообщества, и проводятся собрания с представителями отрасли (например, в рамках Всемирного конгресса подвижной связи 2023 года, в качестве сопутствующих мероприятий Подготовительного собрания к конференции для Всемирной конференции радиосвязи 2023 года и т. д.) по областям, определенным в качестве приоритетных. </w:t>
      </w:r>
    </w:p>
    <w:p w14:paraId="6DFC9253" w14:textId="313C9F65" w:rsidR="0011472E" w:rsidRPr="0011472E" w:rsidRDefault="0011472E" w:rsidP="002573FC">
      <w:pPr>
        <w:keepLines/>
        <w:rPr>
          <w:lang w:val="ru-RU"/>
        </w:rPr>
      </w:pPr>
      <w:r w:rsidRPr="0011472E">
        <w:rPr>
          <w:lang w:val="ru-RU"/>
        </w:rPr>
        <w:lastRenderedPageBreak/>
        <w:t>29</w:t>
      </w:r>
      <w:r>
        <w:rPr>
          <w:lang w:val="ru-RU"/>
        </w:rPr>
        <w:tab/>
      </w:r>
      <w:r w:rsidRPr="0011472E">
        <w:rPr>
          <w:lang w:val="ru-RU"/>
        </w:rPr>
        <w:t xml:space="preserve">Продолжится осуществление флагманских инициатив и мероприятий, благодаря которым МСЭ займет стратегически более выгодное положение, таких как "ИИ во благо", "Партнерства для подключения", Цифровой день ЦУР, ГСР, Форум ВВУИО, День "Девушки в ИКТ" и Цифровой день на COP28. </w:t>
      </w:r>
    </w:p>
    <w:p w14:paraId="0D866168" w14:textId="593F2F2C" w:rsidR="0011472E" w:rsidRPr="0011472E" w:rsidRDefault="0011472E" w:rsidP="0011472E">
      <w:pPr>
        <w:rPr>
          <w:lang w:val="ru-RU"/>
        </w:rPr>
      </w:pPr>
      <w:bookmarkStart w:id="40" w:name="lt_pId084"/>
      <w:r w:rsidRPr="0011472E">
        <w:rPr>
          <w:lang w:val="ru-RU"/>
        </w:rPr>
        <w:t>30</w:t>
      </w:r>
      <w:r>
        <w:rPr>
          <w:lang w:val="ru-RU"/>
        </w:rPr>
        <w:tab/>
      </w:r>
      <w:r w:rsidRPr="0011472E">
        <w:rPr>
          <w:lang w:val="ru-RU"/>
        </w:rPr>
        <w:t>Что касается стратегического партнерства и участия членов, то меры, принятые после ПК</w:t>
      </w:r>
      <w:r w:rsidRPr="0011472E">
        <w:rPr>
          <w:lang w:val="ru-RU"/>
        </w:rPr>
        <w:noBreakHyphen/>
        <w:t>22, основываются на Решении 5 о разработке стратегии мобилизации финансовых ресурсов в масштабах всего МСЭ с целью удовлетворения потребности в дополнительном финансировании для реализации приоритетов организации (</w:t>
      </w:r>
      <w:hyperlink r:id="rId11" w:history="1">
        <w:r w:rsidRPr="0011472E">
          <w:rPr>
            <w:rStyle w:val="Hyperlink"/>
            <w:lang w:val="ru-RU"/>
          </w:rPr>
          <w:t>C23/62</w:t>
        </w:r>
      </w:hyperlink>
      <w:r w:rsidRPr="0011472E">
        <w:rPr>
          <w:lang w:val="ru-RU"/>
        </w:rPr>
        <w:t>).</w:t>
      </w:r>
      <w:bookmarkEnd w:id="40"/>
      <w:r w:rsidRPr="0011472E">
        <w:rPr>
          <w:lang w:val="ru-RU"/>
        </w:rPr>
        <w:t xml:space="preserve"> </w:t>
      </w:r>
      <w:bookmarkStart w:id="41" w:name="lt_pId085"/>
      <w:r w:rsidRPr="0011472E">
        <w:rPr>
          <w:lang w:val="ru-RU"/>
        </w:rPr>
        <w:t>На основании итогов разработки концепции и дальнейших обсуждений на выездном совещании руководства высшего звена в феврале МСЭ привлек Бостонскую консалтинговую группу (BCG), которая на безвозмездной основе разработала основу для развития партнерства МСЭ и стратегии мобилизации ресурсов.</w:t>
      </w:r>
      <w:bookmarkEnd w:id="41"/>
    </w:p>
    <w:p w14:paraId="775391F1" w14:textId="65D8DB28" w:rsidR="0011472E" w:rsidRPr="0011472E" w:rsidRDefault="0011472E" w:rsidP="0011472E">
      <w:pPr>
        <w:rPr>
          <w:lang w:val="ru-RU"/>
        </w:rPr>
      </w:pPr>
      <w:r w:rsidRPr="0011472E">
        <w:rPr>
          <w:lang w:val="ru-RU"/>
        </w:rPr>
        <w:t>31</w:t>
      </w:r>
      <w:r>
        <w:rPr>
          <w:lang w:val="ru-RU"/>
        </w:rPr>
        <w:tab/>
      </w:r>
      <w:r w:rsidRPr="0011472E">
        <w:rPr>
          <w:lang w:val="ru-RU"/>
        </w:rPr>
        <w:t>Работа BCG включала проведение интервью с 44 внешними заинтересованными сторонами, в том числе с Государствами-Членами и Членами Секторов, и более чем с 30 внутренними сотрудниками МСЭ и были представлены:</w:t>
      </w:r>
    </w:p>
    <w:p w14:paraId="5C12CF79" w14:textId="4B5C88F0" w:rsidR="0011472E" w:rsidRPr="0011472E" w:rsidRDefault="0011472E" w:rsidP="0011472E">
      <w:pPr>
        <w:pStyle w:val="enumlev1"/>
        <w:rPr>
          <w:lang w:val="ru-RU"/>
        </w:rPr>
      </w:pPr>
      <w:bookmarkStart w:id="42" w:name="lt_pId087"/>
      <w:r w:rsidRPr="0011472E">
        <w:rPr>
          <w:lang w:val="ru-RU"/>
        </w:rPr>
        <w:t>•</w:t>
      </w:r>
      <w:r>
        <w:rPr>
          <w:lang w:val="ru-RU"/>
        </w:rPr>
        <w:tab/>
      </w:r>
      <w:r w:rsidRPr="0011472E">
        <w:rPr>
          <w:lang w:val="ru-RU"/>
        </w:rPr>
        <w:t>исходная оценка текущей ситуации в МСЭ в области финансирования и ее соотнесения ее с другими учреждениями ООН;</w:t>
      </w:r>
      <w:bookmarkEnd w:id="42"/>
    </w:p>
    <w:p w14:paraId="58AE37C9" w14:textId="37FE3F3F" w:rsidR="0011472E" w:rsidRPr="0011472E" w:rsidRDefault="0011472E" w:rsidP="0011472E">
      <w:pPr>
        <w:pStyle w:val="enumlev1"/>
        <w:rPr>
          <w:lang w:val="ru-RU"/>
        </w:rPr>
      </w:pPr>
      <w:bookmarkStart w:id="43" w:name="lt_pId088"/>
      <w:r w:rsidRPr="0011472E">
        <w:rPr>
          <w:lang w:val="ru-RU"/>
        </w:rPr>
        <w:t>•</w:t>
      </w:r>
      <w:r>
        <w:rPr>
          <w:lang w:val="ru-RU"/>
        </w:rPr>
        <w:tab/>
      </w:r>
      <w:r w:rsidRPr="0011472E">
        <w:rPr>
          <w:lang w:val="ru-RU"/>
        </w:rPr>
        <w:t xml:space="preserve">оценка сильных сторон МСЭ, на основании которых он должен создавать свою стратегию в области партнерских отношений и мобилизации ресурсов; </w:t>
      </w:r>
      <w:bookmarkEnd w:id="43"/>
    </w:p>
    <w:p w14:paraId="2E9F0A43" w14:textId="2FCD287B" w:rsidR="0011472E" w:rsidRPr="0011472E" w:rsidRDefault="0011472E" w:rsidP="0011472E">
      <w:pPr>
        <w:pStyle w:val="enumlev1"/>
        <w:rPr>
          <w:lang w:val="ru-RU"/>
        </w:rPr>
      </w:pPr>
      <w:bookmarkStart w:id="44" w:name="lt_pId089"/>
      <w:r w:rsidRPr="0011472E">
        <w:rPr>
          <w:lang w:val="ru-RU"/>
        </w:rPr>
        <w:t>•</w:t>
      </w:r>
      <w:r>
        <w:rPr>
          <w:lang w:val="ru-RU"/>
        </w:rPr>
        <w:tab/>
      </w:r>
      <w:r w:rsidRPr="0011472E">
        <w:rPr>
          <w:lang w:val="ru-RU"/>
        </w:rPr>
        <w:t>потенциальные основные стимулы мобилизации ресурсов, каждый из которых обладает потенциалом увеличения потоков финансирования МСЭ, а также перечень конкретных мер для последующих этапов.</w:t>
      </w:r>
      <w:bookmarkEnd w:id="44"/>
      <w:r w:rsidRPr="0011472E">
        <w:rPr>
          <w:lang w:val="ru-RU"/>
        </w:rPr>
        <w:t xml:space="preserve"> </w:t>
      </w:r>
    </w:p>
    <w:p w14:paraId="265989ED" w14:textId="7A533246" w:rsidR="0011472E" w:rsidRPr="0011472E" w:rsidRDefault="0011472E" w:rsidP="0011472E">
      <w:pPr>
        <w:rPr>
          <w:lang w:val="ru-RU"/>
        </w:rPr>
      </w:pPr>
      <w:bookmarkStart w:id="45" w:name="lt_pId090"/>
      <w:r w:rsidRPr="0011472E">
        <w:rPr>
          <w:lang w:val="ru-RU"/>
        </w:rPr>
        <w:t>32</w:t>
      </w:r>
      <w:r>
        <w:rPr>
          <w:lang w:val="ru-RU"/>
        </w:rPr>
        <w:tab/>
      </w:r>
      <w:r w:rsidRPr="0011472E">
        <w:rPr>
          <w:lang w:val="ru-RU"/>
        </w:rPr>
        <w:t>Была создана Целевая группа по мобилизации ресурсов "Единый МСЭ" для оценки наиболее эффективного направления придания приоритета этим рекомендациям и их реализации (см. Документ </w:t>
      </w:r>
      <w:hyperlink r:id="rId12" w:history="1">
        <w:r w:rsidRPr="0011472E">
          <w:rPr>
            <w:rStyle w:val="Hyperlink"/>
            <w:lang w:val="ru-RU"/>
          </w:rPr>
          <w:t>C23/62</w:t>
        </w:r>
      </w:hyperlink>
      <w:r w:rsidRPr="0011472E">
        <w:rPr>
          <w:lang w:val="ru-RU"/>
        </w:rPr>
        <w:t>).</w:t>
      </w:r>
      <w:bookmarkEnd w:id="45"/>
      <w:r w:rsidRPr="0011472E">
        <w:rPr>
          <w:lang w:val="ru-RU"/>
        </w:rPr>
        <w:t xml:space="preserve"> При сильно ограниченных ресурсах МСЭ должен тщательно следить за тем, как они используются, и уделять основное внимание тому, что актуально для 2030 года, а также тому, какие вопросы важнее всего для организации, чтобы она была организацией, соответствующей будущему, которая помогает объединить человечество и технологии.</w:t>
      </w:r>
    </w:p>
    <w:p w14:paraId="5DFEF8AF" w14:textId="77777777" w:rsidR="0011472E" w:rsidRPr="0011472E" w:rsidRDefault="0011472E" w:rsidP="0011472E">
      <w:pPr>
        <w:spacing w:before="720"/>
        <w:jc w:val="center"/>
        <w:rPr>
          <w:lang w:val="ru-RU"/>
        </w:rPr>
      </w:pPr>
      <w:r w:rsidRPr="0011472E">
        <w:rPr>
          <w:lang w:val="ru-RU"/>
        </w:rPr>
        <w:t>______________</w:t>
      </w:r>
    </w:p>
    <w:bookmarkEnd w:id="10"/>
    <w:bookmarkEnd w:id="11"/>
    <w:sectPr w:rsidR="0011472E" w:rsidRPr="0011472E" w:rsidSect="00796BD3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917B8" w14:textId="77777777" w:rsidR="00CD295A" w:rsidRDefault="00CD295A">
      <w:r>
        <w:separator/>
      </w:r>
    </w:p>
  </w:endnote>
  <w:endnote w:type="continuationSeparator" w:id="0">
    <w:p w14:paraId="43162AAE" w14:textId="77777777" w:rsidR="00CD295A" w:rsidRDefault="00CD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2E10ACC" w14:textId="77777777" w:rsidTr="00CA6D22">
      <w:trPr>
        <w:jc w:val="center"/>
      </w:trPr>
      <w:tc>
        <w:tcPr>
          <w:tcW w:w="1803" w:type="dxa"/>
          <w:vAlign w:val="center"/>
        </w:tcPr>
        <w:p w14:paraId="1E9059FC" w14:textId="39CA1249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11472E">
            <w:rPr>
              <w:noProof/>
            </w:rPr>
            <w:t>521070</w:t>
          </w:r>
        </w:p>
      </w:tc>
      <w:tc>
        <w:tcPr>
          <w:tcW w:w="8261" w:type="dxa"/>
        </w:tcPr>
        <w:p w14:paraId="22D8D145" w14:textId="37A8F88D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11472E">
            <w:rPr>
              <w:bCs/>
            </w:rPr>
            <w:t>36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E681FEE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890459F" w14:textId="77777777" w:rsidTr="00CA6D22">
      <w:trPr>
        <w:jc w:val="center"/>
      </w:trPr>
      <w:tc>
        <w:tcPr>
          <w:tcW w:w="1803" w:type="dxa"/>
          <w:vAlign w:val="center"/>
        </w:tcPr>
        <w:p w14:paraId="50530439" w14:textId="77777777" w:rsidR="00672F8A" w:rsidRDefault="00836D46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BD5EA75" w14:textId="396A0E13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9B10B2">
            <w:rPr>
              <w:bCs/>
              <w:lang w:val="ru-RU"/>
            </w:rPr>
            <w:t>36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1CBCAAA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13A14" w14:textId="77777777" w:rsidR="00CD295A" w:rsidRDefault="00CD295A">
      <w:r>
        <w:t>____________________</w:t>
      </w:r>
    </w:p>
  </w:footnote>
  <w:footnote w:type="continuationSeparator" w:id="0">
    <w:p w14:paraId="63168A3E" w14:textId="77777777" w:rsidR="00CD295A" w:rsidRDefault="00CD2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5E6B3CF3" w14:textId="77777777" w:rsidTr="00CA6D22">
      <w:trPr>
        <w:trHeight w:val="1104"/>
        <w:jc w:val="center"/>
      </w:trPr>
      <w:tc>
        <w:tcPr>
          <w:tcW w:w="4390" w:type="dxa"/>
          <w:vAlign w:val="center"/>
        </w:tcPr>
        <w:p w14:paraId="31270D4C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46" w:name="_Hlk133422111"/>
          <w:r>
            <w:rPr>
              <w:noProof/>
            </w:rPr>
            <w:drawing>
              <wp:inline distT="0" distB="0" distL="0" distR="0" wp14:anchorId="7FFCB540" wp14:editId="1CC252D6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235F3E7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ADAAFD9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98E3E3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46"/>
  <w:p w14:paraId="530E2D0A" w14:textId="5F231B51" w:rsidR="00796BD3" w:rsidRDefault="0092573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220ED" wp14:editId="3611ACE8">
              <wp:simplePos x="0" y="0"/>
              <wp:positionH relativeFrom="page">
                <wp:posOffset>21590</wp:posOffset>
              </wp:positionH>
              <wp:positionV relativeFrom="topMargin">
                <wp:posOffset>629920</wp:posOffset>
              </wp:positionV>
              <wp:extent cx="92075" cy="3606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F2C7D7" id="Rectangle 2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AA7931"/>
    <w:multiLevelType w:val="hybridMultilevel"/>
    <w:tmpl w:val="617EB39A"/>
    <w:lvl w:ilvl="0" w:tplc="446C5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EA4C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28B2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87C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EAA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A004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C46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00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65D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82A5E"/>
    <w:multiLevelType w:val="hybridMultilevel"/>
    <w:tmpl w:val="90CEC61C"/>
    <w:lvl w:ilvl="0" w:tplc="B5200AF4">
      <w:start w:val="1"/>
      <w:numFmt w:val="decimal"/>
      <w:lvlText w:val="%1."/>
      <w:lvlJc w:val="left"/>
      <w:pPr>
        <w:ind w:left="5257" w:hanging="720"/>
      </w:pPr>
      <w:rPr>
        <w:rFonts w:hint="default"/>
      </w:rPr>
    </w:lvl>
    <w:lvl w:ilvl="1" w:tplc="9EEEB5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4DE761C" w:tentative="1">
      <w:start w:val="1"/>
      <w:numFmt w:val="lowerRoman"/>
      <w:lvlText w:val="%3."/>
      <w:lvlJc w:val="right"/>
      <w:pPr>
        <w:ind w:left="2160" w:hanging="180"/>
      </w:pPr>
    </w:lvl>
    <w:lvl w:ilvl="3" w:tplc="7054D2D2" w:tentative="1">
      <w:start w:val="1"/>
      <w:numFmt w:val="decimal"/>
      <w:lvlText w:val="%4."/>
      <w:lvlJc w:val="left"/>
      <w:pPr>
        <w:ind w:left="2880" w:hanging="360"/>
      </w:pPr>
    </w:lvl>
    <w:lvl w:ilvl="4" w:tplc="4FE80498" w:tentative="1">
      <w:start w:val="1"/>
      <w:numFmt w:val="lowerLetter"/>
      <w:lvlText w:val="%5."/>
      <w:lvlJc w:val="left"/>
      <w:pPr>
        <w:ind w:left="3600" w:hanging="360"/>
      </w:pPr>
    </w:lvl>
    <w:lvl w:ilvl="5" w:tplc="8872E7D2" w:tentative="1">
      <w:start w:val="1"/>
      <w:numFmt w:val="lowerRoman"/>
      <w:lvlText w:val="%6."/>
      <w:lvlJc w:val="right"/>
      <w:pPr>
        <w:ind w:left="4320" w:hanging="180"/>
      </w:pPr>
    </w:lvl>
    <w:lvl w:ilvl="6" w:tplc="0BB43F2E" w:tentative="1">
      <w:start w:val="1"/>
      <w:numFmt w:val="decimal"/>
      <w:lvlText w:val="%7."/>
      <w:lvlJc w:val="left"/>
      <w:pPr>
        <w:ind w:left="5040" w:hanging="360"/>
      </w:pPr>
    </w:lvl>
    <w:lvl w:ilvl="7" w:tplc="3EF0FA00" w:tentative="1">
      <w:start w:val="1"/>
      <w:numFmt w:val="lowerLetter"/>
      <w:lvlText w:val="%8."/>
      <w:lvlJc w:val="left"/>
      <w:pPr>
        <w:ind w:left="5760" w:hanging="360"/>
      </w:pPr>
    </w:lvl>
    <w:lvl w:ilvl="8" w:tplc="6802823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1980913485">
    <w:abstractNumId w:val="1"/>
  </w:num>
  <w:num w:numId="3" w16cid:durableId="1637102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5A"/>
    <w:rsid w:val="00005BE0"/>
    <w:rsid w:val="0002183E"/>
    <w:rsid w:val="00033EF6"/>
    <w:rsid w:val="000569B4"/>
    <w:rsid w:val="00070DA1"/>
    <w:rsid w:val="00080E82"/>
    <w:rsid w:val="000B2DE7"/>
    <w:rsid w:val="000C351D"/>
    <w:rsid w:val="000E568E"/>
    <w:rsid w:val="0011472E"/>
    <w:rsid w:val="0014734F"/>
    <w:rsid w:val="0015710D"/>
    <w:rsid w:val="00163A32"/>
    <w:rsid w:val="00165D06"/>
    <w:rsid w:val="00192B41"/>
    <w:rsid w:val="00194E38"/>
    <w:rsid w:val="001B7B09"/>
    <w:rsid w:val="001D18C8"/>
    <w:rsid w:val="001E3CDC"/>
    <w:rsid w:val="001E6719"/>
    <w:rsid w:val="001E7F50"/>
    <w:rsid w:val="00201477"/>
    <w:rsid w:val="00225368"/>
    <w:rsid w:val="0022668B"/>
    <w:rsid w:val="00227FF0"/>
    <w:rsid w:val="002573FC"/>
    <w:rsid w:val="00291EB6"/>
    <w:rsid w:val="00292046"/>
    <w:rsid w:val="002D2F57"/>
    <w:rsid w:val="002D4654"/>
    <w:rsid w:val="002D48C5"/>
    <w:rsid w:val="00323AF7"/>
    <w:rsid w:val="0033025A"/>
    <w:rsid w:val="00334870"/>
    <w:rsid w:val="00340B96"/>
    <w:rsid w:val="003E01AA"/>
    <w:rsid w:val="003F099E"/>
    <w:rsid w:val="003F235E"/>
    <w:rsid w:val="004023E0"/>
    <w:rsid w:val="00403DD8"/>
    <w:rsid w:val="00442515"/>
    <w:rsid w:val="0045686C"/>
    <w:rsid w:val="004770E0"/>
    <w:rsid w:val="004918C4"/>
    <w:rsid w:val="00497703"/>
    <w:rsid w:val="004A0374"/>
    <w:rsid w:val="004A45B5"/>
    <w:rsid w:val="004D0129"/>
    <w:rsid w:val="004E54EA"/>
    <w:rsid w:val="00532935"/>
    <w:rsid w:val="005A64D5"/>
    <w:rsid w:val="005B3DEC"/>
    <w:rsid w:val="00601994"/>
    <w:rsid w:val="006429D0"/>
    <w:rsid w:val="00662C5E"/>
    <w:rsid w:val="00672F8A"/>
    <w:rsid w:val="00674815"/>
    <w:rsid w:val="006E2D42"/>
    <w:rsid w:val="00703676"/>
    <w:rsid w:val="0070515E"/>
    <w:rsid w:val="00707304"/>
    <w:rsid w:val="00732269"/>
    <w:rsid w:val="00785ABD"/>
    <w:rsid w:val="00796BD3"/>
    <w:rsid w:val="007A2DD4"/>
    <w:rsid w:val="007C57C0"/>
    <w:rsid w:val="007C73A3"/>
    <w:rsid w:val="007D38B5"/>
    <w:rsid w:val="007E7EA0"/>
    <w:rsid w:val="007F121E"/>
    <w:rsid w:val="00806ACF"/>
    <w:rsid w:val="00807255"/>
    <w:rsid w:val="0081023E"/>
    <w:rsid w:val="008173AA"/>
    <w:rsid w:val="00836D46"/>
    <w:rsid w:val="00840A14"/>
    <w:rsid w:val="00877AB9"/>
    <w:rsid w:val="008B1C9D"/>
    <w:rsid w:val="008B62B4"/>
    <w:rsid w:val="008C3118"/>
    <w:rsid w:val="008D2D7B"/>
    <w:rsid w:val="008E0737"/>
    <w:rsid w:val="008F7C2C"/>
    <w:rsid w:val="0092573D"/>
    <w:rsid w:val="00940E96"/>
    <w:rsid w:val="0099131E"/>
    <w:rsid w:val="009B0BAE"/>
    <w:rsid w:val="009B10B2"/>
    <w:rsid w:val="009C1C89"/>
    <w:rsid w:val="009F3448"/>
    <w:rsid w:val="00A01CF9"/>
    <w:rsid w:val="00A15FF9"/>
    <w:rsid w:val="00A44BA7"/>
    <w:rsid w:val="00A71773"/>
    <w:rsid w:val="00A763E6"/>
    <w:rsid w:val="00A806DF"/>
    <w:rsid w:val="00AE2C85"/>
    <w:rsid w:val="00AE5EFC"/>
    <w:rsid w:val="00B12A37"/>
    <w:rsid w:val="00B41837"/>
    <w:rsid w:val="00B63EF2"/>
    <w:rsid w:val="00BA7D89"/>
    <w:rsid w:val="00BB24E7"/>
    <w:rsid w:val="00BC0D39"/>
    <w:rsid w:val="00BC7BC0"/>
    <w:rsid w:val="00BD57B7"/>
    <w:rsid w:val="00BE63E2"/>
    <w:rsid w:val="00C02F7F"/>
    <w:rsid w:val="00C27EDB"/>
    <w:rsid w:val="00C73621"/>
    <w:rsid w:val="00CA6D22"/>
    <w:rsid w:val="00CD2009"/>
    <w:rsid w:val="00CD295A"/>
    <w:rsid w:val="00CF2D2A"/>
    <w:rsid w:val="00CF629C"/>
    <w:rsid w:val="00D12F18"/>
    <w:rsid w:val="00D14DD0"/>
    <w:rsid w:val="00D77368"/>
    <w:rsid w:val="00D92EEA"/>
    <w:rsid w:val="00DA5D4E"/>
    <w:rsid w:val="00DD07F3"/>
    <w:rsid w:val="00E06957"/>
    <w:rsid w:val="00E176BA"/>
    <w:rsid w:val="00E423EC"/>
    <w:rsid w:val="00E44844"/>
    <w:rsid w:val="00E55121"/>
    <w:rsid w:val="00EB4FCB"/>
    <w:rsid w:val="00EC6BC5"/>
    <w:rsid w:val="00ED0106"/>
    <w:rsid w:val="00F35898"/>
    <w:rsid w:val="00F5225B"/>
    <w:rsid w:val="00FE5701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618BB"/>
  <w15:docId w15:val="{B9FE55B1-716D-43E4-BF17-D982054B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normaltextrun">
    <w:name w:val="normaltextrun"/>
    <w:basedOn w:val="DefaultParagraphFont"/>
    <w:rsid w:val="008B1C9D"/>
  </w:style>
  <w:style w:type="character" w:customStyle="1" w:styleId="eop">
    <w:name w:val="eop"/>
    <w:basedOn w:val="DefaultParagraphFont"/>
    <w:rsid w:val="008B1C9D"/>
  </w:style>
  <w:style w:type="paragraph" w:styleId="ListParagraph">
    <w:name w:val="List Paragraph"/>
    <w:basedOn w:val="Normal"/>
    <w:uiPriority w:val="34"/>
    <w:qFormat/>
    <w:rsid w:val="008B1C9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SimSu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F6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062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3-CL-C-0052/en" TargetMode="External"/><Relationship Id="rId12" Type="http://schemas.openxmlformats.org/officeDocument/2006/relationships/hyperlink" Target="https://www.itu.int/md/S23-CL-C-0062/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3-CL-C-0062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3-CL-C-005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-2023/RES-071-R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1935</Words>
  <Characters>11035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12945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Accelerating the implementation of the ITU strategic plan 2024-2027</dc:title>
  <dc:subject>Council 2023</dc:subject>
  <dc:creator>Miliaeva, Olga</dc:creator>
  <cp:keywords>C2023, C23, Council-23</cp:keywords>
  <dc:description/>
  <cp:lastModifiedBy>Xue, Kun</cp:lastModifiedBy>
  <cp:revision>2</cp:revision>
  <cp:lastPrinted>2006-03-28T16:12:00Z</cp:lastPrinted>
  <dcterms:created xsi:type="dcterms:W3CDTF">2023-07-02T20:12:00Z</dcterms:created>
  <dcterms:modified xsi:type="dcterms:W3CDTF">2023-07-02T20:12:00Z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