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7FD6512" w14:textId="77777777" w:rsidTr="00F363FE">
        <w:tc>
          <w:tcPr>
            <w:tcW w:w="6512" w:type="dxa"/>
          </w:tcPr>
          <w:p w14:paraId="69F74056" w14:textId="2ABE6B5F"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E66CF1">
              <w:rPr>
                <w:rFonts w:hint="cs"/>
                <w:b/>
                <w:bCs/>
                <w:rtl/>
                <w:lang w:bidi="ar-EG"/>
              </w:rPr>
              <w:t xml:space="preserve"> </w:t>
            </w:r>
            <w:r w:rsidR="00E66CF1">
              <w:rPr>
                <w:b/>
                <w:bCs/>
                <w:lang w:bidi="ar-EG"/>
              </w:rPr>
              <w:t>ADM 1</w:t>
            </w:r>
          </w:p>
        </w:tc>
        <w:tc>
          <w:tcPr>
            <w:tcW w:w="3117" w:type="dxa"/>
          </w:tcPr>
          <w:p w14:paraId="4D6C1F66" w14:textId="0C7316A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E66CF1">
              <w:rPr>
                <w:b/>
                <w:bCs/>
                <w:lang w:bidi="ar-EG"/>
              </w:rPr>
              <w:t>39</w:t>
            </w:r>
            <w:r w:rsidRPr="007B0AA0">
              <w:rPr>
                <w:b/>
                <w:bCs/>
                <w:lang w:bidi="ar-EG"/>
              </w:rPr>
              <w:t>-A</w:t>
            </w:r>
          </w:p>
        </w:tc>
      </w:tr>
      <w:tr w:rsidR="007B0AA0" w14:paraId="4932AED8" w14:textId="77777777" w:rsidTr="00F363FE">
        <w:tc>
          <w:tcPr>
            <w:tcW w:w="6512" w:type="dxa"/>
          </w:tcPr>
          <w:p w14:paraId="5F1B3549" w14:textId="77777777" w:rsidR="007B0AA0" w:rsidRPr="007B0AA0" w:rsidRDefault="007B0AA0" w:rsidP="00F363FE">
            <w:pPr>
              <w:spacing w:before="60" w:after="60" w:line="260" w:lineRule="exact"/>
              <w:rPr>
                <w:b/>
                <w:bCs/>
                <w:rtl/>
                <w:lang w:bidi="ar-EG"/>
              </w:rPr>
            </w:pPr>
          </w:p>
        </w:tc>
        <w:tc>
          <w:tcPr>
            <w:tcW w:w="3117" w:type="dxa"/>
          </w:tcPr>
          <w:p w14:paraId="31D811E1" w14:textId="559F671E" w:rsidR="007B0AA0" w:rsidRPr="007B0AA0" w:rsidRDefault="00E66CF1"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3870C9E9" w14:textId="77777777" w:rsidTr="00F363FE">
        <w:tc>
          <w:tcPr>
            <w:tcW w:w="6512" w:type="dxa"/>
          </w:tcPr>
          <w:p w14:paraId="386A6099" w14:textId="77777777" w:rsidR="007B0AA0" w:rsidRPr="007B0AA0" w:rsidRDefault="007B0AA0" w:rsidP="00F363FE">
            <w:pPr>
              <w:spacing w:before="60" w:after="60" w:line="260" w:lineRule="exact"/>
              <w:rPr>
                <w:b/>
                <w:bCs/>
                <w:rtl/>
                <w:lang w:bidi="ar-EG"/>
              </w:rPr>
            </w:pPr>
          </w:p>
        </w:tc>
        <w:tc>
          <w:tcPr>
            <w:tcW w:w="3117" w:type="dxa"/>
          </w:tcPr>
          <w:p w14:paraId="64089609"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87E4444" w14:textId="77777777" w:rsidTr="00F363FE">
        <w:tc>
          <w:tcPr>
            <w:tcW w:w="6512" w:type="dxa"/>
          </w:tcPr>
          <w:p w14:paraId="59FEC609" w14:textId="77777777" w:rsidR="007B0AA0" w:rsidRDefault="007B0AA0" w:rsidP="00F363FE">
            <w:pPr>
              <w:spacing w:before="60" w:after="60" w:line="260" w:lineRule="exact"/>
              <w:rPr>
                <w:lang w:bidi="ar-EG"/>
              </w:rPr>
            </w:pPr>
          </w:p>
        </w:tc>
        <w:tc>
          <w:tcPr>
            <w:tcW w:w="3117" w:type="dxa"/>
          </w:tcPr>
          <w:p w14:paraId="1E0031AC" w14:textId="77777777" w:rsidR="007B0AA0" w:rsidRDefault="007B0AA0" w:rsidP="00F363FE">
            <w:pPr>
              <w:spacing w:before="60" w:after="60" w:line="260" w:lineRule="exact"/>
              <w:rPr>
                <w:rtl/>
                <w:lang w:bidi="ar-EG"/>
              </w:rPr>
            </w:pPr>
          </w:p>
        </w:tc>
      </w:tr>
      <w:tr w:rsidR="007B0AA0" w14:paraId="7900FDF5" w14:textId="77777777" w:rsidTr="00EE7446">
        <w:tc>
          <w:tcPr>
            <w:tcW w:w="9629" w:type="dxa"/>
            <w:gridSpan w:val="2"/>
          </w:tcPr>
          <w:p w14:paraId="6F0DA1B1"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591DCE32" w14:textId="77777777" w:rsidTr="007B0AA0">
        <w:tc>
          <w:tcPr>
            <w:tcW w:w="9629" w:type="dxa"/>
            <w:gridSpan w:val="2"/>
            <w:tcBorders>
              <w:bottom w:val="single" w:sz="4" w:space="0" w:color="auto"/>
            </w:tcBorders>
          </w:tcPr>
          <w:p w14:paraId="361B872E" w14:textId="696DE8CF" w:rsidR="007B0AA0" w:rsidRPr="00B8176D" w:rsidRDefault="00B8176D" w:rsidP="007B0AA0">
            <w:pPr>
              <w:pStyle w:val="Subtitle0"/>
              <w:rPr>
                <w:sz w:val="28"/>
                <w:szCs w:val="28"/>
                <w:highlight w:val="yellow"/>
              </w:rPr>
            </w:pPr>
            <w:r w:rsidRPr="00080D0E">
              <w:rPr>
                <w:rFonts w:eastAsia="SimSun" w:hint="cs"/>
                <w:position w:val="2"/>
                <w:sz w:val="28"/>
                <w:szCs w:val="28"/>
                <w:rtl/>
              </w:rPr>
              <w:t>طلبات الإعفاء الجديدة المقدمة من المنظمات ذات الطابع الدولي</w:t>
            </w:r>
          </w:p>
        </w:tc>
      </w:tr>
      <w:tr w:rsidR="007B0AA0" w14:paraId="10716DCF" w14:textId="77777777" w:rsidTr="007B0AA0">
        <w:tc>
          <w:tcPr>
            <w:tcW w:w="9629" w:type="dxa"/>
            <w:gridSpan w:val="2"/>
            <w:tcBorders>
              <w:top w:val="single" w:sz="4" w:space="0" w:color="auto"/>
              <w:bottom w:val="single" w:sz="4" w:space="0" w:color="auto"/>
            </w:tcBorders>
          </w:tcPr>
          <w:p w14:paraId="677C2FE0" w14:textId="647E2441" w:rsidR="007B0AA0" w:rsidRPr="007B0AA0" w:rsidRDefault="007B0AA0" w:rsidP="007B0AA0">
            <w:pPr>
              <w:rPr>
                <w:b/>
                <w:bCs/>
                <w:rtl/>
              </w:rPr>
            </w:pPr>
            <w:r w:rsidRPr="007B0AA0">
              <w:rPr>
                <w:rFonts w:hint="cs"/>
                <w:b/>
                <w:bCs/>
                <w:rtl/>
              </w:rPr>
              <w:t>الغرض</w:t>
            </w:r>
          </w:p>
          <w:p w14:paraId="1BAA8B75" w14:textId="7178AE47" w:rsidR="00052D83" w:rsidRPr="00052D83" w:rsidRDefault="00052D83" w:rsidP="00052D83">
            <w:pPr>
              <w:rPr>
                <w:rtl/>
                <w:lang w:bidi="ar-EG"/>
              </w:rPr>
            </w:pPr>
            <w:r w:rsidRPr="00052D83">
              <w:rPr>
                <w:rFonts w:hint="cs"/>
                <w:rtl/>
                <w:lang w:bidi="ar-EG"/>
              </w:rPr>
              <w:t xml:space="preserve">يتلقَّى الاتحاد الدولي للاتصالات سنوياً من المنظمات ذات </w:t>
            </w:r>
            <w:r w:rsidR="00080D0E">
              <w:rPr>
                <w:rFonts w:hint="cs"/>
                <w:rtl/>
                <w:lang w:bidi="ar-EG"/>
              </w:rPr>
              <w:t>الطابع</w:t>
            </w:r>
            <w:r w:rsidRPr="00052D83">
              <w:rPr>
                <w:rFonts w:hint="cs"/>
                <w:rtl/>
                <w:lang w:bidi="ar-EG"/>
              </w:rPr>
              <w:t xml:space="preserve"> الدولي طلبات تلتمس إعفاء هذه المنظمات من دفع رسوم العضوية في الاتحاد وتقديم مساهمات مالية أخرى إليه على أساس مبدأ المعاملة بالمثل. وتستعرض الأمانة هذه الطلبات الجديدة وفقاً للمعايير التي حددها مجلس</w:t>
            </w:r>
            <w:r w:rsidR="00080D0E">
              <w:rPr>
                <w:rFonts w:hint="cs"/>
                <w:rtl/>
                <w:lang w:bidi="ar-EG"/>
              </w:rPr>
              <w:t xml:space="preserve"> الاتحاد</w:t>
            </w:r>
            <w:r w:rsidRPr="00052D83">
              <w:rPr>
                <w:rFonts w:hint="cs"/>
                <w:rtl/>
                <w:lang w:bidi="ar-EG"/>
              </w:rPr>
              <w:t>.</w:t>
            </w:r>
          </w:p>
          <w:p w14:paraId="60EABFED" w14:textId="77777777" w:rsidR="007B0AA0" w:rsidRPr="007B0AA0" w:rsidRDefault="007B0AA0" w:rsidP="007B0AA0">
            <w:pPr>
              <w:rPr>
                <w:b/>
                <w:bCs/>
                <w:rtl/>
              </w:rPr>
            </w:pPr>
            <w:r w:rsidRPr="007B0AA0">
              <w:rPr>
                <w:rFonts w:hint="cs"/>
                <w:b/>
                <w:bCs/>
                <w:rtl/>
              </w:rPr>
              <w:t>الإجراء المطلوب من المجلس</w:t>
            </w:r>
          </w:p>
          <w:p w14:paraId="28D1BEB1" w14:textId="40EB3A3B" w:rsidR="007B0AA0" w:rsidRDefault="00052D83" w:rsidP="00052D83">
            <w:pPr>
              <w:rPr>
                <w:rtl/>
                <w:lang w:bidi="ar-SY"/>
              </w:rPr>
            </w:pPr>
            <w:r w:rsidRPr="00052D83">
              <w:rPr>
                <w:rFonts w:hint="cs"/>
                <w:rtl/>
                <w:lang w:bidi="ar-SY"/>
              </w:rPr>
              <w:t xml:space="preserve">يُدعى المجلس </w:t>
            </w:r>
            <w:r w:rsidRPr="00716A16">
              <w:rPr>
                <w:rFonts w:hint="cs"/>
                <w:b/>
                <w:bCs/>
                <w:rtl/>
                <w:lang w:bidi="ar-SY"/>
              </w:rPr>
              <w:t xml:space="preserve">إلى </w:t>
            </w:r>
            <w:r w:rsidRPr="00052D83">
              <w:rPr>
                <w:rFonts w:hint="cs"/>
                <w:b/>
                <w:bCs/>
                <w:rtl/>
                <w:lang w:bidi="ar-SY"/>
              </w:rPr>
              <w:t xml:space="preserve">النظر </w:t>
            </w:r>
            <w:r w:rsidRPr="00052D83">
              <w:rPr>
                <w:rFonts w:hint="cs"/>
                <w:rtl/>
                <w:lang w:bidi="ar-SY"/>
              </w:rPr>
              <w:t xml:space="preserve">في توصيات </w:t>
            </w:r>
            <w:r w:rsidRPr="000C7D09">
              <w:rPr>
                <w:rFonts w:hint="cs"/>
                <w:rtl/>
                <w:lang w:bidi="ar-SY"/>
              </w:rPr>
              <w:t>الأمين</w:t>
            </w:r>
            <w:r w:rsidR="000C7D09">
              <w:rPr>
                <w:rFonts w:hint="cs"/>
                <w:rtl/>
                <w:lang w:bidi="ar-SY"/>
              </w:rPr>
              <w:t>ة</w:t>
            </w:r>
            <w:r w:rsidRPr="000C7D09">
              <w:rPr>
                <w:rFonts w:hint="cs"/>
                <w:rtl/>
                <w:lang w:bidi="ar-SY"/>
              </w:rPr>
              <w:t xml:space="preserve"> العام</w:t>
            </w:r>
            <w:r w:rsidR="000C7D09">
              <w:rPr>
                <w:rFonts w:hint="cs"/>
                <w:rtl/>
                <w:lang w:bidi="ar-SY"/>
              </w:rPr>
              <w:t>ة</w:t>
            </w:r>
            <w:r w:rsidRPr="00052D83">
              <w:rPr>
                <w:rFonts w:hint="cs"/>
                <w:rtl/>
                <w:lang w:bidi="ar-SY"/>
              </w:rPr>
              <w:t xml:space="preserve"> بشأن طلبات الإعفاء الجديدة.</w:t>
            </w:r>
          </w:p>
          <w:p w14:paraId="118D4CBE" w14:textId="7E208D30" w:rsidR="007B0AA0" w:rsidRPr="007B0AA0" w:rsidRDefault="007B0AA0" w:rsidP="007B0AA0">
            <w:pPr>
              <w:rPr>
                <w:b/>
                <w:bCs/>
                <w:rtl/>
              </w:rPr>
            </w:pPr>
            <w:r w:rsidRPr="00080D0E">
              <w:rPr>
                <w:b/>
                <w:bCs/>
                <w:rtl/>
              </w:rPr>
              <w:t>الصلة بالخطة ال</w:t>
            </w:r>
            <w:r w:rsidRPr="00080D0E">
              <w:rPr>
                <w:rFonts w:hint="cs"/>
                <w:b/>
                <w:bCs/>
                <w:rtl/>
              </w:rPr>
              <w:t>ا</w:t>
            </w:r>
            <w:r w:rsidRPr="00080D0E">
              <w:rPr>
                <w:b/>
                <w:bCs/>
                <w:rtl/>
              </w:rPr>
              <w:t>ستراتيجية</w:t>
            </w:r>
          </w:p>
          <w:p w14:paraId="74C5D097" w14:textId="1C7FEB52" w:rsidR="007B0AA0" w:rsidRDefault="00C1743E" w:rsidP="007B0AA0">
            <w:pPr>
              <w:rPr>
                <w:rtl/>
              </w:rPr>
            </w:pPr>
            <w:r w:rsidRPr="00674EBA">
              <w:rPr>
                <w:rFonts w:hint="cs"/>
                <w:rtl/>
              </w:rPr>
              <w:t>منظمة</w:t>
            </w:r>
            <w:r w:rsidR="00674EBA">
              <w:rPr>
                <w:rFonts w:hint="cs"/>
                <w:rtl/>
              </w:rPr>
              <w:t xml:space="preserve"> يقودها</w:t>
            </w:r>
            <w:r w:rsidRPr="00674EBA">
              <w:rPr>
                <w:rFonts w:hint="cs"/>
                <w:rtl/>
              </w:rPr>
              <w:t xml:space="preserve"> الأعضاء</w:t>
            </w:r>
            <w:r w:rsidR="00B8397F" w:rsidRPr="00674EBA">
              <w:rPr>
                <w:rFonts w:hint="cs"/>
                <w:rtl/>
              </w:rPr>
              <w:t>.</w:t>
            </w:r>
          </w:p>
          <w:p w14:paraId="63E01A34" w14:textId="182E8191" w:rsidR="007B0AA0" w:rsidRDefault="007B0AA0" w:rsidP="00080D0E">
            <w:pPr>
              <w:rPr>
                <w:b/>
                <w:bCs/>
                <w:rtl/>
              </w:rPr>
            </w:pPr>
            <w:r w:rsidRPr="007B0AA0">
              <w:rPr>
                <w:rFonts w:hint="cs"/>
                <w:b/>
                <w:bCs/>
                <w:rtl/>
              </w:rPr>
              <w:t>الآثار المالية</w:t>
            </w:r>
          </w:p>
          <w:p w14:paraId="7FDDE9E3" w14:textId="72735B96" w:rsidR="00052D83" w:rsidRPr="00052D83" w:rsidRDefault="000C7D09" w:rsidP="007B0AA0">
            <w:pPr>
              <w:rPr>
                <w:rtl/>
              </w:rPr>
            </w:pPr>
            <w:r>
              <w:rPr>
                <w:rFonts w:hint="cs"/>
                <w:rtl/>
              </w:rPr>
              <w:t xml:space="preserve">تبلغ القيمة الإجمالية لرسوم عضوية الكيانات </w:t>
            </w:r>
            <w:r w:rsidR="002E7571">
              <w:rPr>
                <w:rFonts w:hint="cs"/>
                <w:rtl/>
                <w:lang w:bidi="ar-EG"/>
              </w:rPr>
              <w:t xml:space="preserve">التي توصي </w:t>
            </w:r>
            <w:r>
              <w:rPr>
                <w:rFonts w:hint="cs"/>
                <w:rtl/>
              </w:rPr>
              <w:t>الأمانة</w:t>
            </w:r>
            <w:r w:rsidR="002E7571">
              <w:rPr>
                <w:rFonts w:hint="cs"/>
                <w:rtl/>
              </w:rPr>
              <w:t xml:space="preserve"> بالموافقة عليها</w:t>
            </w:r>
            <w:r>
              <w:rPr>
                <w:rFonts w:hint="cs"/>
                <w:rtl/>
              </w:rPr>
              <w:t xml:space="preserve"> </w:t>
            </w:r>
            <w:r>
              <w:t>174 900</w:t>
            </w:r>
            <w:r>
              <w:rPr>
                <w:rFonts w:hint="cs"/>
                <w:rtl/>
              </w:rPr>
              <w:t xml:space="preserve"> فرنك سويسري</w:t>
            </w:r>
            <w:r w:rsidR="00052D83" w:rsidRPr="00052D83">
              <w:rPr>
                <w:rFonts w:hint="cs"/>
                <w:rtl/>
              </w:rPr>
              <w:t>.</w:t>
            </w:r>
          </w:p>
          <w:p w14:paraId="275A25B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865BBBD" w14:textId="77777777" w:rsidR="007B0AA0" w:rsidRPr="007B0AA0" w:rsidRDefault="007B0AA0" w:rsidP="007B0AA0">
            <w:pPr>
              <w:rPr>
                <w:b/>
                <w:bCs/>
                <w:rtl/>
              </w:rPr>
            </w:pPr>
            <w:r w:rsidRPr="007B0AA0">
              <w:rPr>
                <w:rFonts w:hint="cs"/>
                <w:b/>
                <w:bCs/>
                <w:rtl/>
              </w:rPr>
              <w:t>المراجع</w:t>
            </w:r>
          </w:p>
          <w:p w14:paraId="01E02ED6" w14:textId="76EB6292" w:rsidR="00052D83" w:rsidRPr="00091B86" w:rsidRDefault="000C7D09" w:rsidP="00D5045C">
            <w:pPr>
              <w:spacing w:after="120"/>
              <w:rPr>
                <w:i/>
                <w:iCs/>
                <w:spacing w:val="-2"/>
                <w:rtl/>
              </w:rPr>
            </w:pPr>
            <w:r w:rsidRPr="00091B86">
              <w:rPr>
                <w:rFonts w:hint="cs"/>
                <w:i/>
                <w:iCs/>
                <w:spacing w:val="-2"/>
                <w:rtl/>
              </w:rPr>
              <w:t>الوثيقة</w:t>
            </w:r>
            <w:r w:rsidRPr="00091B86">
              <w:rPr>
                <w:rFonts w:hint="cs"/>
                <w:spacing w:val="-2"/>
                <w:rtl/>
              </w:rPr>
              <w:t xml:space="preserve"> </w:t>
            </w:r>
            <w:hyperlink r:id="rId8" w:history="1">
              <w:r w:rsidRPr="00091B86">
                <w:rPr>
                  <w:rStyle w:val="Hyperlink"/>
                  <w:rFonts w:eastAsia="Calibri" w:cs="Calibri"/>
                  <w:i/>
                  <w:iCs/>
                  <w:spacing w:val="-2"/>
                </w:rPr>
                <w:t>C2000/28(Rev.1)</w:t>
              </w:r>
            </w:hyperlink>
            <w:r w:rsidRPr="00091B86">
              <w:rPr>
                <w:rFonts w:hint="cs"/>
                <w:spacing w:val="-2"/>
                <w:rtl/>
              </w:rPr>
              <w:t xml:space="preserve"> </w:t>
            </w:r>
            <w:r w:rsidRPr="00091B86">
              <w:rPr>
                <w:rFonts w:hint="cs"/>
                <w:i/>
                <w:iCs/>
                <w:spacing w:val="-2"/>
                <w:rtl/>
              </w:rPr>
              <w:t>و</w:t>
            </w:r>
            <w:hyperlink r:id="rId9" w:history="1">
              <w:r w:rsidR="00E3415D" w:rsidRPr="00091B86">
                <w:rPr>
                  <w:rStyle w:val="Hyperlink"/>
                  <w:rFonts w:hint="cs"/>
                  <w:i/>
                  <w:iCs/>
                  <w:spacing w:val="-2"/>
                  <w:rtl/>
                </w:rPr>
                <w:t>قرار</w:t>
              </w:r>
              <w:r w:rsidR="004A4DBB" w:rsidRPr="00091B86">
                <w:rPr>
                  <w:rStyle w:val="Hyperlink"/>
                  <w:rFonts w:hint="cs"/>
                  <w:i/>
                  <w:iCs/>
                  <w:spacing w:val="-2"/>
                  <w:rtl/>
                </w:rPr>
                <w:t xml:space="preserve"> المجلس</w:t>
              </w:r>
              <w:r w:rsidR="00E3415D" w:rsidRPr="00091B86">
                <w:rPr>
                  <w:rStyle w:val="Hyperlink"/>
                  <w:rFonts w:hint="cs"/>
                  <w:i/>
                  <w:iCs/>
                  <w:spacing w:val="-2"/>
                  <w:rtl/>
                </w:rPr>
                <w:t xml:space="preserve"> 925</w:t>
              </w:r>
            </w:hyperlink>
            <w:r w:rsidR="00E3415D" w:rsidRPr="00091B86">
              <w:rPr>
                <w:rFonts w:hint="cs"/>
                <w:spacing w:val="-2"/>
                <w:rtl/>
              </w:rPr>
              <w:t xml:space="preserve"> </w:t>
            </w:r>
            <w:r w:rsidR="00E3415D" w:rsidRPr="00091B86">
              <w:rPr>
                <w:rFonts w:hint="cs"/>
                <w:i/>
                <w:iCs/>
                <w:spacing w:val="-2"/>
                <w:rtl/>
              </w:rPr>
              <w:t>و</w:t>
            </w:r>
            <w:hyperlink r:id="rId10" w:history="1">
              <w:r w:rsidR="00E3415D" w:rsidRPr="00091B86">
                <w:rPr>
                  <w:rStyle w:val="Hyperlink"/>
                  <w:rFonts w:hint="cs"/>
                  <w:i/>
                  <w:iCs/>
                  <w:spacing w:val="-2"/>
                  <w:rtl/>
                </w:rPr>
                <w:t>معايير المجلس الخاصة بالإعفاء من رسوم العضوية (</w:t>
              </w:r>
              <w:r w:rsidR="00D23EFC" w:rsidRPr="00091B86">
                <w:rPr>
                  <w:rStyle w:val="Hyperlink"/>
                  <w:rFonts w:hint="cs"/>
                  <w:i/>
                  <w:iCs/>
                  <w:spacing w:val="-2"/>
                  <w:rtl/>
                </w:rPr>
                <w:t>المنقحة</w:t>
              </w:r>
              <w:r w:rsidR="00E3415D" w:rsidRPr="00091B86">
                <w:rPr>
                  <w:rStyle w:val="Hyperlink"/>
                  <w:rFonts w:hint="cs"/>
                  <w:i/>
                  <w:iCs/>
                  <w:spacing w:val="-2"/>
                  <w:rtl/>
                </w:rPr>
                <w:t xml:space="preserve"> في عام 2017) </w:t>
              </w:r>
            </w:hyperlink>
          </w:p>
        </w:tc>
      </w:tr>
    </w:tbl>
    <w:p w14:paraId="6A8E5C2A" w14:textId="77777777" w:rsidR="00E61BE8" w:rsidRDefault="00E61BE8" w:rsidP="00E61BE8">
      <w:pPr>
        <w:rPr>
          <w:rtl/>
          <w:lang w:bidi="ar-EG"/>
        </w:rPr>
      </w:pPr>
    </w:p>
    <w:p w14:paraId="7272B06A" w14:textId="77777777" w:rsidR="00F50E3F" w:rsidRDefault="00F50E3F" w:rsidP="00091B86">
      <w:pPr>
        <w:rPr>
          <w:rtl/>
          <w:lang w:bidi="ar-EG"/>
        </w:rPr>
      </w:pPr>
      <w:r>
        <w:rPr>
          <w:rtl/>
          <w:lang w:bidi="ar-EG"/>
        </w:rPr>
        <w:br w:type="page"/>
      </w:r>
    </w:p>
    <w:p w14:paraId="31957A3F" w14:textId="77777777" w:rsidR="002962A4" w:rsidRDefault="002962A4" w:rsidP="002962A4">
      <w:pPr>
        <w:pStyle w:val="Heading1"/>
        <w:rPr>
          <w:lang w:bidi="ar-SY"/>
        </w:rPr>
      </w:pPr>
      <w:r>
        <w:rPr>
          <w:lang w:bidi="ar-SY"/>
        </w:rPr>
        <w:lastRenderedPageBreak/>
        <w:t>1</w:t>
      </w:r>
      <w:r>
        <w:rPr>
          <w:lang w:bidi="ar-SY"/>
        </w:rPr>
        <w:tab/>
      </w:r>
      <w:r>
        <w:rPr>
          <w:rFonts w:hint="cs"/>
          <w:rtl/>
          <w:lang w:bidi="ar-SY"/>
        </w:rPr>
        <w:t>خلفية</w:t>
      </w:r>
    </w:p>
    <w:p w14:paraId="58C5D8D5" w14:textId="22F48136" w:rsidR="002962A4" w:rsidRDefault="002962A4" w:rsidP="002962A4">
      <w:pPr>
        <w:rPr>
          <w:rtl/>
        </w:rPr>
      </w:pPr>
      <w:r>
        <w:rPr>
          <w:lang w:bidi="ar-SY"/>
        </w:rPr>
        <w:t>1.1</w:t>
      </w:r>
      <w:r>
        <w:rPr>
          <w:lang w:bidi="ar-SY"/>
        </w:rPr>
        <w:tab/>
      </w:r>
      <w:r w:rsidRPr="00A6173B">
        <w:rPr>
          <w:rFonts w:hint="cs"/>
          <w:rtl/>
          <w:lang w:bidi="ar-EG"/>
        </w:rPr>
        <w:t>يتلق</w:t>
      </w:r>
      <w:r>
        <w:rPr>
          <w:rFonts w:hint="cs"/>
          <w:rtl/>
          <w:lang w:bidi="ar-EG"/>
        </w:rPr>
        <w:t>َّ</w:t>
      </w:r>
      <w:r w:rsidRPr="00A6173B">
        <w:rPr>
          <w:rFonts w:hint="cs"/>
          <w:rtl/>
          <w:lang w:bidi="ar-EG"/>
        </w:rPr>
        <w:t>ى الاتحاد الدول</w:t>
      </w:r>
      <w:r w:rsidR="004A4DBB">
        <w:rPr>
          <w:rFonts w:hint="cs"/>
          <w:rtl/>
          <w:lang w:bidi="ar-EG"/>
        </w:rPr>
        <w:t>ي</w:t>
      </w:r>
      <w:r w:rsidRPr="00A6173B">
        <w:rPr>
          <w:rFonts w:hint="cs"/>
          <w:rtl/>
          <w:lang w:bidi="ar-EG"/>
        </w:rPr>
        <w:t xml:space="preserve"> للاتصالات سنوياً من المنظمات ذات </w:t>
      </w:r>
      <w:r w:rsidR="00E3415D">
        <w:rPr>
          <w:rFonts w:hint="cs"/>
          <w:rtl/>
          <w:lang w:bidi="ar-EG"/>
        </w:rPr>
        <w:t>الطابع</w:t>
      </w:r>
      <w:r w:rsidRPr="00A6173B">
        <w:rPr>
          <w:rFonts w:hint="cs"/>
          <w:rtl/>
          <w:lang w:bidi="ar-EG"/>
        </w:rPr>
        <w:t xml:space="preserve"> الدولي</w:t>
      </w:r>
      <w:r>
        <w:rPr>
          <w:rFonts w:hint="cs"/>
          <w:rtl/>
          <w:lang w:bidi="ar-EG"/>
        </w:rPr>
        <w:t xml:space="preserve"> طلبات تلتمس </w:t>
      </w:r>
      <w:r w:rsidRPr="00A6173B">
        <w:rPr>
          <w:rFonts w:hint="cs"/>
          <w:rtl/>
          <w:lang w:bidi="ar-EG"/>
        </w:rPr>
        <w:t>إعفا</w:t>
      </w:r>
      <w:r>
        <w:rPr>
          <w:rFonts w:hint="cs"/>
          <w:rtl/>
          <w:lang w:bidi="ar-EG"/>
        </w:rPr>
        <w:t>ء هذه المنظمات</w:t>
      </w:r>
      <w:r w:rsidRPr="00A6173B">
        <w:rPr>
          <w:rFonts w:hint="cs"/>
          <w:rtl/>
          <w:lang w:bidi="ar-EG"/>
        </w:rPr>
        <w:t xml:space="preserve"> من</w:t>
      </w:r>
      <w:r>
        <w:rPr>
          <w:rFonts w:hint="cs"/>
          <w:rtl/>
          <w:lang w:bidi="ar-EG"/>
        </w:rPr>
        <w:t xml:space="preserve"> دفع</w:t>
      </w:r>
      <w:r w:rsidRPr="00A6173B">
        <w:rPr>
          <w:rFonts w:hint="cs"/>
          <w:rtl/>
          <w:lang w:bidi="ar-EG"/>
        </w:rPr>
        <w:t xml:space="preserve"> رسوم العضوية</w:t>
      </w:r>
      <w:r>
        <w:rPr>
          <w:rFonts w:hint="cs"/>
          <w:rtl/>
          <w:lang w:bidi="ar-EG"/>
        </w:rPr>
        <w:t xml:space="preserve"> في الاتحاد</w:t>
      </w:r>
      <w:r w:rsidRPr="00A6173B">
        <w:rPr>
          <w:rFonts w:hint="cs"/>
          <w:rtl/>
          <w:lang w:bidi="ar-EG"/>
        </w:rPr>
        <w:t xml:space="preserve"> و</w:t>
      </w:r>
      <w:r>
        <w:rPr>
          <w:rFonts w:hint="cs"/>
          <w:rtl/>
          <w:lang w:bidi="ar-EG"/>
        </w:rPr>
        <w:t>تقديم مساهمات</w:t>
      </w:r>
      <w:r w:rsidRPr="00A6173B">
        <w:rPr>
          <w:rFonts w:hint="cs"/>
          <w:rtl/>
          <w:lang w:bidi="ar-EG"/>
        </w:rPr>
        <w:t xml:space="preserve"> مالية </w:t>
      </w:r>
      <w:r>
        <w:rPr>
          <w:rFonts w:hint="cs"/>
          <w:rtl/>
          <w:lang w:bidi="ar-EG"/>
        </w:rPr>
        <w:t>أخرى إليه</w:t>
      </w:r>
      <w:r w:rsidRPr="00A6173B">
        <w:rPr>
          <w:rFonts w:hint="cs"/>
          <w:rtl/>
          <w:lang w:bidi="ar-EG"/>
        </w:rPr>
        <w:t>.</w:t>
      </w:r>
      <w:r>
        <w:rPr>
          <w:rFonts w:hint="cs"/>
          <w:rtl/>
          <w:lang w:bidi="ar-EG"/>
        </w:rPr>
        <w:t xml:space="preserve"> ويُنظر في هذه الطلبات وفقاً للإجراء الذي حدده مجلس</w:t>
      </w:r>
      <w:r w:rsidR="00E3415D">
        <w:rPr>
          <w:rFonts w:hint="cs"/>
          <w:rtl/>
          <w:lang w:bidi="ar-EG"/>
        </w:rPr>
        <w:t xml:space="preserve"> الاتحاد</w:t>
      </w:r>
      <w:r>
        <w:rPr>
          <w:rFonts w:hint="cs"/>
          <w:rtl/>
          <w:lang w:bidi="ar-EG"/>
        </w:rPr>
        <w:t xml:space="preserve"> في</w:t>
      </w:r>
      <w:r w:rsidR="00AB51E5">
        <w:rPr>
          <w:rFonts w:hint="eastAsia"/>
          <w:rtl/>
          <w:lang w:bidi="ar-EG"/>
        </w:rPr>
        <w:t> </w:t>
      </w:r>
      <w:r>
        <w:rPr>
          <w:rFonts w:hint="cs"/>
          <w:rtl/>
          <w:lang w:bidi="ar-EG"/>
        </w:rPr>
        <w:t>دورته لعام</w:t>
      </w:r>
      <w:r>
        <w:rPr>
          <w:rFonts w:hint="eastAsia"/>
          <w:rtl/>
          <w:lang w:bidi="ar-EG"/>
        </w:rPr>
        <w:t> </w:t>
      </w:r>
      <w:r>
        <w:rPr>
          <w:lang w:bidi="ar-EG"/>
        </w:rPr>
        <w:t>2000</w:t>
      </w:r>
      <w:r>
        <w:rPr>
          <w:rFonts w:hint="cs"/>
          <w:rtl/>
          <w:lang w:bidi="ar-EG"/>
        </w:rPr>
        <w:t xml:space="preserve"> </w:t>
      </w:r>
      <w:r w:rsidR="00E3415D">
        <w:rPr>
          <w:rFonts w:hint="cs"/>
          <w:rtl/>
          <w:lang w:bidi="ar-EG"/>
        </w:rPr>
        <w:t xml:space="preserve">(انظر الوثيقة </w:t>
      </w:r>
      <w:hyperlink r:id="rId11" w:history="1">
        <w:r w:rsidRPr="001C1B21">
          <w:rPr>
            <w:rStyle w:val="Hyperlink"/>
            <w:rFonts w:eastAsia="Calibri" w:cs="Calibri"/>
          </w:rPr>
          <w:t>C2000/28(Rev.1)</w:t>
        </w:r>
      </w:hyperlink>
      <w:r>
        <w:rPr>
          <w:rFonts w:hint="cs"/>
          <w:rtl/>
          <w:lang w:bidi="ar-EG"/>
        </w:rPr>
        <w:t xml:space="preserve">) ولأحكام كل من الرقم </w:t>
      </w:r>
      <w:r>
        <w:rPr>
          <w:lang w:bidi="ar-EG"/>
        </w:rPr>
        <w:t>476</w:t>
      </w:r>
      <w:r>
        <w:rPr>
          <w:rFonts w:hint="cs"/>
          <w:rtl/>
          <w:lang w:bidi="ar-EG"/>
        </w:rPr>
        <w:t xml:space="preserve"> من اتفاقية الاتحاد و</w:t>
      </w:r>
      <w:hyperlink r:id="rId12" w:history="1">
        <w:r w:rsidRPr="00AA2F06">
          <w:rPr>
            <w:rStyle w:val="Hyperlink"/>
            <w:rFonts w:hint="cs"/>
            <w:rtl/>
            <w:lang w:bidi="ar-EG"/>
          </w:rPr>
          <w:t>قرار المجلس</w:t>
        </w:r>
        <w:r w:rsidRPr="00AA2F06">
          <w:rPr>
            <w:rStyle w:val="Hyperlink"/>
            <w:rFonts w:hint="eastAsia"/>
            <w:rtl/>
            <w:lang w:bidi="ar-EG"/>
          </w:rPr>
          <w:t> </w:t>
        </w:r>
        <w:r w:rsidRPr="00AA2F06">
          <w:rPr>
            <w:rStyle w:val="Hyperlink"/>
            <w:lang w:bidi="ar-EG"/>
          </w:rPr>
          <w:t>925</w:t>
        </w:r>
      </w:hyperlink>
      <w:r w:rsidR="00E3415D">
        <w:rPr>
          <w:rFonts w:hint="cs"/>
          <w:rtl/>
          <w:lang w:bidi="ar-EG"/>
        </w:rPr>
        <w:t xml:space="preserve"> </w:t>
      </w:r>
      <w:r w:rsidR="00E3415D" w:rsidRPr="004A4DBB">
        <w:rPr>
          <w:rStyle w:val="Hyperlink"/>
          <w:rFonts w:hint="cs"/>
          <w:rtl/>
        </w:rPr>
        <w:t>(الصادر في دورة المجلس لعام 1985 والمعدَّل آخر مرة في دورة المجلس لعام 2019)</w:t>
      </w:r>
      <w:r w:rsidR="00E3415D">
        <w:rPr>
          <w:rFonts w:hint="cs"/>
          <w:rtl/>
          <w:lang w:bidi="ar-EG"/>
        </w:rPr>
        <w:t xml:space="preserve">، </w:t>
      </w:r>
      <w:r w:rsidR="004A4DBB">
        <w:rPr>
          <w:rFonts w:hint="cs"/>
          <w:rtl/>
          <w:lang w:bidi="ar-EG"/>
        </w:rPr>
        <w:t xml:space="preserve">وكذلك المعايير التي وضعها المجلس وتم </w:t>
      </w:r>
      <w:r w:rsidR="00D23EFC">
        <w:rPr>
          <w:rFonts w:hint="cs"/>
          <w:rtl/>
          <w:lang w:bidi="ar-EG"/>
        </w:rPr>
        <w:t>تنقيحها</w:t>
      </w:r>
      <w:r w:rsidR="004A4DBB">
        <w:rPr>
          <w:rFonts w:hint="cs"/>
          <w:rtl/>
          <w:lang w:bidi="ar-EG"/>
        </w:rPr>
        <w:t xml:space="preserve"> في عام 2017 (انظر الفقرة 5.1 أدناه)</w:t>
      </w:r>
      <w:r w:rsidR="000007A3">
        <w:rPr>
          <w:rFonts w:hint="cs"/>
          <w:rtl/>
          <w:lang w:bidi="ar-EG"/>
        </w:rPr>
        <w:t>.</w:t>
      </w:r>
    </w:p>
    <w:p w14:paraId="391C3F9E" w14:textId="3FED24BD" w:rsidR="002962A4" w:rsidRDefault="002962A4" w:rsidP="002962A4">
      <w:pPr>
        <w:rPr>
          <w:rtl/>
        </w:rPr>
      </w:pPr>
      <w:r>
        <w:t>2.1</w:t>
      </w:r>
      <w:r>
        <w:tab/>
      </w:r>
      <w:r>
        <w:rPr>
          <w:rFonts w:hint="cs"/>
          <w:rtl/>
        </w:rPr>
        <w:t>و</w:t>
      </w:r>
      <w:r w:rsidRPr="0024583F">
        <w:rPr>
          <w:rFonts w:hint="cs"/>
          <w:rtl/>
        </w:rPr>
        <w:t>يمنح</w:t>
      </w:r>
      <w:r>
        <w:rPr>
          <w:rFonts w:hint="cs"/>
          <w:rtl/>
        </w:rPr>
        <w:t xml:space="preserve"> المجلس</w:t>
      </w:r>
      <w:r w:rsidRPr="0024583F">
        <w:rPr>
          <w:rFonts w:hint="cs"/>
          <w:rtl/>
        </w:rPr>
        <w:t xml:space="preserve"> الإعفاء </w:t>
      </w:r>
      <w:r>
        <w:rPr>
          <w:rFonts w:hint="cs"/>
          <w:rtl/>
        </w:rPr>
        <w:t xml:space="preserve">من رسوم العضوية </w:t>
      </w:r>
      <w:r w:rsidRPr="0024583F">
        <w:rPr>
          <w:rFonts w:hint="cs"/>
          <w:rtl/>
        </w:rPr>
        <w:t>بناءً على تحليل للقطاعات المعنية وتوصية من الأمين العام</w:t>
      </w:r>
      <w:r>
        <w:rPr>
          <w:rFonts w:hint="cs"/>
          <w:rtl/>
        </w:rPr>
        <w:t xml:space="preserve">. </w:t>
      </w:r>
      <w:r w:rsidRPr="0024583F">
        <w:rPr>
          <w:rFonts w:hint="cs"/>
          <w:rtl/>
        </w:rPr>
        <w:t xml:space="preserve">وإذا </w:t>
      </w:r>
      <w:r>
        <w:rPr>
          <w:rFonts w:hint="cs"/>
          <w:rtl/>
        </w:rPr>
        <w:t>وُوفق على الطلبات المقدمة من المنظمات</w:t>
      </w:r>
      <w:r w:rsidRPr="0024583F">
        <w:rPr>
          <w:rFonts w:hint="cs"/>
          <w:rtl/>
        </w:rPr>
        <w:t>، تصبح</w:t>
      </w:r>
      <w:r>
        <w:rPr>
          <w:rFonts w:hint="cs"/>
          <w:rtl/>
        </w:rPr>
        <w:t xml:space="preserve"> هذه المنظمات </w:t>
      </w:r>
      <w:r w:rsidRPr="0024583F">
        <w:rPr>
          <w:rFonts w:hint="cs"/>
          <w:rtl/>
        </w:rPr>
        <w:t xml:space="preserve">بموجب </w:t>
      </w:r>
      <w:r>
        <w:rPr>
          <w:rFonts w:hint="cs"/>
          <w:rtl/>
        </w:rPr>
        <w:t xml:space="preserve">أحكام </w:t>
      </w:r>
      <w:r w:rsidRPr="0024583F">
        <w:rPr>
          <w:rFonts w:hint="cs"/>
          <w:rtl/>
        </w:rPr>
        <w:t>الرقم</w:t>
      </w:r>
      <w:r>
        <w:rPr>
          <w:rFonts w:hint="eastAsia"/>
          <w:rtl/>
        </w:rPr>
        <w:t> </w:t>
      </w:r>
      <w:r w:rsidRPr="0024583F">
        <w:t>231</w:t>
      </w:r>
      <w:r w:rsidRPr="0024583F">
        <w:rPr>
          <w:rFonts w:hint="cs"/>
          <w:rtl/>
          <w:lang w:bidi="ar-SY"/>
        </w:rPr>
        <w:t xml:space="preserve"> من </w:t>
      </w:r>
      <w:r>
        <w:rPr>
          <w:rFonts w:hint="cs"/>
          <w:rtl/>
          <w:lang w:bidi="ar-SY"/>
        </w:rPr>
        <w:t>اتفاقية الاتحاد</w:t>
      </w:r>
      <w:r w:rsidRPr="0024583F">
        <w:rPr>
          <w:rFonts w:hint="cs"/>
          <w:rtl/>
        </w:rPr>
        <w:t xml:space="preserve"> </w:t>
      </w:r>
      <w:r>
        <w:rPr>
          <w:rFonts w:hint="cs"/>
          <w:rtl/>
        </w:rPr>
        <w:t>أعضاء في</w:t>
      </w:r>
      <w:r w:rsidR="00AB51E5">
        <w:rPr>
          <w:rFonts w:hint="eastAsia"/>
          <w:rtl/>
        </w:rPr>
        <w:t> </w:t>
      </w:r>
      <w:r>
        <w:rPr>
          <w:rFonts w:hint="cs"/>
          <w:rtl/>
        </w:rPr>
        <w:t>القطاعات المعنية أو</w:t>
      </w:r>
      <w:r w:rsidR="00901D32">
        <w:rPr>
          <w:rFonts w:hint="cs"/>
          <w:rtl/>
        </w:rPr>
        <w:t xml:space="preserve"> </w:t>
      </w:r>
      <w:r w:rsidR="00901D32" w:rsidRPr="00C754EA">
        <w:rPr>
          <w:rtl/>
        </w:rPr>
        <w:t>منتسبين</w:t>
      </w:r>
      <w:r>
        <w:rPr>
          <w:rFonts w:hint="cs"/>
          <w:rtl/>
        </w:rPr>
        <w:t xml:space="preserve"> إليها.</w:t>
      </w:r>
    </w:p>
    <w:p w14:paraId="0BC15AE1" w14:textId="0B7353F9" w:rsidR="002962A4" w:rsidRDefault="002962A4" w:rsidP="002962A4">
      <w:pPr>
        <w:rPr>
          <w:rtl/>
          <w:lang w:bidi="ar-EG"/>
        </w:rPr>
      </w:pPr>
      <w:r>
        <w:rPr>
          <w:lang w:bidi="ar-EG"/>
        </w:rPr>
        <w:t>3.1</w:t>
      </w:r>
      <w:r>
        <w:rPr>
          <w:lang w:bidi="ar-EG"/>
        </w:rPr>
        <w:tab/>
      </w:r>
      <w:r>
        <w:rPr>
          <w:rFonts w:hint="cs"/>
          <w:rtl/>
        </w:rPr>
        <w:t xml:space="preserve">وحالياً، يبلغ عدد المنظمات ذات </w:t>
      </w:r>
      <w:r w:rsidR="004A4DBB">
        <w:rPr>
          <w:rFonts w:hint="cs"/>
          <w:rtl/>
        </w:rPr>
        <w:t>الطابع</w:t>
      </w:r>
      <w:r>
        <w:rPr>
          <w:rFonts w:hint="cs"/>
          <w:rtl/>
        </w:rPr>
        <w:t xml:space="preserve"> الدولي المعفاة من رسوم العضوية </w:t>
      </w:r>
      <w:r w:rsidR="000007A3">
        <w:t>132</w:t>
      </w:r>
      <w:r>
        <w:rPr>
          <w:rFonts w:hint="eastAsia"/>
          <w:rtl/>
          <w:lang w:bidi="ar-EG"/>
        </w:rPr>
        <w:t> </w:t>
      </w:r>
      <w:r>
        <w:rPr>
          <w:rFonts w:hint="cs"/>
          <w:rtl/>
          <w:lang w:bidi="ar-EG"/>
        </w:rPr>
        <w:t xml:space="preserve">منظمة. ويمكن الاطلاع </w:t>
      </w:r>
      <w:hyperlink r:id="rId13" w:history="1">
        <w:r w:rsidRPr="0042012C">
          <w:rPr>
            <w:rStyle w:val="Hyperlink"/>
            <w:rFonts w:hint="cs"/>
            <w:rtl/>
            <w:lang w:bidi="ar-EG"/>
          </w:rPr>
          <w:t>هنا</w:t>
        </w:r>
      </w:hyperlink>
      <w:r>
        <w:rPr>
          <w:rFonts w:hint="cs"/>
          <w:rtl/>
          <w:lang w:bidi="ar-EG"/>
        </w:rPr>
        <w:t xml:space="preserve"> على قائمة كاملة بأسمائها.</w:t>
      </w:r>
    </w:p>
    <w:p w14:paraId="13C83259" w14:textId="78B38A9E" w:rsidR="002962A4" w:rsidRDefault="002962A4" w:rsidP="002962A4">
      <w:r>
        <w:rPr>
          <w:lang w:bidi="ar-EG"/>
        </w:rPr>
        <w:t>4.1</w:t>
      </w:r>
      <w:r>
        <w:rPr>
          <w:lang w:bidi="ar-EG"/>
        </w:rPr>
        <w:tab/>
      </w:r>
      <w:r>
        <w:rPr>
          <w:rFonts w:hint="cs"/>
          <w:rtl/>
          <w:lang w:bidi="ar-EG"/>
        </w:rPr>
        <w:t>وفي</w:t>
      </w:r>
      <w:r w:rsidRPr="0024583F">
        <w:rPr>
          <w:rFonts w:hint="cs"/>
          <w:rtl/>
          <w:lang w:bidi="ar-SY"/>
        </w:rPr>
        <w:t xml:space="preserve"> القرار </w:t>
      </w:r>
      <w:r w:rsidRPr="0024583F">
        <w:rPr>
          <w:lang w:bidi="ar-EG"/>
        </w:rPr>
        <w:t>187</w:t>
      </w:r>
      <w:r>
        <w:rPr>
          <w:rFonts w:hint="eastAsia"/>
          <w:rtl/>
          <w:lang w:bidi="ar-SY"/>
        </w:rPr>
        <w:t> </w:t>
      </w:r>
      <w:r w:rsidRPr="0024583F">
        <w:rPr>
          <w:rFonts w:hint="cs"/>
          <w:rtl/>
          <w:lang w:bidi="ar-SY"/>
        </w:rPr>
        <w:t>(بوسان،</w:t>
      </w:r>
      <w:r>
        <w:rPr>
          <w:rFonts w:hint="eastAsia"/>
          <w:rtl/>
          <w:lang w:bidi="ar-SY"/>
        </w:rPr>
        <w:t> </w:t>
      </w:r>
      <w:r w:rsidRPr="0024583F">
        <w:rPr>
          <w:lang w:bidi="ar-EG"/>
        </w:rPr>
        <w:t>2014</w:t>
      </w:r>
      <w:r w:rsidRPr="0024583F">
        <w:rPr>
          <w:rFonts w:hint="cs"/>
          <w:rtl/>
          <w:lang w:bidi="ar-SY"/>
        </w:rPr>
        <w:t>)</w:t>
      </w:r>
      <w:r w:rsidRPr="0024583F">
        <w:rPr>
          <w:rFonts w:hint="cs"/>
          <w:rtl/>
          <w:lang w:bidi="ar-EG"/>
        </w:rPr>
        <w:t xml:space="preserve"> لمؤتمر المندوبين المفوضين، كل</w:t>
      </w:r>
      <w:r>
        <w:rPr>
          <w:rFonts w:hint="cs"/>
          <w:rtl/>
          <w:lang w:bidi="ar-EG"/>
        </w:rPr>
        <w:t>َّ</w:t>
      </w:r>
      <w:r w:rsidRPr="0024583F">
        <w:rPr>
          <w:rFonts w:hint="cs"/>
          <w:rtl/>
          <w:lang w:bidi="ar-EG"/>
        </w:rPr>
        <w:t>ف المؤتمر</w:t>
      </w:r>
      <w:r w:rsidRPr="0024583F">
        <w:rPr>
          <w:rFonts w:hint="cs"/>
          <w:rtl/>
          <w:lang w:bidi="ar-SY"/>
        </w:rPr>
        <w:t xml:space="preserve"> المجلس </w:t>
      </w:r>
      <w:r w:rsidRPr="0024583F">
        <w:rPr>
          <w:rFonts w:hint="cs"/>
          <w:rtl/>
        </w:rPr>
        <w:t>"باستعراض الممارسة والمعايير المتعلق</w:t>
      </w:r>
      <w:r w:rsidR="00D23EFC">
        <w:rPr>
          <w:rFonts w:hint="cs"/>
          <w:rtl/>
        </w:rPr>
        <w:t>ة</w:t>
      </w:r>
      <w:r w:rsidRPr="0024583F">
        <w:rPr>
          <w:rFonts w:hint="cs"/>
          <w:rtl/>
        </w:rPr>
        <w:t xml:space="preserve"> بإعفاء الكيانات من رسوم العضوية والقيام</w:t>
      </w:r>
      <w:r w:rsidR="00D23EFC">
        <w:rPr>
          <w:rFonts w:hint="cs"/>
          <w:rtl/>
        </w:rPr>
        <w:t xml:space="preserve">، </w:t>
      </w:r>
      <w:r w:rsidRPr="0024583F">
        <w:rPr>
          <w:rFonts w:hint="cs"/>
          <w:rtl/>
        </w:rPr>
        <w:t xml:space="preserve">عند اللزوم، بالتغييرات اللازمة لتشديد معايير </w:t>
      </w:r>
      <w:r w:rsidR="00D23EFC">
        <w:rPr>
          <w:rFonts w:hint="cs"/>
          <w:rtl/>
        </w:rPr>
        <w:t xml:space="preserve">الأهلية </w:t>
      </w:r>
      <w:r w:rsidRPr="0024583F">
        <w:rPr>
          <w:rFonts w:hint="cs"/>
          <w:rtl/>
        </w:rPr>
        <w:t>من أجل المساعدة في زيادة الوضوح والاتساق والإنصاف بين</w:t>
      </w:r>
      <w:r w:rsidRPr="0024583F">
        <w:rPr>
          <w:rFonts w:hint="eastAsia"/>
          <w:rtl/>
        </w:rPr>
        <w:t> </w:t>
      </w:r>
      <w:r w:rsidRPr="0024583F">
        <w:rPr>
          <w:rFonts w:hint="cs"/>
          <w:rtl/>
        </w:rPr>
        <w:t>الأعضاء الذين يدفعون رسوماً والأعضاء الذين لا يدفعون أي رسوم وتقليص العدد الإجمالي للكيانات</w:t>
      </w:r>
      <w:r w:rsidRPr="0024583F">
        <w:rPr>
          <w:rFonts w:hint="eastAsia"/>
          <w:rtl/>
        </w:rPr>
        <w:t> </w:t>
      </w:r>
      <w:r w:rsidRPr="0024583F">
        <w:rPr>
          <w:rFonts w:hint="cs"/>
          <w:rtl/>
        </w:rPr>
        <w:t>المعفاة".</w:t>
      </w:r>
    </w:p>
    <w:p w14:paraId="02403430" w14:textId="61C84045" w:rsidR="002962A4" w:rsidRDefault="002962A4" w:rsidP="002962A4">
      <w:pPr>
        <w:rPr>
          <w:rtl/>
          <w:lang w:bidi="ar-EG"/>
        </w:rPr>
      </w:pPr>
      <w:r>
        <w:t>5.1</w:t>
      </w:r>
      <w:r>
        <w:rPr>
          <w:rtl/>
        </w:rPr>
        <w:tab/>
      </w:r>
      <w:r>
        <w:rPr>
          <w:rFonts w:hint="cs"/>
          <w:rtl/>
        </w:rPr>
        <w:t>ووافق المجلس في دورته لعام</w:t>
      </w:r>
      <w:r>
        <w:rPr>
          <w:rFonts w:hint="eastAsia"/>
          <w:rtl/>
        </w:rPr>
        <w:t> </w:t>
      </w:r>
      <w:r>
        <w:t>2017</w:t>
      </w:r>
      <w:r>
        <w:rPr>
          <w:rFonts w:hint="cs"/>
          <w:rtl/>
          <w:lang w:bidi="ar-EG"/>
        </w:rPr>
        <w:t xml:space="preserve"> على نسخة منقَّحة من معايير الإعفاء، يمكن الاطلاع عليها </w:t>
      </w:r>
      <w:hyperlink r:id="rId14" w:history="1">
        <w:r w:rsidRPr="00824C84">
          <w:rPr>
            <w:rStyle w:val="Hyperlink"/>
            <w:rFonts w:hint="cs"/>
            <w:rtl/>
            <w:lang w:bidi="ar-EG"/>
          </w:rPr>
          <w:t>هنا</w:t>
        </w:r>
      </w:hyperlink>
      <w:r>
        <w:rPr>
          <w:rFonts w:hint="cs"/>
          <w:rtl/>
          <w:lang w:bidi="ar-EG"/>
        </w:rPr>
        <w:t>. ومنذ ذلك الحين، استعرض المجلس في كل من دوراته طلبات الإعفاء الجديدة وفقاً لهذه المعايير.</w:t>
      </w:r>
    </w:p>
    <w:p w14:paraId="741EBD39" w14:textId="21C5D1F3" w:rsidR="002962A4" w:rsidRPr="00BA1E5D" w:rsidRDefault="002962A4" w:rsidP="002962A4">
      <w:pPr>
        <w:rPr>
          <w:b/>
          <w:bCs/>
          <w:rtl/>
        </w:rPr>
      </w:pPr>
      <w:r>
        <w:t>6.1</w:t>
      </w:r>
      <w:r>
        <w:tab/>
      </w:r>
      <w:r w:rsidR="00D23EFC">
        <w:rPr>
          <w:rFonts w:hint="cs"/>
          <w:rtl/>
        </w:rPr>
        <w:t xml:space="preserve">وتتناول هذه الوثيقة </w:t>
      </w:r>
      <w:r w:rsidR="00BA1E5D">
        <w:rPr>
          <w:rFonts w:hint="cs"/>
          <w:rtl/>
        </w:rPr>
        <w:t>فقط</w:t>
      </w:r>
      <w:r w:rsidR="00D23EFC">
        <w:rPr>
          <w:rFonts w:hint="cs"/>
          <w:rtl/>
        </w:rPr>
        <w:t xml:space="preserve"> طلبات </w:t>
      </w:r>
      <w:r w:rsidR="00C1743E">
        <w:rPr>
          <w:rFonts w:hint="cs"/>
          <w:rtl/>
        </w:rPr>
        <w:t>ا</w:t>
      </w:r>
      <w:r w:rsidR="00BA1E5D">
        <w:rPr>
          <w:rFonts w:hint="cs"/>
          <w:rtl/>
        </w:rPr>
        <w:t xml:space="preserve">لإعفاء من الرسوم </w:t>
      </w:r>
      <w:r w:rsidR="00C1743E">
        <w:rPr>
          <w:rFonts w:hint="cs"/>
          <w:rtl/>
        </w:rPr>
        <w:t>الجديدة المقدمة</w:t>
      </w:r>
      <w:r w:rsidR="00BA1E5D">
        <w:rPr>
          <w:rFonts w:hint="cs"/>
          <w:rtl/>
        </w:rPr>
        <w:t xml:space="preserve"> منذ دورة المجلس الأخيرة</w:t>
      </w:r>
      <w:r>
        <w:rPr>
          <w:rFonts w:hint="cs"/>
          <w:rtl/>
          <w:lang w:bidi="ar-EG"/>
        </w:rPr>
        <w:t>.</w:t>
      </w:r>
      <w:r w:rsidR="00BA1E5D">
        <w:rPr>
          <w:rFonts w:hint="cs"/>
          <w:rtl/>
          <w:lang w:bidi="ar-EG"/>
        </w:rPr>
        <w:t xml:space="preserve"> و</w:t>
      </w:r>
      <w:r w:rsidR="00BA1E5D" w:rsidRPr="00BA1E5D">
        <w:rPr>
          <w:rtl/>
          <w:lang w:bidi="ar-EG"/>
        </w:rPr>
        <w:t xml:space="preserve">استعرضت الأمانة القائمة الكاملة </w:t>
      </w:r>
      <w:r w:rsidR="00BA1E5D">
        <w:rPr>
          <w:rFonts w:hint="cs"/>
          <w:rtl/>
          <w:lang w:bidi="ar-EG"/>
        </w:rPr>
        <w:t>بأسماء ا</w:t>
      </w:r>
      <w:r w:rsidR="00BA1E5D" w:rsidRPr="00BA1E5D">
        <w:rPr>
          <w:rtl/>
          <w:lang w:bidi="ar-EG"/>
        </w:rPr>
        <w:t>لكيانات التي تستفيد حالي</w:t>
      </w:r>
      <w:r w:rsidR="00BA1E5D">
        <w:rPr>
          <w:rFonts w:hint="cs"/>
          <w:rtl/>
          <w:lang w:bidi="ar-EG"/>
        </w:rPr>
        <w:t xml:space="preserve">اً </w:t>
      </w:r>
      <w:r w:rsidR="00BA1E5D" w:rsidRPr="00BA1E5D">
        <w:rPr>
          <w:rtl/>
          <w:lang w:bidi="ar-EG"/>
        </w:rPr>
        <w:t>من الإعفاء من الرسوم وقدمت توصية ل</w:t>
      </w:r>
      <w:r w:rsidR="00BA1E5D">
        <w:rPr>
          <w:rFonts w:hint="cs"/>
          <w:rtl/>
          <w:lang w:bidi="ar-EG"/>
        </w:rPr>
        <w:t xml:space="preserve">كي </w:t>
      </w:r>
      <w:r w:rsidR="00BA1E5D" w:rsidRPr="00BA1E5D">
        <w:rPr>
          <w:rtl/>
          <w:lang w:bidi="ar-EG"/>
        </w:rPr>
        <w:t>ينظر فيها المجلس في دورته</w:t>
      </w:r>
      <w:r w:rsidR="00BA1E5D">
        <w:rPr>
          <w:rFonts w:hint="cs"/>
          <w:rtl/>
          <w:lang w:bidi="ar-EG"/>
        </w:rPr>
        <w:t xml:space="preserve"> لعام 2022. وأحال المجلس استعراض القائمة الحالية الواردة في الوثيقة </w:t>
      </w:r>
      <w:hyperlink r:id="rId15">
        <w:r w:rsidR="00BA1E5D" w:rsidRPr="0BD9FBBF">
          <w:rPr>
            <w:rStyle w:val="Hyperlink"/>
            <w:rFonts w:cs="Calibri"/>
          </w:rPr>
          <w:t>C22/100</w:t>
        </w:r>
      </w:hyperlink>
      <w:r w:rsidR="00BA1E5D">
        <w:rPr>
          <w:rFonts w:hint="cs"/>
          <w:rtl/>
          <w:lang w:bidi="ar-EG"/>
        </w:rPr>
        <w:t xml:space="preserve"> إلى فريق العمل التابع للمجلس والمعني بالموارد المالية والبشرية </w:t>
      </w:r>
      <w:r w:rsidR="00BA1E5D">
        <w:rPr>
          <w:lang w:bidi="ar-EG"/>
        </w:rPr>
        <w:t>(</w:t>
      </w:r>
      <w:r w:rsidR="00BA1E5D">
        <w:rPr>
          <w:rFonts w:eastAsia="Calibri" w:cs="Calibri"/>
        </w:rPr>
        <w:t>CWG-F</w:t>
      </w:r>
      <w:r w:rsidR="00BA1E5D" w:rsidRPr="0BD9FBBF">
        <w:rPr>
          <w:rFonts w:eastAsia="Calibri" w:cs="Calibri"/>
        </w:rPr>
        <w:t>HR</w:t>
      </w:r>
      <w:r w:rsidR="00BA1E5D">
        <w:rPr>
          <w:lang w:bidi="ar-EG"/>
        </w:rPr>
        <w:t>)</w:t>
      </w:r>
      <w:r w:rsidR="00BA1E5D">
        <w:rPr>
          <w:rFonts w:hint="cs"/>
          <w:rtl/>
        </w:rPr>
        <w:t>.</w:t>
      </w:r>
    </w:p>
    <w:p w14:paraId="5A4E1EDB" w14:textId="4C92C829" w:rsidR="002962A4" w:rsidRDefault="002962A4" w:rsidP="002962A4">
      <w:pPr>
        <w:pStyle w:val="Heading1"/>
        <w:rPr>
          <w:rtl/>
        </w:rPr>
      </w:pPr>
      <w:r>
        <w:t>2</w:t>
      </w:r>
      <w:r>
        <w:tab/>
      </w:r>
      <w:r>
        <w:rPr>
          <w:rFonts w:hint="cs"/>
          <w:rtl/>
        </w:rPr>
        <w:t>الطلبات الجديدة والتوصيات</w:t>
      </w:r>
    </w:p>
    <w:p w14:paraId="02029EBD" w14:textId="77777777" w:rsidR="002962A4" w:rsidRPr="0024583F" w:rsidRDefault="002962A4" w:rsidP="002962A4">
      <w:pPr>
        <w:spacing w:after="120" w:line="240" w:lineRule="auto"/>
        <w:rPr>
          <w:lang w:bidi="ar-EG"/>
        </w:rPr>
      </w:pPr>
      <w:r>
        <w:t>1.2</w:t>
      </w:r>
      <w:r>
        <w:tab/>
      </w:r>
    </w:p>
    <w:tbl>
      <w:tblPr>
        <w:bidiVisual/>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67"/>
        <w:gridCol w:w="2834"/>
        <w:gridCol w:w="2689"/>
      </w:tblGrid>
      <w:tr w:rsidR="002962A4" w:rsidRPr="000708A8" w14:paraId="5BF54506" w14:textId="77777777" w:rsidTr="000708A8">
        <w:trPr>
          <w:cantSplit/>
          <w:jc w:val="center"/>
        </w:trPr>
        <w:tc>
          <w:tcPr>
            <w:tcW w:w="3267" w:type="dxa"/>
          </w:tcPr>
          <w:p w14:paraId="399070B5" w14:textId="77777777" w:rsidR="002962A4" w:rsidRPr="000708A8" w:rsidRDefault="002962A4" w:rsidP="004776F1">
            <w:pPr>
              <w:pStyle w:val="TableHead0"/>
              <w:bidi/>
              <w:spacing w:beforeLines="60" w:before="144" w:afterLines="60" w:after="144" w:line="260" w:lineRule="exact"/>
              <w:rPr>
                <w:rFonts w:ascii="Dubai" w:hAnsi="Dubai" w:cs="Dubai"/>
                <w:b w:val="0"/>
                <w:bCs/>
                <w:sz w:val="20"/>
              </w:rPr>
            </w:pPr>
            <w:r w:rsidRPr="000708A8">
              <w:rPr>
                <w:rFonts w:ascii="Dubai" w:hAnsi="Dubai" w:cs="Dubai"/>
                <w:b w:val="0"/>
                <w:bCs/>
                <w:sz w:val="20"/>
                <w:rtl/>
              </w:rPr>
              <w:t>المنظمة</w:t>
            </w:r>
          </w:p>
        </w:tc>
        <w:tc>
          <w:tcPr>
            <w:tcW w:w="2834" w:type="dxa"/>
          </w:tcPr>
          <w:p w14:paraId="7540A47F" w14:textId="77777777" w:rsidR="002962A4" w:rsidRPr="000708A8" w:rsidRDefault="002962A4" w:rsidP="004776F1">
            <w:pPr>
              <w:pStyle w:val="TableHead0"/>
              <w:bidi/>
              <w:spacing w:beforeLines="60" w:before="144" w:afterLines="60" w:after="144" w:line="260" w:lineRule="exact"/>
              <w:rPr>
                <w:rFonts w:ascii="Dubai" w:hAnsi="Dubai" w:cs="Dubai"/>
                <w:b w:val="0"/>
                <w:bCs/>
                <w:sz w:val="20"/>
              </w:rPr>
            </w:pPr>
            <w:r w:rsidRPr="000708A8">
              <w:rPr>
                <w:rFonts w:ascii="Dubai" w:hAnsi="Dubai" w:cs="Dubai"/>
                <w:b w:val="0"/>
                <w:bCs/>
                <w:sz w:val="20"/>
                <w:rtl/>
              </w:rPr>
              <w:t>القطاع</w:t>
            </w:r>
          </w:p>
        </w:tc>
        <w:tc>
          <w:tcPr>
            <w:tcW w:w="2689" w:type="dxa"/>
          </w:tcPr>
          <w:p w14:paraId="4BF39DB0" w14:textId="6B2C26C3" w:rsidR="002962A4" w:rsidRPr="000708A8" w:rsidRDefault="002962A4" w:rsidP="004776F1">
            <w:pPr>
              <w:pStyle w:val="TableHead0"/>
              <w:bidi/>
              <w:spacing w:beforeLines="60" w:before="144" w:afterLines="60" w:after="144" w:line="260" w:lineRule="exact"/>
              <w:rPr>
                <w:rFonts w:ascii="Dubai" w:hAnsi="Dubai" w:cs="Dubai"/>
                <w:b w:val="0"/>
                <w:bCs/>
                <w:sz w:val="20"/>
              </w:rPr>
            </w:pPr>
            <w:r w:rsidRPr="000708A8">
              <w:rPr>
                <w:rFonts w:ascii="Dubai" w:hAnsi="Dubai" w:cs="Dubai"/>
                <w:b w:val="0"/>
                <w:bCs/>
                <w:sz w:val="20"/>
                <w:rtl/>
              </w:rPr>
              <w:t>التوصية</w:t>
            </w:r>
          </w:p>
        </w:tc>
      </w:tr>
      <w:tr w:rsidR="002962A4" w:rsidRPr="000708A8" w14:paraId="0CAA011B" w14:textId="77777777" w:rsidTr="000708A8">
        <w:trPr>
          <w:cantSplit/>
          <w:trHeight w:val="1059"/>
          <w:jc w:val="center"/>
        </w:trPr>
        <w:tc>
          <w:tcPr>
            <w:tcW w:w="3267" w:type="dxa"/>
            <w:vAlign w:val="center"/>
          </w:tcPr>
          <w:p w14:paraId="6B65DA15" w14:textId="12A13336" w:rsidR="002962A4" w:rsidRPr="000708A8" w:rsidRDefault="00BA1E5D" w:rsidP="004776F1">
            <w:pPr>
              <w:pStyle w:val="Tabletexte"/>
              <w:jc w:val="left"/>
              <w:rPr>
                <w:b/>
                <w:bCs/>
                <w:iCs/>
              </w:rPr>
            </w:pPr>
            <w:r w:rsidRPr="000708A8">
              <w:rPr>
                <w:rFonts w:hint="cs"/>
                <w:b/>
                <w:bCs/>
                <w:rtl/>
                <w:lang w:val="fr-FR"/>
              </w:rPr>
              <w:t xml:space="preserve">رابطة منظمي الاتصالات </w:t>
            </w:r>
            <w:r w:rsidR="00954C4E" w:rsidRPr="000708A8">
              <w:rPr>
                <w:rFonts w:hint="cs"/>
                <w:b/>
                <w:bCs/>
                <w:rtl/>
                <w:lang w:val="fr-FR"/>
              </w:rPr>
              <w:t>في</w:t>
            </w:r>
            <w:r w:rsidR="001D599A" w:rsidRPr="000708A8">
              <w:rPr>
                <w:rFonts w:hint="eastAsia"/>
                <w:b/>
                <w:bCs/>
                <w:rtl/>
                <w:lang w:val="fr-FR"/>
              </w:rPr>
              <w:t> </w:t>
            </w:r>
            <w:r w:rsidR="00954C4E" w:rsidRPr="000708A8">
              <w:rPr>
                <w:rFonts w:hint="cs"/>
                <w:b/>
                <w:bCs/>
                <w:rtl/>
                <w:lang w:val="fr-FR"/>
              </w:rPr>
              <w:t xml:space="preserve">الجنوب الإفريقي </w:t>
            </w:r>
            <w:r w:rsidR="00954C4E" w:rsidRPr="000708A8">
              <w:rPr>
                <w:b/>
                <w:bCs/>
              </w:rPr>
              <w:t>(CRASA)</w:t>
            </w:r>
          </w:p>
        </w:tc>
        <w:tc>
          <w:tcPr>
            <w:tcW w:w="2834" w:type="dxa"/>
            <w:vAlign w:val="center"/>
          </w:tcPr>
          <w:p w14:paraId="13251775" w14:textId="51DF4124" w:rsidR="005314BE" w:rsidRPr="000708A8" w:rsidRDefault="005314BE" w:rsidP="005314BE">
            <w:pPr>
              <w:pStyle w:val="Tabletexte"/>
              <w:keepNext/>
              <w:jc w:val="center"/>
            </w:pPr>
            <w:r w:rsidRPr="000708A8">
              <w:rPr>
                <w:rtl/>
                <w:lang w:val="fr-CH"/>
              </w:rPr>
              <w:t>قطاع الاتصالات الراديوية</w:t>
            </w:r>
            <w:r w:rsidR="001D599A" w:rsidRPr="000708A8">
              <w:rPr>
                <w:rFonts w:hint="cs"/>
                <w:rtl/>
                <w:lang w:val="fr-CH"/>
              </w:rPr>
              <w:t> </w:t>
            </w:r>
            <w:r w:rsidRPr="000708A8">
              <w:rPr>
                <w:rtl/>
                <w:lang w:val="fr-CH"/>
              </w:rPr>
              <w:t xml:space="preserve">بالاتحاد </w:t>
            </w:r>
            <w:r w:rsidRPr="000708A8">
              <w:br/>
              <w:t>(ITU-R)</w:t>
            </w:r>
          </w:p>
          <w:p w14:paraId="406B387B" w14:textId="416B0B1C" w:rsidR="005314BE" w:rsidRPr="000708A8" w:rsidRDefault="005314BE" w:rsidP="005314BE">
            <w:pPr>
              <w:pStyle w:val="Tabletexte"/>
              <w:jc w:val="center"/>
              <w:rPr>
                <w:rtl/>
                <w:lang w:val="fr-CH"/>
              </w:rPr>
            </w:pPr>
            <w:r w:rsidRPr="000708A8">
              <w:rPr>
                <w:rtl/>
                <w:lang w:val="fr-CH" w:bidi="ar-EG"/>
              </w:rPr>
              <w:t>قطاع تقييس الاتصالات</w:t>
            </w:r>
            <w:r w:rsidR="001D599A" w:rsidRPr="000708A8">
              <w:rPr>
                <w:rFonts w:hint="cs"/>
                <w:rtl/>
                <w:lang w:val="fr-CH" w:bidi="ar-EG"/>
              </w:rPr>
              <w:t> </w:t>
            </w:r>
            <w:r w:rsidRPr="000708A8">
              <w:rPr>
                <w:rtl/>
                <w:lang w:val="fr-CH" w:bidi="ar-EG"/>
              </w:rPr>
              <w:t>بالاتحاد</w:t>
            </w:r>
            <w:r w:rsidRPr="000708A8">
              <w:rPr>
                <w:lang w:bidi="ar-EG"/>
              </w:rPr>
              <w:br/>
              <w:t>(</w:t>
            </w:r>
            <w:r w:rsidRPr="000708A8">
              <w:t>ITU-T)</w:t>
            </w:r>
          </w:p>
          <w:p w14:paraId="3D6C4ED7" w14:textId="65B2DE93" w:rsidR="002962A4" w:rsidRPr="000708A8" w:rsidRDefault="002962A4" w:rsidP="004776F1">
            <w:pPr>
              <w:pStyle w:val="Tabletexte"/>
              <w:jc w:val="center"/>
              <w:rPr>
                <w:lang w:val="fr-CH"/>
              </w:rPr>
            </w:pPr>
            <w:r w:rsidRPr="000708A8">
              <w:rPr>
                <w:rtl/>
                <w:lang w:val="fr-CH"/>
              </w:rPr>
              <w:t>قطاع تنمية الاتصالات بالاتحاد</w:t>
            </w:r>
            <w:r w:rsidRPr="000708A8">
              <w:rPr>
                <w:rtl/>
                <w:lang w:val="fr-CH"/>
              </w:rPr>
              <w:br/>
            </w:r>
            <w:r w:rsidRPr="000708A8">
              <w:rPr>
                <w:lang w:val="fr-CH"/>
              </w:rPr>
              <w:t>(</w:t>
            </w:r>
            <w:bookmarkStart w:id="0" w:name="lt_pId049"/>
            <w:r w:rsidRPr="000708A8">
              <w:rPr>
                <w:lang w:val="fr-CH"/>
              </w:rPr>
              <w:t>ITU-D</w:t>
            </w:r>
            <w:bookmarkEnd w:id="0"/>
            <w:r w:rsidRPr="000708A8">
              <w:rPr>
                <w:lang w:val="fr-CH"/>
              </w:rPr>
              <w:t>)</w:t>
            </w:r>
          </w:p>
        </w:tc>
        <w:tc>
          <w:tcPr>
            <w:tcW w:w="2689" w:type="dxa"/>
            <w:vAlign w:val="center"/>
          </w:tcPr>
          <w:p w14:paraId="3E7CB1EF" w14:textId="7F21FCEA" w:rsidR="002962A4" w:rsidRPr="000708A8" w:rsidRDefault="002962A4" w:rsidP="004776F1">
            <w:pPr>
              <w:pStyle w:val="Tabletexte"/>
              <w:jc w:val="center"/>
              <w:rPr>
                <w:rtl/>
                <w:lang w:val="fr-CH"/>
              </w:rPr>
            </w:pPr>
            <w:r w:rsidRPr="000708A8">
              <w:rPr>
                <w:rtl/>
                <w:lang w:val="fr-CH"/>
              </w:rPr>
              <w:t>نعم</w:t>
            </w:r>
            <w:r w:rsidR="000708A8">
              <w:rPr>
                <w:rtl/>
                <w:lang w:val="fr-CH"/>
              </w:rPr>
              <w:br/>
            </w:r>
          </w:p>
          <w:p w14:paraId="6011C40B" w14:textId="55F0A633" w:rsidR="005314BE" w:rsidRPr="000708A8" w:rsidRDefault="005314BE" w:rsidP="004776F1">
            <w:pPr>
              <w:pStyle w:val="Tabletexte"/>
              <w:jc w:val="center"/>
              <w:rPr>
                <w:rtl/>
                <w:lang w:val="fr-CH"/>
              </w:rPr>
            </w:pPr>
            <w:r w:rsidRPr="000708A8">
              <w:rPr>
                <w:rtl/>
                <w:lang w:val="fr-CH"/>
              </w:rPr>
              <w:t>نعم</w:t>
            </w:r>
            <w:r w:rsidR="000708A8">
              <w:rPr>
                <w:rtl/>
                <w:lang w:val="fr-CH"/>
              </w:rPr>
              <w:br/>
            </w:r>
          </w:p>
          <w:p w14:paraId="7F1967A4" w14:textId="1C6DE7D9" w:rsidR="005314BE" w:rsidRPr="000708A8" w:rsidRDefault="005314BE" w:rsidP="004776F1">
            <w:pPr>
              <w:pStyle w:val="Tabletexte"/>
              <w:jc w:val="center"/>
              <w:rPr>
                <w:lang w:val="fr-CH"/>
              </w:rPr>
            </w:pPr>
            <w:r w:rsidRPr="000708A8">
              <w:rPr>
                <w:rtl/>
                <w:lang w:val="fr-CH"/>
              </w:rPr>
              <w:t>نعم</w:t>
            </w:r>
          </w:p>
        </w:tc>
      </w:tr>
    </w:tbl>
    <w:p w14:paraId="70F92C77" w14:textId="229740E5" w:rsidR="002962A4" w:rsidRPr="005F4CB4" w:rsidRDefault="00954C4E" w:rsidP="005F4CB4">
      <w:pPr>
        <w:spacing w:before="240"/>
        <w:rPr>
          <w:rtl/>
        </w:rPr>
      </w:pPr>
      <w:r>
        <w:rPr>
          <w:rFonts w:hint="cs"/>
          <w:rtl/>
          <w:lang w:bidi="ar-EG"/>
        </w:rPr>
        <w:t xml:space="preserve">تمثل </w:t>
      </w:r>
      <w:r w:rsidRPr="00954C4E">
        <w:rPr>
          <w:rtl/>
          <w:lang w:bidi="ar-EG"/>
        </w:rPr>
        <w:t>رابطة منظمي الاتصالات في الجنوب الإفريقي (</w:t>
      </w:r>
      <w:r w:rsidRPr="00954C4E">
        <w:rPr>
          <w:lang w:bidi="ar-EG"/>
        </w:rPr>
        <w:t>CRASA</w:t>
      </w:r>
      <w:r w:rsidRPr="00954C4E">
        <w:rPr>
          <w:rtl/>
          <w:lang w:bidi="ar-EG"/>
        </w:rPr>
        <w:t>)</w:t>
      </w:r>
      <w:r>
        <w:rPr>
          <w:rFonts w:hint="cs"/>
          <w:rtl/>
        </w:rPr>
        <w:t>، الكائن مقرها ببوتسوانا، منتدى لمنظمي تكنولوجيا المعلومات والاتصالات والبريد يضم ثلاث عشرة دولة عضوا</w:t>
      </w:r>
      <w:r w:rsidR="005F4CB4">
        <w:rPr>
          <w:rFonts w:hint="cs"/>
          <w:rtl/>
        </w:rPr>
        <w:t>ً</w:t>
      </w:r>
      <w:r>
        <w:rPr>
          <w:rFonts w:hint="cs"/>
          <w:rtl/>
        </w:rPr>
        <w:t xml:space="preserve">. والرابطة هي وكالة متخصصة تابعة للجماعة الإنمائية للجنوب الإفريقي </w:t>
      </w:r>
      <w:r>
        <w:t>(SADC)</w:t>
      </w:r>
      <w:r>
        <w:rPr>
          <w:rFonts w:hint="cs"/>
          <w:rtl/>
        </w:rPr>
        <w:t xml:space="preserve"> أنشئت في </w:t>
      </w:r>
      <w:r w:rsidR="005F4CB4">
        <w:rPr>
          <w:rFonts w:hint="cs"/>
          <w:rtl/>
        </w:rPr>
        <w:t xml:space="preserve">عام 1997 في إطار بروتوكول الجماعة الإنمائية للجنوب الإفريقي بشأن النقل والاتصالات والأرصاد الجوية </w:t>
      </w:r>
      <w:r w:rsidR="005F4CB4">
        <w:t>(1995)</w:t>
      </w:r>
      <w:r w:rsidR="005F4CB4">
        <w:rPr>
          <w:rFonts w:hint="cs"/>
          <w:rtl/>
        </w:rPr>
        <w:t>. وتركز الرابطة على تنسيق الأطر التنظيمية لأسواق الاتصالات والإذاعة والبريد. و</w:t>
      </w:r>
      <w:r w:rsidR="00C1743E">
        <w:rPr>
          <w:rFonts w:hint="cs"/>
          <w:rtl/>
        </w:rPr>
        <w:t xml:space="preserve">نظراً إلى </w:t>
      </w:r>
      <w:r w:rsidR="005F4CB4">
        <w:rPr>
          <w:rFonts w:hint="cs"/>
          <w:rtl/>
        </w:rPr>
        <w:t xml:space="preserve">أن الرابطة منظمة إقليمية </w:t>
      </w:r>
      <w:r w:rsidR="003019B7">
        <w:rPr>
          <w:rFonts w:hint="cs"/>
          <w:rtl/>
        </w:rPr>
        <w:t>ل</w:t>
      </w:r>
      <w:r w:rsidR="005F4CB4">
        <w:rPr>
          <w:rFonts w:hint="cs"/>
          <w:rtl/>
        </w:rPr>
        <w:t xml:space="preserve">دول أعضاء، فإن الأمانة ترى أنها </w:t>
      </w:r>
      <w:r w:rsidR="002962A4">
        <w:rPr>
          <w:rFonts w:hint="cs"/>
          <w:spacing w:val="2"/>
          <w:rtl/>
        </w:rPr>
        <w:t xml:space="preserve">تستوفي </w:t>
      </w:r>
      <w:r w:rsidR="005F4CB4">
        <w:rPr>
          <w:rFonts w:hint="cs"/>
          <w:spacing w:val="2"/>
          <w:rtl/>
        </w:rPr>
        <w:t>ال</w:t>
      </w:r>
      <w:r w:rsidR="002962A4">
        <w:rPr>
          <w:rFonts w:hint="cs"/>
          <w:spacing w:val="2"/>
          <w:rtl/>
        </w:rPr>
        <w:t>معايير</w:t>
      </w:r>
      <w:r w:rsidR="005F4CB4">
        <w:rPr>
          <w:rFonts w:hint="cs"/>
          <w:spacing w:val="2"/>
          <w:rtl/>
        </w:rPr>
        <w:t xml:space="preserve"> التي وضعها المجلس</w:t>
      </w:r>
      <w:r w:rsidR="002962A4">
        <w:rPr>
          <w:rFonts w:hint="cs"/>
          <w:spacing w:val="2"/>
          <w:rtl/>
        </w:rPr>
        <w:t xml:space="preserve"> </w:t>
      </w:r>
      <w:r w:rsidR="005F4CB4">
        <w:rPr>
          <w:rFonts w:hint="cs"/>
          <w:spacing w:val="2"/>
          <w:rtl/>
        </w:rPr>
        <w:t>ل</w:t>
      </w:r>
      <w:r w:rsidR="002962A4">
        <w:rPr>
          <w:rFonts w:hint="cs"/>
          <w:spacing w:val="2"/>
          <w:rtl/>
        </w:rPr>
        <w:t xml:space="preserve">لإعفاء من </w:t>
      </w:r>
      <w:r w:rsidR="002962A4">
        <w:rPr>
          <w:rFonts w:hint="cs"/>
          <w:spacing w:val="2"/>
          <w:rtl/>
          <w:lang w:bidi="ar-EG"/>
        </w:rPr>
        <w:t>رسوم العضوية</w:t>
      </w:r>
      <w:r w:rsidR="005F4CB4">
        <w:rPr>
          <w:rFonts w:hint="cs"/>
          <w:spacing w:val="2"/>
          <w:rtl/>
          <w:lang w:bidi="ar-EG"/>
        </w:rPr>
        <w:t>.</w:t>
      </w:r>
    </w:p>
    <w:p w14:paraId="222BD242" w14:textId="77777777" w:rsidR="002962A4" w:rsidRDefault="002962A4" w:rsidP="002962A4">
      <w:pPr>
        <w:keepNext/>
        <w:spacing w:after="120" w:line="240" w:lineRule="auto"/>
        <w:rPr>
          <w:spacing w:val="2"/>
          <w:rtl/>
        </w:rPr>
      </w:pPr>
      <w:r>
        <w:rPr>
          <w:spacing w:val="2"/>
        </w:rPr>
        <w:lastRenderedPageBreak/>
        <w:t>2.2</w:t>
      </w:r>
      <w:r>
        <w:rPr>
          <w:spacing w:val="2"/>
          <w:rtl/>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35"/>
        <w:gridCol w:w="2686"/>
        <w:gridCol w:w="2694"/>
      </w:tblGrid>
      <w:tr w:rsidR="002962A4" w:rsidRPr="00400976" w14:paraId="443FD4C9" w14:textId="77777777" w:rsidTr="00400976">
        <w:trPr>
          <w:cantSplit/>
          <w:jc w:val="center"/>
        </w:trPr>
        <w:tc>
          <w:tcPr>
            <w:tcW w:w="3835" w:type="dxa"/>
          </w:tcPr>
          <w:p w14:paraId="062DFFBA" w14:textId="77777777" w:rsidR="002962A4" w:rsidRPr="00400976" w:rsidRDefault="002962A4" w:rsidP="004776F1">
            <w:pPr>
              <w:pStyle w:val="TableHead0"/>
              <w:keepLines/>
              <w:bidi/>
              <w:spacing w:beforeLines="60" w:before="144" w:afterLines="60" w:after="144" w:line="240" w:lineRule="exact"/>
              <w:rPr>
                <w:rFonts w:ascii="Dubai" w:hAnsi="Dubai" w:cs="Dubai"/>
                <w:b w:val="0"/>
                <w:bCs/>
                <w:sz w:val="20"/>
                <w:lang w:val="en-US"/>
              </w:rPr>
            </w:pPr>
            <w:r w:rsidRPr="00400976">
              <w:rPr>
                <w:rFonts w:ascii="Dubai" w:hAnsi="Dubai" w:cs="Dubai"/>
                <w:b w:val="0"/>
                <w:bCs/>
                <w:sz w:val="20"/>
                <w:rtl/>
                <w:lang w:val="en-US"/>
              </w:rPr>
              <w:t>المنظمة</w:t>
            </w:r>
          </w:p>
        </w:tc>
        <w:tc>
          <w:tcPr>
            <w:tcW w:w="2686" w:type="dxa"/>
          </w:tcPr>
          <w:p w14:paraId="2DB83C91" w14:textId="77777777" w:rsidR="002962A4" w:rsidRPr="00400976" w:rsidRDefault="002962A4" w:rsidP="004776F1">
            <w:pPr>
              <w:pStyle w:val="TableHead0"/>
              <w:keepLines/>
              <w:bidi/>
              <w:spacing w:beforeLines="60" w:before="144" w:afterLines="60" w:after="144" w:line="240" w:lineRule="exact"/>
              <w:rPr>
                <w:rFonts w:ascii="Dubai" w:hAnsi="Dubai" w:cs="Dubai"/>
                <w:b w:val="0"/>
                <w:bCs/>
                <w:sz w:val="20"/>
                <w:lang w:val="en-US"/>
              </w:rPr>
            </w:pPr>
            <w:r w:rsidRPr="00400976">
              <w:rPr>
                <w:rFonts w:ascii="Dubai" w:hAnsi="Dubai" w:cs="Dubai"/>
                <w:b w:val="0"/>
                <w:bCs/>
                <w:sz w:val="20"/>
                <w:rtl/>
                <w:lang w:val="en-US"/>
              </w:rPr>
              <w:t>القطاع</w:t>
            </w:r>
          </w:p>
        </w:tc>
        <w:tc>
          <w:tcPr>
            <w:tcW w:w="2694" w:type="dxa"/>
          </w:tcPr>
          <w:p w14:paraId="0FF850C8" w14:textId="2A023F7D" w:rsidR="002962A4" w:rsidRPr="00400976" w:rsidRDefault="002962A4" w:rsidP="004776F1">
            <w:pPr>
              <w:pStyle w:val="TableHead0"/>
              <w:keepLines/>
              <w:bidi/>
              <w:spacing w:beforeLines="60" w:before="144" w:afterLines="60" w:after="144" w:line="240" w:lineRule="exact"/>
              <w:rPr>
                <w:rFonts w:ascii="Dubai" w:hAnsi="Dubai" w:cs="Dubai"/>
                <w:b w:val="0"/>
                <w:bCs/>
                <w:sz w:val="20"/>
                <w:lang w:val="en-US"/>
              </w:rPr>
            </w:pPr>
            <w:bookmarkStart w:id="1" w:name="lt_pId057"/>
            <w:r w:rsidRPr="00400976">
              <w:rPr>
                <w:rFonts w:ascii="Dubai" w:hAnsi="Dubai" w:cs="Dubai"/>
                <w:b w:val="0"/>
                <w:bCs/>
                <w:sz w:val="20"/>
                <w:rtl/>
                <w:lang w:val="en-US"/>
              </w:rPr>
              <w:t>التوصية</w:t>
            </w:r>
            <w:bookmarkEnd w:id="1"/>
          </w:p>
        </w:tc>
      </w:tr>
      <w:tr w:rsidR="002962A4" w:rsidRPr="00400976" w14:paraId="670E14B3" w14:textId="77777777" w:rsidTr="00400976">
        <w:trPr>
          <w:cantSplit/>
          <w:jc w:val="center"/>
        </w:trPr>
        <w:tc>
          <w:tcPr>
            <w:tcW w:w="3835" w:type="dxa"/>
            <w:vAlign w:val="center"/>
          </w:tcPr>
          <w:p w14:paraId="5FD2EB79" w14:textId="26DAF1AB" w:rsidR="002962A4" w:rsidRPr="00400976" w:rsidRDefault="002962A4" w:rsidP="004776F1">
            <w:pPr>
              <w:pStyle w:val="Tabletexte"/>
              <w:keepNext/>
              <w:rPr>
                <w:b/>
                <w:bCs/>
                <w:color w:val="000000" w:themeColor="text1"/>
                <w:lang w:eastAsia="en-GB"/>
              </w:rPr>
            </w:pPr>
            <w:r w:rsidRPr="00400976">
              <w:rPr>
                <w:b/>
                <w:bCs/>
                <w:rtl/>
              </w:rPr>
              <w:t>جمعية وضع معايير الاتصالات</w:t>
            </w:r>
            <w:r w:rsidR="00712E48" w:rsidRPr="00400976">
              <w:rPr>
                <w:rFonts w:hint="cs"/>
                <w:b/>
                <w:bCs/>
                <w:rtl/>
              </w:rPr>
              <w:t xml:space="preserve"> في الهند</w:t>
            </w:r>
            <w:r w:rsidRPr="00400976">
              <w:rPr>
                <w:b/>
                <w:bCs/>
                <w:rtl/>
              </w:rPr>
              <w:t xml:space="preserve"> </w:t>
            </w:r>
            <w:bookmarkStart w:id="2" w:name="lt_pId058"/>
            <w:r w:rsidRPr="00400976">
              <w:rPr>
                <w:rStyle w:val="Emphasis"/>
                <w:b/>
                <w:bCs/>
                <w:i w:val="0"/>
                <w:color w:val="000000" w:themeColor="text1"/>
                <w:shd w:val="clear" w:color="auto" w:fill="FFFFFF"/>
              </w:rPr>
              <w:t>(TSDSI)</w:t>
            </w:r>
            <w:bookmarkEnd w:id="2"/>
          </w:p>
        </w:tc>
        <w:tc>
          <w:tcPr>
            <w:tcW w:w="2686" w:type="dxa"/>
            <w:vAlign w:val="center"/>
          </w:tcPr>
          <w:p w14:paraId="39A07399" w14:textId="77777777" w:rsidR="002962A4" w:rsidRPr="00400976" w:rsidRDefault="002962A4" w:rsidP="004776F1">
            <w:pPr>
              <w:pStyle w:val="Tabletexte"/>
              <w:keepNext/>
              <w:jc w:val="center"/>
            </w:pPr>
            <w:r w:rsidRPr="00400976">
              <w:rPr>
                <w:rtl/>
                <w:lang w:val="fr-CH"/>
              </w:rPr>
              <w:t xml:space="preserve">قطاع الاتصالات الراديوية بالاتحاد </w:t>
            </w:r>
            <w:r w:rsidRPr="00400976">
              <w:br/>
              <w:t>(ITU-R)</w:t>
            </w:r>
          </w:p>
          <w:p w14:paraId="5B7F8AF9" w14:textId="31CF0C4A" w:rsidR="002962A4" w:rsidRPr="00400976" w:rsidRDefault="002962A4" w:rsidP="004776F1">
            <w:pPr>
              <w:pStyle w:val="Tabletexte"/>
              <w:keepNext/>
              <w:jc w:val="center"/>
            </w:pPr>
            <w:r w:rsidRPr="00400976">
              <w:rPr>
                <w:rtl/>
                <w:lang w:val="fr-CH" w:bidi="ar-EG"/>
              </w:rPr>
              <w:t>قطاع تقييس الاتصالات</w:t>
            </w:r>
            <w:r w:rsidR="00C60B59" w:rsidRPr="00400976">
              <w:rPr>
                <w:rFonts w:hint="cs"/>
                <w:rtl/>
                <w:lang w:val="fr-CH" w:bidi="ar-EG"/>
              </w:rPr>
              <w:t> </w:t>
            </w:r>
            <w:r w:rsidRPr="00400976">
              <w:rPr>
                <w:rtl/>
                <w:lang w:val="fr-CH" w:bidi="ar-EG"/>
              </w:rPr>
              <w:t>بالاتحاد</w:t>
            </w:r>
            <w:r w:rsidRPr="00400976">
              <w:rPr>
                <w:lang w:bidi="ar-EG"/>
              </w:rPr>
              <w:br/>
              <w:t>(</w:t>
            </w:r>
            <w:bookmarkStart w:id="3" w:name="lt_pId060"/>
            <w:r w:rsidRPr="00400976">
              <w:t>ITU-T</w:t>
            </w:r>
            <w:bookmarkEnd w:id="3"/>
            <w:r w:rsidRPr="00400976">
              <w:t>)</w:t>
            </w:r>
          </w:p>
        </w:tc>
        <w:tc>
          <w:tcPr>
            <w:tcW w:w="2694" w:type="dxa"/>
            <w:vAlign w:val="center"/>
          </w:tcPr>
          <w:p w14:paraId="6D28474B" w14:textId="62CF6EDD" w:rsidR="002962A4" w:rsidRPr="00400976" w:rsidRDefault="00F34DD7" w:rsidP="004776F1">
            <w:pPr>
              <w:pStyle w:val="Tabletexte"/>
              <w:keepNext/>
              <w:jc w:val="center"/>
              <w:rPr>
                <w:rtl/>
                <w:lang w:bidi="ar-EG"/>
              </w:rPr>
            </w:pPr>
            <w:r w:rsidRPr="00400976">
              <w:rPr>
                <w:rFonts w:hint="cs"/>
                <w:rtl/>
                <w:lang w:bidi="ar-EG"/>
              </w:rPr>
              <w:t>لا</w:t>
            </w:r>
            <w:r w:rsidR="00400976">
              <w:rPr>
                <w:rtl/>
                <w:lang w:bidi="ar-EG"/>
              </w:rPr>
              <w:br/>
            </w:r>
          </w:p>
          <w:p w14:paraId="47035CDB" w14:textId="72E8B96B" w:rsidR="00F34DD7" w:rsidRPr="00400976" w:rsidRDefault="00F34DD7" w:rsidP="004776F1">
            <w:pPr>
              <w:pStyle w:val="Tabletexte"/>
              <w:keepNext/>
              <w:jc w:val="center"/>
              <w:rPr>
                <w:rtl/>
                <w:lang w:bidi="ar-EG"/>
              </w:rPr>
            </w:pPr>
            <w:r w:rsidRPr="00400976">
              <w:rPr>
                <w:rFonts w:hint="cs"/>
                <w:rtl/>
                <w:lang w:bidi="ar-EG"/>
              </w:rPr>
              <w:t>لا</w:t>
            </w:r>
          </w:p>
        </w:tc>
      </w:tr>
    </w:tbl>
    <w:p w14:paraId="72F878C5" w14:textId="680A535D" w:rsidR="00F34DD7" w:rsidRDefault="00712E48" w:rsidP="00712E48">
      <w:pPr>
        <w:keepNext/>
        <w:spacing w:before="240"/>
        <w:rPr>
          <w:rtl/>
          <w:lang w:bidi="ar-EG"/>
        </w:rPr>
      </w:pPr>
      <w:r>
        <w:rPr>
          <w:rFonts w:hint="cs"/>
          <w:rtl/>
          <w:lang w:bidi="ar-EG"/>
        </w:rPr>
        <w:t>أجّل المجلس في دورته لعام 2022 هذا الطلب ريثما ينتهي الاستعراض الكامل لجميع الكيانات المعفاة، على النحو المشار إليه في القسم 6.1 أعلاه. وفي غضون ذلك، انضمت الجمعية كعضو قطاع يدفع الرسوم في قطاع الاتصالات الراديوية وقطاع تقييس الاتصالات</w:t>
      </w:r>
      <w:r w:rsidR="00C60B59">
        <w:rPr>
          <w:rFonts w:hint="eastAsia"/>
          <w:rtl/>
          <w:lang w:bidi="ar-EG"/>
        </w:rPr>
        <w:t> </w:t>
      </w:r>
      <w:r>
        <w:rPr>
          <w:rFonts w:hint="cs"/>
          <w:rtl/>
          <w:lang w:bidi="ar-EG"/>
        </w:rPr>
        <w:t>بالاتحاد.</w:t>
      </w:r>
    </w:p>
    <w:p w14:paraId="0C12958F" w14:textId="30298E25" w:rsidR="00364881" w:rsidRDefault="00712E48" w:rsidP="00837C12">
      <w:pPr>
        <w:rPr>
          <w:rtl/>
        </w:rPr>
      </w:pPr>
      <w:r>
        <w:rPr>
          <w:rFonts w:hint="cs"/>
          <w:rtl/>
          <w:lang w:bidi="ar-EG"/>
        </w:rPr>
        <w:t>و</w:t>
      </w:r>
      <w:r w:rsidR="002962A4">
        <w:rPr>
          <w:rFonts w:hint="cs"/>
          <w:rtl/>
          <w:lang w:bidi="ar-EG"/>
        </w:rPr>
        <w:t>اشتركت دوائر صناعة الاتصالات والمؤسسات الأكاديمية والكيانات البحثية في الهند وحكومة الهند في إنشاء</w:t>
      </w:r>
      <w:r w:rsidR="003019B7">
        <w:rPr>
          <w:rFonts w:hint="cs"/>
          <w:rtl/>
          <w:lang w:bidi="ar-EG"/>
        </w:rPr>
        <w:t xml:space="preserve"> هذه الجمعية</w:t>
      </w:r>
      <w:r w:rsidR="002962A4">
        <w:rPr>
          <w:rFonts w:hint="cs"/>
          <w:rtl/>
          <w:lang w:bidi="ar-EG"/>
        </w:rPr>
        <w:t xml:space="preserve"> كهيئة مستقلة وكيان غير هادف إلى الربح، لتقود أنشطة تقييس الاتصالات في الهند وت</w:t>
      </w:r>
      <w:r>
        <w:rPr>
          <w:rFonts w:hint="cs"/>
          <w:rtl/>
          <w:lang w:bidi="ar-EG"/>
        </w:rPr>
        <w:t>دعم</w:t>
      </w:r>
      <w:r w:rsidR="002962A4">
        <w:rPr>
          <w:rFonts w:hint="cs"/>
          <w:rtl/>
          <w:lang w:bidi="ar-EG"/>
        </w:rPr>
        <w:t xml:space="preserve"> المصالح الهندية في المنتديات العالمية. وتضم الجمعية بين أعضائها شركات دولية ومؤسسات أكاديمية/بحثية من بلدان عديدة. </w:t>
      </w:r>
      <w:r w:rsidR="00364881">
        <w:rPr>
          <w:rFonts w:hint="cs"/>
          <w:rtl/>
        </w:rPr>
        <w:t>ولئن كانت الجمعية نشطة على الصعيد الدولي، بما في ذلك في الاتحاد الدولي للاتصالات، وتضم أعضاء دوليين (فروع وطنية بصورة رئيسية)، فإن عضويتها تتألف أساساً من شركات غير هادفة إلى الربح. وعلاو</w:t>
      </w:r>
      <w:r w:rsidR="00716A16">
        <w:rPr>
          <w:rFonts w:hint="cs"/>
          <w:rtl/>
        </w:rPr>
        <w:t>ةً</w:t>
      </w:r>
      <w:r w:rsidR="00364881">
        <w:rPr>
          <w:rFonts w:hint="cs"/>
          <w:rtl/>
        </w:rPr>
        <w:t xml:space="preserve"> على ذلك، تم تأسيس الجمعية ككيان وطني وليس كمنظمة دولية/إقليمية. ولهذه الأسباب، ترى الأمانة أن هذا الكيان لا يستوفي المعايير التي وضعها المجلس للإعفاء من رسوم العضوية.</w:t>
      </w:r>
    </w:p>
    <w:p w14:paraId="7612194A" w14:textId="77777777" w:rsidR="002962A4" w:rsidRDefault="002962A4" w:rsidP="002962A4">
      <w:pPr>
        <w:tabs>
          <w:tab w:val="left" w:pos="464"/>
        </w:tabs>
        <w:spacing w:after="120" w:line="240" w:lineRule="auto"/>
        <w:rPr>
          <w:lang w:bidi="ar-EG"/>
        </w:rPr>
      </w:pPr>
      <w:bookmarkStart w:id="4" w:name="_Hlk137548374"/>
      <w:r>
        <w:rPr>
          <w:lang w:bidi="ar-EG"/>
        </w:rPr>
        <w:t>3.2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3"/>
        <w:gridCol w:w="2835"/>
        <w:gridCol w:w="2977"/>
      </w:tblGrid>
      <w:tr w:rsidR="002962A4" w:rsidRPr="009B6ABA" w14:paraId="1062AB6F" w14:textId="77777777" w:rsidTr="009B6ABA">
        <w:trPr>
          <w:cantSplit/>
          <w:jc w:val="center"/>
        </w:trPr>
        <w:tc>
          <w:tcPr>
            <w:tcW w:w="3403" w:type="dxa"/>
          </w:tcPr>
          <w:p w14:paraId="2F6129B0" w14:textId="77777777" w:rsidR="002962A4" w:rsidRPr="009B6ABA" w:rsidRDefault="002962A4" w:rsidP="004776F1">
            <w:pPr>
              <w:pStyle w:val="TableHead0"/>
              <w:keepLines/>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المنظمة</w:t>
            </w:r>
          </w:p>
        </w:tc>
        <w:tc>
          <w:tcPr>
            <w:tcW w:w="2835" w:type="dxa"/>
          </w:tcPr>
          <w:p w14:paraId="3D891DE1" w14:textId="77777777" w:rsidR="002962A4" w:rsidRPr="009B6ABA" w:rsidRDefault="002962A4" w:rsidP="004776F1">
            <w:pPr>
              <w:pStyle w:val="TableHead0"/>
              <w:keepLines/>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القطاع</w:t>
            </w:r>
          </w:p>
        </w:tc>
        <w:tc>
          <w:tcPr>
            <w:tcW w:w="2977" w:type="dxa"/>
          </w:tcPr>
          <w:p w14:paraId="504C0B84" w14:textId="703E885D" w:rsidR="002962A4" w:rsidRPr="009B6ABA" w:rsidRDefault="002962A4" w:rsidP="004776F1">
            <w:pPr>
              <w:pStyle w:val="TableHead0"/>
              <w:keepLines/>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التوصية</w:t>
            </w:r>
          </w:p>
        </w:tc>
      </w:tr>
      <w:tr w:rsidR="002962A4" w:rsidRPr="009B6ABA" w14:paraId="63A2B7D3" w14:textId="77777777" w:rsidTr="009B6ABA">
        <w:trPr>
          <w:cantSplit/>
          <w:trHeight w:val="1318"/>
          <w:jc w:val="center"/>
        </w:trPr>
        <w:tc>
          <w:tcPr>
            <w:tcW w:w="3403" w:type="dxa"/>
            <w:vAlign w:val="center"/>
          </w:tcPr>
          <w:p w14:paraId="34578B0E" w14:textId="77777777" w:rsidR="002962A4" w:rsidRPr="009B6ABA" w:rsidRDefault="002962A4" w:rsidP="004776F1">
            <w:pPr>
              <w:pStyle w:val="TableText"/>
              <w:keepNext/>
              <w:keepLines/>
              <w:bidi/>
              <w:spacing w:beforeLines="60" w:before="144" w:after="60" w:line="260" w:lineRule="exact"/>
              <w:rPr>
                <w:rFonts w:ascii="Dubai" w:hAnsi="Dubai" w:cs="Dubai"/>
                <w:b/>
                <w:iCs/>
                <w:sz w:val="20"/>
                <w:lang w:val="en-US"/>
              </w:rPr>
            </w:pPr>
            <w:r w:rsidRPr="009B6ABA">
              <w:rPr>
                <w:rFonts w:ascii="Dubai" w:hAnsi="Dubai" w:cs="Dubai"/>
                <w:bCs/>
                <w:i/>
                <w:sz w:val="20"/>
                <w:rtl/>
                <w:lang w:val="es-ES_tradnl"/>
              </w:rPr>
              <w:t>مختبر إنترنت الأشياء</w:t>
            </w:r>
            <w:r w:rsidRPr="009B6ABA">
              <w:rPr>
                <w:rFonts w:ascii="Dubai" w:hAnsi="Dubai" w:cs="Dubai"/>
                <w:b/>
                <w:iCs/>
                <w:sz w:val="20"/>
                <w:rtl/>
                <w:lang w:val="es-ES_tradnl"/>
              </w:rPr>
              <w:t xml:space="preserve"> </w:t>
            </w:r>
            <w:r w:rsidRPr="009B6ABA">
              <w:rPr>
                <w:rFonts w:ascii="Dubai" w:hAnsi="Dubai" w:cs="Dubai"/>
                <w:b/>
                <w:iCs/>
                <w:sz w:val="20"/>
                <w:lang w:val="en-US"/>
              </w:rPr>
              <w:t>(</w:t>
            </w:r>
            <w:bookmarkStart w:id="5" w:name="lt_pId073"/>
            <w:r w:rsidRPr="00E33C4A">
              <w:rPr>
                <w:rFonts w:ascii="Dubai" w:hAnsi="Dubai" w:cs="Dubai"/>
                <w:b/>
                <w:iCs/>
                <w:sz w:val="20"/>
                <w:lang w:val="en-US"/>
              </w:rPr>
              <w:t>IoT Lab</w:t>
            </w:r>
            <w:bookmarkEnd w:id="5"/>
            <w:r w:rsidRPr="00E33C4A">
              <w:rPr>
                <w:rFonts w:ascii="Dubai" w:hAnsi="Dubai" w:cs="Dubai"/>
                <w:b/>
                <w:iCs/>
                <w:sz w:val="20"/>
                <w:lang w:val="en-US"/>
              </w:rPr>
              <w:t>)</w:t>
            </w:r>
          </w:p>
        </w:tc>
        <w:tc>
          <w:tcPr>
            <w:tcW w:w="2835" w:type="dxa"/>
            <w:vAlign w:val="center"/>
          </w:tcPr>
          <w:p w14:paraId="1D7E67BD" w14:textId="77777777" w:rsidR="002962A4" w:rsidRPr="009B6ABA" w:rsidRDefault="002962A4" w:rsidP="004776F1">
            <w:pPr>
              <w:pStyle w:val="TableText"/>
              <w:keepNext/>
              <w:keepLines/>
              <w:bidi/>
              <w:spacing w:beforeLines="60" w:before="144" w:after="60" w:line="260" w:lineRule="exact"/>
              <w:jc w:val="center"/>
              <w:rPr>
                <w:rFonts w:ascii="Dubai" w:hAnsi="Dubai" w:cs="Dubai"/>
                <w:sz w:val="20"/>
                <w:lang w:val="en-US"/>
              </w:rPr>
            </w:pPr>
            <w:r w:rsidRPr="009B6ABA">
              <w:rPr>
                <w:rFonts w:ascii="Dubai" w:hAnsi="Dubai" w:cs="Dubai"/>
                <w:sz w:val="20"/>
                <w:rtl/>
                <w:lang w:val="fr-CH" w:bidi="ar-EG"/>
              </w:rPr>
              <w:t>قطاع تقييس الاتصالات بالاتحاد</w:t>
            </w:r>
            <w:r w:rsidRPr="009B6ABA">
              <w:rPr>
                <w:rFonts w:ascii="Dubai" w:hAnsi="Dubai" w:cs="Dubai"/>
                <w:sz w:val="20"/>
                <w:rtl/>
                <w:lang w:val="fr-CH" w:bidi="ar-EG"/>
              </w:rPr>
              <w:br/>
            </w:r>
            <w:r w:rsidRPr="009B6ABA">
              <w:rPr>
                <w:rFonts w:ascii="Dubai" w:hAnsi="Dubai" w:cs="Dubai"/>
                <w:sz w:val="20"/>
                <w:lang w:val="en-US" w:bidi="ar-EG"/>
              </w:rPr>
              <w:t>(</w:t>
            </w:r>
            <w:r w:rsidRPr="009B6ABA">
              <w:rPr>
                <w:rFonts w:ascii="Dubai" w:hAnsi="Dubai" w:cs="Dubai"/>
                <w:sz w:val="20"/>
                <w:lang w:val="en-US"/>
              </w:rPr>
              <w:t>ITU-T)</w:t>
            </w:r>
          </w:p>
        </w:tc>
        <w:tc>
          <w:tcPr>
            <w:tcW w:w="2977" w:type="dxa"/>
            <w:vAlign w:val="center"/>
          </w:tcPr>
          <w:p w14:paraId="155E745C" w14:textId="619A6E60" w:rsidR="002962A4" w:rsidRPr="009B6ABA" w:rsidRDefault="00F34DD7" w:rsidP="004776F1">
            <w:pPr>
              <w:pStyle w:val="TableText"/>
              <w:keepNext/>
              <w:keepLines/>
              <w:bidi/>
              <w:spacing w:beforeLines="60" w:before="144" w:after="60" w:line="260" w:lineRule="exact"/>
              <w:jc w:val="center"/>
              <w:rPr>
                <w:rFonts w:ascii="Dubai" w:hAnsi="Dubai" w:cs="Dubai"/>
                <w:color w:val="000000" w:themeColor="text1"/>
                <w:sz w:val="20"/>
                <w:lang w:val="en-US"/>
              </w:rPr>
            </w:pPr>
            <w:r w:rsidRPr="009B6ABA">
              <w:rPr>
                <w:rFonts w:ascii="Dubai" w:hAnsi="Dubai" w:cs="Dubai" w:hint="cs"/>
                <w:sz w:val="20"/>
                <w:rtl/>
                <w:lang w:bidi="ar-EG"/>
              </w:rPr>
              <w:t>لا</w:t>
            </w:r>
          </w:p>
        </w:tc>
      </w:tr>
    </w:tbl>
    <w:p w14:paraId="747301A6" w14:textId="6E5113FD" w:rsidR="002962A4" w:rsidRDefault="00837C12" w:rsidP="002962A4">
      <w:pPr>
        <w:spacing w:before="240"/>
        <w:rPr>
          <w:rtl/>
          <w:lang w:bidi="ar-EG"/>
        </w:rPr>
      </w:pPr>
      <w:r>
        <w:rPr>
          <w:rFonts w:hint="cs"/>
          <w:rtl/>
          <w:lang w:bidi="ar-EG"/>
        </w:rPr>
        <w:t>أجّل المجلس في دورتيه لعام</w:t>
      </w:r>
      <w:r w:rsidR="009B6ABA">
        <w:rPr>
          <w:rFonts w:hint="cs"/>
          <w:rtl/>
          <w:lang w:bidi="ar-EG"/>
        </w:rPr>
        <w:t>َ</w:t>
      </w:r>
      <w:r>
        <w:rPr>
          <w:rFonts w:hint="cs"/>
          <w:rtl/>
          <w:lang w:bidi="ar-EG"/>
        </w:rPr>
        <w:t xml:space="preserve">ي 2021 و2022 هذا الطلب ريثما يتم إجراء مزيد من المشاورات والدراسة وينتهي الاستعراض الكامل لجميع الكيانات المعفاة، على النحو </w:t>
      </w:r>
      <w:r w:rsidR="003019B7">
        <w:rPr>
          <w:rFonts w:hint="cs"/>
          <w:rtl/>
          <w:lang w:bidi="ar-EG"/>
        </w:rPr>
        <w:t>المبين</w:t>
      </w:r>
      <w:r>
        <w:rPr>
          <w:rFonts w:hint="cs"/>
          <w:rtl/>
          <w:lang w:bidi="ar-EG"/>
        </w:rPr>
        <w:t xml:space="preserve"> في القسم 6.1 أعلاه</w:t>
      </w:r>
      <w:r w:rsidR="00F34DD7">
        <w:rPr>
          <w:rFonts w:hint="cs"/>
          <w:rtl/>
          <w:lang w:bidi="ar-EG"/>
        </w:rPr>
        <w:t xml:space="preserve">. </w:t>
      </w:r>
      <w:r>
        <w:rPr>
          <w:rFonts w:hint="cs"/>
          <w:rtl/>
          <w:lang w:bidi="ar-EG"/>
        </w:rPr>
        <w:t>و</w:t>
      </w:r>
      <w:r w:rsidR="002962A4">
        <w:rPr>
          <w:rFonts w:hint="cs"/>
          <w:rtl/>
          <w:lang w:bidi="ar-EG"/>
        </w:rPr>
        <w:t xml:space="preserve">يشكل </w:t>
      </w:r>
      <w:r w:rsidR="002962A4">
        <w:rPr>
          <w:spacing w:val="2"/>
          <w:rtl/>
          <w:lang w:bidi="ar-EG"/>
        </w:rPr>
        <w:t>مختبر إنترنت الأشياء</w:t>
      </w:r>
      <w:r w:rsidR="002962A4">
        <w:rPr>
          <w:rFonts w:hint="cs"/>
          <w:spacing w:val="2"/>
          <w:rtl/>
          <w:lang w:bidi="ar-EG"/>
        </w:rPr>
        <w:t>، الكائن بسويسرا</w:t>
      </w:r>
      <w:bookmarkEnd w:id="4"/>
      <w:r w:rsidR="002962A4">
        <w:rPr>
          <w:rFonts w:hint="cs"/>
          <w:spacing w:val="2"/>
          <w:rtl/>
          <w:lang w:bidi="ar-EG"/>
        </w:rPr>
        <w:t>،</w:t>
      </w:r>
      <w:r w:rsidR="002962A4">
        <w:rPr>
          <w:spacing w:val="2"/>
          <w:rtl/>
          <w:lang w:bidi="ar-EG"/>
        </w:rPr>
        <w:t xml:space="preserve"> منصة دولية لخدمات وموارد إنترنت الأشياء </w:t>
      </w:r>
      <w:r w:rsidR="002962A4">
        <w:rPr>
          <w:spacing w:val="2"/>
          <w:lang w:bidi="ar-EG"/>
        </w:rPr>
        <w:t>(IoT)</w:t>
      </w:r>
      <w:r w:rsidR="002962A4">
        <w:rPr>
          <w:rFonts w:hint="cs"/>
          <w:spacing w:val="2"/>
          <w:rtl/>
          <w:lang w:bidi="ar-EG"/>
        </w:rPr>
        <w:t>، ت</w:t>
      </w:r>
      <w:r w:rsidR="002962A4">
        <w:rPr>
          <w:spacing w:val="2"/>
          <w:rtl/>
          <w:lang w:bidi="ar-EG"/>
        </w:rPr>
        <w:t>ضم</w:t>
      </w:r>
      <w:r w:rsidR="00BB6015">
        <w:rPr>
          <w:rFonts w:hint="cs"/>
          <w:spacing w:val="2"/>
          <w:rtl/>
          <w:lang w:bidi="ar-EG"/>
        </w:rPr>
        <w:t xml:space="preserve"> المجالات التالية: </w:t>
      </w:r>
      <w:r w:rsidR="002962A4">
        <w:rPr>
          <w:spacing w:val="2"/>
          <w:rtl/>
          <w:lang w:bidi="ar-EG"/>
        </w:rPr>
        <w:t>خدمات إنترنت الأشياء</w:t>
      </w:r>
      <w:r w:rsidR="002962A4">
        <w:rPr>
          <w:rFonts w:hint="cs"/>
          <w:spacing w:val="2"/>
          <w:rtl/>
          <w:lang w:bidi="ar-EG"/>
        </w:rPr>
        <w:t>،</w:t>
      </w:r>
      <w:r w:rsidR="002962A4">
        <w:rPr>
          <w:spacing w:val="2"/>
          <w:rtl/>
          <w:lang w:bidi="ar-EG"/>
        </w:rPr>
        <w:t xml:space="preserve"> والأمن والخصوصية</w:t>
      </w:r>
      <w:r w:rsidR="002962A4">
        <w:rPr>
          <w:rFonts w:hint="cs"/>
          <w:spacing w:val="2"/>
          <w:rtl/>
          <w:lang w:bidi="ar-EG"/>
        </w:rPr>
        <w:t>،</w:t>
      </w:r>
      <w:r w:rsidR="002962A4">
        <w:rPr>
          <w:spacing w:val="2"/>
          <w:rtl/>
          <w:lang w:bidi="ar-EG"/>
        </w:rPr>
        <w:t xml:space="preserve"> و</w:t>
      </w:r>
      <w:r w:rsidR="00BB6015">
        <w:rPr>
          <w:rFonts w:hint="cs"/>
          <w:spacing w:val="2"/>
          <w:rtl/>
          <w:lang w:bidi="ar-EG"/>
        </w:rPr>
        <w:t>مختبرات ال</w:t>
      </w:r>
      <w:r w:rsidR="002962A4">
        <w:rPr>
          <w:spacing w:val="2"/>
          <w:rtl/>
          <w:lang w:bidi="ar-EG"/>
        </w:rPr>
        <w:t>اختبار</w:t>
      </w:r>
      <w:r w:rsidR="002962A4">
        <w:rPr>
          <w:rFonts w:hint="cs"/>
          <w:spacing w:val="2"/>
          <w:rtl/>
          <w:lang w:bidi="ar-EG"/>
        </w:rPr>
        <w:t>،</w:t>
      </w:r>
      <w:r w:rsidR="002962A4">
        <w:rPr>
          <w:spacing w:val="2"/>
          <w:rtl/>
          <w:lang w:bidi="ar-EG"/>
        </w:rPr>
        <w:t xml:space="preserve"> ونقل</w:t>
      </w:r>
      <w:r w:rsidR="00BB6015">
        <w:rPr>
          <w:rFonts w:hint="cs"/>
          <w:spacing w:val="2"/>
          <w:rtl/>
          <w:lang w:bidi="ar-EG"/>
        </w:rPr>
        <w:t xml:space="preserve"> التكنولوجيا</w:t>
      </w:r>
      <w:r w:rsidR="002962A4">
        <w:rPr>
          <w:rFonts w:hint="cs"/>
          <w:spacing w:val="2"/>
          <w:rtl/>
          <w:lang w:bidi="ar-EG"/>
        </w:rPr>
        <w:t>، وأهداف التنمية المستدامة</w:t>
      </w:r>
      <w:r w:rsidR="002962A4">
        <w:rPr>
          <w:rFonts w:hint="eastAsia"/>
          <w:spacing w:val="2"/>
          <w:rtl/>
          <w:lang w:bidi="ar-EG"/>
        </w:rPr>
        <w:t> </w:t>
      </w:r>
      <w:r w:rsidR="002962A4">
        <w:rPr>
          <w:spacing w:val="2"/>
          <w:lang w:bidi="ar-EG"/>
        </w:rPr>
        <w:t>(SD</w:t>
      </w:r>
      <w:r>
        <w:rPr>
          <w:spacing w:val="2"/>
          <w:lang w:bidi="ar-EG"/>
        </w:rPr>
        <w:t>G</w:t>
      </w:r>
      <w:r w:rsidR="002962A4">
        <w:rPr>
          <w:spacing w:val="2"/>
          <w:lang w:bidi="ar-EG"/>
        </w:rPr>
        <w:t>)</w:t>
      </w:r>
      <w:r w:rsidR="002962A4">
        <w:rPr>
          <w:rFonts w:hint="cs"/>
          <w:spacing w:val="2"/>
          <w:rtl/>
          <w:lang w:bidi="ar-EG"/>
        </w:rPr>
        <w:t xml:space="preserve">، </w:t>
      </w:r>
      <w:r w:rsidR="00BB6015">
        <w:rPr>
          <w:rFonts w:hint="cs"/>
          <w:spacing w:val="2"/>
          <w:rtl/>
          <w:lang w:bidi="ar-EG"/>
        </w:rPr>
        <w:t>وال</w:t>
      </w:r>
      <w:r w:rsidR="002962A4">
        <w:rPr>
          <w:rFonts w:hint="cs"/>
          <w:spacing w:val="2"/>
          <w:rtl/>
          <w:lang w:bidi="ar-EG"/>
        </w:rPr>
        <w:t>شبكة و</w:t>
      </w:r>
      <w:r w:rsidR="00BB6015">
        <w:rPr>
          <w:rFonts w:hint="cs"/>
          <w:spacing w:val="2"/>
          <w:rtl/>
          <w:lang w:bidi="ar-EG"/>
        </w:rPr>
        <w:t>ال</w:t>
      </w:r>
      <w:r w:rsidR="002962A4">
        <w:rPr>
          <w:rFonts w:hint="cs"/>
          <w:spacing w:val="2"/>
          <w:rtl/>
          <w:lang w:bidi="ar-EG"/>
        </w:rPr>
        <w:t xml:space="preserve">مجتمع. </w:t>
      </w:r>
      <w:r w:rsidR="00BB6015">
        <w:rPr>
          <w:rFonts w:hint="cs"/>
          <w:spacing w:val="2"/>
          <w:rtl/>
          <w:lang w:bidi="ar-EG"/>
        </w:rPr>
        <w:t>وترى الأمانة أن هذا الكيان، على الرغم من أن لديه شركاء دوليين، لا يستوفي معايير الإعفاء من رسوم العضوية لأنه ليس منظمة قائمة على العضوية</w:t>
      </w:r>
      <w:r w:rsidR="002962A4">
        <w:rPr>
          <w:rFonts w:hint="cs"/>
          <w:rtl/>
          <w:lang w:bidi="ar-EG"/>
        </w:rPr>
        <w:t>.</w:t>
      </w:r>
    </w:p>
    <w:p w14:paraId="2B65634D" w14:textId="3862716D" w:rsidR="00BA1E20" w:rsidRDefault="00B3213F" w:rsidP="00BA1E20">
      <w:pPr>
        <w:tabs>
          <w:tab w:val="left" w:pos="464"/>
        </w:tabs>
        <w:spacing w:after="120" w:line="240" w:lineRule="auto"/>
        <w:rPr>
          <w:lang w:bidi="ar-EG"/>
        </w:rPr>
      </w:pPr>
      <w:r>
        <w:rPr>
          <w:lang w:bidi="ar-EG"/>
        </w:rPr>
        <w:t>4</w:t>
      </w:r>
      <w:r w:rsidR="00BA1E20">
        <w:rPr>
          <w:lang w:bidi="ar-EG"/>
        </w:rPr>
        <w:t>.2</w:t>
      </w:r>
      <w:r w:rsidR="00BA1E20">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19"/>
        <w:gridCol w:w="2977"/>
        <w:gridCol w:w="3119"/>
      </w:tblGrid>
      <w:tr w:rsidR="00BA1E20" w:rsidRPr="009B6ABA" w14:paraId="257434DF" w14:textId="77777777" w:rsidTr="009B6ABA">
        <w:trPr>
          <w:cantSplit/>
          <w:jc w:val="center"/>
        </w:trPr>
        <w:tc>
          <w:tcPr>
            <w:tcW w:w="3119" w:type="dxa"/>
          </w:tcPr>
          <w:p w14:paraId="6B9F3891" w14:textId="77777777" w:rsidR="00BA1E20" w:rsidRPr="009B6ABA" w:rsidRDefault="00BA1E20" w:rsidP="006B009A">
            <w:pPr>
              <w:pStyle w:val="TableHead0"/>
              <w:keepNext w:val="0"/>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المنظمة</w:t>
            </w:r>
          </w:p>
        </w:tc>
        <w:tc>
          <w:tcPr>
            <w:tcW w:w="2977" w:type="dxa"/>
          </w:tcPr>
          <w:p w14:paraId="564A0A56" w14:textId="77777777" w:rsidR="00BA1E20" w:rsidRPr="009B6ABA" w:rsidRDefault="00BA1E20" w:rsidP="006B009A">
            <w:pPr>
              <w:pStyle w:val="TableHead0"/>
              <w:keepNext w:val="0"/>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القطاع</w:t>
            </w:r>
          </w:p>
        </w:tc>
        <w:tc>
          <w:tcPr>
            <w:tcW w:w="3119" w:type="dxa"/>
          </w:tcPr>
          <w:p w14:paraId="717B623A" w14:textId="242666B2" w:rsidR="00BA1E20" w:rsidRPr="009B6ABA" w:rsidRDefault="00BA1E20" w:rsidP="006B009A">
            <w:pPr>
              <w:pStyle w:val="TableHead0"/>
              <w:keepNext w:val="0"/>
              <w:bidi/>
              <w:spacing w:beforeLines="60" w:before="144" w:after="60" w:line="260" w:lineRule="exact"/>
              <w:rPr>
                <w:rFonts w:ascii="Dubai" w:hAnsi="Dubai" w:cs="Dubai"/>
                <w:b w:val="0"/>
                <w:bCs/>
                <w:sz w:val="20"/>
                <w:lang w:val="en-US"/>
              </w:rPr>
            </w:pPr>
            <w:r w:rsidRPr="009B6ABA">
              <w:rPr>
                <w:rFonts w:ascii="Dubai" w:hAnsi="Dubai" w:cs="Dubai"/>
                <w:b w:val="0"/>
                <w:bCs/>
                <w:sz w:val="20"/>
                <w:rtl/>
                <w:lang w:val="en-US"/>
              </w:rPr>
              <w:t>التوصية</w:t>
            </w:r>
          </w:p>
        </w:tc>
      </w:tr>
      <w:tr w:rsidR="00BA1E20" w:rsidRPr="009B6ABA" w14:paraId="5C792142" w14:textId="77777777" w:rsidTr="009B6ABA">
        <w:trPr>
          <w:cantSplit/>
          <w:trHeight w:val="1318"/>
          <w:jc w:val="center"/>
        </w:trPr>
        <w:tc>
          <w:tcPr>
            <w:tcW w:w="3119" w:type="dxa"/>
            <w:vAlign w:val="center"/>
          </w:tcPr>
          <w:p w14:paraId="761D14C4" w14:textId="2A8BB540" w:rsidR="00BA1E20" w:rsidRPr="009B6ABA" w:rsidRDefault="00BB6015" w:rsidP="006B009A">
            <w:pPr>
              <w:pStyle w:val="TableText"/>
              <w:bidi/>
              <w:spacing w:beforeLines="60" w:before="144" w:after="60" w:line="260" w:lineRule="exact"/>
              <w:rPr>
                <w:rFonts w:ascii="Dubai" w:hAnsi="Dubai" w:cs="Dubai"/>
                <w:b/>
                <w:iCs/>
                <w:sz w:val="20"/>
                <w:lang w:val="en-US"/>
              </w:rPr>
            </w:pPr>
            <w:r w:rsidRPr="009B6ABA">
              <w:rPr>
                <w:rFonts w:ascii="Dubai" w:hAnsi="Dubai" w:cs="Dubai" w:hint="cs"/>
                <w:bCs/>
                <w:i/>
                <w:sz w:val="20"/>
                <w:rtl/>
                <w:lang w:val="es-ES_tradnl"/>
              </w:rPr>
              <w:t xml:space="preserve">مؤسسة </w:t>
            </w:r>
            <w:r w:rsidRPr="009B6ABA">
              <w:rPr>
                <w:rFonts w:ascii="Dubai" w:hAnsi="Dubai" w:cs="Dubai"/>
                <w:b/>
                <w:iCs/>
                <w:sz w:val="20"/>
                <w:lang w:val="es-ES_tradnl"/>
              </w:rPr>
              <w:t>Feynman</w:t>
            </w:r>
          </w:p>
        </w:tc>
        <w:tc>
          <w:tcPr>
            <w:tcW w:w="2977" w:type="dxa"/>
            <w:vAlign w:val="center"/>
          </w:tcPr>
          <w:p w14:paraId="54B2A787" w14:textId="77777777" w:rsidR="00BA1E20" w:rsidRPr="009B6ABA" w:rsidRDefault="00BA1E20" w:rsidP="006B009A">
            <w:pPr>
              <w:pStyle w:val="TableText"/>
              <w:bidi/>
              <w:spacing w:beforeLines="60" w:before="144" w:after="60" w:line="260" w:lineRule="exact"/>
              <w:jc w:val="center"/>
              <w:rPr>
                <w:rFonts w:ascii="Dubai" w:hAnsi="Dubai" w:cs="Dubai"/>
                <w:sz w:val="20"/>
                <w:lang w:val="en-US"/>
              </w:rPr>
            </w:pPr>
            <w:r w:rsidRPr="009B6ABA">
              <w:rPr>
                <w:rFonts w:ascii="Dubai" w:hAnsi="Dubai" w:cs="Dubai"/>
                <w:sz w:val="20"/>
                <w:rtl/>
                <w:lang w:val="fr-CH" w:bidi="ar-EG"/>
              </w:rPr>
              <w:t>قطاع تقييس الاتصالات بالاتحاد</w:t>
            </w:r>
            <w:r w:rsidRPr="009B6ABA">
              <w:rPr>
                <w:rFonts w:ascii="Dubai" w:hAnsi="Dubai" w:cs="Dubai"/>
                <w:sz w:val="20"/>
                <w:rtl/>
                <w:lang w:val="fr-CH" w:bidi="ar-EG"/>
              </w:rPr>
              <w:br/>
            </w:r>
            <w:r w:rsidRPr="009B6ABA">
              <w:rPr>
                <w:rFonts w:ascii="Dubai" w:hAnsi="Dubai" w:cs="Dubai"/>
                <w:sz w:val="20"/>
                <w:lang w:val="en-US" w:bidi="ar-EG"/>
              </w:rPr>
              <w:t>(</w:t>
            </w:r>
            <w:r w:rsidRPr="009B6ABA">
              <w:rPr>
                <w:rFonts w:ascii="Dubai" w:hAnsi="Dubai" w:cs="Dubai"/>
                <w:sz w:val="20"/>
                <w:lang w:val="en-US"/>
              </w:rPr>
              <w:t>ITU-T)</w:t>
            </w:r>
          </w:p>
        </w:tc>
        <w:tc>
          <w:tcPr>
            <w:tcW w:w="3119" w:type="dxa"/>
            <w:vAlign w:val="center"/>
          </w:tcPr>
          <w:p w14:paraId="64D1B77D" w14:textId="77777777" w:rsidR="00BA1E20" w:rsidRPr="009B6ABA" w:rsidRDefault="00BA1E20" w:rsidP="006B009A">
            <w:pPr>
              <w:pStyle w:val="TableText"/>
              <w:bidi/>
              <w:spacing w:beforeLines="60" w:before="144" w:after="60" w:line="260" w:lineRule="exact"/>
              <w:jc w:val="center"/>
              <w:rPr>
                <w:rFonts w:ascii="Dubai" w:hAnsi="Dubai" w:cs="Dubai"/>
                <w:color w:val="000000" w:themeColor="text1"/>
                <w:sz w:val="20"/>
                <w:lang w:val="en-US"/>
              </w:rPr>
            </w:pPr>
            <w:r w:rsidRPr="009B6ABA">
              <w:rPr>
                <w:rFonts w:ascii="Dubai" w:hAnsi="Dubai" w:cs="Dubai" w:hint="cs"/>
                <w:sz w:val="20"/>
                <w:rtl/>
                <w:lang w:bidi="ar-EG"/>
              </w:rPr>
              <w:t>لا</w:t>
            </w:r>
          </w:p>
        </w:tc>
      </w:tr>
    </w:tbl>
    <w:p w14:paraId="34E6C7B2" w14:textId="68825A58" w:rsidR="00F50E3F" w:rsidRDefault="00BB6015" w:rsidP="006B009A">
      <w:pPr>
        <w:keepNext/>
        <w:keepLines/>
        <w:rPr>
          <w:rtl/>
          <w:lang w:bidi="ar-EG"/>
        </w:rPr>
      </w:pPr>
      <w:r>
        <w:rPr>
          <w:rFonts w:hint="cs"/>
          <w:rtl/>
          <w:lang w:bidi="ar-EG"/>
        </w:rPr>
        <w:lastRenderedPageBreak/>
        <w:t xml:space="preserve">تهدف مؤسسة </w:t>
      </w:r>
      <w:r w:rsidRPr="00BB6015">
        <w:rPr>
          <w:lang w:bidi="ar-EG"/>
        </w:rPr>
        <w:t>Feynman</w:t>
      </w:r>
      <w:r>
        <w:rPr>
          <w:rFonts w:hint="cs"/>
          <w:rtl/>
          <w:lang w:bidi="ar-EG"/>
        </w:rPr>
        <w:t xml:space="preserve">، الكائن مقرها ببلجيكا، إلى تعزيز العلوم والتكنولوجيات الكمومية (بما في ذلك الحواسيب والاتصالات وأجهزة الاستشعار الكمومية) في بلجيكا أو خارجها، كسلعة </w:t>
      </w:r>
      <w:r w:rsidR="00430BFB">
        <w:rPr>
          <w:rFonts w:hint="cs"/>
          <w:rtl/>
          <w:lang w:bidi="ar-EG"/>
        </w:rPr>
        <w:t xml:space="preserve">على المستوى الفردي والمؤسسي والوطني والإقليمي والدولي. وتقدم المؤسسة الدعم من خلال تقديم المساعدة المالية وإتاحة شفرات مفتوحة المصدر قائمة على العلوم المفتوحة وغير مقيدة بالبرمجيات، فضلاً عن العتاد المفتوح استناداً إلى الركائز التالية: النفاذ المجاني إلى </w:t>
      </w:r>
      <w:r w:rsidR="00DA1C6C">
        <w:rPr>
          <w:rFonts w:hint="cs"/>
          <w:rtl/>
          <w:lang w:bidi="ar-EG"/>
        </w:rPr>
        <w:t>المعارف العلمية و/أو التكنولوجية؛ البنية التحتية العلمية و/أو التكنولوجية المفتوحة</w:t>
      </w:r>
      <w:r w:rsidR="00B479D7">
        <w:rPr>
          <w:rFonts w:hint="cs"/>
          <w:rtl/>
          <w:lang w:bidi="ar-EG"/>
        </w:rPr>
        <w:t xml:space="preserve">؛ الاتصالات العلمية و/أو التكنولوجية المفتوحة؛ </w:t>
      </w:r>
      <w:r w:rsidR="00F718C1">
        <w:rPr>
          <w:rFonts w:hint="cs"/>
          <w:rtl/>
          <w:lang w:bidi="ar-EG"/>
        </w:rPr>
        <w:t>المشاركة المفتوحة لأصحاب المصلحة من المجتمع؛ الحوار المفتوح مع الأنظمة المعرفية الأخرى. وترى الأمانة أن هذا الكيان لا يستوفي المعايير التي وضعها المجلس للإعفاء من رسوم العضوية لأنه ليس منظمة قائمة على العضوية.</w:t>
      </w:r>
    </w:p>
    <w:p w14:paraId="7EB4E08F" w14:textId="4D1B6141" w:rsidR="00B3213F" w:rsidRDefault="00B3213F" w:rsidP="00B3213F">
      <w:pPr>
        <w:tabs>
          <w:tab w:val="left" w:pos="464"/>
        </w:tabs>
        <w:spacing w:after="120" w:line="240" w:lineRule="auto"/>
        <w:rPr>
          <w:lang w:bidi="ar-EG"/>
        </w:rPr>
      </w:pPr>
      <w:r>
        <w:rPr>
          <w:lang w:bidi="ar-EG"/>
        </w:rPr>
        <w:t>5.2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12"/>
        <w:gridCol w:w="2835"/>
        <w:gridCol w:w="2268"/>
      </w:tblGrid>
      <w:tr w:rsidR="00B3213F" w:rsidRPr="00AC3CAD" w14:paraId="0EB9A488" w14:textId="77777777" w:rsidTr="00AC3CAD">
        <w:trPr>
          <w:cantSplit/>
          <w:jc w:val="center"/>
        </w:trPr>
        <w:tc>
          <w:tcPr>
            <w:tcW w:w="4112" w:type="dxa"/>
          </w:tcPr>
          <w:p w14:paraId="7C17CE4C" w14:textId="77777777" w:rsidR="00B3213F" w:rsidRPr="00AC3CAD" w:rsidRDefault="00B3213F" w:rsidP="004776F1">
            <w:pPr>
              <w:pStyle w:val="TableHead0"/>
              <w:keepLines/>
              <w:bidi/>
              <w:spacing w:beforeLines="60" w:before="144" w:after="60" w:line="260" w:lineRule="exact"/>
              <w:rPr>
                <w:rFonts w:ascii="Dubai" w:hAnsi="Dubai" w:cs="Dubai"/>
                <w:b w:val="0"/>
                <w:bCs/>
                <w:sz w:val="20"/>
                <w:lang w:val="en-US"/>
              </w:rPr>
            </w:pPr>
            <w:r w:rsidRPr="00AC3CAD">
              <w:rPr>
                <w:rFonts w:ascii="Dubai" w:hAnsi="Dubai" w:cs="Dubai"/>
                <w:b w:val="0"/>
                <w:bCs/>
                <w:sz w:val="20"/>
                <w:rtl/>
                <w:lang w:val="en-US"/>
              </w:rPr>
              <w:t>المنظمة</w:t>
            </w:r>
          </w:p>
        </w:tc>
        <w:tc>
          <w:tcPr>
            <w:tcW w:w="2835" w:type="dxa"/>
          </w:tcPr>
          <w:p w14:paraId="38523FA8" w14:textId="77777777" w:rsidR="00B3213F" w:rsidRPr="00AC3CAD" w:rsidRDefault="00B3213F" w:rsidP="004776F1">
            <w:pPr>
              <w:pStyle w:val="TableHead0"/>
              <w:keepLines/>
              <w:bidi/>
              <w:spacing w:beforeLines="60" w:before="144" w:after="60" w:line="260" w:lineRule="exact"/>
              <w:rPr>
                <w:rFonts w:ascii="Dubai" w:hAnsi="Dubai" w:cs="Dubai"/>
                <w:b w:val="0"/>
                <w:bCs/>
                <w:sz w:val="20"/>
                <w:lang w:val="en-US"/>
              </w:rPr>
            </w:pPr>
            <w:r w:rsidRPr="00AC3CAD">
              <w:rPr>
                <w:rFonts w:ascii="Dubai" w:hAnsi="Dubai" w:cs="Dubai"/>
                <w:b w:val="0"/>
                <w:bCs/>
                <w:sz w:val="20"/>
                <w:rtl/>
                <w:lang w:val="en-US"/>
              </w:rPr>
              <w:t>القطاع</w:t>
            </w:r>
          </w:p>
        </w:tc>
        <w:tc>
          <w:tcPr>
            <w:tcW w:w="2268" w:type="dxa"/>
          </w:tcPr>
          <w:p w14:paraId="4660E839" w14:textId="6BD0D91A" w:rsidR="00B3213F" w:rsidRPr="00AC3CAD" w:rsidRDefault="00B3213F" w:rsidP="004776F1">
            <w:pPr>
              <w:pStyle w:val="TableHead0"/>
              <w:keepLines/>
              <w:bidi/>
              <w:spacing w:beforeLines="60" w:before="144" w:after="60" w:line="260" w:lineRule="exact"/>
              <w:rPr>
                <w:rFonts w:ascii="Dubai" w:hAnsi="Dubai" w:cs="Dubai"/>
                <w:b w:val="0"/>
                <w:bCs/>
                <w:sz w:val="20"/>
                <w:lang w:val="en-US"/>
              </w:rPr>
            </w:pPr>
            <w:r w:rsidRPr="00AC3CAD">
              <w:rPr>
                <w:rFonts w:ascii="Dubai" w:hAnsi="Dubai" w:cs="Dubai"/>
                <w:b w:val="0"/>
                <w:bCs/>
                <w:sz w:val="20"/>
                <w:rtl/>
                <w:lang w:val="en-US"/>
              </w:rPr>
              <w:t>التوصية</w:t>
            </w:r>
          </w:p>
        </w:tc>
      </w:tr>
      <w:tr w:rsidR="00B3213F" w:rsidRPr="00AC3CAD" w14:paraId="0C9C9385" w14:textId="77777777" w:rsidTr="00AC3CAD">
        <w:trPr>
          <w:cantSplit/>
          <w:trHeight w:val="1318"/>
          <w:jc w:val="center"/>
        </w:trPr>
        <w:tc>
          <w:tcPr>
            <w:tcW w:w="4112" w:type="dxa"/>
            <w:vAlign w:val="center"/>
          </w:tcPr>
          <w:p w14:paraId="02E9B660" w14:textId="1DC91CCF" w:rsidR="00B3213F" w:rsidRPr="00AC3CAD" w:rsidRDefault="00F718C1" w:rsidP="004776F1">
            <w:pPr>
              <w:pStyle w:val="TableText"/>
              <w:keepNext/>
              <w:keepLines/>
              <w:bidi/>
              <w:spacing w:beforeLines="60" w:before="144" w:after="60" w:line="260" w:lineRule="exact"/>
              <w:rPr>
                <w:rFonts w:ascii="Dubai" w:hAnsi="Dubai" w:cs="Dubai"/>
                <w:b/>
                <w:iCs/>
                <w:sz w:val="20"/>
                <w:lang w:val="en-US"/>
              </w:rPr>
            </w:pPr>
            <w:r w:rsidRPr="00AC3CAD">
              <w:rPr>
                <w:rFonts w:ascii="Dubai" w:hAnsi="Dubai" w:cs="Dubai" w:hint="cs"/>
                <w:bCs/>
                <w:i/>
                <w:sz w:val="20"/>
                <w:rtl/>
                <w:lang w:val="es-ES_tradnl"/>
              </w:rPr>
              <w:t>المنظمة الليبية لتقنية المعلومات والاتصالات</w:t>
            </w:r>
          </w:p>
        </w:tc>
        <w:tc>
          <w:tcPr>
            <w:tcW w:w="2835" w:type="dxa"/>
            <w:vAlign w:val="center"/>
          </w:tcPr>
          <w:p w14:paraId="5B06207E" w14:textId="1A425ECF" w:rsidR="00B3213F" w:rsidRPr="00E33C4A" w:rsidRDefault="002C18CE" w:rsidP="00EF776D">
            <w:pPr>
              <w:pStyle w:val="TableText"/>
              <w:keepNext/>
              <w:keepLines/>
              <w:bidi/>
              <w:spacing w:beforeLines="60" w:before="144" w:after="60" w:line="260" w:lineRule="exact"/>
              <w:jc w:val="center"/>
              <w:rPr>
                <w:rFonts w:ascii="Dubai" w:hAnsi="Dubai" w:cs="Dubai"/>
                <w:sz w:val="20"/>
                <w:lang w:val="en-US" w:bidi="ar-EG"/>
              </w:rPr>
            </w:pPr>
            <w:r w:rsidRPr="00AC3CAD">
              <w:rPr>
                <w:rFonts w:ascii="Dubai" w:hAnsi="Dubai" w:cs="Dubai"/>
                <w:sz w:val="20"/>
                <w:rtl/>
                <w:lang w:val="fr-CH" w:bidi="ar-EG"/>
              </w:rPr>
              <w:t>قطاع تنمية الاتصالات بالاتحاد</w:t>
            </w:r>
            <w:r w:rsidRPr="00AC3CAD">
              <w:rPr>
                <w:rFonts w:ascii="Dubai" w:hAnsi="Dubai" w:cs="Dubai"/>
                <w:sz w:val="20"/>
                <w:rtl/>
                <w:lang w:val="fr-CH" w:bidi="ar-EG"/>
              </w:rPr>
              <w:br/>
            </w:r>
            <w:r w:rsidRPr="00E33C4A">
              <w:rPr>
                <w:rFonts w:ascii="Dubai" w:hAnsi="Dubai" w:cs="Dubai"/>
                <w:sz w:val="20"/>
                <w:lang w:val="en-US" w:bidi="ar-EG"/>
              </w:rPr>
              <w:t>(ITU-D)</w:t>
            </w:r>
          </w:p>
        </w:tc>
        <w:tc>
          <w:tcPr>
            <w:tcW w:w="2268" w:type="dxa"/>
            <w:vAlign w:val="center"/>
          </w:tcPr>
          <w:p w14:paraId="151974A5" w14:textId="77777777" w:rsidR="00B3213F" w:rsidRPr="00AC3CAD" w:rsidRDefault="00B3213F" w:rsidP="004776F1">
            <w:pPr>
              <w:pStyle w:val="TableText"/>
              <w:keepNext/>
              <w:keepLines/>
              <w:bidi/>
              <w:spacing w:beforeLines="60" w:before="144" w:after="60" w:line="260" w:lineRule="exact"/>
              <w:jc w:val="center"/>
              <w:rPr>
                <w:rFonts w:ascii="Dubai" w:hAnsi="Dubai" w:cs="Dubai"/>
                <w:color w:val="000000" w:themeColor="text1"/>
                <w:sz w:val="20"/>
                <w:lang w:val="en-US"/>
              </w:rPr>
            </w:pPr>
            <w:r w:rsidRPr="00AC3CAD">
              <w:rPr>
                <w:rFonts w:ascii="Dubai" w:hAnsi="Dubai" w:cs="Dubai" w:hint="cs"/>
                <w:sz w:val="20"/>
                <w:rtl/>
                <w:lang w:bidi="ar-EG"/>
              </w:rPr>
              <w:t>لا</w:t>
            </w:r>
          </w:p>
        </w:tc>
      </w:tr>
    </w:tbl>
    <w:p w14:paraId="6DD403EB" w14:textId="19021F5F" w:rsidR="00B3213F" w:rsidRDefault="00F718C1" w:rsidP="00993291">
      <w:pPr>
        <w:spacing w:before="240"/>
        <w:rPr>
          <w:lang w:bidi="ar-EG"/>
        </w:rPr>
      </w:pPr>
      <w:r w:rsidRPr="00F718C1">
        <w:rPr>
          <w:rtl/>
          <w:lang w:bidi="ar-EG"/>
        </w:rPr>
        <w:t>المنظمة الليبية لت</w:t>
      </w:r>
      <w:r>
        <w:rPr>
          <w:rFonts w:hint="cs"/>
          <w:rtl/>
          <w:lang w:bidi="ar-EG"/>
        </w:rPr>
        <w:t>قنية</w:t>
      </w:r>
      <w:r w:rsidRPr="00F718C1">
        <w:rPr>
          <w:rtl/>
          <w:lang w:bidi="ar-EG"/>
        </w:rPr>
        <w:t xml:space="preserve"> المعلومات والاتصالات</w:t>
      </w:r>
      <w:r>
        <w:rPr>
          <w:rFonts w:hint="cs"/>
          <w:rtl/>
          <w:lang w:bidi="ar-EG"/>
        </w:rPr>
        <w:t xml:space="preserve"> هي منظمة من منظمات المجتمع المدني غير الهادفة إلى الربح تقع في ليبيا وتربط بين جميع أصحاب المصلحة في المجتمع، بما يشمل </w:t>
      </w:r>
      <w:r w:rsidR="00B5081E">
        <w:rPr>
          <w:rFonts w:hint="cs"/>
          <w:rtl/>
        </w:rPr>
        <w:t xml:space="preserve">السكان </w:t>
      </w:r>
      <w:r w:rsidR="0025795C">
        <w:rPr>
          <w:rFonts w:hint="cs"/>
          <w:rtl/>
          <w:lang w:bidi="ar-EG"/>
        </w:rPr>
        <w:t>والشركات والحكومات المحلية والوزارات</w:t>
      </w:r>
      <w:r w:rsidR="00B3213F">
        <w:rPr>
          <w:rFonts w:hint="cs"/>
          <w:rtl/>
          <w:lang w:bidi="ar-EG"/>
        </w:rPr>
        <w:t xml:space="preserve">. </w:t>
      </w:r>
      <w:r w:rsidR="0025795C">
        <w:rPr>
          <w:rFonts w:hint="cs"/>
          <w:rtl/>
          <w:lang w:bidi="ar-EG"/>
        </w:rPr>
        <w:t>وترى الأمانة أن هذا الكيان لا يستوفي المعايير التي وضعها المجلس للإعفاء من رسوم العضوية لأنه كيان وطني.</w:t>
      </w:r>
    </w:p>
    <w:p w14:paraId="0F238256" w14:textId="6C7A5C14" w:rsidR="00B3213F" w:rsidRDefault="00B3213F" w:rsidP="00B3213F">
      <w:pPr>
        <w:tabs>
          <w:tab w:val="left" w:pos="464"/>
        </w:tabs>
        <w:spacing w:after="120" w:line="240" w:lineRule="auto"/>
        <w:rPr>
          <w:lang w:bidi="ar-EG"/>
        </w:rPr>
      </w:pPr>
      <w:r>
        <w:rPr>
          <w:lang w:bidi="ar-EG"/>
        </w:rPr>
        <w:t>6.2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28"/>
        <w:gridCol w:w="2835"/>
        <w:gridCol w:w="2552"/>
      </w:tblGrid>
      <w:tr w:rsidR="00B3213F" w:rsidRPr="00CA1433" w14:paraId="7397BD54" w14:textId="77777777" w:rsidTr="00CA1433">
        <w:trPr>
          <w:cantSplit/>
          <w:jc w:val="center"/>
        </w:trPr>
        <w:tc>
          <w:tcPr>
            <w:tcW w:w="3828" w:type="dxa"/>
          </w:tcPr>
          <w:p w14:paraId="604BC434" w14:textId="77777777" w:rsidR="00B3213F" w:rsidRPr="00CA1433" w:rsidRDefault="00B3213F" w:rsidP="004776F1">
            <w:pPr>
              <w:pStyle w:val="TableHead0"/>
              <w:keepLines/>
              <w:bidi/>
              <w:spacing w:beforeLines="60" w:before="144" w:after="60" w:line="260" w:lineRule="exact"/>
              <w:rPr>
                <w:rFonts w:ascii="Dubai" w:hAnsi="Dubai" w:cs="Dubai"/>
                <w:b w:val="0"/>
                <w:bCs/>
                <w:sz w:val="20"/>
                <w:lang w:val="en-US"/>
              </w:rPr>
            </w:pPr>
            <w:r w:rsidRPr="00CA1433">
              <w:rPr>
                <w:rFonts w:ascii="Dubai" w:hAnsi="Dubai" w:cs="Dubai"/>
                <w:b w:val="0"/>
                <w:bCs/>
                <w:sz w:val="20"/>
                <w:rtl/>
                <w:lang w:val="en-US"/>
              </w:rPr>
              <w:t>المنظمة</w:t>
            </w:r>
          </w:p>
        </w:tc>
        <w:tc>
          <w:tcPr>
            <w:tcW w:w="2835" w:type="dxa"/>
          </w:tcPr>
          <w:p w14:paraId="55B2EA1D" w14:textId="77777777" w:rsidR="00B3213F" w:rsidRPr="00CA1433" w:rsidRDefault="00B3213F" w:rsidP="004776F1">
            <w:pPr>
              <w:pStyle w:val="TableHead0"/>
              <w:keepLines/>
              <w:bidi/>
              <w:spacing w:beforeLines="60" w:before="144" w:after="60" w:line="260" w:lineRule="exact"/>
              <w:rPr>
                <w:rFonts w:ascii="Dubai" w:hAnsi="Dubai" w:cs="Dubai"/>
                <w:b w:val="0"/>
                <w:bCs/>
                <w:sz w:val="20"/>
                <w:lang w:val="en-US"/>
              </w:rPr>
            </w:pPr>
            <w:r w:rsidRPr="00CA1433">
              <w:rPr>
                <w:rFonts w:ascii="Dubai" w:hAnsi="Dubai" w:cs="Dubai"/>
                <w:b w:val="0"/>
                <w:bCs/>
                <w:sz w:val="20"/>
                <w:rtl/>
                <w:lang w:val="en-US"/>
              </w:rPr>
              <w:t>القطاع</w:t>
            </w:r>
          </w:p>
        </w:tc>
        <w:tc>
          <w:tcPr>
            <w:tcW w:w="2552" w:type="dxa"/>
          </w:tcPr>
          <w:p w14:paraId="4BCC319A" w14:textId="2D3C2534" w:rsidR="00B3213F" w:rsidRPr="00CA1433" w:rsidRDefault="00B3213F" w:rsidP="004776F1">
            <w:pPr>
              <w:pStyle w:val="TableHead0"/>
              <w:keepLines/>
              <w:bidi/>
              <w:spacing w:beforeLines="60" w:before="144" w:after="60" w:line="260" w:lineRule="exact"/>
              <w:rPr>
                <w:rFonts w:ascii="Dubai" w:hAnsi="Dubai" w:cs="Dubai"/>
                <w:b w:val="0"/>
                <w:bCs/>
                <w:sz w:val="20"/>
                <w:lang w:val="en-US"/>
              </w:rPr>
            </w:pPr>
            <w:r w:rsidRPr="00CA1433">
              <w:rPr>
                <w:rFonts w:ascii="Dubai" w:hAnsi="Dubai" w:cs="Dubai"/>
                <w:b w:val="0"/>
                <w:bCs/>
                <w:sz w:val="20"/>
                <w:rtl/>
                <w:lang w:val="en-US"/>
              </w:rPr>
              <w:t>التوصية</w:t>
            </w:r>
          </w:p>
        </w:tc>
      </w:tr>
      <w:tr w:rsidR="00B3213F" w:rsidRPr="00CA1433" w14:paraId="02574658" w14:textId="77777777" w:rsidTr="00CA1433">
        <w:trPr>
          <w:cantSplit/>
          <w:trHeight w:val="1318"/>
          <w:jc w:val="center"/>
        </w:trPr>
        <w:tc>
          <w:tcPr>
            <w:tcW w:w="3828" w:type="dxa"/>
            <w:vAlign w:val="center"/>
          </w:tcPr>
          <w:p w14:paraId="1F473E4C" w14:textId="4E456B4E" w:rsidR="00B3213F" w:rsidRPr="00CA1433" w:rsidRDefault="00B5081E" w:rsidP="004776F1">
            <w:pPr>
              <w:pStyle w:val="TableText"/>
              <w:keepNext/>
              <w:keepLines/>
              <w:bidi/>
              <w:spacing w:beforeLines="60" w:before="144" w:after="60" w:line="260" w:lineRule="exact"/>
              <w:rPr>
                <w:rFonts w:ascii="Dubai" w:hAnsi="Dubai" w:cs="Dubai"/>
                <w:b/>
                <w:iCs/>
                <w:sz w:val="20"/>
                <w:lang w:val="en-US"/>
              </w:rPr>
            </w:pPr>
            <w:r w:rsidRPr="00CA1433">
              <w:rPr>
                <w:rFonts w:ascii="Dubai" w:hAnsi="Dubai" w:cs="Dubai" w:hint="cs"/>
                <w:bCs/>
                <w:i/>
                <w:sz w:val="20"/>
                <w:rtl/>
                <w:lang w:val="es-ES_tradnl"/>
              </w:rPr>
              <w:t xml:space="preserve">الاتحاد العالمي </w:t>
            </w:r>
            <w:r w:rsidR="001615AD" w:rsidRPr="00CA1433">
              <w:rPr>
                <w:rFonts w:ascii="Dubai" w:hAnsi="Dubai" w:cs="Dubai" w:hint="cs"/>
                <w:bCs/>
                <w:i/>
                <w:sz w:val="20"/>
                <w:rtl/>
                <w:lang w:val="es-ES_tradnl"/>
              </w:rPr>
              <w:t>ل</w:t>
            </w:r>
            <w:r w:rsidRPr="00CA1433">
              <w:rPr>
                <w:rFonts w:ascii="Dubai" w:hAnsi="Dubai" w:cs="Dubai" w:hint="cs"/>
                <w:bCs/>
                <w:i/>
                <w:sz w:val="20"/>
                <w:rtl/>
                <w:lang w:val="es-ES_tradnl"/>
              </w:rPr>
              <w:t>لمنظمات الهندس</w:t>
            </w:r>
            <w:r w:rsidR="001615AD" w:rsidRPr="00CA1433">
              <w:rPr>
                <w:rFonts w:ascii="Dubai" w:hAnsi="Dubai" w:cs="Dubai" w:hint="cs"/>
                <w:bCs/>
                <w:i/>
                <w:sz w:val="20"/>
                <w:rtl/>
                <w:lang w:val="es-ES_tradnl"/>
              </w:rPr>
              <w:t>ي</w:t>
            </w:r>
            <w:r w:rsidRPr="00CA1433">
              <w:rPr>
                <w:rFonts w:ascii="Dubai" w:hAnsi="Dubai" w:cs="Dubai" w:hint="cs"/>
                <w:bCs/>
                <w:i/>
                <w:sz w:val="20"/>
                <w:rtl/>
                <w:lang w:val="es-ES_tradnl"/>
              </w:rPr>
              <w:t>ة</w:t>
            </w:r>
            <w:r w:rsidRPr="00CA1433">
              <w:rPr>
                <w:rFonts w:ascii="Dubai" w:hAnsi="Dubai" w:cs="Dubai" w:hint="cs"/>
                <w:b/>
                <w:iCs/>
                <w:sz w:val="20"/>
                <w:rtl/>
                <w:lang w:val="es-ES_tradnl"/>
              </w:rPr>
              <w:t xml:space="preserve"> </w:t>
            </w:r>
            <w:r w:rsidRPr="00E33C4A">
              <w:rPr>
                <w:rFonts w:ascii="Dubai" w:hAnsi="Dubai" w:cs="Dubai"/>
                <w:b/>
                <w:iCs/>
                <w:sz w:val="20"/>
                <w:lang w:val="en-US"/>
              </w:rPr>
              <w:t>(WFEO)</w:t>
            </w:r>
          </w:p>
        </w:tc>
        <w:tc>
          <w:tcPr>
            <w:tcW w:w="2835" w:type="dxa"/>
            <w:vAlign w:val="center"/>
          </w:tcPr>
          <w:p w14:paraId="70AA6F7A" w14:textId="77777777" w:rsidR="002F36A9" w:rsidRPr="00CA1433" w:rsidRDefault="002F36A9" w:rsidP="002F36A9">
            <w:pPr>
              <w:pStyle w:val="Tabletexte"/>
              <w:keepNext/>
              <w:jc w:val="center"/>
            </w:pPr>
            <w:r w:rsidRPr="00CA1433">
              <w:rPr>
                <w:rtl/>
                <w:lang w:val="fr-CH"/>
              </w:rPr>
              <w:t xml:space="preserve">قطاع الاتصالات الراديوية بالاتحاد </w:t>
            </w:r>
            <w:r w:rsidRPr="00CA1433">
              <w:br/>
              <w:t>(ITU-R)</w:t>
            </w:r>
          </w:p>
          <w:p w14:paraId="731592F0" w14:textId="77777777" w:rsidR="002F36A9" w:rsidRPr="00E33C4A" w:rsidRDefault="002F36A9" w:rsidP="002F36A9">
            <w:pPr>
              <w:pStyle w:val="TableText"/>
              <w:keepNext/>
              <w:keepLines/>
              <w:bidi/>
              <w:spacing w:beforeLines="60" w:before="144" w:after="60" w:line="260" w:lineRule="exact"/>
              <w:jc w:val="center"/>
              <w:rPr>
                <w:rFonts w:ascii="Dubai" w:hAnsi="Dubai" w:cs="Dubai"/>
                <w:sz w:val="20"/>
                <w:lang w:val="en-US" w:bidi="ar-EG"/>
              </w:rPr>
            </w:pPr>
            <w:r w:rsidRPr="00CA1433">
              <w:rPr>
                <w:rFonts w:ascii="Dubai" w:hAnsi="Dubai" w:cs="Dubai"/>
                <w:sz w:val="20"/>
                <w:rtl/>
                <w:lang w:val="fr-CH" w:bidi="ar-EG"/>
              </w:rPr>
              <w:t>قطاع تقييس الاتصالات بالاتحاد</w:t>
            </w:r>
            <w:r w:rsidRPr="00CA1433">
              <w:rPr>
                <w:rFonts w:ascii="Dubai" w:hAnsi="Dubai" w:cs="Dubai"/>
                <w:sz w:val="20"/>
                <w:rtl/>
                <w:lang w:val="fr-CH" w:bidi="ar-EG"/>
              </w:rPr>
              <w:br/>
            </w:r>
            <w:r w:rsidRPr="00E33C4A">
              <w:rPr>
                <w:rFonts w:ascii="Dubai" w:hAnsi="Dubai" w:cs="Dubai"/>
                <w:sz w:val="20"/>
                <w:lang w:val="en-US" w:bidi="ar-EG"/>
              </w:rPr>
              <w:t>(ITU-T)</w:t>
            </w:r>
          </w:p>
          <w:p w14:paraId="0B2DA9FA" w14:textId="328C322A" w:rsidR="00EF776D" w:rsidRPr="00E33C4A" w:rsidRDefault="00EF776D" w:rsidP="002F36A9">
            <w:pPr>
              <w:pStyle w:val="TableText"/>
              <w:keepNext/>
              <w:keepLines/>
              <w:bidi/>
              <w:spacing w:beforeLines="60" w:before="144" w:after="60" w:line="260" w:lineRule="exact"/>
              <w:jc w:val="center"/>
              <w:rPr>
                <w:rFonts w:ascii="Dubai" w:hAnsi="Dubai" w:cs="Dubai"/>
                <w:sz w:val="20"/>
                <w:lang w:val="en-US" w:bidi="ar-EG"/>
              </w:rPr>
            </w:pPr>
            <w:r w:rsidRPr="00CA1433">
              <w:rPr>
                <w:rFonts w:ascii="Dubai" w:hAnsi="Dubai" w:cs="Dubai"/>
                <w:sz w:val="20"/>
                <w:rtl/>
                <w:lang w:val="fr-CH" w:bidi="ar-EG"/>
              </w:rPr>
              <w:t>قطاع تنمية الاتصالات بالاتحاد</w:t>
            </w:r>
            <w:r w:rsidRPr="00CA1433">
              <w:rPr>
                <w:rFonts w:ascii="Dubai" w:hAnsi="Dubai" w:cs="Dubai"/>
                <w:sz w:val="20"/>
                <w:rtl/>
                <w:lang w:val="fr-CH" w:bidi="ar-EG"/>
              </w:rPr>
              <w:br/>
            </w:r>
            <w:r w:rsidRPr="00E33C4A">
              <w:rPr>
                <w:rFonts w:ascii="Dubai" w:hAnsi="Dubai" w:cs="Dubai"/>
                <w:sz w:val="20"/>
                <w:lang w:val="en-US" w:bidi="ar-EG"/>
              </w:rPr>
              <w:t>(ITU-D)</w:t>
            </w:r>
          </w:p>
        </w:tc>
        <w:tc>
          <w:tcPr>
            <w:tcW w:w="2552" w:type="dxa"/>
            <w:vAlign w:val="center"/>
          </w:tcPr>
          <w:p w14:paraId="4714789A" w14:textId="3E2370E7" w:rsidR="00B3213F" w:rsidRPr="00CA1433" w:rsidRDefault="00B3213F" w:rsidP="004776F1">
            <w:pPr>
              <w:pStyle w:val="TableText"/>
              <w:keepNext/>
              <w:keepLines/>
              <w:bidi/>
              <w:spacing w:beforeLines="60" w:before="144" w:after="60" w:line="260" w:lineRule="exact"/>
              <w:jc w:val="center"/>
              <w:rPr>
                <w:rFonts w:ascii="Dubai" w:hAnsi="Dubai" w:cs="Dubai"/>
                <w:sz w:val="20"/>
                <w:lang w:bidi="ar-EG"/>
              </w:rPr>
            </w:pPr>
            <w:r w:rsidRPr="00CA1433">
              <w:rPr>
                <w:rFonts w:ascii="Dubai" w:hAnsi="Dubai" w:cs="Dubai" w:hint="cs"/>
                <w:sz w:val="20"/>
                <w:rtl/>
                <w:lang w:bidi="ar-EG"/>
              </w:rPr>
              <w:t>لا</w:t>
            </w:r>
            <w:r w:rsidR="00CA1433">
              <w:rPr>
                <w:rFonts w:ascii="Dubai" w:hAnsi="Dubai" w:cs="Dubai"/>
                <w:sz w:val="20"/>
                <w:rtl/>
                <w:lang w:bidi="ar-EG"/>
              </w:rPr>
              <w:br/>
            </w:r>
          </w:p>
          <w:p w14:paraId="21BA5F4C" w14:textId="70AF2488" w:rsidR="002F36A9" w:rsidRPr="00CA1433" w:rsidRDefault="002F36A9" w:rsidP="002F36A9">
            <w:pPr>
              <w:pStyle w:val="TableText"/>
              <w:keepNext/>
              <w:keepLines/>
              <w:bidi/>
              <w:spacing w:beforeLines="60" w:before="144" w:after="60" w:line="260" w:lineRule="exact"/>
              <w:jc w:val="center"/>
              <w:rPr>
                <w:rFonts w:ascii="Dubai" w:hAnsi="Dubai" w:cs="Dubai"/>
                <w:sz w:val="20"/>
                <w:rtl/>
                <w:lang w:bidi="ar-EG"/>
              </w:rPr>
            </w:pPr>
            <w:r w:rsidRPr="00CA1433">
              <w:rPr>
                <w:rFonts w:ascii="Dubai" w:hAnsi="Dubai" w:cs="Dubai" w:hint="cs"/>
                <w:sz w:val="20"/>
                <w:rtl/>
                <w:lang w:bidi="ar-EG"/>
              </w:rPr>
              <w:t>نعم</w:t>
            </w:r>
            <w:r w:rsidR="00CA1433">
              <w:rPr>
                <w:rFonts w:ascii="Dubai" w:hAnsi="Dubai" w:cs="Dubai"/>
                <w:sz w:val="20"/>
                <w:rtl/>
                <w:lang w:bidi="ar-EG"/>
              </w:rPr>
              <w:br/>
            </w:r>
          </w:p>
          <w:p w14:paraId="71DE906B" w14:textId="273F8263" w:rsidR="002F36A9" w:rsidRPr="00CA1433" w:rsidRDefault="002F36A9" w:rsidP="002F36A9">
            <w:pPr>
              <w:pStyle w:val="TableText"/>
              <w:keepNext/>
              <w:keepLines/>
              <w:bidi/>
              <w:spacing w:beforeLines="60" w:before="144" w:after="60" w:line="260" w:lineRule="exact"/>
              <w:jc w:val="center"/>
              <w:rPr>
                <w:rFonts w:ascii="Dubai" w:hAnsi="Dubai" w:cs="Dubai"/>
                <w:color w:val="000000" w:themeColor="text1"/>
                <w:sz w:val="20"/>
                <w:rtl/>
                <w:lang w:val="en-US"/>
              </w:rPr>
            </w:pPr>
            <w:r w:rsidRPr="00CA1433">
              <w:rPr>
                <w:rFonts w:ascii="Dubai" w:hAnsi="Dubai" w:cs="Dubai" w:hint="cs"/>
                <w:sz w:val="20"/>
                <w:rtl/>
                <w:lang w:bidi="ar-EG"/>
              </w:rPr>
              <w:t>نعم</w:t>
            </w:r>
          </w:p>
        </w:tc>
      </w:tr>
    </w:tbl>
    <w:p w14:paraId="69325FFA" w14:textId="5B551B51" w:rsidR="00B3213F" w:rsidRDefault="00B5081E" w:rsidP="00993291">
      <w:pPr>
        <w:spacing w:before="240"/>
        <w:rPr>
          <w:rtl/>
          <w:lang w:bidi="ar-EG"/>
        </w:rPr>
      </w:pPr>
      <w:r w:rsidRPr="00B5081E">
        <w:rPr>
          <w:rtl/>
          <w:lang w:bidi="ar-EG"/>
        </w:rPr>
        <w:t>الاتحاد العالمي ل</w:t>
      </w:r>
      <w:r w:rsidR="006C4D83">
        <w:rPr>
          <w:rFonts w:hint="cs"/>
          <w:rtl/>
          <w:lang w:bidi="ar-EG"/>
        </w:rPr>
        <w:t>ل</w:t>
      </w:r>
      <w:r w:rsidRPr="00B5081E">
        <w:rPr>
          <w:rtl/>
          <w:lang w:bidi="ar-EG"/>
        </w:rPr>
        <w:t>منظمات الهندس</w:t>
      </w:r>
      <w:r w:rsidR="006C4D83">
        <w:rPr>
          <w:rFonts w:hint="cs"/>
          <w:rtl/>
          <w:lang w:bidi="ar-EG"/>
        </w:rPr>
        <w:t>ي</w:t>
      </w:r>
      <w:r w:rsidRPr="00B5081E">
        <w:rPr>
          <w:rtl/>
          <w:lang w:bidi="ar-EG"/>
        </w:rPr>
        <w:t>ة (</w:t>
      </w:r>
      <w:r w:rsidRPr="00B5081E">
        <w:rPr>
          <w:lang w:bidi="ar-EG"/>
        </w:rPr>
        <w:t>WFEO</w:t>
      </w:r>
      <w:r w:rsidRPr="00B5081E">
        <w:rPr>
          <w:rtl/>
          <w:lang w:bidi="ar-EG"/>
        </w:rPr>
        <w:t>)</w:t>
      </w:r>
      <w:r>
        <w:rPr>
          <w:lang w:bidi="ar-EG"/>
        </w:rPr>
        <w:t xml:space="preserve"> </w:t>
      </w:r>
      <w:r>
        <w:rPr>
          <w:rFonts w:hint="cs"/>
          <w:rtl/>
        </w:rPr>
        <w:t>هو منظمة دولية غير حكومية تم تأسيسها لتوحيد</w:t>
      </w:r>
      <w:r w:rsidR="006C4D83">
        <w:rPr>
          <w:rFonts w:hint="cs"/>
          <w:rtl/>
        </w:rPr>
        <w:t xml:space="preserve"> الرابطات الهندسية المتعددة الاختصاصات في جميع أنحاء العالم. ويضم الاتحاد العالمي للمنظمات الهندسية مؤسسات هندسية وطنية من نحو 100 دولة ويمثل أكثر من 30 مليون مهندس. </w:t>
      </w:r>
      <w:r w:rsidR="003019B7">
        <w:rPr>
          <w:rFonts w:hint="cs"/>
          <w:rtl/>
        </w:rPr>
        <w:t>ونظراً إلى</w:t>
      </w:r>
      <w:r w:rsidR="006C4D83">
        <w:rPr>
          <w:rFonts w:hint="cs"/>
          <w:rtl/>
        </w:rPr>
        <w:t xml:space="preserve"> أنه منظمة دولية ذات عضوية واسعة تشمل رابطات علمية وتكنولوجية في جميع أنحاء العالم، فإن الأمانة ترى أن هذا الكيان </w:t>
      </w:r>
      <w:r w:rsidR="003019B7">
        <w:rPr>
          <w:rFonts w:hint="cs"/>
          <w:rtl/>
        </w:rPr>
        <w:t>ي</w:t>
      </w:r>
      <w:r w:rsidR="006C4D83">
        <w:rPr>
          <w:rFonts w:hint="cs"/>
          <w:rtl/>
        </w:rPr>
        <w:t>ستوفي معايير المنظمة التي وضعها المجلس للإعفاء من رسوم العضوية و</w:t>
      </w:r>
      <w:r w:rsidR="006C4D83" w:rsidRPr="00052D83">
        <w:rPr>
          <w:rFonts w:hint="cs"/>
          <w:rtl/>
          <w:lang w:bidi="ar-EG"/>
        </w:rPr>
        <w:t>مبدأ المعاملة بالمثل</w:t>
      </w:r>
      <w:r w:rsidR="006C4D83">
        <w:rPr>
          <w:rFonts w:hint="cs"/>
          <w:rtl/>
          <w:lang w:bidi="ar-EG"/>
        </w:rPr>
        <w:t xml:space="preserve"> فيما يتعلق بقطاع تقييس الاتصالات وقطاع تنمية الاتصالات. بيد أن من غير الواضح </w:t>
      </w:r>
      <w:r w:rsidR="0047348E">
        <w:rPr>
          <w:rFonts w:hint="cs"/>
          <w:rtl/>
          <w:lang w:bidi="ar-EG"/>
        </w:rPr>
        <w:t>كيف ستقدم المنظمة إلى قطاع الاتصالات الراديوية قيمة مضافة كعضو في القطاع لأنها لا توضح ما إذا كانت لديها خبرة في إدارة طيف الترددات الراديوية.</w:t>
      </w:r>
    </w:p>
    <w:p w14:paraId="30072276" w14:textId="7317AB2C" w:rsidR="00B3213F" w:rsidRDefault="00B3213F" w:rsidP="00904CDD">
      <w:pPr>
        <w:keepNext/>
        <w:keepLines/>
        <w:tabs>
          <w:tab w:val="left" w:pos="464"/>
        </w:tabs>
        <w:spacing w:after="120" w:line="240" w:lineRule="auto"/>
        <w:rPr>
          <w:lang w:bidi="ar-EG"/>
        </w:rPr>
      </w:pPr>
      <w:r>
        <w:rPr>
          <w:lang w:bidi="ar-EG"/>
        </w:rPr>
        <w:lastRenderedPageBreak/>
        <w:t>7.2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5"/>
        <w:gridCol w:w="2693"/>
        <w:gridCol w:w="2977"/>
      </w:tblGrid>
      <w:tr w:rsidR="00B3213F" w:rsidRPr="00BF72D4" w14:paraId="31B6511E" w14:textId="77777777" w:rsidTr="00BF72D4">
        <w:trPr>
          <w:cantSplit/>
          <w:jc w:val="center"/>
        </w:trPr>
        <w:tc>
          <w:tcPr>
            <w:tcW w:w="3545" w:type="dxa"/>
          </w:tcPr>
          <w:p w14:paraId="1CC1DCCA" w14:textId="77777777" w:rsidR="00B3213F" w:rsidRPr="00BF72D4" w:rsidRDefault="00B3213F" w:rsidP="004776F1">
            <w:pPr>
              <w:pStyle w:val="TableHead0"/>
              <w:keepLines/>
              <w:bidi/>
              <w:spacing w:beforeLines="60" w:before="144" w:after="60" w:line="260" w:lineRule="exact"/>
              <w:rPr>
                <w:rFonts w:ascii="Dubai" w:hAnsi="Dubai" w:cs="Dubai"/>
                <w:b w:val="0"/>
                <w:bCs/>
                <w:sz w:val="20"/>
                <w:lang w:val="en-US"/>
              </w:rPr>
            </w:pPr>
            <w:r w:rsidRPr="00BF72D4">
              <w:rPr>
                <w:rFonts w:ascii="Dubai" w:hAnsi="Dubai" w:cs="Dubai"/>
                <w:b w:val="0"/>
                <w:bCs/>
                <w:sz w:val="20"/>
                <w:rtl/>
                <w:lang w:val="en-US"/>
              </w:rPr>
              <w:t>المنظمة</w:t>
            </w:r>
          </w:p>
        </w:tc>
        <w:tc>
          <w:tcPr>
            <w:tcW w:w="2693" w:type="dxa"/>
          </w:tcPr>
          <w:p w14:paraId="543FF5A4" w14:textId="77777777" w:rsidR="00B3213F" w:rsidRPr="00BF72D4" w:rsidRDefault="00B3213F" w:rsidP="004776F1">
            <w:pPr>
              <w:pStyle w:val="TableHead0"/>
              <w:keepLines/>
              <w:bidi/>
              <w:spacing w:beforeLines="60" w:before="144" w:after="60" w:line="260" w:lineRule="exact"/>
              <w:rPr>
                <w:rFonts w:ascii="Dubai" w:hAnsi="Dubai" w:cs="Dubai"/>
                <w:b w:val="0"/>
                <w:bCs/>
                <w:sz w:val="20"/>
                <w:lang w:val="en-US"/>
              </w:rPr>
            </w:pPr>
            <w:r w:rsidRPr="00BF72D4">
              <w:rPr>
                <w:rFonts w:ascii="Dubai" w:hAnsi="Dubai" w:cs="Dubai"/>
                <w:b w:val="0"/>
                <w:bCs/>
                <w:sz w:val="20"/>
                <w:rtl/>
                <w:lang w:val="en-US"/>
              </w:rPr>
              <w:t>القطاع</w:t>
            </w:r>
          </w:p>
        </w:tc>
        <w:tc>
          <w:tcPr>
            <w:tcW w:w="2977" w:type="dxa"/>
          </w:tcPr>
          <w:p w14:paraId="34BF80A0" w14:textId="01D7B140" w:rsidR="00B3213F" w:rsidRPr="00BF72D4" w:rsidRDefault="00B3213F" w:rsidP="004776F1">
            <w:pPr>
              <w:pStyle w:val="TableHead0"/>
              <w:keepLines/>
              <w:bidi/>
              <w:spacing w:beforeLines="60" w:before="144" w:after="60" w:line="260" w:lineRule="exact"/>
              <w:rPr>
                <w:rFonts w:ascii="Dubai" w:hAnsi="Dubai" w:cs="Dubai"/>
                <w:b w:val="0"/>
                <w:bCs/>
                <w:sz w:val="20"/>
                <w:lang w:val="en-US"/>
              </w:rPr>
            </w:pPr>
            <w:r w:rsidRPr="00BF72D4">
              <w:rPr>
                <w:rFonts w:ascii="Dubai" w:hAnsi="Dubai" w:cs="Dubai"/>
                <w:b w:val="0"/>
                <w:bCs/>
                <w:sz w:val="20"/>
                <w:rtl/>
                <w:lang w:val="en-US"/>
              </w:rPr>
              <w:t>التوصية</w:t>
            </w:r>
          </w:p>
        </w:tc>
      </w:tr>
      <w:tr w:rsidR="00B3213F" w:rsidRPr="00BF72D4" w14:paraId="38774454" w14:textId="77777777" w:rsidTr="00BF72D4">
        <w:trPr>
          <w:cantSplit/>
          <w:trHeight w:val="1318"/>
          <w:jc w:val="center"/>
        </w:trPr>
        <w:tc>
          <w:tcPr>
            <w:tcW w:w="3545" w:type="dxa"/>
            <w:vAlign w:val="center"/>
          </w:tcPr>
          <w:p w14:paraId="3A52C151" w14:textId="05C173CF" w:rsidR="00B3213F" w:rsidRPr="00BF72D4" w:rsidRDefault="009B64C4" w:rsidP="004776F1">
            <w:pPr>
              <w:pStyle w:val="TableText"/>
              <w:keepNext/>
              <w:keepLines/>
              <w:bidi/>
              <w:spacing w:beforeLines="60" w:before="144" w:after="60" w:line="260" w:lineRule="exact"/>
              <w:rPr>
                <w:rFonts w:ascii="Dubai" w:hAnsi="Dubai" w:cs="Dubai"/>
                <w:b/>
                <w:i/>
                <w:sz w:val="20"/>
                <w:lang w:val="en-US"/>
              </w:rPr>
            </w:pPr>
            <w:r w:rsidRPr="00BF72D4">
              <w:rPr>
                <w:rFonts w:ascii="Dubai" w:hAnsi="Dubai" w:cs="Dubai" w:hint="cs"/>
                <w:bCs/>
                <w:i/>
                <w:sz w:val="20"/>
                <w:rtl/>
                <w:lang w:val="en-US"/>
              </w:rPr>
              <w:t>التحالف البيئي بشأن المعايير</w:t>
            </w:r>
            <w:r w:rsidRPr="00BF72D4">
              <w:rPr>
                <w:rFonts w:ascii="Dubai" w:hAnsi="Dubai" w:cs="Dubai" w:hint="cs"/>
                <w:b/>
                <w:iCs/>
                <w:sz w:val="20"/>
                <w:rtl/>
                <w:lang w:val="en-US"/>
              </w:rPr>
              <w:t xml:space="preserve"> </w:t>
            </w:r>
            <w:r w:rsidRPr="00BF72D4">
              <w:rPr>
                <w:rFonts w:ascii="Dubai" w:hAnsi="Dubai" w:cs="Dubai"/>
                <w:b/>
                <w:iCs/>
                <w:sz w:val="20"/>
                <w:lang w:val="en-US"/>
              </w:rPr>
              <w:t>(ECOS)</w:t>
            </w:r>
            <w:r w:rsidRPr="00BF72D4">
              <w:rPr>
                <w:rFonts w:ascii="Dubai" w:hAnsi="Dubai" w:cs="Dubai" w:hint="cs"/>
                <w:b/>
                <w:i/>
                <w:sz w:val="20"/>
                <w:rtl/>
                <w:lang w:val="en-US"/>
              </w:rPr>
              <w:t xml:space="preserve"> </w:t>
            </w:r>
          </w:p>
        </w:tc>
        <w:tc>
          <w:tcPr>
            <w:tcW w:w="2693" w:type="dxa"/>
            <w:vAlign w:val="center"/>
          </w:tcPr>
          <w:p w14:paraId="13CF1CF7" w14:textId="77777777" w:rsidR="00B3213F" w:rsidRPr="00BF72D4" w:rsidRDefault="00B3213F" w:rsidP="004776F1">
            <w:pPr>
              <w:pStyle w:val="TableText"/>
              <w:keepNext/>
              <w:keepLines/>
              <w:bidi/>
              <w:spacing w:beforeLines="60" w:before="144" w:after="60" w:line="260" w:lineRule="exact"/>
              <w:jc w:val="center"/>
              <w:rPr>
                <w:rFonts w:ascii="Dubai" w:hAnsi="Dubai" w:cs="Dubai"/>
                <w:sz w:val="20"/>
                <w:lang w:val="en-US"/>
              </w:rPr>
            </w:pPr>
            <w:r w:rsidRPr="00BF72D4">
              <w:rPr>
                <w:rFonts w:ascii="Dubai" w:hAnsi="Dubai" w:cs="Dubai"/>
                <w:sz w:val="20"/>
                <w:rtl/>
                <w:lang w:val="fr-CH" w:bidi="ar-EG"/>
              </w:rPr>
              <w:t>قطاع تقييس الاتصالات بالاتحاد</w:t>
            </w:r>
            <w:r w:rsidRPr="00BF72D4">
              <w:rPr>
                <w:rFonts w:ascii="Dubai" w:hAnsi="Dubai" w:cs="Dubai"/>
                <w:sz w:val="20"/>
                <w:rtl/>
                <w:lang w:val="fr-CH" w:bidi="ar-EG"/>
              </w:rPr>
              <w:br/>
            </w:r>
            <w:r w:rsidRPr="00BF72D4">
              <w:rPr>
                <w:rFonts w:ascii="Dubai" w:hAnsi="Dubai" w:cs="Dubai"/>
                <w:sz w:val="20"/>
                <w:lang w:val="en-US" w:bidi="ar-EG"/>
              </w:rPr>
              <w:t>(</w:t>
            </w:r>
            <w:r w:rsidRPr="00BF72D4">
              <w:rPr>
                <w:rFonts w:ascii="Dubai" w:hAnsi="Dubai" w:cs="Dubai"/>
                <w:sz w:val="20"/>
                <w:lang w:val="en-US"/>
              </w:rPr>
              <w:t>ITU-T)</w:t>
            </w:r>
          </w:p>
        </w:tc>
        <w:tc>
          <w:tcPr>
            <w:tcW w:w="2977" w:type="dxa"/>
            <w:vAlign w:val="center"/>
          </w:tcPr>
          <w:p w14:paraId="0B96EFB9" w14:textId="081D8640" w:rsidR="00B3213F" w:rsidRPr="00BF72D4" w:rsidRDefault="008A78B1" w:rsidP="004776F1">
            <w:pPr>
              <w:pStyle w:val="TableText"/>
              <w:keepNext/>
              <w:keepLines/>
              <w:bidi/>
              <w:spacing w:beforeLines="60" w:before="144" w:after="60" w:line="260" w:lineRule="exact"/>
              <w:jc w:val="center"/>
              <w:rPr>
                <w:rFonts w:ascii="Dubai" w:hAnsi="Dubai" w:cs="Dubai"/>
                <w:color w:val="000000" w:themeColor="text1"/>
                <w:sz w:val="20"/>
                <w:lang w:val="en-US"/>
              </w:rPr>
            </w:pPr>
            <w:r w:rsidRPr="00BF72D4">
              <w:rPr>
                <w:rFonts w:ascii="Dubai" w:hAnsi="Dubai" w:cs="Dubai" w:hint="cs"/>
                <w:sz w:val="20"/>
                <w:rtl/>
                <w:lang w:bidi="ar-EG"/>
              </w:rPr>
              <w:t>نعم</w:t>
            </w:r>
          </w:p>
        </w:tc>
      </w:tr>
    </w:tbl>
    <w:p w14:paraId="5285263A" w14:textId="59F4F17C" w:rsidR="00B3213F" w:rsidRDefault="009B64C4" w:rsidP="00993291">
      <w:pPr>
        <w:spacing w:before="240"/>
        <w:rPr>
          <w:rtl/>
          <w:lang w:bidi="ar-EG"/>
        </w:rPr>
      </w:pPr>
      <w:r>
        <w:rPr>
          <w:rFonts w:hint="cs"/>
          <w:rtl/>
          <w:lang w:bidi="ar-EG"/>
        </w:rPr>
        <w:t xml:space="preserve">تأسس التحالف البيئي بشأن المعايير </w:t>
      </w:r>
      <w:r>
        <w:rPr>
          <w:lang w:bidi="ar-EG"/>
        </w:rPr>
        <w:t>(ECOS)</w:t>
      </w:r>
      <w:r>
        <w:rPr>
          <w:rFonts w:hint="cs"/>
          <w:rtl/>
        </w:rPr>
        <w:t xml:space="preserve"> في عام 2001، وهو منظمة دولية غير حكومية تتألف من شبكة من الأعضاء والخبراء المدافعين عن المعايير </w:t>
      </w:r>
      <w:r w:rsidR="00627463">
        <w:rPr>
          <w:rFonts w:hint="cs"/>
          <w:rtl/>
        </w:rPr>
        <w:t xml:space="preserve">التقنية </w:t>
      </w:r>
      <w:r>
        <w:rPr>
          <w:rFonts w:hint="cs"/>
          <w:rtl/>
        </w:rPr>
        <w:t>والسياسات والقوانين المراعية للبيئة</w:t>
      </w:r>
      <w:r w:rsidR="00B3213F">
        <w:rPr>
          <w:rFonts w:hint="cs"/>
          <w:rtl/>
          <w:lang w:bidi="ar-EG"/>
        </w:rPr>
        <w:t>.</w:t>
      </w:r>
      <w:r>
        <w:rPr>
          <w:rFonts w:hint="cs"/>
          <w:rtl/>
          <w:lang w:bidi="ar-EG"/>
        </w:rPr>
        <w:t xml:space="preserve"> </w:t>
      </w:r>
      <w:r w:rsidR="00627463">
        <w:rPr>
          <w:rFonts w:hint="cs"/>
          <w:rtl/>
          <w:lang w:bidi="ar-EG"/>
        </w:rPr>
        <w:t>ويؤكد</w:t>
      </w:r>
      <w:r>
        <w:rPr>
          <w:rFonts w:hint="cs"/>
          <w:rtl/>
          <w:lang w:bidi="ar-EG"/>
        </w:rPr>
        <w:t xml:space="preserve"> التحالف أنه المنظمة </w:t>
      </w:r>
      <w:r w:rsidR="00627463">
        <w:rPr>
          <w:rFonts w:hint="cs"/>
          <w:rtl/>
          <w:lang w:bidi="ar-EG"/>
        </w:rPr>
        <w:t xml:space="preserve">البيئية العالمية الوحيدة المتخصصة في </w:t>
      </w:r>
      <w:r w:rsidR="004932A7">
        <w:rPr>
          <w:rFonts w:hint="cs"/>
          <w:rtl/>
          <w:lang w:bidi="ar-EG"/>
        </w:rPr>
        <w:t xml:space="preserve">مجال </w:t>
      </w:r>
      <w:r w:rsidR="00627463">
        <w:rPr>
          <w:rFonts w:hint="cs"/>
          <w:rtl/>
          <w:lang w:bidi="ar-EG"/>
        </w:rPr>
        <w:t xml:space="preserve">التقييس. ويعمل التحالف </w:t>
      </w:r>
      <w:r w:rsidR="004932A7">
        <w:rPr>
          <w:rFonts w:hint="cs"/>
          <w:rtl/>
          <w:lang w:bidi="ar-EG"/>
        </w:rPr>
        <w:t>من أجل وضع نظام تقييس أكثر شمولاً وانفتاحاً وشفافية على الصعيد الدولي والأوروبي والوطني، وفي الوقت نفسه ضمان الاستخدام المناسب للمعايير لدعم التشريعات والسياسات البيئية. و</w:t>
      </w:r>
      <w:r w:rsidR="00C402FB">
        <w:rPr>
          <w:rFonts w:hint="cs"/>
          <w:rtl/>
          <w:lang w:bidi="ar-EG"/>
        </w:rPr>
        <w:t xml:space="preserve">نظراً إلى </w:t>
      </w:r>
      <w:r w:rsidR="004932A7">
        <w:rPr>
          <w:rFonts w:hint="cs"/>
          <w:rtl/>
          <w:lang w:bidi="ar-EG"/>
        </w:rPr>
        <w:t xml:space="preserve">أن التحالف منظمة دولية </w:t>
      </w:r>
      <w:r w:rsidR="00B1114F">
        <w:rPr>
          <w:rFonts w:hint="cs"/>
          <w:rtl/>
          <w:lang w:bidi="ar-EG"/>
        </w:rPr>
        <w:t>تتألف من</w:t>
      </w:r>
      <w:r w:rsidR="004932A7">
        <w:rPr>
          <w:rFonts w:hint="cs"/>
          <w:rtl/>
          <w:lang w:bidi="ar-EG"/>
        </w:rPr>
        <w:t xml:space="preserve"> أعضاء </w:t>
      </w:r>
      <w:r w:rsidR="00B1114F">
        <w:rPr>
          <w:rFonts w:hint="cs"/>
          <w:rtl/>
          <w:lang w:bidi="ar-EG"/>
        </w:rPr>
        <w:t xml:space="preserve">يمثلون </w:t>
      </w:r>
      <w:r w:rsidR="004932A7">
        <w:rPr>
          <w:rFonts w:hint="cs"/>
          <w:rtl/>
          <w:lang w:bidi="ar-EG"/>
        </w:rPr>
        <w:t>منظمات غير حكومية، فإن الأمانة ترى أن هذا الكيان يستوفي المعايير التي وضعها المجلس للإعفاء من رسوم العضوية.</w:t>
      </w:r>
    </w:p>
    <w:p w14:paraId="04A2DE73" w14:textId="43A534A2" w:rsidR="00B3213F" w:rsidRDefault="00B3213F" w:rsidP="00B3213F">
      <w:pPr>
        <w:tabs>
          <w:tab w:val="left" w:pos="464"/>
        </w:tabs>
        <w:spacing w:after="120" w:line="240" w:lineRule="auto"/>
        <w:rPr>
          <w:lang w:bidi="ar-EG"/>
        </w:rPr>
      </w:pPr>
      <w:r>
        <w:rPr>
          <w:lang w:bidi="ar-EG"/>
        </w:rPr>
        <w:t>8.2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3"/>
        <w:gridCol w:w="3118"/>
        <w:gridCol w:w="2694"/>
      </w:tblGrid>
      <w:tr w:rsidR="00B3213F" w:rsidRPr="00EC0C22" w14:paraId="4A1F00E5" w14:textId="77777777" w:rsidTr="00EC0C22">
        <w:trPr>
          <w:cantSplit/>
          <w:jc w:val="center"/>
        </w:trPr>
        <w:tc>
          <w:tcPr>
            <w:tcW w:w="3403" w:type="dxa"/>
          </w:tcPr>
          <w:p w14:paraId="773CA236" w14:textId="77777777"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المنظمة</w:t>
            </w:r>
          </w:p>
        </w:tc>
        <w:tc>
          <w:tcPr>
            <w:tcW w:w="3118" w:type="dxa"/>
          </w:tcPr>
          <w:p w14:paraId="6C27F9E9" w14:textId="77777777"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القطاع</w:t>
            </w:r>
          </w:p>
        </w:tc>
        <w:tc>
          <w:tcPr>
            <w:tcW w:w="2694" w:type="dxa"/>
          </w:tcPr>
          <w:p w14:paraId="54AB4911" w14:textId="7614CCE3"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التوصية</w:t>
            </w:r>
          </w:p>
        </w:tc>
      </w:tr>
      <w:tr w:rsidR="00B3213F" w:rsidRPr="00EC0C22" w14:paraId="661670B5" w14:textId="77777777" w:rsidTr="00EC0C22">
        <w:trPr>
          <w:cantSplit/>
          <w:trHeight w:val="1318"/>
          <w:jc w:val="center"/>
        </w:trPr>
        <w:tc>
          <w:tcPr>
            <w:tcW w:w="3403" w:type="dxa"/>
            <w:vAlign w:val="center"/>
          </w:tcPr>
          <w:p w14:paraId="2272245D" w14:textId="3EB79ADE" w:rsidR="00B3213F" w:rsidRPr="00EC0C22" w:rsidRDefault="00B1114F" w:rsidP="004776F1">
            <w:pPr>
              <w:pStyle w:val="TableText"/>
              <w:keepNext/>
              <w:keepLines/>
              <w:bidi/>
              <w:spacing w:beforeLines="60" w:before="144" w:after="60" w:line="260" w:lineRule="exact"/>
              <w:rPr>
                <w:rFonts w:ascii="Dubai" w:hAnsi="Dubai" w:cs="Dubai"/>
                <w:b/>
                <w:iCs/>
                <w:sz w:val="20"/>
                <w:lang w:val="en-US"/>
              </w:rPr>
            </w:pPr>
            <w:r w:rsidRPr="00EC0C22">
              <w:rPr>
                <w:rFonts w:ascii="Dubai" w:hAnsi="Dubai" w:cs="Dubai" w:hint="cs"/>
                <w:bCs/>
                <w:i/>
                <w:sz w:val="20"/>
                <w:rtl/>
                <w:lang w:val="es-ES_tradnl"/>
              </w:rPr>
              <w:t xml:space="preserve">مؤسسة </w:t>
            </w:r>
            <w:r w:rsidRPr="00E33C4A">
              <w:rPr>
                <w:rFonts w:ascii="Dubai" w:hAnsi="Dubai" w:cs="Dubai"/>
                <w:b/>
                <w:iCs/>
                <w:sz w:val="20"/>
              </w:rPr>
              <w:t>MTU XRP Ledger Trust</w:t>
            </w:r>
            <w:r w:rsidRPr="00EC0C22">
              <w:rPr>
                <w:rFonts w:ascii="Dubai" w:hAnsi="Dubai" w:cs="Dubai" w:hint="cs"/>
                <w:bCs/>
                <w:i/>
                <w:sz w:val="20"/>
                <w:rtl/>
                <w:lang w:val="es-ES_tradnl"/>
              </w:rPr>
              <w:t xml:space="preserve"> </w:t>
            </w:r>
          </w:p>
        </w:tc>
        <w:tc>
          <w:tcPr>
            <w:tcW w:w="3118" w:type="dxa"/>
            <w:vAlign w:val="center"/>
          </w:tcPr>
          <w:p w14:paraId="04FA506C" w14:textId="77777777" w:rsidR="00B3213F" w:rsidRPr="00EC0C22" w:rsidRDefault="00B3213F" w:rsidP="004776F1">
            <w:pPr>
              <w:pStyle w:val="TableText"/>
              <w:keepNext/>
              <w:keepLines/>
              <w:bidi/>
              <w:spacing w:beforeLines="60" w:before="144" w:after="60" w:line="260" w:lineRule="exact"/>
              <w:jc w:val="center"/>
              <w:rPr>
                <w:rFonts w:ascii="Dubai" w:hAnsi="Dubai" w:cs="Dubai"/>
                <w:sz w:val="20"/>
                <w:rtl/>
                <w:lang w:val="en-US"/>
              </w:rPr>
            </w:pPr>
            <w:r w:rsidRPr="00EC0C22">
              <w:rPr>
                <w:rFonts w:ascii="Dubai" w:hAnsi="Dubai" w:cs="Dubai"/>
                <w:sz w:val="20"/>
                <w:rtl/>
                <w:lang w:val="fr-CH" w:bidi="ar-EG"/>
              </w:rPr>
              <w:t>قطاع تقييس الاتصالات بالاتحاد</w:t>
            </w:r>
            <w:r w:rsidRPr="00EC0C22">
              <w:rPr>
                <w:rFonts w:ascii="Dubai" w:hAnsi="Dubai" w:cs="Dubai"/>
                <w:sz w:val="20"/>
                <w:rtl/>
                <w:lang w:val="fr-CH" w:bidi="ar-EG"/>
              </w:rPr>
              <w:br/>
            </w:r>
            <w:r w:rsidRPr="00EC0C22">
              <w:rPr>
                <w:rFonts w:ascii="Dubai" w:hAnsi="Dubai" w:cs="Dubai"/>
                <w:sz w:val="20"/>
                <w:lang w:val="en-US" w:bidi="ar-EG"/>
              </w:rPr>
              <w:t>(</w:t>
            </w:r>
            <w:r w:rsidRPr="00EC0C22">
              <w:rPr>
                <w:rFonts w:ascii="Dubai" w:hAnsi="Dubai" w:cs="Dubai"/>
                <w:sz w:val="20"/>
                <w:lang w:val="en-US"/>
              </w:rPr>
              <w:t>ITU-T)</w:t>
            </w:r>
          </w:p>
          <w:p w14:paraId="0FE9CF17" w14:textId="535CCBEC" w:rsidR="008A78B1" w:rsidRPr="00EC0C22" w:rsidRDefault="008A78B1" w:rsidP="008A78B1">
            <w:pPr>
              <w:pStyle w:val="TableText"/>
              <w:keepNext/>
              <w:keepLines/>
              <w:bidi/>
              <w:spacing w:beforeLines="60" w:before="144" w:after="60" w:line="260" w:lineRule="exact"/>
              <w:jc w:val="center"/>
              <w:rPr>
                <w:rFonts w:ascii="Dubai" w:hAnsi="Dubai" w:cs="Dubai"/>
                <w:sz w:val="20"/>
                <w:lang w:val="en-US"/>
              </w:rPr>
            </w:pPr>
            <w:r w:rsidRPr="00EC0C22">
              <w:rPr>
                <w:rFonts w:ascii="Dubai" w:hAnsi="Dubai" w:cs="Dubai"/>
                <w:sz w:val="20"/>
                <w:rtl/>
                <w:lang w:val="fr-CH" w:bidi="ar-EG"/>
              </w:rPr>
              <w:t>قطاع تنمية الاتصالات بالاتحاد</w:t>
            </w:r>
            <w:r w:rsidRPr="00EC0C22">
              <w:rPr>
                <w:rFonts w:ascii="Dubai" w:hAnsi="Dubai" w:cs="Dubai"/>
                <w:sz w:val="20"/>
                <w:rtl/>
                <w:lang w:val="fr-CH" w:bidi="ar-EG"/>
              </w:rPr>
              <w:br/>
            </w:r>
            <w:r w:rsidRPr="00EC0C22">
              <w:rPr>
                <w:rFonts w:ascii="Dubai" w:hAnsi="Dubai" w:cs="Dubai"/>
                <w:sz w:val="20"/>
                <w:lang w:val="fr-CH" w:bidi="ar-EG"/>
              </w:rPr>
              <w:t>(ITU-D)</w:t>
            </w:r>
          </w:p>
        </w:tc>
        <w:tc>
          <w:tcPr>
            <w:tcW w:w="2694" w:type="dxa"/>
            <w:vAlign w:val="center"/>
          </w:tcPr>
          <w:p w14:paraId="213B9F47" w14:textId="2C9DBFB9" w:rsidR="00B3213F" w:rsidRPr="00EC0C22" w:rsidRDefault="00B3213F" w:rsidP="004776F1">
            <w:pPr>
              <w:pStyle w:val="TableText"/>
              <w:keepNext/>
              <w:keepLines/>
              <w:bidi/>
              <w:spacing w:beforeLines="60" w:before="144" w:after="60" w:line="260" w:lineRule="exact"/>
              <w:jc w:val="center"/>
              <w:rPr>
                <w:rFonts w:ascii="Dubai" w:hAnsi="Dubai" w:cs="Dubai"/>
                <w:sz w:val="20"/>
                <w:rtl/>
                <w:lang w:bidi="ar-EG"/>
              </w:rPr>
            </w:pPr>
            <w:r w:rsidRPr="00EC0C22">
              <w:rPr>
                <w:rFonts w:ascii="Dubai" w:hAnsi="Dubai" w:cs="Dubai" w:hint="cs"/>
                <w:sz w:val="20"/>
                <w:rtl/>
                <w:lang w:bidi="ar-EG"/>
              </w:rPr>
              <w:t>لا</w:t>
            </w:r>
            <w:r w:rsidR="00EC0C22">
              <w:rPr>
                <w:rFonts w:ascii="Dubai" w:hAnsi="Dubai" w:cs="Dubai"/>
                <w:sz w:val="20"/>
                <w:rtl/>
                <w:lang w:bidi="ar-EG"/>
              </w:rPr>
              <w:br/>
            </w:r>
          </w:p>
          <w:p w14:paraId="17BA6DE4" w14:textId="6E718F4C" w:rsidR="008A78B1" w:rsidRPr="00EC0C22" w:rsidRDefault="008A78B1" w:rsidP="008A78B1">
            <w:pPr>
              <w:pStyle w:val="TableText"/>
              <w:keepNext/>
              <w:keepLines/>
              <w:bidi/>
              <w:spacing w:beforeLines="60" w:before="144" w:after="60" w:line="260" w:lineRule="exact"/>
              <w:jc w:val="center"/>
              <w:rPr>
                <w:rFonts w:ascii="Dubai" w:hAnsi="Dubai" w:cs="Dubai"/>
                <w:color w:val="000000" w:themeColor="text1"/>
                <w:sz w:val="20"/>
                <w:lang w:val="en-US"/>
              </w:rPr>
            </w:pPr>
            <w:r w:rsidRPr="00EC0C22">
              <w:rPr>
                <w:rFonts w:ascii="Dubai" w:hAnsi="Dubai" w:cs="Dubai" w:hint="cs"/>
                <w:sz w:val="20"/>
                <w:rtl/>
                <w:lang w:bidi="ar-EG"/>
              </w:rPr>
              <w:t>لا</w:t>
            </w:r>
          </w:p>
        </w:tc>
      </w:tr>
    </w:tbl>
    <w:p w14:paraId="05EEC864" w14:textId="5ADB3C2F" w:rsidR="00B3213F" w:rsidRDefault="00B1114F" w:rsidP="00993291">
      <w:pPr>
        <w:spacing w:before="240"/>
        <w:rPr>
          <w:lang w:bidi="ar-EG"/>
        </w:rPr>
      </w:pPr>
      <w:r w:rsidRPr="00B1114F">
        <w:rPr>
          <w:rtl/>
          <w:lang w:bidi="ar-EG"/>
        </w:rPr>
        <w:t xml:space="preserve">مؤسسة </w:t>
      </w:r>
      <w:r w:rsidRPr="00B1114F">
        <w:rPr>
          <w:lang w:bidi="ar-EG"/>
        </w:rPr>
        <w:t>MTU XRP Ledger Trust</w:t>
      </w:r>
      <w:r>
        <w:rPr>
          <w:rFonts w:hint="cs"/>
          <w:rtl/>
          <w:lang w:bidi="ar-EG"/>
        </w:rPr>
        <w:t xml:space="preserve"> هي كيان مستقل غير هادف إلى الربح يعمل لدعم تطوير واستخدام </w:t>
      </w:r>
      <w:r w:rsidR="00AF461A">
        <w:rPr>
          <w:rFonts w:hint="cs"/>
          <w:rtl/>
          <w:lang w:bidi="ar-EG"/>
        </w:rPr>
        <w:t>تكنولوجيا السجلات</w:t>
      </w:r>
      <w:r w:rsidR="00904CDD">
        <w:rPr>
          <w:rFonts w:hint="eastAsia"/>
          <w:rtl/>
          <w:lang w:bidi="ar-EG"/>
        </w:rPr>
        <w:t> </w:t>
      </w:r>
      <w:r w:rsidR="00AF461A">
        <w:rPr>
          <w:lang w:bidi="ar-EG"/>
        </w:rPr>
        <w:t>XRP</w:t>
      </w:r>
      <w:r w:rsidR="00B3213F">
        <w:rPr>
          <w:rFonts w:hint="cs"/>
          <w:rtl/>
          <w:lang w:bidi="ar-EG"/>
        </w:rPr>
        <w:t xml:space="preserve">. </w:t>
      </w:r>
      <w:r w:rsidR="00AF461A">
        <w:rPr>
          <w:rFonts w:hint="cs"/>
          <w:rtl/>
          <w:lang w:bidi="ar-EG"/>
        </w:rPr>
        <w:t xml:space="preserve">وتهدف المؤسسة إلى </w:t>
      </w:r>
      <w:r w:rsidR="00AF461A">
        <w:rPr>
          <w:rFonts w:hint="cs"/>
          <w:rtl/>
        </w:rPr>
        <w:t>إنشاء</w:t>
      </w:r>
      <w:r w:rsidR="00AF461A">
        <w:rPr>
          <w:rFonts w:hint="cs"/>
          <w:rtl/>
          <w:lang w:bidi="ar-EG"/>
        </w:rPr>
        <w:t xml:space="preserve"> أصول رقمية مستدامة ومصممة خصيصاً للمدفوعات. و</w:t>
      </w:r>
      <w:r w:rsidR="00C402FB">
        <w:rPr>
          <w:rFonts w:hint="cs"/>
          <w:rtl/>
          <w:lang w:bidi="ar-EG"/>
        </w:rPr>
        <w:t xml:space="preserve">نظراً إلى </w:t>
      </w:r>
      <w:r w:rsidR="00AF461A">
        <w:rPr>
          <w:rFonts w:hint="cs"/>
          <w:rtl/>
          <w:lang w:bidi="ar-EG"/>
        </w:rPr>
        <w:t>أن هذه المنظمة ليس لديها أعضاء، فإن الأمانة ترى أن هذا الكيان لا يستوفي المعايير التي وضعها المجلس للإعفاء من رسوم العضوية.</w:t>
      </w:r>
    </w:p>
    <w:p w14:paraId="1C220EE9" w14:textId="5A21D01C" w:rsidR="00B3213F" w:rsidRDefault="00B3213F" w:rsidP="00B3213F">
      <w:pPr>
        <w:tabs>
          <w:tab w:val="left" w:pos="464"/>
        </w:tabs>
        <w:spacing w:after="120" w:line="240" w:lineRule="auto"/>
        <w:rPr>
          <w:lang w:bidi="ar-EG"/>
        </w:rPr>
      </w:pPr>
      <w:r>
        <w:rPr>
          <w:lang w:bidi="ar-EG"/>
        </w:rPr>
        <w:t>9.2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3"/>
        <w:gridCol w:w="3402"/>
        <w:gridCol w:w="2410"/>
      </w:tblGrid>
      <w:tr w:rsidR="00B3213F" w:rsidRPr="00EC0C22" w14:paraId="23049E46" w14:textId="77777777" w:rsidTr="00DA0495">
        <w:trPr>
          <w:cantSplit/>
          <w:jc w:val="center"/>
        </w:trPr>
        <w:tc>
          <w:tcPr>
            <w:tcW w:w="3403" w:type="dxa"/>
          </w:tcPr>
          <w:p w14:paraId="61A2B072" w14:textId="77777777"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المنظمة</w:t>
            </w:r>
          </w:p>
        </w:tc>
        <w:tc>
          <w:tcPr>
            <w:tcW w:w="3402" w:type="dxa"/>
          </w:tcPr>
          <w:p w14:paraId="39580145" w14:textId="77777777"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القطاع</w:t>
            </w:r>
          </w:p>
        </w:tc>
        <w:tc>
          <w:tcPr>
            <w:tcW w:w="2410" w:type="dxa"/>
          </w:tcPr>
          <w:p w14:paraId="00359793" w14:textId="126F4718" w:rsidR="00B3213F" w:rsidRPr="00EC0C22" w:rsidRDefault="00B3213F" w:rsidP="004776F1">
            <w:pPr>
              <w:pStyle w:val="TableHead0"/>
              <w:keepLines/>
              <w:bidi/>
              <w:spacing w:beforeLines="60" w:before="144" w:after="60" w:line="260" w:lineRule="exact"/>
              <w:rPr>
                <w:rFonts w:ascii="Dubai" w:hAnsi="Dubai" w:cs="Dubai"/>
                <w:b w:val="0"/>
                <w:bCs/>
                <w:sz w:val="20"/>
                <w:lang w:val="en-US"/>
              </w:rPr>
            </w:pPr>
            <w:r w:rsidRPr="00EC0C22">
              <w:rPr>
                <w:rFonts w:ascii="Dubai" w:hAnsi="Dubai" w:cs="Dubai"/>
                <w:b w:val="0"/>
                <w:bCs/>
                <w:sz w:val="20"/>
                <w:rtl/>
                <w:lang w:val="en-US"/>
              </w:rPr>
              <w:t>التوصية</w:t>
            </w:r>
          </w:p>
        </w:tc>
      </w:tr>
      <w:tr w:rsidR="00B3213F" w:rsidRPr="00EC0C22" w14:paraId="6F2DEDB9" w14:textId="77777777" w:rsidTr="00DA0495">
        <w:trPr>
          <w:cantSplit/>
          <w:trHeight w:val="1318"/>
          <w:jc w:val="center"/>
        </w:trPr>
        <w:tc>
          <w:tcPr>
            <w:tcW w:w="3403" w:type="dxa"/>
            <w:vAlign w:val="center"/>
          </w:tcPr>
          <w:p w14:paraId="03389BEE" w14:textId="7FA6DD99" w:rsidR="00B3213F" w:rsidRPr="00EC0C22" w:rsidRDefault="00AF461A" w:rsidP="004776F1">
            <w:pPr>
              <w:pStyle w:val="TableText"/>
              <w:keepNext/>
              <w:keepLines/>
              <w:bidi/>
              <w:spacing w:beforeLines="60" w:before="144" w:after="60" w:line="260" w:lineRule="exact"/>
              <w:rPr>
                <w:rFonts w:ascii="Dubai" w:hAnsi="Dubai" w:cs="Dubai"/>
                <w:bCs/>
                <w:i/>
                <w:sz w:val="20"/>
                <w:lang w:val="en-US"/>
              </w:rPr>
            </w:pPr>
            <w:r w:rsidRPr="00EC0C22">
              <w:rPr>
                <w:rFonts w:ascii="Dubai" w:hAnsi="Dubai" w:cs="Dubai" w:hint="cs"/>
                <w:bCs/>
                <w:i/>
                <w:sz w:val="20"/>
                <w:rtl/>
                <w:lang w:val="en-US"/>
              </w:rPr>
              <w:t xml:space="preserve"> </w:t>
            </w:r>
            <w:r w:rsidRPr="00EC0C22">
              <w:rPr>
                <w:rFonts w:ascii="Dubai" w:hAnsi="Dubai" w:cs="Dubai"/>
                <w:b/>
                <w:iCs/>
                <w:sz w:val="20"/>
                <w:lang w:val="en-US"/>
              </w:rPr>
              <w:t>Global Impact</w:t>
            </w:r>
            <w:r w:rsidRPr="00EC0C22">
              <w:rPr>
                <w:rFonts w:ascii="Dubai" w:hAnsi="Dubai" w:cs="Dubai" w:hint="cs"/>
                <w:bCs/>
                <w:i/>
                <w:sz w:val="20"/>
                <w:rtl/>
                <w:lang w:val="en-US"/>
              </w:rPr>
              <w:t xml:space="preserve"> (الشراكة العالمية من أجل الشمول الرقمي)</w:t>
            </w:r>
          </w:p>
        </w:tc>
        <w:tc>
          <w:tcPr>
            <w:tcW w:w="3402" w:type="dxa"/>
            <w:vAlign w:val="center"/>
          </w:tcPr>
          <w:p w14:paraId="2DC2B9AD" w14:textId="36519032" w:rsidR="00B3213F" w:rsidRPr="00EC0C22" w:rsidRDefault="008A78B1" w:rsidP="004776F1">
            <w:pPr>
              <w:pStyle w:val="TableText"/>
              <w:keepNext/>
              <w:keepLines/>
              <w:bidi/>
              <w:spacing w:beforeLines="60" w:before="144" w:after="60" w:line="260" w:lineRule="exact"/>
              <w:jc w:val="center"/>
              <w:rPr>
                <w:rFonts w:ascii="Dubai" w:hAnsi="Dubai" w:cs="Dubai"/>
                <w:sz w:val="20"/>
                <w:lang w:val="en-US"/>
              </w:rPr>
            </w:pPr>
            <w:r w:rsidRPr="00EC0C22">
              <w:rPr>
                <w:rFonts w:ascii="Dubai" w:hAnsi="Dubai" w:cs="Dubai"/>
                <w:sz w:val="20"/>
                <w:rtl/>
                <w:lang w:val="fr-CH" w:bidi="ar-EG"/>
              </w:rPr>
              <w:t>قطاع تنمية الاتصالات بالاتحاد</w:t>
            </w:r>
            <w:r w:rsidRPr="00EC0C22">
              <w:rPr>
                <w:rFonts w:ascii="Dubai" w:hAnsi="Dubai" w:cs="Dubai"/>
                <w:sz w:val="20"/>
                <w:rtl/>
                <w:lang w:val="fr-CH" w:bidi="ar-EG"/>
              </w:rPr>
              <w:br/>
            </w:r>
            <w:r w:rsidRPr="00E33C4A">
              <w:rPr>
                <w:rFonts w:ascii="Dubai" w:hAnsi="Dubai" w:cs="Dubai"/>
                <w:sz w:val="20"/>
                <w:lang w:val="en-US" w:bidi="ar-EG"/>
              </w:rPr>
              <w:t>(ITU-D)</w:t>
            </w:r>
          </w:p>
        </w:tc>
        <w:tc>
          <w:tcPr>
            <w:tcW w:w="2410" w:type="dxa"/>
            <w:vAlign w:val="center"/>
          </w:tcPr>
          <w:p w14:paraId="2259EEE1" w14:textId="3F2A45B4" w:rsidR="00B3213F" w:rsidRPr="00EC0C22" w:rsidRDefault="00B17888" w:rsidP="004776F1">
            <w:pPr>
              <w:pStyle w:val="TableText"/>
              <w:keepNext/>
              <w:keepLines/>
              <w:bidi/>
              <w:spacing w:beforeLines="60" w:before="144" w:after="60" w:line="260" w:lineRule="exact"/>
              <w:jc w:val="center"/>
              <w:rPr>
                <w:rFonts w:ascii="Dubai" w:hAnsi="Dubai" w:cs="Dubai"/>
                <w:color w:val="000000" w:themeColor="text1"/>
                <w:sz w:val="20"/>
                <w:lang w:val="en-US"/>
              </w:rPr>
            </w:pPr>
            <w:r w:rsidRPr="00EC0C22">
              <w:rPr>
                <w:rFonts w:ascii="Dubai" w:hAnsi="Dubai" w:cs="Dubai" w:hint="cs"/>
                <w:sz w:val="20"/>
                <w:rtl/>
                <w:lang w:bidi="ar-EG"/>
              </w:rPr>
              <w:t>نعم</w:t>
            </w:r>
          </w:p>
        </w:tc>
      </w:tr>
    </w:tbl>
    <w:p w14:paraId="5005D70E" w14:textId="3A27DAE5" w:rsidR="00B3213F" w:rsidRPr="00F615BC" w:rsidRDefault="00AF461A" w:rsidP="00993291">
      <w:pPr>
        <w:spacing w:before="240"/>
      </w:pPr>
      <w:r>
        <w:rPr>
          <w:rFonts w:hint="cs"/>
          <w:rtl/>
          <w:lang w:bidi="ar-EG"/>
        </w:rPr>
        <w:t xml:space="preserve">تأسست منظمة </w:t>
      </w:r>
      <w:r>
        <w:rPr>
          <w:lang w:bidi="ar-EG"/>
        </w:rPr>
        <w:t>Global Impact</w:t>
      </w:r>
      <w:r>
        <w:rPr>
          <w:rFonts w:hint="cs"/>
          <w:rtl/>
        </w:rPr>
        <w:t xml:space="preserve">، الكائن مقرها بالولايات المتحدة، في عام 1956 حيث </w:t>
      </w:r>
      <w:r w:rsidR="00F615BC">
        <w:rPr>
          <w:rFonts w:hint="cs"/>
          <w:rtl/>
        </w:rPr>
        <w:t>اجتمعت</w:t>
      </w:r>
      <w:r>
        <w:rPr>
          <w:rFonts w:hint="cs"/>
          <w:rtl/>
        </w:rPr>
        <w:t xml:space="preserve"> أربع مؤسسات خيرية دولية لتشكل </w:t>
      </w:r>
      <w:r w:rsidR="00F615BC">
        <w:rPr>
          <w:rFonts w:hint="cs"/>
          <w:rtl/>
        </w:rPr>
        <w:t>اتحاداً</w:t>
      </w:r>
      <w:r w:rsidR="00B3213F">
        <w:rPr>
          <w:rFonts w:hint="cs"/>
          <w:rtl/>
          <w:lang w:bidi="ar-EG"/>
        </w:rPr>
        <w:t xml:space="preserve">. </w:t>
      </w:r>
      <w:r w:rsidR="00F615BC">
        <w:rPr>
          <w:rFonts w:hint="cs"/>
          <w:rtl/>
          <w:lang w:bidi="ar-EG"/>
        </w:rPr>
        <w:t xml:space="preserve">وبحلول الثمانينات، ارتفع عدد المؤسسات الخيرية الأعضاء إلى حوالي 50 مؤسسة. وأطلقت </w:t>
      </w:r>
      <w:r w:rsidR="00901D32">
        <w:rPr>
          <w:rFonts w:hint="cs"/>
          <w:rtl/>
          <w:lang w:bidi="ar-EG"/>
        </w:rPr>
        <w:t>ال</w:t>
      </w:r>
      <w:r w:rsidR="00F615BC">
        <w:rPr>
          <w:rFonts w:hint="cs"/>
          <w:rtl/>
          <w:lang w:bidi="ar-EG"/>
        </w:rPr>
        <w:t xml:space="preserve">منظمة الشراكة العالمية من أجل الشمول الرقمي </w:t>
      </w:r>
      <w:r w:rsidR="00F615BC">
        <w:rPr>
          <w:lang w:bidi="ar-EG"/>
        </w:rPr>
        <w:t>(GDIP)</w:t>
      </w:r>
      <w:r w:rsidR="00F615BC">
        <w:rPr>
          <w:rFonts w:hint="cs"/>
          <w:rtl/>
        </w:rPr>
        <w:t xml:space="preserve">، وهي ائتلاف يضم منظمات من القطاعين العام والخاص ومنظمات من المجتمع المدني تعمل على جلب توصيلية الإنترنت إلى الأغلبية العالمية وضمان أن يكون كل شخص موصولاً </w:t>
      </w:r>
      <w:r w:rsidR="0072491A">
        <w:rPr>
          <w:rFonts w:hint="cs"/>
          <w:rtl/>
        </w:rPr>
        <w:t>على نحو هادف بحلول عام</w:t>
      </w:r>
      <w:r w:rsidR="00904CDD">
        <w:rPr>
          <w:rFonts w:hint="eastAsia"/>
          <w:rtl/>
        </w:rPr>
        <w:t> </w:t>
      </w:r>
      <w:r w:rsidR="0072491A">
        <w:rPr>
          <w:rFonts w:hint="cs"/>
          <w:rtl/>
        </w:rPr>
        <w:t xml:space="preserve">2030. وتعمل </w:t>
      </w:r>
      <w:r w:rsidR="00901D32">
        <w:rPr>
          <w:rFonts w:hint="cs"/>
          <w:rtl/>
        </w:rPr>
        <w:t>المنظمة</w:t>
      </w:r>
      <w:r w:rsidR="0072491A">
        <w:rPr>
          <w:rFonts w:hint="cs"/>
          <w:rtl/>
        </w:rPr>
        <w:t xml:space="preserve"> على النهوض بالفرص الرقمية لتمكين الناس ودعم</w:t>
      </w:r>
      <w:r w:rsidR="00C402FB">
        <w:rPr>
          <w:rFonts w:hint="cs"/>
          <w:rtl/>
        </w:rPr>
        <w:t>هم</w:t>
      </w:r>
      <w:r w:rsidR="0072491A">
        <w:rPr>
          <w:rFonts w:hint="cs"/>
          <w:rtl/>
        </w:rPr>
        <w:t xml:space="preserve"> </w:t>
      </w:r>
      <w:r w:rsidR="00C402FB">
        <w:rPr>
          <w:rFonts w:hint="cs"/>
          <w:rtl/>
        </w:rPr>
        <w:t>في حياتهم اليومية</w:t>
      </w:r>
      <w:r w:rsidR="0072491A">
        <w:rPr>
          <w:rFonts w:hint="cs"/>
          <w:rtl/>
        </w:rPr>
        <w:t>، ما يؤدي إلى بناء مجتمعات رقمية شاملة. وترى الأمانة أن هذا الكيان يستوفي المعايير التي وضعها المجلس للإعفاء من رسوم العضوية.</w:t>
      </w:r>
    </w:p>
    <w:p w14:paraId="05F9361E" w14:textId="36716E65" w:rsidR="00B3213F" w:rsidRDefault="00B3213F" w:rsidP="00904CDD">
      <w:pPr>
        <w:keepNext/>
        <w:keepLines/>
        <w:tabs>
          <w:tab w:val="left" w:pos="464"/>
        </w:tabs>
        <w:spacing w:after="120" w:line="240" w:lineRule="auto"/>
        <w:rPr>
          <w:lang w:bidi="ar-EG"/>
        </w:rPr>
      </w:pPr>
      <w:r>
        <w:rPr>
          <w:lang w:bidi="ar-EG"/>
        </w:rPr>
        <w:lastRenderedPageBreak/>
        <w:t>10.2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2616"/>
        <w:gridCol w:w="2268"/>
      </w:tblGrid>
      <w:tr w:rsidR="00B3213F" w:rsidRPr="003B44AF" w14:paraId="64B97867" w14:textId="77777777" w:rsidTr="003B44AF">
        <w:trPr>
          <w:cantSplit/>
          <w:jc w:val="center"/>
        </w:trPr>
        <w:tc>
          <w:tcPr>
            <w:tcW w:w="4331" w:type="dxa"/>
          </w:tcPr>
          <w:p w14:paraId="449DCE80" w14:textId="77777777"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المنظمة</w:t>
            </w:r>
          </w:p>
        </w:tc>
        <w:tc>
          <w:tcPr>
            <w:tcW w:w="2616" w:type="dxa"/>
          </w:tcPr>
          <w:p w14:paraId="7507E7C7" w14:textId="77777777"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القطاع</w:t>
            </w:r>
          </w:p>
        </w:tc>
        <w:tc>
          <w:tcPr>
            <w:tcW w:w="2268" w:type="dxa"/>
          </w:tcPr>
          <w:p w14:paraId="4B53B0FB" w14:textId="52072F2C"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التوصية</w:t>
            </w:r>
          </w:p>
        </w:tc>
      </w:tr>
      <w:tr w:rsidR="00B3213F" w:rsidRPr="003B44AF" w14:paraId="69A80233" w14:textId="77777777" w:rsidTr="003B44AF">
        <w:trPr>
          <w:cantSplit/>
          <w:trHeight w:val="1318"/>
          <w:jc w:val="center"/>
        </w:trPr>
        <w:tc>
          <w:tcPr>
            <w:tcW w:w="4331" w:type="dxa"/>
            <w:vAlign w:val="center"/>
          </w:tcPr>
          <w:p w14:paraId="3A4D04D9" w14:textId="054DE62F" w:rsidR="00B3213F" w:rsidRPr="003B44AF" w:rsidRDefault="0072491A" w:rsidP="004776F1">
            <w:pPr>
              <w:pStyle w:val="TableText"/>
              <w:keepNext/>
              <w:keepLines/>
              <w:bidi/>
              <w:spacing w:beforeLines="60" w:before="144" w:after="60" w:line="260" w:lineRule="exact"/>
              <w:rPr>
                <w:rFonts w:ascii="Dubai" w:hAnsi="Dubai" w:cs="Dubai"/>
                <w:b/>
                <w:iCs/>
                <w:sz w:val="20"/>
                <w:rtl/>
                <w:lang w:val="en-US"/>
              </w:rPr>
            </w:pPr>
            <w:r w:rsidRPr="003B44AF">
              <w:rPr>
                <w:rFonts w:ascii="Dubai" w:hAnsi="Dubai" w:cs="Dubai" w:hint="cs"/>
                <w:bCs/>
                <w:i/>
                <w:sz w:val="20"/>
                <w:rtl/>
                <w:lang w:val="es-ES_tradnl"/>
              </w:rPr>
              <w:t xml:space="preserve">المنظمة العربية للتربية والثقافة والعلوم </w:t>
            </w:r>
            <w:r w:rsidRPr="003B44AF">
              <w:rPr>
                <w:rFonts w:ascii="Dubai" w:hAnsi="Dubai" w:cs="Dubai"/>
                <w:b/>
                <w:iCs/>
                <w:sz w:val="20"/>
                <w:lang w:val="en-US"/>
              </w:rPr>
              <w:t>(ALESCO)</w:t>
            </w:r>
          </w:p>
        </w:tc>
        <w:tc>
          <w:tcPr>
            <w:tcW w:w="2616" w:type="dxa"/>
            <w:vAlign w:val="center"/>
          </w:tcPr>
          <w:p w14:paraId="59BCB116" w14:textId="77777777" w:rsidR="00B3213F" w:rsidRPr="003B44AF" w:rsidRDefault="00B3213F" w:rsidP="004776F1">
            <w:pPr>
              <w:pStyle w:val="TableText"/>
              <w:keepNext/>
              <w:keepLines/>
              <w:bidi/>
              <w:spacing w:beforeLines="60" w:before="144" w:after="60" w:line="260" w:lineRule="exact"/>
              <w:jc w:val="center"/>
              <w:rPr>
                <w:rFonts w:ascii="Dubai" w:hAnsi="Dubai" w:cs="Dubai"/>
                <w:sz w:val="20"/>
                <w:rtl/>
                <w:lang w:val="en-US"/>
              </w:rPr>
            </w:pPr>
            <w:r w:rsidRPr="003B44AF">
              <w:rPr>
                <w:rFonts w:ascii="Dubai" w:hAnsi="Dubai" w:cs="Dubai"/>
                <w:sz w:val="20"/>
                <w:rtl/>
                <w:lang w:val="fr-CH" w:bidi="ar-EG"/>
              </w:rPr>
              <w:t>قطاع تقييس الاتصالات بالاتحاد</w:t>
            </w:r>
            <w:r w:rsidRPr="003B44AF">
              <w:rPr>
                <w:rFonts w:ascii="Dubai" w:hAnsi="Dubai" w:cs="Dubai"/>
                <w:sz w:val="20"/>
                <w:rtl/>
                <w:lang w:val="fr-CH" w:bidi="ar-EG"/>
              </w:rPr>
              <w:br/>
            </w:r>
            <w:r w:rsidRPr="003B44AF">
              <w:rPr>
                <w:rFonts w:ascii="Dubai" w:hAnsi="Dubai" w:cs="Dubai"/>
                <w:sz w:val="20"/>
                <w:lang w:val="en-US" w:bidi="ar-EG"/>
              </w:rPr>
              <w:t>(</w:t>
            </w:r>
            <w:r w:rsidRPr="003B44AF">
              <w:rPr>
                <w:rFonts w:ascii="Dubai" w:hAnsi="Dubai" w:cs="Dubai"/>
                <w:sz w:val="20"/>
                <w:lang w:val="en-US"/>
              </w:rPr>
              <w:t>ITU-T)</w:t>
            </w:r>
          </w:p>
          <w:p w14:paraId="37BFD538" w14:textId="4EFEE800" w:rsidR="00B17888" w:rsidRPr="003B44AF" w:rsidRDefault="00B17888" w:rsidP="00B17888">
            <w:pPr>
              <w:pStyle w:val="TableText"/>
              <w:keepNext/>
              <w:keepLines/>
              <w:bidi/>
              <w:spacing w:beforeLines="60" w:before="144" w:after="60" w:line="260" w:lineRule="exact"/>
              <w:jc w:val="center"/>
              <w:rPr>
                <w:rFonts w:ascii="Dubai" w:hAnsi="Dubai" w:cs="Dubai"/>
                <w:sz w:val="20"/>
                <w:lang w:val="en-US"/>
              </w:rPr>
            </w:pPr>
            <w:r w:rsidRPr="003B44AF">
              <w:rPr>
                <w:rFonts w:ascii="Dubai" w:hAnsi="Dubai" w:cs="Dubai"/>
                <w:sz w:val="20"/>
                <w:rtl/>
                <w:lang w:val="fr-CH" w:bidi="ar-EG"/>
              </w:rPr>
              <w:t>قطاع تنمية الاتصالات بالاتحاد</w:t>
            </w:r>
            <w:r w:rsidRPr="003B44AF">
              <w:rPr>
                <w:rFonts w:ascii="Dubai" w:hAnsi="Dubai" w:cs="Dubai"/>
                <w:sz w:val="20"/>
                <w:rtl/>
                <w:lang w:val="fr-CH" w:bidi="ar-EG"/>
              </w:rPr>
              <w:br/>
            </w:r>
            <w:r w:rsidRPr="003B44AF">
              <w:rPr>
                <w:rFonts w:ascii="Dubai" w:hAnsi="Dubai" w:cs="Dubai"/>
                <w:sz w:val="20"/>
                <w:lang w:val="fr-CH" w:bidi="ar-EG"/>
              </w:rPr>
              <w:t>(ITU-D)</w:t>
            </w:r>
          </w:p>
        </w:tc>
        <w:tc>
          <w:tcPr>
            <w:tcW w:w="2268" w:type="dxa"/>
            <w:vAlign w:val="center"/>
          </w:tcPr>
          <w:p w14:paraId="3B89271E" w14:textId="00DC8822" w:rsidR="00B3213F" w:rsidRPr="003B44AF" w:rsidRDefault="00B17888" w:rsidP="004776F1">
            <w:pPr>
              <w:pStyle w:val="TableText"/>
              <w:keepNext/>
              <w:keepLines/>
              <w:bidi/>
              <w:spacing w:beforeLines="60" w:before="144" w:after="60" w:line="260" w:lineRule="exact"/>
              <w:jc w:val="center"/>
              <w:rPr>
                <w:rFonts w:ascii="Dubai" w:hAnsi="Dubai" w:cs="Dubai"/>
                <w:sz w:val="20"/>
                <w:rtl/>
                <w:lang w:bidi="ar-EG"/>
              </w:rPr>
            </w:pPr>
            <w:r w:rsidRPr="003B44AF">
              <w:rPr>
                <w:rFonts w:ascii="Dubai" w:hAnsi="Dubai" w:cs="Dubai" w:hint="cs"/>
                <w:sz w:val="20"/>
                <w:rtl/>
                <w:lang w:bidi="ar-EG"/>
              </w:rPr>
              <w:t>نعم</w:t>
            </w:r>
            <w:r w:rsidR="003B44AF">
              <w:rPr>
                <w:rFonts w:ascii="Dubai" w:hAnsi="Dubai" w:cs="Dubai"/>
                <w:sz w:val="20"/>
                <w:rtl/>
                <w:lang w:bidi="ar-EG"/>
              </w:rPr>
              <w:br/>
            </w:r>
          </w:p>
          <w:p w14:paraId="55639DC2" w14:textId="5D2C29A6" w:rsidR="00B17888" w:rsidRPr="003B44AF" w:rsidRDefault="00B17888" w:rsidP="00B17888">
            <w:pPr>
              <w:pStyle w:val="TableText"/>
              <w:keepNext/>
              <w:keepLines/>
              <w:bidi/>
              <w:spacing w:beforeLines="60" w:before="144" w:after="60" w:line="260" w:lineRule="exact"/>
              <w:jc w:val="center"/>
              <w:rPr>
                <w:rFonts w:ascii="Dubai" w:hAnsi="Dubai" w:cs="Dubai"/>
                <w:color w:val="000000" w:themeColor="text1"/>
                <w:sz w:val="20"/>
                <w:lang w:val="en-US"/>
              </w:rPr>
            </w:pPr>
            <w:r w:rsidRPr="003B44AF">
              <w:rPr>
                <w:rFonts w:ascii="Dubai" w:hAnsi="Dubai" w:cs="Dubai" w:hint="cs"/>
                <w:sz w:val="20"/>
                <w:rtl/>
                <w:lang w:bidi="ar-EG"/>
              </w:rPr>
              <w:t>نعم</w:t>
            </w:r>
          </w:p>
        </w:tc>
      </w:tr>
    </w:tbl>
    <w:p w14:paraId="6D695FDA" w14:textId="4503B9AA" w:rsidR="00B3213F" w:rsidRDefault="0072491A" w:rsidP="00993291">
      <w:pPr>
        <w:spacing w:before="240"/>
        <w:rPr>
          <w:rtl/>
          <w:lang w:bidi="ar-EG"/>
        </w:rPr>
      </w:pPr>
      <w:r w:rsidRPr="0072491A">
        <w:rPr>
          <w:rtl/>
          <w:lang w:bidi="ar-EG"/>
        </w:rPr>
        <w:t>المنظمة العربية للتربية والثقافة والعلوم (</w:t>
      </w:r>
      <w:r w:rsidRPr="0072491A">
        <w:rPr>
          <w:lang w:bidi="ar-EG"/>
        </w:rPr>
        <w:t>ALESCO</w:t>
      </w:r>
      <w:r w:rsidRPr="0072491A">
        <w:rPr>
          <w:rtl/>
          <w:lang w:bidi="ar-EG"/>
        </w:rPr>
        <w:t>)</w:t>
      </w:r>
      <w:r>
        <w:rPr>
          <w:rFonts w:hint="cs"/>
          <w:rtl/>
          <w:lang w:bidi="ar-EG"/>
        </w:rPr>
        <w:t xml:space="preserve"> هي مؤسسة </w:t>
      </w:r>
      <w:r w:rsidR="00B34353">
        <w:rPr>
          <w:rFonts w:hint="cs"/>
          <w:rtl/>
        </w:rPr>
        <w:t xml:space="preserve">تابعة لجامعة الدول العربية، </w:t>
      </w:r>
      <w:r>
        <w:rPr>
          <w:rFonts w:hint="cs"/>
          <w:rtl/>
          <w:lang w:bidi="ar-EG"/>
        </w:rPr>
        <w:t>مقرها تونس</w:t>
      </w:r>
      <w:r w:rsidR="00B34353">
        <w:rPr>
          <w:rFonts w:hint="cs"/>
          <w:rtl/>
          <w:lang w:bidi="ar-EG"/>
        </w:rPr>
        <w:t>، تأسست في</w:t>
      </w:r>
      <w:r w:rsidR="005F377C">
        <w:rPr>
          <w:rFonts w:hint="eastAsia"/>
          <w:rtl/>
          <w:lang w:bidi="ar-EG"/>
        </w:rPr>
        <w:t> </w:t>
      </w:r>
      <w:r w:rsidR="00B34353">
        <w:rPr>
          <w:rFonts w:hint="cs"/>
          <w:rtl/>
          <w:lang w:bidi="ar-EG"/>
        </w:rPr>
        <w:t>عام 1970 وتضم 22 دولة عضواً. وتعمل المنظمة على تنسيق الأنشطة الثقافية والتعليمية في العالم العربي</w:t>
      </w:r>
      <w:r w:rsidR="00B3213F">
        <w:rPr>
          <w:rFonts w:hint="cs"/>
          <w:rtl/>
          <w:lang w:bidi="ar-EG"/>
        </w:rPr>
        <w:t>.</w:t>
      </w:r>
      <w:r w:rsidR="00B34353">
        <w:rPr>
          <w:rFonts w:hint="cs"/>
          <w:rtl/>
          <w:lang w:bidi="ar-EG"/>
        </w:rPr>
        <w:t xml:space="preserve"> </w:t>
      </w:r>
      <w:r w:rsidR="007A6C4E">
        <w:rPr>
          <w:rFonts w:hint="cs"/>
          <w:rtl/>
          <w:lang w:bidi="ar-EG"/>
        </w:rPr>
        <w:t>وفي إطار أنشطتها المتنوعة، تم إنشاء مؤسسات تابعة لها في مختلف أنحاء العالم العربي. و</w:t>
      </w:r>
      <w:r w:rsidR="00C402FB">
        <w:rPr>
          <w:rFonts w:hint="cs"/>
          <w:rtl/>
          <w:lang w:bidi="ar-EG"/>
        </w:rPr>
        <w:t>نظراً إلى</w:t>
      </w:r>
      <w:r w:rsidR="007A6C4E">
        <w:rPr>
          <w:rFonts w:hint="cs"/>
          <w:rtl/>
          <w:lang w:bidi="ar-EG"/>
        </w:rPr>
        <w:t xml:space="preserve"> أنها منظمة دولية لديها دول أعضاء، فإن الأمانة ترى أن هذا الكيان يستوفي المعايير التي وضعها المكتب للإعفاء من رسوم العضوية.</w:t>
      </w:r>
    </w:p>
    <w:p w14:paraId="54DAC03D" w14:textId="5B629162" w:rsidR="00B3213F" w:rsidRDefault="00B3213F" w:rsidP="00B3213F">
      <w:pPr>
        <w:tabs>
          <w:tab w:val="left" w:pos="464"/>
        </w:tabs>
        <w:spacing w:after="120" w:line="240" w:lineRule="auto"/>
        <w:rPr>
          <w:lang w:bidi="ar-EG"/>
        </w:rPr>
      </w:pPr>
      <w:r>
        <w:rPr>
          <w:lang w:bidi="ar-EG"/>
        </w:rPr>
        <w:t>11.2</w:t>
      </w:r>
      <w:r>
        <w:rPr>
          <w:lang w:bidi="ar-EG"/>
        </w:rPr>
        <w:tab/>
      </w:r>
    </w:p>
    <w:tbl>
      <w:tblPr>
        <w:bidiVisual/>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2616"/>
        <w:gridCol w:w="2268"/>
      </w:tblGrid>
      <w:tr w:rsidR="00B3213F" w:rsidRPr="003B44AF" w14:paraId="5D42E3DE" w14:textId="77777777" w:rsidTr="003B44AF">
        <w:trPr>
          <w:cantSplit/>
          <w:jc w:val="center"/>
        </w:trPr>
        <w:tc>
          <w:tcPr>
            <w:tcW w:w="4331" w:type="dxa"/>
          </w:tcPr>
          <w:p w14:paraId="670DCAA9" w14:textId="77777777"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المنظمة</w:t>
            </w:r>
          </w:p>
        </w:tc>
        <w:tc>
          <w:tcPr>
            <w:tcW w:w="2616" w:type="dxa"/>
          </w:tcPr>
          <w:p w14:paraId="1724A1D2" w14:textId="77777777"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القطاع</w:t>
            </w:r>
          </w:p>
        </w:tc>
        <w:tc>
          <w:tcPr>
            <w:tcW w:w="2268" w:type="dxa"/>
          </w:tcPr>
          <w:p w14:paraId="7360A265" w14:textId="78A98173" w:rsidR="00B3213F" w:rsidRPr="003B44AF" w:rsidRDefault="00B3213F" w:rsidP="004776F1">
            <w:pPr>
              <w:pStyle w:val="TableHead0"/>
              <w:keepLines/>
              <w:bidi/>
              <w:spacing w:beforeLines="60" w:before="144" w:after="60" w:line="260" w:lineRule="exact"/>
              <w:rPr>
                <w:rFonts w:ascii="Dubai" w:hAnsi="Dubai" w:cs="Dubai"/>
                <w:b w:val="0"/>
                <w:bCs/>
                <w:sz w:val="20"/>
                <w:lang w:val="en-US"/>
              </w:rPr>
            </w:pPr>
            <w:r w:rsidRPr="003B44AF">
              <w:rPr>
                <w:rFonts w:ascii="Dubai" w:hAnsi="Dubai" w:cs="Dubai"/>
                <w:b w:val="0"/>
                <w:bCs/>
                <w:sz w:val="20"/>
                <w:rtl/>
                <w:lang w:val="en-US"/>
              </w:rPr>
              <w:t>التوصية</w:t>
            </w:r>
          </w:p>
        </w:tc>
      </w:tr>
      <w:tr w:rsidR="00B3213F" w:rsidRPr="003B44AF" w14:paraId="1C583B9E" w14:textId="77777777" w:rsidTr="003B44AF">
        <w:trPr>
          <w:cantSplit/>
          <w:trHeight w:val="1318"/>
          <w:jc w:val="center"/>
        </w:trPr>
        <w:tc>
          <w:tcPr>
            <w:tcW w:w="4331" w:type="dxa"/>
            <w:vAlign w:val="center"/>
          </w:tcPr>
          <w:p w14:paraId="6A2C9A21" w14:textId="2861D062" w:rsidR="00B3213F" w:rsidRPr="003B44AF" w:rsidRDefault="007A6C4E" w:rsidP="004776F1">
            <w:pPr>
              <w:pStyle w:val="TableText"/>
              <w:keepNext/>
              <w:keepLines/>
              <w:bidi/>
              <w:spacing w:beforeLines="60" w:before="144" w:after="60" w:line="260" w:lineRule="exact"/>
              <w:rPr>
                <w:rFonts w:ascii="Dubai" w:hAnsi="Dubai" w:cs="Dubai"/>
                <w:b/>
                <w:iCs/>
                <w:sz w:val="20"/>
                <w:rtl/>
                <w:lang w:val="en-US"/>
              </w:rPr>
            </w:pPr>
            <w:r w:rsidRPr="003B44AF">
              <w:rPr>
                <w:rFonts w:ascii="Dubai" w:hAnsi="Dubai" w:cs="Dubai" w:hint="cs"/>
                <w:bCs/>
                <w:i/>
                <w:sz w:val="20"/>
                <w:rtl/>
                <w:lang w:val="es-ES_tradnl"/>
              </w:rPr>
              <w:t xml:space="preserve">مبادرة المدن الذكية المفتوحة والنشيطة </w:t>
            </w:r>
            <w:r w:rsidRPr="003B44AF">
              <w:rPr>
                <w:rFonts w:ascii="Dubai" w:hAnsi="Dubai" w:cs="Dubai"/>
                <w:b/>
                <w:iCs/>
                <w:sz w:val="20"/>
                <w:lang w:val="en-US"/>
              </w:rPr>
              <w:t>(OASC)</w:t>
            </w:r>
          </w:p>
        </w:tc>
        <w:tc>
          <w:tcPr>
            <w:tcW w:w="2616" w:type="dxa"/>
            <w:vAlign w:val="center"/>
          </w:tcPr>
          <w:p w14:paraId="4C21E610" w14:textId="77777777" w:rsidR="00B3213F" w:rsidRPr="003B44AF" w:rsidRDefault="00B3213F" w:rsidP="004776F1">
            <w:pPr>
              <w:pStyle w:val="TableText"/>
              <w:keepNext/>
              <w:keepLines/>
              <w:bidi/>
              <w:spacing w:beforeLines="60" w:before="144" w:after="60" w:line="260" w:lineRule="exact"/>
              <w:jc w:val="center"/>
              <w:rPr>
                <w:rFonts w:ascii="Dubai" w:hAnsi="Dubai" w:cs="Dubai"/>
                <w:sz w:val="20"/>
                <w:lang w:val="en-US"/>
              </w:rPr>
            </w:pPr>
            <w:r w:rsidRPr="003B44AF">
              <w:rPr>
                <w:rFonts w:ascii="Dubai" w:hAnsi="Dubai" w:cs="Dubai"/>
                <w:sz w:val="20"/>
                <w:rtl/>
                <w:lang w:val="fr-CH" w:bidi="ar-EG"/>
              </w:rPr>
              <w:t>قطاع تقييس الاتصالات بالاتحاد</w:t>
            </w:r>
            <w:r w:rsidRPr="003B44AF">
              <w:rPr>
                <w:rFonts w:ascii="Dubai" w:hAnsi="Dubai" w:cs="Dubai"/>
                <w:sz w:val="20"/>
                <w:rtl/>
                <w:lang w:val="fr-CH" w:bidi="ar-EG"/>
              </w:rPr>
              <w:br/>
            </w:r>
            <w:r w:rsidRPr="003B44AF">
              <w:rPr>
                <w:rFonts w:ascii="Dubai" w:hAnsi="Dubai" w:cs="Dubai"/>
                <w:sz w:val="20"/>
                <w:lang w:val="en-US" w:bidi="ar-EG"/>
              </w:rPr>
              <w:t>(</w:t>
            </w:r>
            <w:r w:rsidRPr="003B44AF">
              <w:rPr>
                <w:rFonts w:ascii="Dubai" w:hAnsi="Dubai" w:cs="Dubai"/>
                <w:sz w:val="20"/>
                <w:lang w:val="en-US"/>
              </w:rPr>
              <w:t>ITU-T)</w:t>
            </w:r>
          </w:p>
        </w:tc>
        <w:tc>
          <w:tcPr>
            <w:tcW w:w="2268" w:type="dxa"/>
            <w:vAlign w:val="center"/>
          </w:tcPr>
          <w:p w14:paraId="4B83DA3D" w14:textId="2B5D44C7" w:rsidR="00B3213F" w:rsidRPr="003B44AF" w:rsidRDefault="00B17888" w:rsidP="004776F1">
            <w:pPr>
              <w:pStyle w:val="TableText"/>
              <w:keepNext/>
              <w:keepLines/>
              <w:bidi/>
              <w:spacing w:beforeLines="60" w:before="144" w:after="60" w:line="260" w:lineRule="exact"/>
              <w:jc w:val="center"/>
              <w:rPr>
                <w:rFonts w:ascii="Dubai" w:hAnsi="Dubai" w:cs="Dubai"/>
                <w:color w:val="000000" w:themeColor="text1"/>
                <w:sz w:val="20"/>
                <w:lang w:val="en-US"/>
              </w:rPr>
            </w:pPr>
            <w:r w:rsidRPr="003B44AF">
              <w:rPr>
                <w:rFonts w:ascii="Dubai" w:hAnsi="Dubai" w:cs="Dubai" w:hint="cs"/>
                <w:sz w:val="20"/>
                <w:rtl/>
                <w:lang w:bidi="ar-EG"/>
              </w:rPr>
              <w:t>نعم</w:t>
            </w:r>
          </w:p>
        </w:tc>
      </w:tr>
    </w:tbl>
    <w:p w14:paraId="472459ED" w14:textId="617A52C0" w:rsidR="00B3213F" w:rsidRDefault="007A6C4E" w:rsidP="00993291">
      <w:pPr>
        <w:spacing w:before="240"/>
        <w:rPr>
          <w:rtl/>
          <w:lang w:bidi="ar-EG"/>
        </w:rPr>
      </w:pPr>
      <w:r>
        <w:rPr>
          <w:rFonts w:hint="cs"/>
          <w:rtl/>
          <w:lang w:bidi="ar-EG"/>
        </w:rPr>
        <w:t xml:space="preserve">مبادرة </w:t>
      </w:r>
      <w:r w:rsidRPr="007A6C4E">
        <w:rPr>
          <w:rtl/>
          <w:lang w:bidi="ar-EG"/>
        </w:rPr>
        <w:t>المدن الذكية المفتوحة والنشيطة (</w:t>
      </w:r>
      <w:r w:rsidRPr="007A6C4E">
        <w:rPr>
          <w:lang w:bidi="ar-EG"/>
        </w:rPr>
        <w:t>OASC</w:t>
      </w:r>
      <w:r w:rsidRPr="007A6C4E">
        <w:rPr>
          <w:rtl/>
          <w:lang w:bidi="ar-EG"/>
        </w:rPr>
        <w:t>)</w:t>
      </w:r>
      <w:r>
        <w:rPr>
          <w:rFonts w:hint="cs"/>
          <w:rtl/>
          <w:lang w:bidi="ar-EG"/>
        </w:rPr>
        <w:t xml:space="preserve"> هي جمعية غير هادفة إلى الربح وشبكة عالمية من المدن والمجتمعات يتمثل هدفها المشترك في تحسين حياة مواطنيها من خلال الابتكار والتكنولوجيا. وتتمثل مهم</w:t>
      </w:r>
      <w:r w:rsidR="00C4293A">
        <w:rPr>
          <w:rFonts w:hint="cs"/>
          <w:rtl/>
          <w:lang w:bidi="ar-EG"/>
        </w:rPr>
        <w:t>تها في توحيد المدن والمجتمعات حول العالم لبناء سوق عالمية لبيانات وخدمات المدن الذكية من جانب الطلب، استناداً إلى احتياجات المدن والمجتمعات</w:t>
      </w:r>
      <w:r w:rsidR="00B3213F">
        <w:rPr>
          <w:rFonts w:hint="cs"/>
          <w:rtl/>
          <w:lang w:bidi="ar-EG"/>
        </w:rPr>
        <w:t>.</w:t>
      </w:r>
      <w:r w:rsidR="00C4293A">
        <w:rPr>
          <w:rFonts w:hint="cs"/>
          <w:rtl/>
          <w:lang w:bidi="ar-EG"/>
        </w:rPr>
        <w:t xml:space="preserve"> </w:t>
      </w:r>
      <w:r w:rsidR="005A5AE7">
        <w:rPr>
          <w:rFonts w:hint="cs"/>
          <w:rtl/>
          <w:lang w:bidi="ar-EG"/>
        </w:rPr>
        <w:t>ونظراً إلى</w:t>
      </w:r>
      <w:r w:rsidR="00C4293A">
        <w:rPr>
          <w:rFonts w:hint="cs"/>
          <w:rtl/>
          <w:lang w:bidi="ar-EG"/>
        </w:rPr>
        <w:t xml:space="preserve"> أن المبادرة جمعية دولية غير هادفة إلى الربح يتألف أعضاؤها من الحكومات المحلية، فإن الأمانة ترى أن هذا الكيان يستوفي المعايير التي وضعها المجلس للإعفاء من رسوم العضوية.</w:t>
      </w:r>
    </w:p>
    <w:p w14:paraId="22F1E40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7D59" w14:textId="77777777" w:rsidR="0086121A" w:rsidRDefault="0086121A" w:rsidP="006C3242">
      <w:pPr>
        <w:spacing w:before="0" w:line="240" w:lineRule="auto"/>
      </w:pPr>
      <w:r>
        <w:separator/>
      </w:r>
    </w:p>
  </w:endnote>
  <w:endnote w:type="continuationSeparator" w:id="0">
    <w:p w14:paraId="5C1803F1" w14:textId="77777777" w:rsidR="0086121A" w:rsidRDefault="0086121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2EF2" w14:textId="77777777" w:rsidR="00E33C4A" w:rsidRDefault="00E33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D4D9274" w14:textId="77777777" w:rsidTr="00357086">
      <w:trPr>
        <w:jc w:val="center"/>
      </w:trPr>
      <w:tc>
        <w:tcPr>
          <w:tcW w:w="868" w:type="pct"/>
          <w:vAlign w:val="center"/>
        </w:tcPr>
        <w:p w14:paraId="13B65B0D" w14:textId="0C469BE8"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2962A4">
            <w:rPr>
              <w:rFonts w:ascii="Calibri" w:hAnsi="Calibri" w:cs="Arial"/>
              <w:sz w:val="18"/>
              <w:szCs w:val="14"/>
            </w:rPr>
            <w:t>521073</w:t>
          </w:r>
        </w:p>
      </w:tc>
      <w:tc>
        <w:tcPr>
          <w:tcW w:w="3912" w:type="pct"/>
        </w:tcPr>
        <w:p w14:paraId="55CFC754" w14:textId="12FEF85B"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962A4">
            <w:rPr>
              <w:rFonts w:ascii="Calibri" w:hAnsi="Calibri" w:cs="Arial"/>
              <w:bCs/>
              <w:color w:val="7F7F7F"/>
              <w:sz w:val="18"/>
            </w:rPr>
            <w:t>39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F1ED7E8"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3F86EAB" w14:textId="5CEFB4E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33C4A">
      <w:rPr>
        <w:color w:val="FFFFFF" w:themeColor="background1"/>
        <w:sz w:val="16"/>
        <w:szCs w:val="16"/>
        <w:lang w:val="fr-FR"/>
      </w:rPr>
      <w:fldChar w:fldCharType="begin"/>
    </w:r>
    <w:r w:rsidRPr="00E33C4A">
      <w:rPr>
        <w:color w:val="FFFFFF" w:themeColor="background1"/>
        <w:sz w:val="16"/>
        <w:szCs w:val="16"/>
        <w:lang w:val="fr-FR"/>
      </w:rPr>
      <w:instrText xml:space="preserve"> FILENAME \p \* MERGEFORMAT </w:instrText>
    </w:r>
    <w:r w:rsidRPr="00E33C4A">
      <w:rPr>
        <w:color w:val="FFFFFF" w:themeColor="background1"/>
        <w:sz w:val="16"/>
        <w:szCs w:val="16"/>
        <w:lang w:val="fr-FR"/>
      </w:rPr>
      <w:fldChar w:fldCharType="separate"/>
    </w:r>
    <w:r w:rsidR="00C754EA" w:rsidRPr="00E33C4A">
      <w:rPr>
        <w:noProof/>
        <w:color w:val="FFFFFF" w:themeColor="background1"/>
        <w:sz w:val="16"/>
        <w:szCs w:val="16"/>
        <w:lang w:val="fr-FR"/>
      </w:rPr>
      <w:t>P:\ARA\SG\CONSEIL\C23\000\039A.docx</w:t>
    </w:r>
    <w:r w:rsidRPr="00E33C4A">
      <w:rPr>
        <w:color w:val="FFFFFF" w:themeColor="background1"/>
        <w:sz w:val="16"/>
        <w:szCs w:val="16"/>
      </w:rPr>
      <w:fldChar w:fldCharType="end"/>
    </w:r>
    <w:r w:rsidRPr="00E33C4A">
      <w:rPr>
        <w:color w:val="FFFFFF" w:themeColor="background1"/>
        <w:sz w:val="16"/>
        <w:szCs w:val="16"/>
        <w:lang w:val="fr-FR"/>
      </w:rPr>
      <w:t xml:space="preserve">   (</w:t>
    </w:r>
    <w:r w:rsidR="002962A4" w:rsidRPr="00E33C4A">
      <w:rPr>
        <w:color w:val="FFFFFF" w:themeColor="background1"/>
        <w:sz w:val="16"/>
        <w:szCs w:val="16"/>
        <w:lang w:val="fr-FR"/>
      </w:rPr>
      <w:t>521073</w:t>
    </w:r>
    <w:r w:rsidRPr="00E33C4A">
      <w:rPr>
        <w:color w:val="FFFFFF" w:themeColor="background1"/>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7CFA98D" w14:textId="77777777" w:rsidTr="00F50E3F">
      <w:trPr>
        <w:jc w:val="center"/>
      </w:trPr>
      <w:tc>
        <w:tcPr>
          <w:tcW w:w="868" w:type="pct"/>
          <w:vAlign w:val="center"/>
        </w:tcPr>
        <w:p w14:paraId="3CCEDF63" w14:textId="77777777" w:rsidR="007B0AA0" w:rsidRPr="007B0AA0" w:rsidRDefault="0000000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75CAB4F" w14:textId="4DF268C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962A4">
            <w:rPr>
              <w:rFonts w:ascii="Calibri" w:hAnsi="Calibri" w:cs="Arial"/>
              <w:bCs/>
              <w:color w:val="7F7F7F"/>
              <w:sz w:val="18"/>
            </w:rPr>
            <w:t>39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24E770"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4A8555A" w14:textId="09141306" w:rsidR="0006468A" w:rsidRPr="00D5045C" w:rsidRDefault="0006468A" w:rsidP="0006468A">
    <w:pPr>
      <w:pStyle w:val="Footer"/>
      <w:tabs>
        <w:tab w:val="clear" w:pos="4153"/>
        <w:tab w:val="clear" w:pos="8306"/>
        <w:tab w:val="center" w:pos="5103"/>
        <w:tab w:val="right" w:pos="9639"/>
      </w:tabs>
      <w:spacing w:before="120"/>
      <w:rPr>
        <w:sz w:val="16"/>
        <w:szCs w:val="16"/>
        <w:lang w:val="fr-FR"/>
      </w:rPr>
    </w:pPr>
    <w:r w:rsidRPr="00E33C4A">
      <w:rPr>
        <w:color w:val="FFFFFF" w:themeColor="background1"/>
        <w:sz w:val="16"/>
        <w:szCs w:val="16"/>
        <w:lang w:val="fr-FR"/>
      </w:rPr>
      <w:fldChar w:fldCharType="begin"/>
    </w:r>
    <w:r w:rsidRPr="00E33C4A">
      <w:rPr>
        <w:color w:val="FFFFFF" w:themeColor="background1"/>
        <w:sz w:val="16"/>
        <w:szCs w:val="16"/>
        <w:lang w:val="fr-FR"/>
      </w:rPr>
      <w:instrText xml:space="preserve"> FILENAME \p \* MERGEFORMAT </w:instrText>
    </w:r>
    <w:r w:rsidRPr="00E33C4A">
      <w:rPr>
        <w:color w:val="FFFFFF" w:themeColor="background1"/>
        <w:sz w:val="16"/>
        <w:szCs w:val="16"/>
        <w:lang w:val="fr-FR"/>
      </w:rPr>
      <w:fldChar w:fldCharType="separate"/>
    </w:r>
    <w:r w:rsidR="005904CA" w:rsidRPr="00E33C4A">
      <w:rPr>
        <w:noProof/>
        <w:color w:val="FFFFFF" w:themeColor="background1"/>
        <w:sz w:val="16"/>
        <w:szCs w:val="16"/>
        <w:lang w:val="fr-FR"/>
      </w:rPr>
      <w:t>P:\ARA\SG\CONSEIL\C23\000\039A.docx</w:t>
    </w:r>
    <w:r w:rsidRPr="00E33C4A">
      <w:rPr>
        <w:color w:val="FFFFFF" w:themeColor="background1"/>
        <w:sz w:val="16"/>
        <w:szCs w:val="16"/>
      </w:rPr>
      <w:fldChar w:fldCharType="end"/>
    </w:r>
    <w:r w:rsidRPr="00E33C4A">
      <w:rPr>
        <w:color w:val="FFFFFF" w:themeColor="background1"/>
        <w:sz w:val="16"/>
        <w:szCs w:val="16"/>
        <w:lang w:val="fr-FR"/>
      </w:rPr>
      <w:t xml:space="preserve">   (</w:t>
    </w:r>
    <w:r w:rsidR="002962A4" w:rsidRPr="00E33C4A">
      <w:rPr>
        <w:color w:val="FFFFFF" w:themeColor="background1"/>
        <w:sz w:val="16"/>
        <w:szCs w:val="16"/>
        <w:lang w:val="fr-FR"/>
      </w:rPr>
      <w:t>521073</w:t>
    </w:r>
    <w:r w:rsidRPr="00E33C4A">
      <w:rPr>
        <w:color w:val="FFFFFF" w:themeColor="background1"/>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179B" w14:textId="77777777" w:rsidR="0086121A" w:rsidRDefault="0086121A" w:rsidP="006C3242">
      <w:pPr>
        <w:spacing w:before="0" w:line="240" w:lineRule="auto"/>
      </w:pPr>
      <w:r>
        <w:separator/>
      </w:r>
    </w:p>
  </w:footnote>
  <w:footnote w:type="continuationSeparator" w:id="0">
    <w:p w14:paraId="1B9EBB77" w14:textId="77777777" w:rsidR="0086121A" w:rsidRDefault="0086121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8C06" w14:textId="77777777" w:rsidR="00E33C4A" w:rsidRDefault="00E33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FF5C" w14:textId="77777777" w:rsidR="00E33C4A" w:rsidRDefault="00E33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2851" w14:textId="77777777" w:rsidR="007B0AA0" w:rsidRDefault="00D13941" w:rsidP="007B0AA0">
    <w:pPr>
      <w:pStyle w:val="Header"/>
      <w:spacing w:before="120" w:after="240"/>
    </w:pPr>
    <w:r>
      <w:rPr>
        <w:noProof/>
      </w:rPr>
      <w:drawing>
        <wp:inline distT="0" distB="0" distL="0" distR="0" wp14:anchorId="0E12CEEC" wp14:editId="0298DDFF">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53"/>
    <w:rsid w:val="000007A3"/>
    <w:rsid w:val="00052D83"/>
    <w:rsid w:val="0006468A"/>
    <w:rsid w:val="000708A8"/>
    <w:rsid w:val="00080D0E"/>
    <w:rsid w:val="00090574"/>
    <w:rsid w:val="00091B86"/>
    <w:rsid w:val="000933EF"/>
    <w:rsid w:val="000B2B6E"/>
    <w:rsid w:val="000C1C0E"/>
    <w:rsid w:val="000C548A"/>
    <w:rsid w:val="000C7D09"/>
    <w:rsid w:val="00143FA1"/>
    <w:rsid w:val="001615AD"/>
    <w:rsid w:val="001C0169"/>
    <w:rsid w:val="001D1D50"/>
    <w:rsid w:val="001D599A"/>
    <w:rsid w:val="001D6745"/>
    <w:rsid w:val="001E446E"/>
    <w:rsid w:val="002154EE"/>
    <w:rsid w:val="002276D2"/>
    <w:rsid w:val="0023283D"/>
    <w:rsid w:val="0025795C"/>
    <w:rsid w:val="0026373E"/>
    <w:rsid w:val="00271C43"/>
    <w:rsid w:val="00290728"/>
    <w:rsid w:val="002962A4"/>
    <w:rsid w:val="002978F4"/>
    <w:rsid w:val="002B028D"/>
    <w:rsid w:val="002C18CE"/>
    <w:rsid w:val="002E6541"/>
    <w:rsid w:val="002E7571"/>
    <w:rsid w:val="002F36A9"/>
    <w:rsid w:val="003019B7"/>
    <w:rsid w:val="00334924"/>
    <w:rsid w:val="00340553"/>
    <w:rsid w:val="003409BC"/>
    <w:rsid w:val="00357185"/>
    <w:rsid w:val="00364881"/>
    <w:rsid w:val="00383829"/>
    <w:rsid w:val="003B44AF"/>
    <w:rsid w:val="003D0A39"/>
    <w:rsid w:val="003E576D"/>
    <w:rsid w:val="003F0392"/>
    <w:rsid w:val="003F4B29"/>
    <w:rsid w:val="00400976"/>
    <w:rsid w:val="0042686F"/>
    <w:rsid w:val="00430BFB"/>
    <w:rsid w:val="004317D8"/>
    <w:rsid w:val="00434183"/>
    <w:rsid w:val="00443869"/>
    <w:rsid w:val="00447F32"/>
    <w:rsid w:val="0047348E"/>
    <w:rsid w:val="004932A7"/>
    <w:rsid w:val="004A4DBB"/>
    <w:rsid w:val="004B7334"/>
    <w:rsid w:val="004E11DC"/>
    <w:rsid w:val="00525DDD"/>
    <w:rsid w:val="005314BE"/>
    <w:rsid w:val="005409AC"/>
    <w:rsid w:val="0055516A"/>
    <w:rsid w:val="00565952"/>
    <w:rsid w:val="0058491B"/>
    <w:rsid w:val="005904CA"/>
    <w:rsid w:val="00592EA5"/>
    <w:rsid w:val="005A3170"/>
    <w:rsid w:val="005A5AE7"/>
    <w:rsid w:val="005F377C"/>
    <w:rsid w:val="005F4CB4"/>
    <w:rsid w:val="00627463"/>
    <w:rsid w:val="00633D36"/>
    <w:rsid w:val="006557C2"/>
    <w:rsid w:val="00674EBA"/>
    <w:rsid w:val="00677396"/>
    <w:rsid w:val="0069200F"/>
    <w:rsid w:val="006A65CB"/>
    <w:rsid w:val="006B009A"/>
    <w:rsid w:val="006C3242"/>
    <w:rsid w:val="006C4D83"/>
    <w:rsid w:val="006C7CC0"/>
    <w:rsid w:val="006F63F7"/>
    <w:rsid w:val="007025C7"/>
    <w:rsid w:val="00706D7A"/>
    <w:rsid w:val="00712E48"/>
    <w:rsid w:val="00716A16"/>
    <w:rsid w:val="00722F0D"/>
    <w:rsid w:val="0072491A"/>
    <w:rsid w:val="0074420E"/>
    <w:rsid w:val="00750D58"/>
    <w:rsid w:val="00783E26"/>
    <w:rsid w:val="007970AA"/>
    <w:rsid w:val="007A6C4E"/>
    <w:rsid w:val="007B0AA0"/>
    <w:rsid w:val="007C3BC7"/>
    <w:rsid w:val="007C3BCD"/>
    <w:rsid w:val="007D4ACF"/>
    <w:rsid w:val="007F0787"/>
    <w:rsid w:val="00810B7B"/>
    <w:rsid w:val="0082358A"/>
    <w:rsid w:val="008235CD"/>
    <w:rsid w:val="008247DE"/>
    <w:rsid w:val="008339C0"/>
    <w:rsid w:val="00837C12"/>
    <w:rsid w:val="00840B10"/>
    <w:rsid w:val="008513CB"/>
    <w:rsid w:val="0086121A"/>
    <w:rsid w:val="008A78B1"/>
    <w:rsid w:val="008A7F84"/>
    <w:rsid w:val="008F614E"/>
    <w:rsid w:val="00901D32"/>
    <w:rsid w:val="00904CDD"/>
    <w:rsid w:val="0091702E"/>
    <w:rsid w:val="00923B0C"/>
    <w:rsid w:val="0094021C"/>
    <w:rsid w:val="00952F86"/>
    <w:rsid w:val="00954C4E"/>
    <w:rsid w:val="00982B28"/>
    <w:rsid w:val="00993291"/>
    <w:rsid w:val="009B64C4"/>
    <w:rsid w:val="009B6ABA"/>
    <w:rsid w:val="009D313F"/>
    <w:rsid w:val="00A47A5A"/>
    <w:rsid w:val="00A6683B"/>
    <w:rsid w:val="00A97F94"/>
    <w:rsid w:val="00AA7EA2"/>
    <w:rsid w:val="00AB51E5"/>
    <w:rsid w:val="00AC3CAD"/>
    <w:rsid w:val="00AF461A"/>
    <w:rsid w:val="00B03099"/>
    <w:rsid w:val="00B05BC8"/>
    <w:rsid w:val="00B1114F"/>
    <w:rsid w:val="00B17888"/>
    <w:rsid w:val="00B3213F"/>
    <w:rsid w:val="00B34353"/>
    <w:rsid w:val="00B479D7"/>
    <w:rsid w:val="00B5081E"/>
    <w:rsid w:val="00B64B47"/>
    <w:rsid w:val="00B8176D"/>
    <w:rsid w:val="00B8397F"/>
    <w:rsid w:val="00B95654"/>
    <w:rsid w:val="00BA1E20"/>
    <w:rsid w:val="00BA1E5D"/>
    <w:rsid w:val="00BB6015"/>
    <w:rsid w:val="00BF72D4"/>
    <w:rsid w:val="00C002DE"/>
    <w:rsid w:val="00C1743E"/>
    <w:rsid w:val="00C402FB"/>
    <w:rsid w:val="00C4293A"/>
    <w:rsid w:val="00C53BF8"/>
    <w:rsid w:val="00C60B59"/>
    <w:rsid w:val="00C66157"/>
    <w:rsid w:val="00C674FE"/>
    <w:rsid w:val="00C67501"/>
    <w:rsid w:val="00C754EA"/>
    <w:rsid w:val="00C75633"/>
    <w:rsid w:val="00CA1433"/>
    <w:rsid w:val="00CE2EE1"/>
    <w:rsid w:val="00CE3349"/>
    <w:rsid w:val="00CE36E5"/>
    <w:rsid w:val="00CF27F5"/>
    <w:rsid w:val="00CF3FFD"/>
    <w:rsid w:val="00D10CCF"/>
    <w:rsid w:val="00D13941"/>
    <w:rsid w:val="00D23EFC"/>
    <w:rsid w:val="00D5045C"/>
    <w:rsid w:val="00D63735"/>
    <w:rsid w:val="00D77D0F"/>
    <w:rsid w:val="00DA0495"/>
    <w:rsid w:val="00DA1C6C"/>
    <w:rsid w:val="00DA1CF0"/>
    <w:rsid w:val="00DC1E02"/>
    <w:rsid w:val="00DC24B4"/>
    <w:rsid w:val="00DC5FB0"/>
    <w:rsid w:val="00DF16DC"/>
    <w:rsid w:val="00E05178"/>
    <w:rsid w:val="00E33C4A"/>
    <w:rsid w:val="00E3415D"/>
    <w:rsid w:val="00E45211"/>
    <w:rsid w:val="00E473C5"/>
    <w:rsid w:val="00E61BE8"/>
    <w:rsid w:val="00E66CF1"/>
    <w:rsid w:val="00E92863"/>
    <w:rsid w:val="00EB796D"/>
    <w:rsid w:val="00EC0C22"/>
    <w:rsid w:val="00EC42C7"/>
    <w:rsid w:val="00EF776D"/>
    <w:rsid w:val="00F058DC"/>
    <w:rsid w:val="00F24FC4"/>
    <w:rsid w:val="00F2676C"/>
    <w:rsid w:val="00F34DD7"/>
    <w:rsid w:val="00F363FE"/>
    <w:rsid w:val="00F50E3F"/>
    <w:rsid w:val="00F615BC"/>
    <w:rsid w:val="00F61626"/>
    <w:rsid w:val="00F718C1"/>
    <w:rsid w:val="00F84366"/>
    <w:rsid w:val="00F85089"/>
    <w:rsid w:val="00F974C5"/>
    <w:rsid w:val="00FA6F46"/>
    <w:rsid w:val="00FC4592"/>
    <w:rsid w:val="00FD527F"/>
    <w:rsid w:val="00FE5872"/>
    <w:rsid w:val="00FE7FCA"/>
    <w:rsid w:val="00FF2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A13B9"/>
  <w15:chartTrackingRefBased/>
  <w15:docId w15:val="{6E58978A-719E-4916-83D6-055204A8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2A4"/>
    <w:rPr>
      <w:color w:val="605E5C"/>
      <w:shd w:val="clear" w:color="auto" w:fill="E1DFDD"/>
    </w:rPr>
  </w:style>
  <w:style w:type="paragraph" w:customStyle="1" w:styleId="TableHead0">
    <w:name w:val="Table_Head"/>
    <w:basedOn w:val="Normal"/>
    <w:rsid w:val="002962A4"/>
    <w:pPr>
      <w:keepNext/>
      <w:tabs>
        <w:tab w:val="left" w:pos="284"/>
        <w:tab w:val="left" w:pos="567"/>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SimSun" w:hAnsi="Times New Roman" w:cs="Times New Roman"/>
      <w:b/>
      <w:sz w:val="24"/>
      <w:szCs w:val="20"/>
      <w:lang w:val="en-GB" w:eastAsia="en-US"/>
    </w:rPr>
  </w:style>
  <w:style w:type="paragraph" w:customStyle="1" w:styleId="TableText">
    <w:name w:val="Table_Text"/>
    <w:basedOn w:val="Normal"/>
    <w:rsid w:val="002962A4"/>
    <w:pPr>
      <w:tabs>
        <w:tab w:val="left" w:pos="284"/>
        <w:tab w:val="left" w:pos="567"/>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SimSun" w:hAnsi="Times New Roman" w:cs="Times New Roman"/>
      <w:sz w:val="24"/>
      <w:szCs w:val="20"/>
      <w:lang w:val="en-GB" w:eastAsia="en-US"/>
    </w:rPr>
  </w:style>
  <w:style w:type="paragraph" w:styleId="Revision">
    <w:name w:val="Revision"/>
    <w:hidden/>
    <w:uiPriority w:val="99"/>
    <w:semiHidden/>
    <w:rsid w:val="00674EB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gs/council/c00/docs/28rev1.html" TargetMode="External"/><Relationship Id="rId13" Type="http://schemas.openxmlformats.org/officeDocument/2006/relationships/hyperlink" Target="https://www.itu.int/hub/membership/itu-family/organizations/exempted-entit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19-CL-C-0141/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5" Type="http://schemas.openxmlformats.org/officeDocument/2006/relationships/webSettings" Target="webSettings.xml"/><Relationship Id="rId15" Type="http://schemas.openxmlformats.org/officeDocument/2006/relationships/hyperlink" Target="https://www.itu.int/md/S22-CL-C-0100/en" TargetMode="External"/><Relationship Id="rId23" Type="http://schemas.openxmlformats.org/officeDocument/2006/relationships/theme" Target="theme/theme1.xml"/><Relationship Id="rId10" Type="http://schemas.openxmlformats.org/officeDocument/2006/relationships/hyperlink" Target="https://www.itu.int/hub/membership/our-members/exempted-entit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9-CL-C-0141/en" TargetMode="External"/><Relationship Id="rId14" Type="http://schemas.openxmlformats.org/officeDocument/2006/relationships/hyperlink" Target="https://www.itu.int/hub/membership/itu-family/organizations/exempted-entities/exemption-criteria/"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Xue, Kun</cp:lastModifiedBy>
  <cp:revision>3</cp:revision>
  <dcterms:created xsi:type="dcterms:W3CDTF">2023-07-07T14:54:00Z</dcterms:created>
  <dcterms:modified xsi:type="dcterms:W3CDTF">2023-07-07T14:55:00Z</dcterms:modified>
</cp:coreProperties>
</file>