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ED4F16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01453828" w:rsidR="00D72F49" w:rsidRPr="00ED4F16" w:rsidRDefault="00D72F49" w:rsidP="001B7C41">
            <w:pPr>
              <w:tabs>
                <w:tab w:val="left" w:pos="851"/>
              </w:tabs>
              <w:spacing w:before="0"/>
              <w:rPr>
                <w:b/>
              </w:rPr>
            </w:pPr>
            <w:r w:rsidRPr="00ED4F16">
              <w:rPr>
                <w:b/>
              </w:rPr>
              <w:t>Point de l</w:t>
            </w:r>
            <w:r w:rsidR="00C50779" w:rsidRPr="00ED4F16">
              <w:rPr>
                <w:b/>
              </w:rPr>
              <w:t>'</w:t>
            </w:r>
            <w:r w:rsidRPr="00ED4F16">
              <w:rPr>
                <w:b/>
              </w:rPr>
              <w:t xml:space="preserve">ordre du jour: </w:t>
            </w:r>
            <w:r w:rsidR="008106C1" w:rsidRPr="00ED4F16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7B6A98A" w14:textId="4464595B" w:rsidR="00D72F49" w:rsidRPr="00ED4F16" w:rsidRDefault="00D72F49" w:rsidP="001B7C4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D4F16">
              <w:rPr>
                <w:b/>
              </w:rPr>
              <w:t>Document C23/</w:t>
            </w:r>
            <w:r w:rsidR="008106C1" w:rsidRPr="00ED4F16">
              <w:rPr>
                <w:b/>
              </w:rPr>
              <w:t>39</w:t>
            </w:r>
            <w:r w:rsidRPr="00ED4F16">
              <w:rPr>
                <w:b/>
              </w:rPr>
              <w:t>-F</w:t>
            </w:r>
          </w:p>
        </w:tc>
      </w:tr>
      <w:tr w:rsidR="00D72F49" w:rsidRPr="00ED4F16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ED4F16" w:rsidRDefault="00D72F49" w:rsidP="001B7C4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5EA1A50C" w:rsidR="00D72F49" w:rsidRPr="00ED4F16" w:rsidRDefault="008106C1" w:rsidP="001B7C4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D4F16">
              <w:rPr>
                <w:b/>
              </w:rPr>
              <w:t>9 juin</w:t>
            </w:r>
            <w:r w:rsidR="00D72F49" w:rsidRPr="00ED4F16">
              <w:rPr>
                <w:b/>
              </w:rPr>
              <w:t xml:space="preserve"> 2023</w:t>
            </w:r>
          </w:p>
        </w:tc>
      </w:tr>
      <w:tr w:rsidR="00D72F49" w:rsidRPr="00ED4F16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ED4F16" w:rsidRDefault="00D72F49" w:rsidP="001B7C4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D4F16" w:rsidRDefault="00D72F49" w:rsidP="001B7C4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D4F16">
              <w:rPr>
                <w:b/>
              </w:rPr>
              <w:t>Original: anglais</w:t>
            </w:r>
          </w:p>
        </w:tc>
      </w:tr>
      <w:tr w:rsidR="00D72F49" w:rsidRPr="00ED4F16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ED4F16" w:rsidRDefault="00D72F49" w:rsidP="001B7C4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ED4F16" w:rsidRDefault="00D72F49" w:rsidP="001B7C4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ED4F16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411366F8" w:rsidR="00D72F49" w:rsidRPr="00ED4F16" w:rsidRDefault="00D72F49" w:rsidP="001B7C41">
            <w:pPr>
              <w:pStyle w:val="Source"/>
              <w:jc w:val="left"/>
              <w:rPr>
                <w:sz w:val="34"/>
                <w:szCs w:val="34"/>
              </w:rPr>
            </w:pPr>
            <w:r w:rsidRPr="00ED4F16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ED4F16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ED4F16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ED4F16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ED4F16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1839E8CF" w:rsidR="00D72F49" w:rsidRPr="00ED4F16" w:rsidRDefault="00AC2133" w:rsidP="001B7C41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ED4F16">
              <w:rPr>
                <w:rFonts w:cstheme="minorHAnsi"/>
                <w:lang w:val="fr-FR"/>
              </w:rPr>
              <w:t>NOUVELLES DEMANDES D</w:t>
            </w:r>
            <w:r w:rsidR="00C50779" w:rsidRPr="00ED4F16">
              <w:rPr>
                <w:rFonts w:cstheme="minorHAnsi"/>
                <w:lang w:val="fr-FR"/>
              </w:rPr>
              <w:t>'</w:t>
            </w:r>
            <w:r w:rsidRPr="00ED4F16">
              <w:rPr>
                <w:rFonts w:cstheme="minorHAnsi"/>
                <w:lang w:val="fr-FR"/>
              </w:rPr>
              <w:t xml:space="preserve">EXONÉRATION </w:t>
            </w:r>
            <w:r w:rsidR="00AD46F5" w:rsidRPr="00ED4F16">
              <w:rPr>
                <w:rFonts w:cstheme="minorHAnsi"/>
                <w:lang w:val="fr-FR"/>
              </w:rPr>
              <w:t>DU PAIEMENT</w:t>
            </w:r>
            <w:r w:rsidR="00A619F1" w:rsidRPr="00ED4F16">
              <w:rPr>
                <w:rFonts w:cstheme="minorHAnsi"/>
                <w:lang w:val="fr-FR"/>
              </w:rPr>
              <w:br/>
            </w:r>
            <w:r w:rsidR="00AD46F5" w:rsidRPr="00ED4F16">
              <w:rPr>
                <w:rFonts w:cstheme="minorHAnsi"/>
                <w:lang w:val="fr-FR"/>
              </w:rPr>
              <w:t>DE</w:t>
            </w:r>
            <w:r w:rsidR="00A619F1" w:rsidRPr="00ED4F16">
              <w:rPr>
                <w:rFonts w:cstheme="minorHAnsi"/>
                <w:lang w:val="fr-FR"/>
              </w:rPr>
              <w:t xml:space="preserve"> </w:t>
            </w:r>
            <w:r w:rsidR="00AD46F5" w:rsidRPr="00ED4F16">
              <w:rPr>
                <w:rFonts w:cstheme="minorHAnsi"/>
                <w:lang w:val="fr-FR"/>
              </w:rPr>
              <w:t>DROITS POUR LES ORGANISATIONS AYANT</w:t>
            </w:r>
            <w:r w:rsidR="00A619F1" w:rsidRPr="00ED4F16">
              <w:rPr>
                <w:rFonts w:cstheme="minorHAnsi"/>
                <w:lang w:val="fr-FR"/>
              </w:rPr>
              <w:br/>
            </w:r>
            <w:r w:rsidR="00AD46F5" w:rsidRPr="00ED4F16">
              <w:rPr>
                <w:rFonts w:cstheme="minorHAnsi"/>
                <w:lang w:val="fr-FR"/>
              </w:rPr>
              <w:t>UN</w:t>
            </w:r>
            <w:r w:rsidR="00A619F1" w:rsidRPr="00ED4F16">
              <w:rPr>
                <w:rFonts w:cstheme="minorHAnsi"/>
                <w:lang w:val="fr-FR"/>
              </w:rPr>
              <w:t xml:space="preserve"> </w:t>
            </w:r>
            <w:r w:rsidR="00AD46F5" w:rsidRPr="00ED4F16">
              <w:rPr>
                <w:rFonts w:cstheme="minorHAnsi"/>
                <w:lang w:val="fr-FR"/>
              </w:rPr>
              <w:t>CARACTÈRE INTERNATIONAL</w:t>
            </w:r>
          </w:p>
        </w:tc>
      </w:tr>
      <w:tr w:rsidR="00D72F49" w:rsidRPr="00ED4F16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05605813" w:rsidR="00D72F49" w:rsidRPr="00ED4F16" w:rsidRDefault="00F37FE5" w:rsidP="001B7C4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D4F16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13E71192" w:rsidR="00D72F49" w:rsidRPr="00ED4F16" w:rsidRDefault="008106C1" w:rsidP="001B7C41">
            <w:r w:rsidRPr="00ED4F16">
              <w:t>Chaque année, l</w:t>
            </w:r>
            <w:r w:rsidR="00C50779" w:rsidRPr="00ED4F16">
              <w:t>'</w:t>
            </w:r>
            <w:r w:rsidRPr="00ED4F16">
              <w:t>UIT reçoit des demandes d</w:t>
            </w:r>
            <w:r w:rsidR="00C50779" w:rsidRPr="00ED4F16">
              <w:t>'</w:t>
            </w:r>
            <w:r w:rsidRPr="00ED4F16">
              <w:t>organisations ayant un caractère international sollicitant l</w:t>
            </w:r>
            <w:r w:rsidR="00C50779" w:rsidRPr="00ED4F16">
              <w:t>'</w:t>
            </w:r>
            <w:r w:rsidRPr="00ED4F16">
              <w:t>exonération du paiement des droits de membre et d</w:t>
            </w:r>
            <w:r w:rsidR="00C50779" w:rsidRPr="00ED4F16">
              <w:t>'</w:t>
            </w:r>
            <w:r w:rsidRPr="00ED4F16">
              <w:t>autres contributions financières à l</w:t>
            </w:r>
            <w:r w:rsidR="00C50779" w:rsidRPr="00ED4F16">
              <w:t>'</w:t>
            </w:r>
            <w:r w:rsidRPr="00ED4F16">
              <w:t>Union sur la base de la réciprocité. Ces nouvelles demandes sont examinées par le secrétariat d</w:t>
            </w:r>
            <w:r w:rsidR="00C50779" w:rsidRPr="00ED4F16">
              <w:t>'</w:t>
            </w:r>
            <w:r w:rsidRPr="00ED4F16">
              <w:t>après les critères établis par le Conseil de l</w:t>
            </w:r>
            <w:r w:rsidR="00C50779" w:rsidRPr="00ED4F16">
              <w:t>'</w:t>
            </w:r>
            <w:r w:rsidRPr="00ED4F16">
              <w:t>UIT.</w:t>
            </w:r>
          </w:p>
          <w:p w14:paraId="0B950982" w14:textId="77777777" w:rsidR="00D72F49" w:rsidRPr="00ED4F16" w:rsidRDefault="00D72F49" w:rsidP="001B7C4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D4F16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004B4F00" w:rsidR="00D72F49" w:rsidRPr="00ED4F16" w:rsidRDefault="008106C1" w:rsidP="001B7C41">
            <w:bookmarkStart w:id="0" w:name="lt_pId019"/>
            <w:r w:rsidRPr="00ED4F16">
              <w:t xml:space="preserve">Le Conseil est invité à </w:t>
            </w:r>
            <w:r w:rsidRPr="00ED4F16">
              <w:rPr>
                <w:b/>
                <w:bCs/>
              </w:rPr>
              <w:t>examiner</w:t>
            </w:r>
            <w:r w:rsidRPr="00ED4F16">
              <w:t xml:space="preserve"> les recommandations </w:t>
            </w:r>
            <w:r w:rsidR="003C13F4" w:rsidRPr="00ED4F16">
              <w:t xml:space="preserve">de la </w:t>
            </w:r>
            <w:r w:rsidRPr="00ED4F16">
              <w:t>Secrétaire général</w:t>
            </w:r>
            <w:r w:rsidR="003C13F4" w:rsidRPr="00ED4F16">
              <w:t>e</w:t>
            </w:r>
            <w:r w:rsidRPr="00ED4F16">
              <w:t xml:space="preserve"> concernant les nouvelles demandes d</w:t>
            </w:r>
            <w:r w:rsidR="00C50779" w:rsidRPr="00ED4F16">
              <w:t>'</w:t>
            </w:r>
            <w:r w:rsidRPr="00ED4F16">
              <w:t>exonération.</w:t>
            </w:r>
            <w:bookmarkEnd w:id="0"/>
          </w:p>
          <w:p w14:paraId="121C402A" w14:textId="4FDE1FF1" w:rsidR="00D72F49" w:rsidRPr="00ED4F16" w:rsidRDefault="00D72F49" w:rsidP="001B7C4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D4F16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ED4F16">
              <w:rPr>
                <w:b/>
                <w:bCs/>
                <w:sz w:val="26"/>
                <w:szCs w:val="26"/>
              </w:rPr>
              <w:t>p</w:t>
            </w:r>
            <w:r w:rsidRPr="00ED4F16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34750A63" w:rsidR="00D72F49" w:rsidRPr="00ED4F16" w:rsidRDefault="006F531F" w:rsidP="001B7C41">
            <w:r w:rsidRPr="00ED4F16">
              <w:t>Travaux reposant sur les contributions des membres</w:t>
            </w:r>
            <w:r w:rsidR="008106C1" w:rsidRPr="00ED4F16">
              <w:t>.</w:t>
            </w:r>
          </w:p>
          <w:p w14:paraId="11FAADC9" w14:textId="3F8E58AC" w:rsidR="00E95647" w:rsidRPr="00ED4F16" w:rsidRDefault="00D72F49" w:rsidP="001B7C4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D4F16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7A429066" w:rsidR="00D72F49" w:rsidRPr="00ED4F16" w:rsidRDefault="004A4776" w:rsidP="00196ABF">
            <w:r w:rsidRPr="00ED4F16">
              <w:t xml:space="preserve">La valeur totale des droits de membre pour les entités que le </w:t>
            </w:r>
            <w:r w:rsidR="00407021" w:rsidRPr="00ED4F16">
              <w:t>s</w:t>
            </w:r>
            <w:r w:rsidRPr="00ED4F16">
              <w:t>ecrétariat recommande d</w:t>
            </w:r>
            <w:r w:rsidR="00C50779" w:rsidRPr="00ED4F16">
              <w:t>'</w:t>
            </w:r>
            <w:r w:rsidRPr="00ED4F16">
              <w:t>approuver s</w:t>
            </w:r>
            <w:r w:rsidR="00C50779" w:rsidRPr="00ED4F16">
              <w:t>'</w:t>
            </w:r>
            <w:r w:rsidRPr="00ED4F16">
              <w:t>élève à 174 900 CHF.</w:t>
            </w:r>
          </w:p>
          <w:p w14:paraId="2E44E753" w14:textId="77777777" w:rsidR="00D72F49" w:rsidRPr="00ED4F16" w:rsidRDefault="00D72F49" w:rsidP="001B7C41">
            <w:pPr>
              <w:spacing w:before="160"/>
              <w:rPr>
                <w:caps/>
                <w:sz w:val="22"/>
              </w:rPr>
            </w:pPr>
            <w:r w:rsidRPr="00ED4F16">
              <w:rPr>
                <w:sz w:val="22"/>
              </w:rPr>
              <w:t>__________________</w:t>
            </w:r>
          </w:p>
          <w:p w14:paraId="246B160C" w14:textId="77777777" w:rsidR="00D72F49" w:rsidRPr="00ED4F16" w:rsidRDefault="00D72F49" w:rsidP="001B7C4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D4F16">
              <w:rPr>
                <w:b/>
                <w:bCs/>
                <w:sz w:val="26"/>
                <w:szCs w:val="26"/>
              </w:rPr>
              <w:t>Références</w:t>
            </w:r>
          </w:p>
          <w:bookmarkStart w:id="1" w:name="lt_pId021"/>
          <w:p w14:paraId="3B399B5C" w14:textId="4F1DCAA1" w:rsidR="00D72F49" w:rsidRPr="00ED4F16" w:rsidRDefault="00EA61B6" w:rsidP="001B7C41">
            <w:pPr>
              <w:spacing w:after="160"/>
            </w:pPr>
            <w:r w:rsidRPr="00ED4F16">
              <w:rPr>
                <w:i/>
                <w:iCs/>
              </w:rPr>
              <w:fldChar w:fldCharType="begin"/>
            </w:r>
            <w:r w:rsidRPr="00ED4F16">
              <w:rPr>
                <w:i/>
                <w:iCs/>
              </w:rPr>
              <w:instrText xml:space="preserve"> HYPERLINK "http://www.itu.int/itudoc/gs/council/c00/docs/28rev1.html" </w:instrText>
            </w:r>
            <w:r w:rsidRPr="00ED4F16">
              <w:rPr>
                <w:i/>
                <w:iCs/>
              </w:rPr>
            </w:r>
            <w:r w:rsidRPr="00ED4F16">
              <w:rPr>
                <w:i/>
                <w:iCs/>
              </w:rPr>
              <w:fldChar w:fldCharType="separate"/>
            </w:r>
            <w:r w:rsidRPr="00ED4F16">
              <w:rPr>
                <w:rStyle w:val="Hyperlink"/>
                <w:i/>
                <w:iCs/>
              </w:rPr>
              <w:t>Document C2000/28(Rév.1)</w:t>
            </w:r>
            <w:r w:rsidRPr="00ED4F16">
              <w:fldChar w:fldCharType="end"/>
            </w:r>
            <w:r w:rsidRPr="00ED4F16">
              <w:t>,</w:t>
            </w:r>
            <w:r w:rsidRPr="00ED4F16">
              <w:rPr>
                <w:i/>
                <w:iCs/>
              </w:rPr>
              <w:t xml:space="preserve"> </w:t>
            </w:r>
            <w:hyperlink r:id="rId7" w:history="1">
              <w:r w:rsidRPr="00ED4F16">
                <w:rPr>
                  <w:rStyle w:val="Hyperlink"/>
                  <w:i/>
                  <w:iCs/>
                </w:rPr>
                <w:t>Résolution 925 du Conseil</w:t>
              </w:r>
            </w:hyperlink>
            <w:r w:rsidRPr="00ED4F16">
              <w:rPr>
                <w:i/>
                <w:iCs/>
              </w:rPr>
              <w:t xml:space="preserve">, </w:t>
            </w:r>
            <w:hyperlink r:id="rId8" w:anchor="/fr" w:history="1">
              <w:r w:rsidRPr="00ED4F16">
                <w:rPr>
                  <w:rStyle w:val="Hyperlink"/>
                  <w:i/>
                  <w:iCs/>
                </w:rPr>
                <w:t>Critères d</w:t>
              </w:r>
              <w:r w:rsidR="00C50779" w:rsidRPr="00ED4F16">
                <w:rPr>
                  <w:rStyle w:val="Hyperlink"/>
                  <w:i/>
                  <w:iCs/>
                </w:rPr>
                <w:t>'</w:t>
              </w:r>
              <w:r w:rsidRPr="00ED4F16">
                <w:rPr>
                  <w:rStyle w:val="Hyperlink"/>
                  <w:i/>
                  <w:iCs/>
                </w:rPr>
                <w:t>exonération établis par le Conseil (Rév.2017)</w:t>
              </w:r>
              <w:bookmarkEnd w:id="1"/>
            </w:hyperlink>
          </w:p>
        </w:tc>
      </w:tr>
    </w:tbl>
    <w:p w14:paraId="3B7150AC" w14:textId="77777777" w:rsidR="00A51849" w:rsidRPr="00ED4F16" w:rsidRDefault="00A51849" w:rsidP="001B7C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D4F16">
        <w:br w:type="page"/>
      </w:r>
    </w:p>
    <w:p w14:paraId="11F2D736" w14:textId="77777777" w:rsidR="00EA61B6" w:rsidRPr="00ED4F16" w:rsidRDefault="00EA61B6" w:rsidP="001B7C41">
      <w:pPr>
        <w:pStyle w:val="Heading1"/>
        <w:rPr>
          <w:rFonts w:eastAsia="Calibri"/>
        </w:rPr>
      </w:pPr>
      <w:r w:rsidRPr="00ED4F16">
        <w:rPr>
          <w:rFonts w:eastAsia="Calibri"/>
        </w:rPr>
        <w:lastRenderedPageBreak/>
        <w:t>1</w:t>
      </w:r>
      <w:r w:rsidRPr="00ED4F16">
        <w:rPr>
          <w:rFonts w:eastAsia="Calibri"/>
        </w:rPr>
        <w:tab/>
        <w:t>Généralités</w:t>
      </w:r>
    </w:p>
    <w:p w14:paraId="2C36EEDC" w14:textId="74CEC406" w:rsidR="00EA61B6" w:rsidRPr="00ED4F16" w:rsidRDefault="00EA61B6" w:rsidP="001B7C41">
      <w:pPr>
        <w:rPr>
          <w:rFonts w:eastAsia="Calibri" w:cs="Calibri"/>
        </w:rPr>
      </w:pPr>
      <w:r w:rsidRPr="00ED4F16">
        <w:t>1.1</w:t>
      </w:r>
      <w:r w:rsidRPr="00ED4F16">
        <w:tab/>
      </w:r>
      <w:r w:rsidRPr="00ED4F16">
        <w:rPr>
          <w:rFonts w:eastAsia="Calibri" w:cs="Calibri"/>
        </w:rPr>
        <w:t>Chaque année, l</w:t>
      </w:r>
      <w:r w:rsidR="00C50779" w:rsidRPr="00ED4F16">
        <w:rPr>
          <w:rFonts w:eastAsia="Calibri" w:cs="Calibri"/>
        </w:rPr>
        <w:t>'</w:t>
      </w:r>
      <w:r w:rsidRPr="00ED4F16">
        <w:rPr>
          <w:rFonts w:eastAsia="Calibri" w:cs="Calibri"/>
        </w:rPr>
        <w:t>UIT reçoit des demandes d</w:t>
      </w:r>
      <w:r w:rsidR="00C50779" w:rsidRPr="00ED4F16">
        <w:rPr>
          <w:rFonts w:eastAsia="Calibri" w:cs="Calibri"/>
        </w:rPr>
        <w:t>'</w:t>
      </w:r>
      <w:r w:rsidRPr="00ED4F16">
        <w:rPr>
          <w:rFonts w:eastAsia="Calibri" w:cs="Calibri"/>
        </w:rPr>
        <w:t>organisations ayant un caractère international sollicitant l</w:t>
      </w:r>
      <w:r w:rsidR="00C50779" w:rsidRPr="00ED4F16">
        <w:rPr>
          <w:rFonts w:eastAsia="Calibri" w:cs="Calibri"/>
        </w:rPr>
        <w:t>'</w:t>
      </w:r>
      <w:r w:rsidRPr="00ED4F16">
        <w:rPr>
          <w:rFonts w:eastAsia="Calibri" w:cs="Calibri"/>
        </w:rPr>
        <w:t>exonération du paiement des droits de membre et d</w:t>
      </w:r>
      <w:r w:rsidR="00C50779" w:rsidRPr="00ED4F16">
        <w:rPr>
          <w:rFonts w:eastAsia="Calibri" w:cs="Calibri"/>
        </w:rPr>
        <w:t>'</w:t>
      </w:r>
      <w:r w:rsidRPr="00ED4F16">
        <w:rPr>
          <w:rFonts w:eastAsia="Calibri" w:cs="Calibri"/>
        </w:rPr>
        <w:t>autres contributions financières à l</w:t>
      </w:r>
      <w:r w:rsidR="00C50779" w:rsidRPr="00ED4F16">
        <w:rPr>
          <w:rFonts w:eastAsia="Calibri" w:cs="Calibri"/>
        </w:rPr>
        <w:t>'</w:t>
      </w:r>
      <w:r w:rsidRPr="00ED4F16">
        <w:rPr>
          <w:rFonts w:eastAsia="Calibri" w:cs="Calibri"/>
        </w:rPr>
        <w:t>Union sur la base de la réciprocité. Ces demandes sont examinées conformément à la procédure établie par le Conseil de l</w:t>
      </w:r>
      <w:r w:rsidR="00C50779" w:rsidRPr="00ED4F16">
        <w:rPr>
          <w:rFonts w:eastAsia="Calibri" w:cs="Calibri"/>
        </w:rPr>
        <w:t>'</w:t>
      </w:r>
      <w:r w:rsidRPr="00ED4F16">
        <w:rPr>
          <w:rFonts w:eastAsia="Calibri" w:cs="Calibri"/>
        </w:rPr>
        <w:t>UIT à sa session de 2000 (</w:t>
      </w:r>
      <w:r w:rsidR="00C14B55" w:rsidRPr="00ED4F16">
        <w:rPr>
          <w:rFonts w:eastAsia="Calibri" w:cs="Calibri"/>
        </w:rPr>
        <w:t xml:space="preserve">voir le Document </w:t>
      </w:r>
      <w:hyperlink r:id="rId9" w:history="1">
        <w:r w:rsidRPr="00ED4F16">
          <w:rPr>
            <w:rStyle w:val="Hyperlink"/>
            <w:rFonts w:eastAsia="Calibri" w:cs="Calibri"/>
          </w:rPr>
          <w:t>C2000/28(Rév.1)</w:t>
        </w:r>
      </w:hyperlink>
      <w:r w:rsidRPr="00ED4F16">
        <w:rPr>
          <w:rFonts w:eastAsia="Calibri" w:cs="Calibri"/>
        </w:rPr>
        <w:t xml:space="preserve">), au numéro 476 de la Convention </w:t>
      </w:r>
      <w:r w:rsidR="00C14B55" w:rsidRPr="00ED4F16">
        <w:rPr>
          <w:rFonts w:eastAsia="Calibri" w:cs="Calibri"/>
        </w:rPr>
        <w:t>de l</w:t>
      </w:r>
      <w:r w:rsidR="00C50779" w:rsidRPr="00ED4F16">
        <w:rPr>
          <w:rFonts w:eastAsia="Calibri" w:cs="Calibri"/>
        </w:rPr>
        <w:t>'</w:t>
      </w:r>
      <w:r w:rsidR="00C14B55" w:rsidRPr="00ED4F16">
        <w:rPr>
          <w:rFonts w:eastAsia="Calibri" w:cs="Calibri"/>
        </w:rPr>
        <w:t xml:space="preserve">UIT </w:t>
      </w:r>
      <w:r w:rsidRPr="00ED4F16">
        <w:rPr>
          <w:rFonts w:eastAsia="Calibri" w:cs="Calibri"/>
        </w:rPr>
        <w:t xml:space="preserve">et à la </w:t>
      </w:r>
      <w:hyperlink r:id="rId10" w:history="1">
        <w:r w:rsidRPr="00ED4F16">
          <w:rPr>
            <w:rStyle w:val="Hyperlink"/>
            <w:rFonts w:eastAsia="Calibri" w:cs="Calibri"/>
          </w:rPr>
          <w:t>Résolution 925 du Conseil</w:t>
        </w:r>
        <w:r w:rsidRPr="00ED4F16">
          <w:rPr>
            <w:rStyle w:val="Hyperlink"/>
          </w:rPr>
          <w:t xml:space="preserve"> </w:t>
        </w:r>
        <w:r w:rsidRPr="00ED4F16">
          <w:rPr>
            <w:rStyle w:val="Hyperlink"/>
            <w:rFonts w:eastAsia="Calibri"/>
          </w:rPr>
          <w:t xml:space="preserve">(C-1985, </w:t>
        </w:r>
        <w:r w:rsidR="00FF27B6" w:rsidRPr="00ED4F16">
          <w:rPr>
            <w:rStyle w:val="Hyperlink"/>
            <w:rFonts w:eastAsia="Calibri"/>
          </w:rPr>
          <w:t>modifiée pour la dernière fois en 2019</w:t>
        </w:r>
        <w:r w:rsidRPr="00ED4F16">
          <w:rPr>
            <w:rStyle w:val="Hyperlink"/>
            <w:rFonts w:eastAsia="Calibri"/>
          </w:rPr>
          <w:t>)</w:t>
        </w:r>
      </w:hyperlink>
      <w:r w:rsidRPr="00ED4F16">
        <w:rPr>
          <w:rFonts w:eastAsia="Calibri" w:cs="Calibri"/>
        </w:rPr>
        <w:t>,</w:t>
      </w:r>
      <w:r w:rsidR="00FF27B6" w:rsidRPr="00ED4F16">
        <w:rPr>
          <w:rFonts w:eastAsia="Calibri" w:cs="Calibri"/>
        </w:rPr>
        <w:t xml:space="preserve"> </w:t>
      </w:r>
      <w:r w:rsidR="00BE1665" w:rsidRPr="00ED4F16">
        <w:rPr>
          <w:rFonts w:eastAsia="Calibri" w:cs="Calibri"/>
        </w:rPr>
        <w:t>ainsi qu</w:t>
      </w:r>
      <w:r w:rsidR="00C50779" w:rsidRPr="00ED4F16">
        <w:rPr>
          <w:rFonts w:eastAsia="Calibri" w:cs="Calibri"/>
        </w:rPr>
        <w:t>'</w:t>
      </w:r>
      <w:r w:rsidR="00BE1665" w:rsidRPr="00ED4F16">
        <w:rPr>
          <w:rFonts w:eastAsia="Calibri" w:cs="Calibri"/>
        </w:rPr>
        <w:t xml:space="preserve">aux critères établis par le Conseil et révisés </w:t>
      </w:r>
      <w:r w:rsidR="000A7DA9" w:rsidRPr="00ED4F16">
        <w:rPr>
          <w:rFonts w:eastAsia="Calibri" w:cs="Calibri"/>
        </w:rPr>
        <w:t>à sa session de</w:t>
      </w:r>
      <w:r w:rsidR="00107170" w:rsidRPr="00ED4F16">
        <w:rPr>
          <w:rFonts w:eastAsia="Calibri" w:cs="Calibri"/>
        </w:rPr>
        <w:t xml:space="preserve"> 2017 </w:t>
      </w:r>
      <w:r w:rsidRPr="00ED4F16">
        <w:rPr>
          <w:rFonts w:eastAsia="Calibri" w:cs="Calibri"/>
        </w:rPr>
        <w:t>(</w:t>
      </w:r>
      <w:r w:rsidR="000A7DA9" w:rsidRPr="00ED4F16">
        <w:rPr>
          <w:rFonts w:eastAsia="Calibri" w:cs="Calibri"/>
        </w:rPr>
        <w:t>voir le</w:t>
      </w:r>
      <w:r w:rsidR="00F21AF0" w:rsidRPr="00ED4F16">
        <w:rPr>
          <w:rFonts w:eastAsia="Calibri" w:cs="Calibri"/>
        </w:rPr>
        <w:t xml:space="preserve"> </w:t>
      </w:r>
      <w:r w:rsidRPr="00ED4F16">
        <w:rPr>
          <w:rFonts w:eastAsia="Calibri" w:cs="Calibri"/>
        </w:rPr>
        <w:t xml:space="preserve">point 1.5 </w:t>
      </w:r>
      <w:r w:rsidR="007D022E" w:rsidRPr="00ED4F16">
        <w:rPr>
          <w:rFonts w:eastAsia="Calibri" w:cs="Calibri"/>
        </w:rPr>
        <w:t>ci-dessous</w:t>
      </w:r>
      <w:r w:rsidRPr="00ED4F16">
        <w:rPr>
          <w:rFonts w:eastAsia="Calibri" w:cs="Calibri"/>
        </w:rPr>
        <w:t>).</w:t>
      </w:r>
    </w:p>
    <w:p w14:paraId="1EE552ED" w14:textId="14AE00A2" w:rsidR="00EA61B6" w:rsidRPr="00ED4F16" w:rsidRDefault="00EA61B6" w:rsidP="001B7C41">
      <w:pPr>
        <w:rPr>
          <w:lang w:eastAsia="zh-CN"/>
        </w:rPr>
      </w:pPr>
      <w:r w:rsidRPr="00ED4F16">
        <w:rPr>
          <w:rFonts w:eastAsia="Calibri" w:cs="Calibri"/>
        </w:rPr>
        <w:t>1.2</w:t>
      </w:r>
      <w:r w:rsidRPr="00ED4F16">
        <w:rPr>
          <w:rFonts w:eastAsia="Calibri" w:cs="Calibri"/>
        </w:rPr>
        <w:tab/>
      </w:r>
      <w:r w:rsidRPr="00ED4F16">
        <w:rPr>
          <w:lang w:eastAsia="zh-CN"/>
        </w:rPr>
        <w:t>Les exonérations de paiement des droits sont accordées par le Conseil à la suite d</w:t>
      </w:r>
      <w:r w:rsidR="00C50779" w:rsidRPr="00ED4F16">
        <w:rPr>
          <w:lang w:eastAsia="zh-CN"/>
        </w:rPr>
        <w:t>'</w:t>
      </w:r>
      <w:r w:rsidRPr="00ED4F16">
        <w:rPr>
          <w:lang w:eastAsia="zh-CN"/>
        </w:rPr>
        <w:t>une analyse des Secteurs concernés et d</w:t>
      </w:r>
      <w:r w:rsidR="00C50779" w:rsidRPr="00ED4F16">
        <w:rPr>
          <w:lang w:eastAsia="zh-CN"/>
        </w:rPr>
        <w:t>'</w:t>
      </w:r>
      <w:r w:rsidRPr="00ED4F16">
        <w:rPr>
          <w:lang w:eastAsia="zh-CN"/>
        </w:rPr>
        <w:t xml:space="preserve">une recommandation </w:t>
      </w:r>
      <w:r w:rsidR="003C13F4" w:rsidRPr="00ED4F16">
        <w:rPr>
          <w:lang w:eastAsia="zh-CN"/>
        </w:rPr>
        <w:t xml:space="preserve">de la </w:t>
      </w:r>
      <w:r w:rsidRPr="00ED4F16">
        <w:rPr>
          <w:lang w:eastAsia="zh-CN"/>
        </w:rPr>
        <w:t>Secrétaire général</w:t>
      </w:r>
      <w:r w:rsidR="003C13F4" w:rsidRPr="00ED4F16">
        <w:rPr>
          <w:lang w:eastAsia="zh-CN"/>
        </w:rPr>
        <w:t>e</w:t>
      </w:r>
      <w:r w:rsidRPr="00ED4F16">
        <w:rPr>
          <w:lang w:eastAsia="zh-CN"/>
        </w:rPr>
        <w:t>. Si leur demande est approuvée, les entités concernées deviennent des Membres de Secteur ou des</w:t>
      </w:r>
      <w:r w:rsidR="00A619F1" w:rsidRPr="00ED4F16">
        <w:rPr>
          <w:lang w:eastAsia="zh-CN"/>
        </w:rPr>
        <w:t> </w:t>
      </w:r>
      <w:r w:rsidRPr="00ED4F16">
        <w:rPr>
          <w:lang w:eastAsia="zh-CN"/>
        </w:rPr>
        <w:t>Associés au titre du numéro 231 de la Convention.</w:t>
      </w:r>
    </w:p>
    <w:p w14:paraId="5EAB21CA" w14:textId="711B2324" w:rsidR="00EA61B6" w:rsidRPr="00ED4F16" w:rsidRDefault="00EA61B6" w:rsidP="001B7C41">
      <w:pPr>
        <w:rPr>
          <w:lang w:eastAsia="zh-CN"/>
        </w:rPr>
      </w:pPr>
      <w:r w:rsidRPr="00ED4F16">
        <w:rPr>
          <w:lang w:eastAsia="zh-CN"/>
        </w:rPr>
        <w:t>1.3</w:t>
      </w:r>
      <w:r w:rsidRPr="00ED4F16">
        <w:rPr>
          <w:lang w:eastAsia="zh-CN"/>
        </w:rPr>
        <w:tab/>
        <w:t xml:space="preserve">Actuellement, 132 organisations ayant un caractère international sont exonérées de droits. La liste complète est disponible </w:t>
      </w:r>
      <w:hyperlink r:id="rId11" w:history="1">
        <w:r w:rsidRPr="00ED4F16">
          <w:rPr>
            <w:rStyle w:val="Hyperlink"/>
            <w:lang w:eastAsia="zh-CN"/>
          </w:rPr>
          <w:t>ici</w:t>
        </w:r>
      </w:hyperlink>
      <w:r w:rsidRPr="00ED4F16">
        <w:rPr>
          <w:lang w:eastAsia="zh-CN"/>
        </w:rPr>
        <w:t>.</w:t>
      </w:r>
    </w:p>
    <w:p w14:paraId="663C3E76" w14:textId="41304FB3" w:rsidR="00EA61B6" w:rsidRPr="00ED4F16" w:rsidRDefault="00EA61B6" w:rsidP="001B7C41">
      <w:pPr>
        <w:rPr>
          <w:bCs/>
          <w:iCs/>
          <w:szCs w:val="22"/>
          <w:lang w:eastAsia="zh-CN"/>
        </w:rPr>
      </w:pPr>
      <w:r w:rsidRPr="00ED4F16">
        <w:rPr>
          <w:lang w:eastAsia="zh-CN"/>
        </w:rPr>
        <w:t>1.4</w:t>
      </w:r>
      <w:r w:rsidRPr="00ED4F16">
        <w:rPr>
          <w:lang w:eastAsia="zh-CN"/>
        </w:rPr>
        <w:tab/>
      </w:r>
      <w:r w:rsidRPr="00ED4F16">
        <w:rPr>
          <w:bCs/>
          <w:iCs/>
          <w:szCs w:val="22"/>
          <w:lang w:eastAsia="zh-CN"/>
        </w:rPr>
        <w:t xml:space="preserve">Par sa Résolution 187 (Busan, 2014), la Conférence de plénipotentiaires </w:t>
      </w:r>
      <w:r w:rsidR="000B4C8D" w:rsidRPr="00ED4F16">
        <w:rPr>
          <w:bCs/>
          <w:iCs/>
          <w:szCs w:val="22"/>
          <w:lang w:eastAsia="zh-CN"/>
        </w:rPr>
        <w:t>(Busan, 2014)</w:t>
      </w:r>
      <w:r w:rsidRPr="00ED4F16">
        <w:rPr>
          <w:bCs/>
          <w:iCs/>
          <w:szCs w:val="22"/>
          <w:lang w:eastAsia="zh-CN"/>
        </w:rPr>
        <w:t xml:space="preserve"> a chargé le Conseil de revoir la pratique et les critères relatifs à l</w:t>
      </w:r>
      <w:r w:rsidR="00C50779" w:rsidRPr="00ED4F16">
        <w:rPr>
          <w:bCs/>
          <w:iCs/>
          <w:szCs w:val="22"/>
          <w:lang w:eastAsia="zh-CN"/>
        </w:rPr>
        <w:t>'</w:t>
      </w:r>
      <w:r w:rsidRPr="00ED4F16">
        <w:rPr>
          <w:bCs/>
          <w:iCs/>
          <w:szCs w:val="22"/>
          <w:lang w:eastAsia="zh-CN"/>
        </w:rPr>
        <w:t>exonération de certaines entités du paiement des droits de membre et d</w:t>
      </w:r>
      <w:r w:rsidR="00C50779" w:rsidRPr="00ED4F16">
        <w:rPr>
          <w:bCs/>
          <w:iCs/>
          <w:szCs w:val="22"/>
          <w:lang w:eastAsia="zh-CN"/>
        </w:rPr>
        <w:t>'</w:t>
      </w:r>
      <w:r w:rsidRPr="00ED4F16">
        <w:rPr>
          <w:bCs/>
          <w:iCs/>
          <w:szCs w:val="22"/>
          <w:lang w:eastAsia="zh-CN"/>
        </w:rPr>
        <w:t>apporter, le cas échéant, des modifications, afin de rendre les critères d</w:t>
      </w:r>
      <w:r w:rsidR="00C50779" w:rsidRPr="00ED4F16">
        <w:rPr>
          <w:bCs/>
          <w:iCs/>
          <w:szCs w:val="22"/>
          <w:lang w:eastAsia="zh-CN"/>
        </w:rPr>
        <w:t>'</w:t>
      </w:r>
      <w:r w:rsidRPr="00ED4F16">
        <w:rPr>
          <w:bCs/>
          <w:iCs/>
          <w:szCs w:val="22"/>
          <w:lang w:eastAsia="zh-CN"/>
        </w:rPr>
        <w:t>admissibilité plus stricts pour contribuer à améliorer la clarté, l</w:t>
      </w:r>
      <w:r w:rsidR="00C50779" w:rsidRPr="00ED4F16">
        <w:rPr>
          <w:bCs/>
          <w:iCs/>
          <w:szCs w:val="22"/>
          <w:lang w:eastAsia="zh-CN"/>
        </w:rPr>
        <w:t>'</w:t>
      </w:r>
      <w:r w:rsidRPr="00ED4F16">
        <w:rPr>
          <w:bCs/>
          <w:iCs/>
          <w:szCs w:val="22"/>
          <w:lang w:eastAsia="zh-CN"/>
        </w:rPr>
        <w:t>homogénéité et l</w:t>
      </w:r>
      <w:r w:rsidR="00C50779" w:rsidRPr="00ED4F16">
        <w:rPr>
          <w:bCs/>
          <w:iCs/>
          <w:szCs w:val="22"/>
          <w:lang w:eastAsia="zh-CN"/>
        </w:rPr>
        <w:t>'</w:t>
      </w:r>
      <w:r w:rsidRPr="00ED4F16">
        <w:rPr>
          <w:bCs/>
          <w:iCs/>
          <w:szCs w:val="22"/>
          <w:lang w:eastAsia="zh-CN"/>
        </w:rPr>
        <w:t>équité entre les Membres qui paient des contributions et ceux qui n</w:t>
      </w:r>
      <w:r w:rsidR="00C50779" w:rsidRPr="00ED4F16">
        <w:rPr>
          <w:bCs/>
          <w:iCs/>
          <w:szCs w:val="22"/>
          <w:lang w:eastAsia="zh-CN"/>
        </w:rPr>
        <w:t>'</w:t>
      </w:r>
      <w:r w:rsidRPr="00ED4F16">
        <w:rPr>
          <w:bCs/>
          <w:iCs/>
          <w:szCs w:val="22"/>
          <w:lang w:eastAsia="zh-CN"/>
        </w:rPr>
        <w:t>en acquittent aucune et réduire le nombre total d</w:t>
      </w:r>
      <w:r w:rsidR="00C50779" w:rsidRPr="00ED4F16">
        <w:rPr>
          <w:bCs/>
          <w:iCs/>
          <w:szCs w:val="22"/>
          <w:lang w:eastAsia="zh-CN"/>
        </w:rPr>
        <w:t>'</w:t>
      </w:r>
      <w:r w:rsidRPr="00ED4F16">
        <w:rPr>
          <w:bCs/>
          <w:iCs/>
          <w:szCs w:val="22"/>
          <w:lang w:eastAsia="zh-CN"/>
        </w:rPr>
        <w:t>entités exonérées.</w:t>
      </w:r>
    </w:p>
    <w:p w14:paraId="30352D47" w14:textId="4FBB77DB" w:rsidR="00EA61B6" w:rsidRPr="00ED4F16" w:rsidRDefault="00EA61B6" w:rsidP="001B7C41">
      <w:pPr>
        <w:rPr>
          <w:lang w:eastAsia="zh-CN"/>
        </w:rPr>
      </w:pPr>
      <w:r w:rsidRPr="00ED4F16">
        <w:rPr>
          <w:lang w:eastAsia="zh-CN"/>
        </w:rPr>
        <w:t>1.5</w:t>
      </w:r>
      <w:r w:rsidRPr="00ED4F16">
        <w:rPr>
          <w:lang w:eastAsia="zh-CN"/>
        </w:rPr>
        <w:tab/>
      </w:r>
      <w:r w:rsidRPr="00ED4F16">
        <w:rPr>
          <w:caps/>
          <w:lang w:eastAsia="zh-CN"/>
        </w:rPr>
        <w:t>à</w:t>
      </w:r>
      <w:r w:rsidRPr="00ED4F16">
        <w:rPr>
          <w:lang w:eastAsia="zh-CN"/>
        </w:rPr>
        <w:t xml:space="preserve"> sa session de 2017, le Conseil a approuvé des critères révisés, qui peuvent être consultés </w:t>
      </w:r>
      <w:hyperlink r:id="rId12" w:anchor="/fr" w:history="1">
        <w:r w:rsidRPr="00ED4F16">
          <w:rPr>
            <w:rStyle w:val="Hyperlink"/>
            <w:rFonts w:eastAsia="Calibri"/>
            <w:lang w:eastAsia="zh-CN"/>
          </w:rPr>
          <w:t>ici</w:t>
        </w:r>
      </w:hyperlink>
      <w:r w:rsidRPr="00ED4F16">
        <w:rPr>
          <w:lang w:eastAsia="zh-CN"/>
        </w:rPr>
        <w:t xml:space="preserve">. </w:t>
      </w:r>
      <w:r w:rsidR="007751CE" w:rsidRPr="00ED4F16">
        <w:rPr>
          <w:lang w:eastAsia="zh-CN"/>
        </w:rPr>
        <w:t>Chaque session</w:t>
      </w:r>
      <w:r w:rsidR="00F35C74" w:rsidRPr="00ED4F16">
        <w:rPr>
          <w:lang w:eastAsia="zh-CN"/>
        </w:rPr>
        <w:t xml:space="preserve"> du</w:t>
      </w:r>
      <w:r w:rsidR="007751CE" w:rsidRPr="00ED4F16">
        <w:rPr>
          <w:lang w:eastAsia="zh-CN"/>
        </w:rPr>
        <w:t xml:space="preserve"> </w:t>
      </w:r>
      <w:r w:rsidRPr="00ED4F16">
        <w:rPr>
          <w:lang w:eastAsia="zh-CN"/>
        </w:rPr>
        <w:t>Conseil examine depuis lors les nouvelles demandes selon ces critères.</w:t>
      </w:r>
    </w:p>
    <w:p w14:paraId="0316D2AA" w14:textId="364852DF" w:rsidR="00EA61B6" w:rsidRPr="00ED4F16" w:rsidRDefault="00EA61B6" w:rsidP="001B7C41">
      <w:pPr>
        <w:rPr>
          <w:lang w:eastAsia="zh-CN"/>
        </w:rPr>
      </w:pPr>
      <w:r w:rsidRPr="00ED4F16">
        <w:rPr>
          <w:lang w:eastAsia="zh-CN"/>
        </w:rPr>
        <w:t>1.6</w:t>
      </w:r>
      <w:r w:rsidRPr="00ED4F16">
        <w:rPr>
          <w:lang w:eastAsia="zh-CN"/>
        </w:rPr>
        <w:tab/>
      </w:r>
      <w:r w:rsidR="00966772" w:rsidRPr="00ED4F16">
        <w:rPr>
          <w:lang w:eastAsia="zh-CN"/>
        </w:rPr>
        <w:t xml:space="preserve">Le présent document traite </w:t>
      </w:r>
      <w:r w:rsidR="00643ABE" w:rsidRPr="00ED4F16">
        <w:rPr>
          <w:lang w:eastAsia="zh-CN"/>
        </w:rPr>
        <w:t xml:space="preserve">uniquement </w:t>
      </w:r>
      <w:r w:rsidR="003C13F4" w:rsidRPr="00ED4F16">
        <w:rPr>
          <w:lang w:eastAsia="zh-CN"/>
        </w:rPr>
        <w:t>des</w:t>
      </w:r>
      <w:r w:rsidR="00966772" w:rsidRPr="00ED4F16">
        <w:rPr>
          <w:lang w:eastAsia="zh-CN"/>
        </w:rPr>
        <w:t xml:space="preserve"> nouvelles demandes d</w:t>
      </w:r>
      <w:r w:rsidR="00C50779" w:rsidRPr="00ED4F16">
        <w:rPr>
          <w:lang w:eastAsia="zh-CN"/>
        </w:rPr>
        <w:t>'</w:t>
      </w:r>
      <w:r w:rsidR="00966772" w:rsidRPr="00ED4F16">
        <w:rPr>
          <w:lang w:eastAsia="zh-CN"/>
        </w:rPr>
        <w:t xml:space="preserve">exonération du paiement des droits </w:t>
      </w:r>
      <w:r w:rsidR="003605E9" w:rsidRPr="00ED4F16">
        <w:rPr>
          <w:lang w:eastAsia="zh-CN"/>
        </w:rPr>
        <w:t xml:space="preserve">soumises </w:t>
      </w:r>
      <w:r w:rsidR="00966772" w:rsidRPr="00ED4F16">
        <w:rPr>
          <w:lang w:eastAsia="zh-CN"/>
        </w:rPr>
        <w:t>depuis la dernière session du Conseil.</w:t>
      </w:r>
      <w:r w:rsidR="002B3F91" w:rsidRPr="00ED4F16">
        <w:rPr>
          <w:lang w:eastAsia="zh-CN"/>
        </w:rPr>
        <w:t xml:space="preserve"> </w:t>
      </w:r>
      <w:r w:rsidR="00C244B7" w:rsidRPr="00ED4F16">
        <w:rPr>
          <w:lang w:eastAsia="zh-CN"/>
        </w:rPr>
        <w:t xml:space="preserve">Le </w:t>
      </w:r>
      <w:r w:rsidR="00407021" w:rsidRPr="00ED4F16">
        <w:rPr>
          <w:lang w:eastAsia="zh-CN"/>
        </w:rPr>
        <w:t>s</w:t>
      </w:r>
      <w:r w:rsidR="00C244B7" w:rsidRPr="00ED4F16">
        <w:rPr>
          <w:lang w:eastAsia="zh-CN"/>
        </w:rPr>
        <w:t>ecrétariat a examiné la liste complète des entités qui bénéficient actuellement d</w:t>
      </w:r>
      <w:r w:rsidR="00C50779" w:rsidRPr="00ED4F16">
        <w:rPr>
          <w:lang w:eastAsia="zh-CN"/>
        </w:rPr>
        <w:t>'</w:t>
      </w:r>
      <w:r w:rsidR="00C244B7" w:rsidRPr="00ED4F16">
        <w:rPr>
          <w:lang w:eastAsia="zh-CN"/>
        </w:rPr>
        <w:t>une exonération du paiement des droits et a formulé une recommandation en vue de son examen par le Conseil à sa session de 2022</w:t>
      </w:r>
      <w:r w:rsidRPr="00ED4F16">
        <w:rPr>
          <w:rFonts w:eastAsia="Calibri" w:cs="Calibri"/>
        </w:rPr>
        <w:t xml:space="preserve">. </w:t>
      </w:r>
      <w:r w:rsidR="002C36C1" w:rsidRPr="00ED4F16">
        <w:rPr>
          <w:rFonts w:eastAsia="Calibri" w:cs="Calibri"/>
        </w:rPr>
        <w:t xml:space="preserve">Le Conseil a </w:t>
      </w:r>
      <w:r w:rsidR="005F27EC" w:rsidRPr="00ED4F16">
        <w:rPr>
          <w:rFonts w:eastAsia="Calibri" w:cs="Calibri"/>
        </w:rPr>
        <w:t>transmis</w:t>
      </w:r>
      <w:r w:rsidR="002C36C1" w:rsidRPr="00ED4F16">
        <w:rPr>
          <w:rFonts w:eastAsia="Calibri" w:cs="Calibri"/>
        </w:rPr>
        <w:t xml:space="preserve"> l</w:t>
      </w:r>
      <w:r w:rsidR="00C50779" w:rsidRPr="00ED4F16">
        <w:rPr>
          <w:rFonts w:eastAsia="Calibri" w:cs="Calibri"/>
        </w:rPr>
        <w:t>'</w:t>
      </w:r>
      <w:r w:rsidR="002C36C1" w:rsidRPr="00ED4F16">
        <w:rPr>
          <w:rFonts w:eastAsia="Calibri" w:cs="Calibri"/>
        </w:rPr>
        <w:t>examen de la liste existante, telle qu</w:t>
      </w:r>
      <w:r w:rsidR="00C50779" w:rsidRPr="00ED4F16">
        <w:rPr>
          <w:rFonts w:eastAsia="Calibri" w:cs="Calibri"/>
        </w:rPr>
        <w:t>'</w:t>
      </w:r>
      <w:r w:rsidR="002C36C1" w:rsidRPr="00ED4F16">
        <w:rPr>
          <w:rFonts w:eastAsia="Calibri" w:cs="Calibri"/>
        </w:rPr>
        <w:t xml:space="preserve">elle figure dans le Document </w:t>
      </w:r>
      <w:hyperlink r:id="rId13" w:history="1">
        <w:r w:rsidR="002C36C1" w:rsidRPr="00ED4F16">
          <w:rPr>
            <w:rStyle w:val="Hyperlink"/>
            <w:rFonts w:eastAsia="Calibri" w:cs="Calibri"/>
          </w:rPr>
          <w:t>C22/100</w:t>
        </w:r>
      </w:hyperlink>
      <w:r w:rsidR="002C36C1" w:rsidRPr="00ED4F16">
        <w:rPr>
          <w:rFonts w:eastAsia="Calibri" w:cs="Calibri"/>
        </w:rPr>
        <w:t>, au Groupe de travail du Conseil sur les ressources financières et les ressources humaines (GTC-FHR).</w:t>
      </w:r>
    </w:p>
    <w:p w14:paraId="1D9C7D61" w14:textId="77777777" w:rsidR="00EA61B6" w:rsidRPr="00ED4F16" w:rsidRDefault="00EA61B6" w:rsidP="001B7C41">
      <w:pPr>
        <w:pStyle w:val="Heading1"/>
        <w:rPr>
          <w:rFonts w:eastAsia="Calibri"/>
        </w:rPr>
      </w:pPr>
      <w:r w:rsidRPr="00ED4F16">
        <w:rPr>
          <w:rFonts w:eastAsia="Calibri"/>
        </w:rPr>
        <w:t>2</w:t>
      </w:r>
      <w:r w:rsidRPr="00ED4F16">
        <w:rPr>
          <w:rFonts w:eastAsia="Calibri"/>
        </w:rPr>
        <w:tab/>
      </w:r>
      <w:bookmarkStart w:id="2" w:name="lt_pId043"/>
      <w:r w:rsidRPr="00ED4F16">
        <w:rPr>
          <w:rFonts w:eastAsia="Calibri"/>
        </w:rPr>
        <w:t>Nouvelles demandes et recommandations</w:t>
      </w:r>
      <w:bookmarkEnd w:id="2"/>
    </w:p>
    <w:p w14:paraId="1782BFDE" w14:textId="77777777" w:rsidR="00EA61B6" w:rsidRPr="00ED4F16" w:rsidRDefault="00EA61B6" w:rsidP="00C50779">
      <w:r w:rsidRPr="00ED4F16">
        <w:t>2.1</w:t>
      </w:r>
    </w:p>
    <w:tbl>
      <w:tblPr>
        <w:tblW w:w="7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1997"/>
      </w:tblGrid>
      <w:tr w:rsidR="00EA61B6" w:rsidRPr="00ED4F16" w14:paraId="1AD40422" w14:textId="77777777" w:rsidTr="00C50779">
        <w:trPr>
          <w:cantSplit/>
          <w:jc w:val="center"/>
        </w:trPr>
        <w:tc>
          <w:tcPr>
            <w:tcW w:w="4537" w:type="dxa"/>
          </w:tcPr>
          <w:p w14:paraId="0E077906" w14:textId="77777777" w:rsidR="00EA61B6" w:rsidRPr="00ED4F16" w:rsidRDefault="00EA61B6" w:rsidP="001B7C41">
            <w:pPr>
              <w:pStyle w:val="TableHead0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Organisation</w:t>
            </w:r>
          </w:p>
        </w:tc>
        <w:tc>
          <w:tcPr>
            <w:tcW w:w="1134" w:type="dxa"/>
          </w:tcPr>
          <w:p w14:paraId="4FBA98B2" w14:textId="77777777" w:rsidR="00EA61B6" w:rsidRPr="00ED4F16" w:rsidRDefault="00EA61B6" w:rsidP="001B7C41">
            <w:pPr>
              <w:pStyle w:val="TableHead0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Secteur</w:t>
            </w:r>
          </w:p>
        </w:tc>
        <w:tc>
          <w:tcPr>
            <w:tcW w:w="1997" w:type="dxa"/>
          </w:tcPr>
          <w:p w14:paraId="4480C360" w14:textId="77777777" w:rsidR="00EA61B6" w:rsidRPr="00ED4F16" w:rsidRDefault="00EA61B6" w:rsidP="001B7C41">
            <w:pPr>
              <w:pStyle w:val="TableHead0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Recommandation</w:t>
            </w:r>
          </w:p>
        </w:tc>
      </w:tr>
      <w:tr w:rsidR="00EA61B6" w:rsidRPr="00ED4F16" w14:paraId="73180B59" w14:textId="77777777" w:rsidTr="00C50779">
        <w:trPr>
          <w:cantSplit/>
          <w:jc w:val="center"/>
        </w:trPr>
        <w:tc>
          <w:tcPr>
            <w:tcW w:w="4537" w:type="dxa"/>
            <w:vAlign w:val="center"/>
          </w:tcPr>
          <w:p w14:paraId="52AF400D" w14:textId="65E4ED61" w:rsidR="00EA61B6" w:rsidRPr="00ED4F16" w:rsidRDefault="00F00928" w:rsidP="003A59FB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fr-FR"/>
              </w:rPr>
              <w:t>Association des régulateurs des communications d</w:t>
            </w:r>
            <w:r w:rsidR="00C50779" w:rsidRPr="00ED4F16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fr-FR"/>
              </w:rPr>
              <w:t>'</w:t>
            </w:r>
            <w:r w:rsidRPr="00ED4F16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fr-FR"/>
              </w:rPr>
              <w:t>Afrique australe</w:t>
            </w:r>
            <w:r w:rsidR="00EA61B6" w:rsidRPr="00ED4F16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fr-FR"/>
              </w:rPr>
              <w:t xml:space="preserve"> (CRASA)</w:t>
            </w:r>
          </w:p>
        </w:tc>
        <w:tc>
          <w:tcPr>
            <w:tcW w:w="1134" w:type="dxa"/>
            <w:vAlign w:val="center"/>
          </w:tcPr>
          <w:p w14:paraId="799DFFD8" w14:textId="7C97EEED" w:rsidR="00EA61B6" w:rsidRPr="00ED4F16" w:rsidRDefault="00EA61B6" w:rsidP="003A59FB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UIT-R</w:t>
            </w:r>
          </w:p>
          <w:p w14:paraId="4F62B833" w14:textId="6BB5F953" w:rsidR="00EA61B6" w:rsidRPr="00ED4F16" w:rsidRDefault="00EA61B6" w:rsidP="003A59FB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UIT-T</w:t>
            </w:r>
          </w:p>
          <w:p w14:paraId="2839194D" w14:textId="24700C8B" w:rsidR="00EA61B6" w:rsidRPr="00ED4F16" w:rsidRDefault="00EA61B6" w:rsidP="003A59FB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UIT-D</w:t>
            </w:r>
          </w:p>
        </w:tc>
        <w:tc>
          <w:tcPr>
            <w:tcW w:w="1997" w:type="dxa"/>
            <w:vAlign w:val="center"/>
          </w:tcPr>
          <w:p w14:paraId="0E6EBD10" w14:textId="77777777" w:rsidR="00EA61B6" w:rsidRPr="00ED4F16" w:rsidRDefault="00EA61B6" w:rsidP="003A59FB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OUI</w:t>
            </w:r>
          </w:p>
          <w:p w14:paraId="425F73F0" w14:textId="77777777" w:rsidR="00EA61B6" w:rsidRPr="00ED4F16" w:rsidRDefault="00EA61B6" w:rsidP="003A59FB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OUI</w:t>
            </w:r>
          </w:p>
          <w:p w14:paraId="318C6C00" w14:textId="62EF957A" w:rsidR="00EA61B6" w:rsidRPr="00ED4F16" w:rsidRDefault="00EA61B6" w:rsidP="003A59FB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OUI</w:t>
            </w:r>
          </w:p>
        </w:tc>
      </w:tr>
    </w:tbl>
    <w:p w14:paraId="7C783CE1" w14:textId="06EE5AD5" w:rsidR="00EA61B6" w:rsidRPr="00ED4F16" w:rsidRDefault="006F44C0" w:rsidP="00C50779">
      <w:r w:rsidRPr="00ED4F16">
        <w:t>L</w:t>
      </w:r>
      <w:r w:rsidR="00C50779" w:rsidRPr="00ED4F16">
        <w:t>'</w:t>
      </w:r>
      <w:r w:rsidRPr="00ED4F16">
        <w:t>Association des régulateurs des communications d</w:t>
      </w:r>
      <w:r w:rsidR="00C50779" w:rsidRPr="00ED4F16">
        <w:t>'</w:t>
      </w:r>
      <w:r w:rsidRPr="00ED4F16">
        <w:t xml:space="preserve">Afrique australe (CRASA), dont le siège se </w:t>
      </w:r>
      <w:r w:rsidR="003C13F4" w:rsidRPr="00ED4F16">
        <w:t xml:space="preserve">trouve </w:t>
      </w:r>
      <w:r w:rsidRPr="00ED4F16">
        <w:t>au Botswana, est</w:t>
      </w:r>
      <w:r w:rsidR="006354C1" w:rsidRPr="00ED4F16">
        <w:t xml:space="preserve"> </w:t>
      </w:r>
      <w:r w:rsidR="00F71066" w:rsidRPr="00ED4F16">
        <w:t xml:space="preserve">un </w:t>
      </w:r>
      <w:r w:rsidRPr="00ED4F16">
        <w:t>Forum des régulateurs des TIC et des régulateurs des services postaux</w:t>
      </w:r>
      <w:r w:rsidR="00F71066" w:rsidRPr="00ED4F16">
        <w:t xml:space="preserve"> composé de treize États Membres</w:t>
      </w:r>
      <w:r w:rsidR="00EA61B6" w:rsidRPr="00ED4F16">
        <w:t xml:space="preserve">. </w:t>
      </w:r>
      <w:r w:rsidR="00300710" w:rsidRPr="00ED4F16">
        <w:t>L</w:t>
      </w:r>
      <w:r w:rsidR="00C50779" w:rsidRPr="00ED4F16">
        <w:t>'</w:t>
      </w:r>
      <w:r w:rsidR="00300710" w:rsidRPr="00ED4F16">
        <w:t>Association CRASA, institution spécialisée de la Communauté de développement de l</w:t>
      </w:r>
      <w:r w:rsidR="00C50779" w:rsidRPr="00ED4F16">
        <w:t>'</w:t>
      </w:r>
      <w:r w:rsidR="00300710" w:rsidRPr="00ED4F16">
        <w:t>Afrique australe (SADC), a été créée en 1997 dans le cadre du Protocole de la SADC sur le transport, les communications et la météorologie</w:t>
      </w:r>
      <w:r w:rsidR="00C07102" w:rsidRPr="00ED4F16">
        <w:t xml:space="preserve"> </w:t>
      </w:r>
      <w:r w:rsidR="00300710" w:rsidRPr="00ED4F16">
        <w:lastRenderedPageBreak/>
        <w:t>(1995).</w:t>
      </w:r>
      <w:r w:rsidR="00A62D8B" w:rsidRPr="00ED4F16">
        <w:t xml:space="preserve"> </w:t>
      </w:r>
      <w:r w:rsidR="00C94938" w:rsidRPr="00ED4F16">
        <w:t>Elle s</w:t>
      </w:r>
      <w:r w:rsidR="00C50779" w:rsidRPr="00ED4F16">
        <w:t>'</w:t>
      </w:r>
      <w:r w:rsidR="00C94938" w:rsidRPr="00ED4F16">
        <w:t>attache à harmoniser les cadres réglementaires applicables aux marchés des télécommunications, de la radiodiffusion et des postes</w:t>
      </w:r>
      <w:r w:rsidR="00AD5300" w:rsidRPr="00ED4F16">
        <w:t>.</w:t>
      </w:r>
      <w:r w:rsidR="00C94938" w:rsidRPr="00ED4F16">
        <w:t xml:space="preserve"> </w:t>
      </w:r>
      <w:r w:rsidR="00AD5300" w:rsidRPr="00ED4F16">
        <w:t>Dans la mesure où il s</w:t>
      </w:r>
      <w:r w:rsidR="00C50779" w:rsidRPr="00ED4F16">
        <w:t>'</w:t>
      </w:r>
      <w:r w:rsidR="00AD5300" w:rsidRPr="00ED4F16">
        <w:t>agit d</w:t>
      </w:r>
      <w:r w:rsidR="00C50779" w:rsidRPr="00ED4F16">
        <w:t>'</w:t>
      </w:r>
      <w:r w:rsidR="00AD5300" w:rsidRPr="00ED4F16">
        <w:t>une organisation régionale</w:t>
      </w:r>
      <w:r w:rsidR="008F0D7A" w:rsidRPr="00ED4F16">
        <w:t xml:space="preserve"> d</w:t>
      </w:r>
      <w:r w:rsidR="00C50779" w:rsidRPr="00ED4F16">
        <w:t>'</w:t>
      </w:r>
      <w:r w:rsidR="008F0D7A" w:rsidRPr="00ED4F16">
        <w:t>États Membres</w:t>
      </w:r>
      <w:r w:rsidR="00C94938" w:rsidRPr="00ED4F16">
        <w:t xml:space="preserve">, </w:t>
      </w:r>
      <w:r w:rsidR="00295EA3" w:rsidRPr="00ED4F16">
        <w:t xml:space="preserve">le </w:t>
      </w:r>
      <w:r w:rsidR="00407021" w:rsidRPr="00ED4F16">
        <w:t>s</w:t>
      </w:r>
      <w:r w:rsidR="00C94938" w:rsidRPr="00ED4F16">
        <w:t>ecrétariat</w:t>
      </w:r>
      <w:r w:rsidR="00295EA3" w:rsidRPr="00ED4F16">
        <w:t xml:space="preserve"> estime que</w:t>
      </w:r>
      <w:r w:rsidR="00C94938" w:rsidRPr="00ED4F16">
        <w:t xml:space="preserve"> cette entité remplit les critères d</w:t>
      </w:r>
      <w:r w:rsidR="00C50779" w:rsidRPr="00ED4F16">
        <w:t>'</w:t>
      </w:r>
      <w:r w:rsidR="00C94938" w:rsidRPr="00ED4F16">
        <w:t>exonération du paiement des droits établis par le Conseil</w:t>
      </w:r>
      <w:r w:rsidR="00EA61B6" w:rsidRPr="00ED4F16">
        <w:t>.</w:t>
      </w:r>
    </w:p>
    <w:p w14:paraId="2BC48524" w14:textId="77777777" w:rsidR="00EA61B6" w:rsidRPr="00ED4F16" w:rsidRDefault="00EA61B6" w:rsidP="00C50779">
      <w:r w:rsidRPr="00ED4F16">
        <w:t>2.2</w:t>
      </w:r>
    </w:p>
    <w:tbl>
      <w:tblPr>
        <w:tblW w:w="7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6"/>
        <w:gridCol w:w="1559"/>
        <w:gridCol w:w="2097"/>
      </w:tblGrid>
      <w:tr w:rsidR="00EA61B6" w:rsidRPr="00ED4F16" w14:paraId="68D3C38E" w14:textId="77777777" w:rsidTr="00C50779">
        <w:trPr>
          <w:cantSplit/>
          <w:jc w:val="center"/>
        </w:trPr>
        <w:tc>
          <w:tcPr>
            <w:tcW w:w="4136" w:type="dxa"/>
            <w:vAlign w:val="center"/>
          </w:tcPr>
          <w:p w14:paraId="2D34843B" w14:textId="77777777" w:rsidR="00EA61B6" w:rsidRPr="00ED4F16" w:rsidRDefault="00EA61B6" w:rsidP="001B7C41">
            <w:pPr>
              <w:pStyle w:val="Tablehead"/>
            </w:pPr>
            <w:r w:rsidRPr="00ED4F16">
              <w:t>Organisation</w:t>
            </w:r>
          </w:p>
        </w:tc>
        <w:tc>
          <w:tcPr>
            <w:tcW w:w="1559" w:type="dxa"/>
            <w:vAlign w:val="center"/>
          </w:tcPr>
          <w:p w14:paraId="52C19038" w14:textId="77777777" w:rsidR="00EA61B6" w:rsidRPr="00ED4F16" w:rsidRDefault="00EA61B6" w:rsidP="001B7C41">
            <w:pPr>
              <w:pStyle w:val="Tablehead"/>
            </w:pPr>
            <w:r w:rsidRPr="00ED4F16">
              <w:t>Secteur</w:t>
            </w:r>
          </w:p>
        </w:tc>
        <w:tc>
          <w:tcPr>
            <w:tcW w:w="2097" w:type="dxa"/>
            <w:vAlign w:val="center"/>
          </w:tcPr>
          <w:p w14:paraId="66C68471" w14:textId="77777777" w:rsidR="00EA61B6" w:rsidRPr="00ED4F16" w:rsidRDefault="00EA61B6" w:rsidP="001B7C41">
            <w:pPr>
              <w:pStyle w:val="Tablehead"/>
            </w:pPr>
            <w:r w:rsidRPr="00ED4F16">
              <w:t>Recommandation</w:t>
            </w:r>
          </w:p>
        </w:tc>
      </w:tr>
      <w:tr w:rsidR="00EA61B6" w:rsidRPr="00ED4F16" w14:paraId="5A9E86C1" w14:textId="77777777" w:rsidTr="00C50779">
        <w:trPr>
          <w:cantSplit/>
          <w:jc w:val="center"/>
        </w:trPr>
        <w:tc>
          <w:tcPr>
            <w:tcW w:w="4136" w:type="dxa"/>
          </w:tcPr>
          <w:p w14:paraId="1F021CFE" w14:textId="38967D4F" w:rsidR="00EA61B6" w:rsidRPr="00ED4F16" w:rsidRDefault="00EA61B6" w:rsidP="001B7C41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Société de normalisation des télécommunications de</w:t>
            </w:r>
            <w:r w:rsidR="00A619F1" w:rsidRPr="00ED4F16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r w:rsidRPr="00ED4F16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l</w:t>
            </w:r>
            <w:r w:rsidR="00C50779" w:rsidRPr="00ED4F16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'</w:t>
            </w:r>
            <w:r w:rsidRPr="00ED4F16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Inde (TSDSI)</w:t>
            </w:r>
          </w:p>
        </w:tc>
        <w:tc>
          <w:tcPr>
            <w:tcW w:w="1559" w:type="dxa"/>
            <w:vAlign w:val="center"/>
          </w:tcPr>
          <w:p w14:paraId="2F1F0029" w14:textId="77777777" w:rsidR="00EA61B6" w:rsidRPr="00ED4F16" w:rsidRDefault="00EA61B6" w:rsidP="00A619F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UIT-R</w:t>
            </w:r>
          </w:p>
          <w:p w14:paraId="5355EE19" w14:textId="77777777" w:rsidR="00EA61B6" w:rsidRPr="00ED4F16" w:rsidRDefault="00EA61B6" w:rsidP="00A619F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UIT-T</w:t>
            </w:r>
          </w:p>
        </w:tc>
        <w:tc>
          <w:tcPr>
            <w:tcW w:w="2097" w:type="dxa"/>
            <w:vAlign w:val="center"/>
          </w:tcPr>
          <w:p w14:paraId="3C62DDEC" w14:textId="77777777" w:rsidR="00EA61B6" w:rsidRPr="00ED4F16" w:rsidRDefault="00EA61B6" w:rsidP="00A619F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NON</w:t>
            </w:r>
          </w:p>
          <w:p w14:paraId="229C20AE" w14:textId="451DF710" w:rsidR="00EA61B6" w:rsidRPr="00ED4F16" w:rsidRDefault="00EA61B6" w:rsidP="00A619F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NON</w:t>
            </w:r>
          </w:p>
        </w:tc>
      </w:tr>
    </w:tbl>
    <w:p w14:paraId="04614093" w14:textId="52609448" w:rsidR="00EA61B6" w:rsidRPr="00ED4F16" w:rsidRDefault="007E6817" w:rsidP="00C50779">
      <w:r w:rsidRPr="00ED4F16">
        <w:t>Cette demande a été reportée par le Conseil à sa session de 2022, dans l</w:t>
      </w:r>
      <w:r w:rsidR="00C50779" w:rsidRPr="00ED4F16">
        <w:t>'</w:t>
      </w:r>
      <w:r w:rsidRPr="00ED4F16">
        <w:t>attente de l</w:t>
      </w:r>
      <w:r w:rsidR="00C50779" w:rsidRPr="00ED4F16">
        <w:t>'</w:t>
      </w:r>
      <w:r w:rsidRPr="00ED4F16">
        <w:t>examen complet de toutes les entités exonérées, comme indiqué au paragraphe 1.6 ci-dessus. Dans l</w:t>
      </w:r>
      <w:r w:rsidR="00C50779" w:rsidRPr="00ED4F16">
        <w:t>'</w:t>
      </w:r>
      <w:r w:rsidRPr="00ED4F16">
        <w:t xml:space="preserve">intervalle, le TSDSI a rejoint les Secteurs UIT-R et UIT-T en tant que Membre </w:t>
      </w:r>
      <w:r w:rsidR="00077461" w:rsidRPr="00ED4F16">
        <w:t xml:space="preserve">de Secteur </w:t>
      </w:r>
      <w:r w:rsidRPr="00ED4F16">
        <w:t xml:space="preserve">payant </w:t>
      </w:r>
      <w:r w:rsidR="00077461" w:rsidRPr="00ED4F16">
        <w:t>des droits</w:t>
      </w:r>
      <w:r w:rsidRPr="00ED4F16">
        <w:t>.</w:t>
      </w:r>
    </w:p>
    <w:p w14:paraId="590C2644" w14:textId="55F87A16" w:rsidR="00EA61B6" w:rsidRPr="00ED4F16" w:rsidRDefault="00EA61B6" w:rsidP="00C50779">
      <w:r w:rsidRPr="00ED4F16">
        <w:t>La TSDSI est un organisme autonome à but non lucratif créé en Inde à l</w:t>
      </w:r>
      <w:r w:rsidR="00C50779" w:rsidRPr="00ED4F16">
        <w:t>'</w:t>
      </w:r>
      <w:r w:rsidRPr="00ED4F16">
        <w:t>initiative du secteur privé, d</w:t>
      </w:r>
      <w:r w:rsidR="00C50779" w:rsidRPr="00ED4F16">
        <w:t>'</w:t>
      </w:r>
      <w:r w:rsidRPr="00ED4F16">
        <w:t>établissements universitaires, de centres de recherche et des pouvoirs publics afin de promouvoir les activités de normalisation des télécommunications en Inde et de représenter les intérêts de l</w:t>
      </w:r>
      <w:r w:rsidR="00C50779" w:rsidRPr="00ED4F16">
        <w:t>'</w:t>
      </w:r>
      <w:r w:rsidRPr="00ED4F16">
        <w:t>Inde dans les réunions internationales. La TSDSI compte parmi ses membres des entreprises internationales et des instituts universitaires/de recherche de nombreux pays. Si la TSDSI est active sur le plan international, y compris à l</w:t>
      </w:r>
      <w:r w:rsidR="00C50779" w:rsidRPr="00ED4F16">
        <w:t>'</w:t>
      </w:r>
      <w:r w:rsidRPr="00ED4F16">
        <w:t>UIT, et compte en son sein des membres internationaux</w:t>
      </w:r>
      <w:r w:rsidR="002E370E" w:rsidRPr="00ED4F16">
        <w:t xml:space="preserve"> (principalement des filiales nationales)</w:t>
      </w:r>
      <w:r w:rsidRPr="00ED4F16">
        <w:t>, la plupart de ses membres sont des entreprises commerciales. De plus, la TSDSI est davantage une entité nationale statutairement qu</w:t>
      </w:r>
      <w:r w:rsidR="00C50779" w:rsidRPr="00ED4F16">
        <w:t>'</w:t>
      </w:r>
      <w:r w:rsidRPr="00ED4F16">
        <w:t xml:space="preserve">une organisation internationale/régionale. </w:t>
      </w:r>
      <w:r w:rsidR="003C13F4" w:rsidRPr="00ED4F16">
        <w:t>Pour ces raisons, de l</w:t>
      </w:r>
      <w:r w:rsidR="00C50779" w:rsidRPr="00ED4F16">
        <w:t>'</w:t>
      </w:r>
      <w:r w:rsidR="003C13F4" w:rsidRPr="00ED4F16">
        <w:t xml:space="preserve">avis </w:t>
      </w:r>
      <w:r w:rsidR="00407021" w:rsidRPr="00ED4F16">
        <w:t>du</w:t>
      </w:r>
      <w:r w:rsidR="007F3E22" w:rsidRPr="00ED4F16">
        <w:t xml:space="preserve"> </w:t>
      </w:r>
      <w:r w:rsidRPr="00ED4F16">
        <w:t>secrétariat</w:t>
      </w:r>
      <w:r w:rsidR="003C13F4" w:rsidRPr="00ED4F16">
        <w:t xml:space="preserve">, </w:t>
      </w:r>
      <w:r w:rsidR="006D2D19" w:rsidRPr="00ED4F16">
        <w:t xml:space="preserve">cette entité ne remplit pas </w:t>
      </w:r>
      <w:r w:rsidR="0071676A" w:rsidRPr="00ED4F16">
        <w:t>les critères d</w:t>
      </w:r>
      <w:r w:rsidR="00C50779" w:rsidRPr="00ED4F16">
        <w:t>'</w:t>
      </w:r>
      <w:r w:rsidR="0071676A" w:rsidRPr="00ED4F16">
        <w:t>exonération du paiement des droits établis par le Conseil</w:t>
      </w:r>
      <w:r w:rsidR="003A280E" w:rsidRPr="00ED4F16">
        <w:t>.</w:t>
      </w:r>
    </w:p>
    <w:p w14:paraId="4224D3D2" w14:textId="77777777" w:rsidR="00EA61B6" w:rsidRPr="00ED4F16" w:rsidRDefault="00EA61B6" w:rsidP="00C50779">
      <w:r w:rsidRPr="00ED4F16">
        <w:t>2.3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4"/>
        <w:gridCol w:w="1260"/>
        <w:gridCol w:w="2730"/>
      </w:tblGrid>
      <w:tr w:rsidR="00EA61B6" w:rsidRPr="00ED4F16" w14:paraId="30D404EF" w14:textId="77777777" w:rsidTr="00BA6895">
        <w:trPr>
          <w:cantSplit/>
          <w:jc w:val="center"/>
        </w:trPr>
        <w:tc>
          <w:tcPr>
            <w:tcW w:w="3344" w:type="dxa"/>
            <w:vAlign w:val="center"/>
          </w:tcPr>
          <w:p w14:paraId="19DF0651" w14:textId="77777777" w:rsidR="00EA61B6" w:rsidRPr="00ED4F16" w:rsidRDefault="00EA61B6" w:rsidP="001B7C41">
            <w:pPr>
              <w:pStyle w:val="Tablehead"/>
            </w:pPr>
            <w:r w:rsidRPr="00ED4F16">
              <w:t>Organisation</w:t>
            </w:r>
          </w:p>
        </w:tc>
        <w:tc>
          <w:tcPr>
            <w:tcW w:w="1260" w:type="dxa"/>
            <w:vAlign w:val="center"/>
          </w:tcPr>
          <w:p w14:paraId="1C0221E7" w14:textId="77777777" w:rsidR="00EA61B6" w:rsidRPr="00ED4F16" w:rsidRDefault="00EA61B6" w:rsidP="001B7C41">
            <w:pPr>
              <w:pStyle w:val="Tablehead"/>
            </w:pPr>
            <w:r w:rsidRPr="00ED4F16">
              <w:t>Secteur</w:t>
            </w:r>
          </w:p>
        </w:tc>
        <w:tc>
          <w:tcPr>
            <w:tcW w:w="2730" w:type="dxa"/>
            <w:vAlign w:val="center"/>
          </w:tcPr>
          <w:p w14:paraId="18DB518B" w14:textId="77777777" w:rsidR="00EA61B6" w:rsidRPr="00ED4F16" w:rsidRDefault="00EA61B6" w:rsidP="001B7C41">
            <w:pPr>
              <w:pStyle w:val="Tablehead"/>
            </w:pPr>
            <w:r w:rsidRPr="00ED4F16">
              <w:t>Recommandation</w:t>
            </w:r>
          </w:p>
        </w:tc>
      </w:tr>
      <w:tr w:rsidR="00EA61B6" w:rsidRPr="00ED4F16" w14:paraId="3C62AE94" w14:textId="77777777" w:rsidTr="00BA6895">
        <w:trPr>
          <w:cantSplit/>
          <w:jc w:val="center"/>
        </w:trPr>
        <w:tc>
          <w:tcPr>
            <w:tcW w:w="3344" w:type="dxa"/>
          </w:tcPr>
          <w:p w14:paraId="50CE0A95" w14:textId="36C3F9CC" w:rsidR="00EA61B6" w:rsidRPr="00ED4F16" w:rsidRDefault="00EA61B6" w:rsidP="001B7C41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IoT Lab</w:t>
            </w:r>
          </w:p>
        </w:tc>
        <w:tc>
          <w:tcPr>
            <w:tcW w:w="1260" w:type="dxa"/>
          </w:tcPr>
          <w:p w14:paraId="0B78D418" w14:textId="77777777" w:rsidR="00EA61B6" w:rsidRPr="00ED4F16" w:rsidRDefault="00EA61B6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UIT-T</w:t>
            </w:r>
          </w:p>
        </w:tc>
        <w:tc>
          <w:tcPr>
            <w:tcW w:w="2730" w:type="dxa"/>
          </w:tcPr>
          <w:p w14:paraId="356D47A7" w14:textId="3D1D0037" w:rsidR="00EA61B6" w:rsidRPr="00ED4F16" w:rsidRDefault="00EA61B6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/>
                <w:sz w:val="22"/>
                <w:szCs w:val="22"/>
                <w:lang w:val="fr-FR"/>
              </w:rPr>
              <w:t>NON</w:t>
            </w:r>
          </w:p>
        </w:tc>
      </w:tr>
    </w:tbl>
    <w:p w14:paraId="30D04699" w14:textId="57450837" w:rsidR="00EA61B6" w:rsidRPr="00ED4F16" w:rsidRDefault="00AF20AC" w:rsidP="00C50779">
      <w:r w:rsidRPr="00ED4F16">
        <w:t>Cette demande a été reportée par le Conseil à ses sessions de 2021 et 2022, dans l</w:t>
      </w:r>
      <w:r w:rsidR="00C50779" w:rsidRPr="00ED4F16">
        <w:t>'</w:t>
      </w:r>
      <w:r w:rsidRPr="00ED4F16">
        <w:t>attente de nouvelles consultations et études et d</w:t>
      </w:r>
      <w:r w:rsidR="00C50779" w:rsidRPr="00ED4F16">
        <w:t>'</w:t>
      </w:r>
      <w:r w:rsidRPr="00ED4F16">
        <w:t xml:space="preserve">un examen complet de toutes les entités exonérées, </w:t>
      </w:r>
      <w:r w:rsidR="003C13F4" w:rsidRPr="00ED4F16">
        <w:t>comme indiqué</w:t>
      </w:r>
      <w:r w:rsidRPr="00ED4F16">
        <w:t xml:space="preserve"> au paragraphe 1.6 ci-dessus. </w:t>
      </w:r>
      <w:r w:rsidR="00EA61B6" w:rsidRPr="00ED4F16">
        <w:t>Située en Suisse, IoT Lab est une plate-forme internationale qui regroupe des services et des ressources pour l</w:t>
      </w:r>
      <w:r w:rsidR="00C50779" w:rsidRPr="00ED4F16">
        <w:t>'</w:t>
      </w:r>
      <w:r w:rsidR="00EA61B6" w:rsidRPr="00ED4F16">
        <w:t xml:space="preserve">Internet des objets (IoT) dans les domaines suivants: services IoT, confidentialité et sécurité, tests, transfert de technologie, ODD et réseau et communauté. </w:t>
      </w:r>
      <w:r w:rsidR="006A6E16" w:rsidRPr="00ED4F16">
        <w:t>Le</w:t>
      </w:r>
      <w:r w:rsidR="003620C9" w:rsidRPr="00ED4F16">
        <w:t xml:space="preserve"> secrétariat</w:t>
      </w:r>
      <w:r w:rsidR="006A6E16" w:rsidRPr="00ED4F16">
        <w:t xml:space="preserve"> estime que</w:t>
      </w:r>
      <w:r w:rsidR="003620C9" w:rsidRPr="00ED4F16">
        <w:t xml:space="preserve"> si cette entité compte des partenaires internationaux, elle ne remplit pas les critères d</w:t>
      </w:r>
      <w:r w:rsidR="00C50779" w:rsidRPr="00ED4F16">
        <w:t>'</w:t>
      </w:r>
      <w:r w:rsidR="003620C9" w:rsidRPr="00ED4F16">
        <w:t>exonération</w:t>
      </w:r>
      <w:r w:rsidR="00B50F59" w:rsidRPr="00ED4F16">
        <w:t xml:space="preserve"> du paiement des droits</w:t>
      </w:r>
      <w:r w:rsidR="003620C9" w:rsidRPr="00ED4F16">
        <w:t xml:space="preserve">, car </w:t>
      </w:r>
      <w:r w:rsidR="00D54974" w:rsidRPr="00ED4F16">
        <w:t>il ne s</w:t>
      </w:r>
      <w:r w:rsidR="00C50779" w:rsidRPr="00ED4F16">
        <w:t>'</w:t>
      </w:r>
      <w:r w:rsidR="00D54974" w:rsidRPr="00ED4F16">
        <w:t>agit pas</w:t>
      </w:r>
      <w:r w:rsidR="003620C9" w:rsidRPr="00ED4F16">
        <w:t xml:space="preserve"> </w:t>
      </w:r>
      <w:r w:rsidR="00D54974" w:rsidRPr="00ED4F16">
        <w:t>d</w:t>
      </w:r>
      <w:r w:rsidR="00C50779" w:rsidRPr="00ED4F16">
        <w:t>'</w:t>
      </w:r>
      <w:r w:rsidR="003620C9" w:rsidRPr="00ED4F16">
        <w:t xml:space="preserve">une organisation </w:t>
      </w:r>
      <w:r w:rsidR="00BA1DE8" w:rsidRPr="00ED4F16">
        <w:t xml:space="preserve">gérée par </w:t>
      </w:r>
      <w:r w:rsidR="00D54974" w:rsidRPr="00ED4F16">
        <w:t>s</w:t>
      </w:r>
      <w:r w:rsidR="003620C9" w:rsidRPr="00ED4F16">
        <w:t>es membres.</w:t>
      </w:r>
    </w:p>
    <w:p w14:paraId="41312576" w14:textId="06F38041" w:rsidR="00EA61B6" w:rsidRPr="00ED4F16" w:rsidRDefault="009F2DEE" w:rsidP="00C50779">
      <w:r w:rsidRPr="00ED4F16">
        <w:t>2.4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4"/>
        <w:gridCol w:w="1260"/>
        <w:gridCol w:w="2730"/>
      </w:tblGrid>
      <w:tr w:rsidR="009F2DEE" w:rsidRPr="00ED4F16" w14:paraId="49B9CD0B" w14:textId="77777777" w:rsidTr="00BA6895">
        <w:trPr>
          <w:cantSplit/>
          <w:jc w:val="center"/>
        </w:trPr>
        <w:tc>
          <w:tcPr>
            <w:tcW w:w="3344" w:type="dxa"/>
            <w:vAlign w:val="center"/>
          </w:tcPr>
          <w:p w14:paraId="4773512A" w14:textId="77777777" w:rsidR="009F2DEE" w:rsidRPr="00ED4F16" w:rsidRDefault="009F2DEE" w:rsidP="001B7C41">
            <w:pPr>
              <w:pStyle w:val="Tablehead"/>
            </w:pPr>
            <w:r w:rsidRPr="00ED4F16">
              <w:t>Organisation</w:t>
            </w:r>
          </w:p>
        </w:tc>
        <w:tc>
          <w:tcPr>
            <w:tcW w:w="1260" w:type="dxa"/>
            <w:vAlign w:val="center"/>
          </w:tcPr>
          <w:p w14:paraId="2DFD8D14" w14:textId="77777777" w:rsidR="009F2DEE" w:rsidRPr="00ED4F16" w:rsidRDefault="009F2DEE" w:rsidP="001B7C41">
            <w:pPr>
              <w:pStyle w:val="Tablehead"/>
            </w:pPr>
            <w:r w:rsidRPr="00ED4F16">
              <w:t>Secteur</w:t>
            </w:r>
          </w:p>
        </w:tc>
        <w:tc>
          <w:tcPr>
            <w:tcW w:w="2730" w:type="dxa"/>
            <w:vAlign w:val="center"/>
          </w:tcPr>
          <w:p w14:paraId="731A0EE1" w14:textId="77777777" w:rsidR="009F2DEE" w:rsidRPr="00ED4F16" w:rsidRDefault="009F2DEE" w:rsidP="001B7C41">
            <w:pPr>
              <w:pStyle w:val="Tablehead"/>
            </w:pPr>
            <w:r w:rsidRPr="00ED4F16">
              <w:t>Recommandation</w:t>
            </w:r>
          </w:p>
        </w:tc>
      </w:tr>
      <w:tr w:rsidR="009F2DEE" w:rsidRPr="00ED4F16" w14:paraId="15495EF9" w14:textId="77777777" w:rsidTr="0039302C">
        <w:trPr>
          <w:cantSplit/>
          <w:jc w:val="center"/>
        </w:trPr>
        <w:tc>
          <w:tcPr>
            <w:tcW w:w="3344" w:type="dxa"/>
            <w:vAlign w:val="center"/>
          </w:tcPr>
          <w:p w14:paraId="77FBE9D9" w14:textId="03A1B82B" w:rsidR="009F2DEE" w:rsidRPr="00ED4F16" w:rsidRDefault="009F2DEE" w:rsidP="001B7C41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Feynman Foundation</w:t>
            </w:r>
          </w:p>
        </w:tc>
        <w:tc>
          <w:tcPr>
            <w:tcW w:w="1260" w:type="dxa"/>
            <w:vAlign w:val="center"/>
          </w:tcPr>
          <w:p w14:paraId="16471548" w14:textId="005020B8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UIT-T</w:t>
            </w:r>
          </w:p>
        </w:tc>
        <w:tc>
          <w:tcPr>
            <w:tcW w:w="2730" w:type="dxa"/>
            <w:vAlign w:val="center"/>
          </w:tcPr>
          <w:p w14:paraId="400830EA" w14:textId="1D03F4DC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fr-FR"/>
              </w:rPr>
              <w:t>NON</w:t>
            </w:r>
          </w:p>
        </w:tc>
      </w:tr>
    </w:tbl>
    <w:p w14:paraId="7DA7D86B" w14:textId="0AB0A68E" w:rsidR="009F2DEE" w:rsidRPr="00ED4F16" w:rsidRDefault="007536BE" w:rsidP="00C50779">
      <w:r w:rsidRPr="00ED4F16">
        <w:t xml:space="preserve">La Fondation Feynman, </w:t>
      </w:r>
      <w:r w:rsidR="003C13F4" w:rsidRPr="00ED4F16">
        <w:t xml:space="preserve">qui a son </w:t>
      </w:r>
      <w:r w:rsidRPr="00ED4F16">
        <w:t>siège en Belgique, a pour obje</w:t>
      </w:r>
      <w:r w:rsidR="00CA3282" w:rsidRPr="00ED4F16">
        <w:t xml:space="preserve">t </w:t>
      </w:r>
      <w:r w:rsidRPr="00ED4F16">
        <w:t xml:space="preserve">de promouvoir les technologies scientifiques et quantiques (y compris les ordinateurs, les télécommunications et les capteurs quantiques) </w:t>
      </w:r>
      <w:r w:rsidR="00DF355C" w:rsidRPr="00ED4F16">
        <w:t xml:space="preserve">en tant </w:t>
      </w:r>
      <w:r w:rsidR="00CA3282" w:rsidRPr="00ED4F16">
        <w:t xml:space="preserve">que produit auprès des personnes et des institutions et </w:t>
      </w:r>
      <w:r w:rsidRPr="00ED4F16">
        <w:t>au</w:t>
      </w:r>
      <w:r w:rsidR="00CA3282" w:rsidRPr="00ED4F16">
        <w:t>x</w:t>
      </w:r>
      <w:r w:rsidRPr="00ED4F16">
        <w:t xml:space="preserve"> niveau</w:t>
      </w:r>
      <w:r w:rsidR="00CA3282" w:rsidRPr="00ED4F16">
        <w:t>x</w:t>
      </w:r>
      <w:r w:rsidRPr="00ED4F16">
        <w:t xml:space="preserve"> national, régional et international. </w:t>
      </w:r>
      <w:r w:rsidR="00CA3282" w:rsidRPr="00ED4F16">
        <w:t>L</w:t>
      </w:r>
      <w:r w:rsidR="00C50779" w:rsidRPr="00ED4F16">
        <w:t>'</w:t>
      </w:r>
      <w:r w:rsidR="00CA3282" w:rsidRPr="00ED4F16">
        <w:t xml:space="preserve">assistance de la Fondation Feynman met à </w:t>
      </w:r>
      <w:r w:rsidR="00CA3282" w:rsidRPr="00ED4F16">
        <w:lastRenderedPageBreak/>
        <w:t>disposition une aide financière</w:t>
      </w:r>
      <w:r w:rsidR="00400CFA" w:rsidRPr="00ED4F16">
        <w:t xml:space="preserve"> et</w:t>
      </w:r>
      <w:r w:rsidR="00CA3282" w:rsidRPr="00ED4F16">
        <w:t xml:space="preserve"> des codes sources </w:t>
      </w:r>
      <w:r w:rsidR="00400CFA" w:rsidRPr="00ED4F16">
        <w:t xml:space="preserve">ouverts reposant sur des données scientifiques libres et non liés à un logiciel, </w:t>
      </w:r>
      <w:r w:rsidR="00F44020" w:rsidRPr="00ED4F16">
        <w:t xml:space="preserve">ainsi que des matériels ouverts </w:t>
      </w:r>
      <w:r w:rsidR="00400CFA" w:rsidRPr="00ED4F16">
        <w:t xml:space="preserve">répondant aux principes fondamentaux </w:t>
      </w:r>
      <w:r w:rsidR="00F44020" w:rsidRPr="00ED4F16">
        <w:t>suivants: libre accès aux connaissances scientifiques ou technologiques; infrastructure scientifique et/ou technologique ouverte; communication scientifique et/ou technologique ouverte</w:t>
      </w:r>
      <w:r w:rsidR="00FA4BD0" w:rsidRPr="00ED4F16">
        <w:t>;</w:t>
      </w:r>
      <w:r w:rsidR="00F44020" w:rsidRPr="00ED4F16">
        <w:t xml:space="preserve"> participation ouverte des parties prenantes à la société</w:t>
      </w:r>
      <w:r w:rsidR="00400CFA" w:rsidRPr="00ED4F16">
        <w:t>;</w:t>
      </w:r>
      <w:r w:rsidR="00F44020" w:rsidRPr="00ED4F16">
        <w:t xml:space="preserve"> et dialogue ouvert avec d</w:t>
      </w:r>
      <w:r w:rsidR="00C50779" w:rsidRPr="00ED4F16">
        <w:t>'</w:t>
      </w:r>
      <w:r w:rsidR="00F44020" w:rsidRPr="00ED4F16">
        <w:t>autres systèmes de connaissance</w:t>
      </w:r>
      <w:r w:rsidR="00083561" w:rsidRPr="00ED4F16">
        <w:t>s</w:t>
      </w:r>
      <w:r w:rsidR="00F44020" w:rsidRPr="00ED4F16">
        <w:t>.</w:t>
      </w:r>
      <w:r w:rsidR="00FA4BD0" w:rsidRPr="00ED4F16">
        <w:t xml:space="preserve"> </w:t>
      </w:r>
      <w:r w:rsidR="00400CFA" w:rsidRPr="00ED4F16">
        <w:t>De l</w:t>
      </w:r>
      <w:r w:rsidR="00C50779" w:rsidRPr="00ED4F16">
        <w:t>'</w:t>
      </w:r>
      <w:r w:rsidR="00400CFA" w:rsidRPr="00ED4F16">
        <w:t>avis du</w:t>
      </w:r>
      <w:r w:rsidR="00B50F59" w:rsidRPr="00ED4F16">
        <w:t xml:space="preserve"> </w:t>
      </w:r>
      <w:r w:rsidR="00A44FA1" w:rsidRPr="00ED4F16">
        <w:t>secrétariat</w:t>
      </w:r>
      <w:r w:rsidR="00400CFA" w:rsidRPr="00ED4F16">
        <w:t xml:space="preserve">, </w:t>
      </w:r>
      <w:r w:rsidR="00A44FA1" w:rsidRPr="00ED4F16">
        <w:t>cette entité ne remplit pas les critères d</w:t>
      </w:r>
      <w:r w:rsidR="00C50779" w:rsidRPr="00ED4F16">
        <w:t>'</w:t>
      </w:r>
      <w:r w:rsidR="00A44FA1" w:rsidRPr="00ED4F16">
        <w:t>exonération</w:t>
      </w:r>
      <w:r w:rsidR="000A0D91" w:rsidRPr="00ED4F16">
        <w:t xml:space="preserve"> du paiement des droits</w:t>
      </w:r>
      <w:r w:rsidR="003D6970" w:rsidRPr="00ED4F16">
        <w:t xml:space="preserve"> établis par le Conseil</w:t>
      </w:r>
      <w:r w:rsidR="00A44FA1" w:rsidRPr="00ED4F16">
        <w:t xml:space="preserve"> car il ne s</w:t>
      </w:r>
      <w:r w:rsidR="00C50779" w:rsidRPr="00ED4F16">
        <w:t>'</w:t>
      </w:r>
      <w:r w:rsidR="00A44FA1" w:rsidRPr="00ED4F16">
        <w:t>agit pas d</w:t>
      </w:r>
      <w:r w:rsidR="00C50779" w:rsidRPr="00ED4F16">
        <w:t>'</w:t>
      </w:r>
      <w:r w:rsidR="00A44FA1" w:rsidRPr="00ED4F16">
        <w:t xml:space="preserve">une organisation </w:t>
      </w:r>
      <w:r w:rsidR="00BA1DE8" w:rsidRPr="00ED4F16">
        <w:t>gérée par</w:t>
      </w:r>
      <w:r w:rsidR="00A44FA1" w:rsidRPr="00ED4F16">
        <w:t xml:space="preserve"> ses membres.</w:t>
      </w:r>
    </w:p>
    <w:p w14:paraId="10C93553" w14:textId="5960FA40" w:rsidR="009F2DEE" w:rsidRPr="00ED4F16" w:rsidRDefault="009F2DEE" w:rsidP="00C50779">
      <w:r w:rsidRPr="00ED4F16">
        <w:t>2.5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1417"/>
        <w:gridCol w:w="2664"/>
      </w:tblGrid>
      <w:tr w:rsidR="009F2DEE" w:rsidRPr="00ED4F16" w14:paraId="3E29E718" w14:textId="77777777" w:rsidTr="00196ABF">
        <w:trPr>
          <w:cantSplit/>
          <w:jc w:val="center"/>
        </w:trPr>
        <w:tc>
          <w:tcPr>
            <w:tcW w:w="3253" w:type="dxa"/>
            <w:vAlign w:val="center"/>
          </w:tcPr>
          <w:p w14:paraId="0E1F5C4A" w14:textId="77777777" w:rsidR="009F2DEE" w:rsidRPr="00ED4F16" w:rsidRDefault="009F2DEE" w:rsidP="001B7C41">
            <w:pPr>
              <w:pStyle w:val="Tablehead"/>
            </w:pPr>
            <w:r w:rsidRPr="00ED4F16">
              <w:t>Organisation</w:t>
            </w:r>
          </w:p>
        </w:tc>
        <w:tc>
          <w:tcPr>
            <w:tcW w:w="1417" w:type="dxa"/>
            <w:vAlign w:val="center"/>
          </w:tcPr>
          <w:p w14:paraId="64243A7A" w14:textId="77777777" w:rsidR="009F2DEE" w:rsidRPr="00ED4F16" w:rsidRDefault="009F2DEE" w:rsidP="001B7C41">
            <w:pPr>
              <w:pStyle w:val="Tablehead"/>
            </w:pPr>
            <w:r w:rsidRPr="00ED4F16">
              <w:t>Secteur</w:t>
            </w:r>
          </w:p>
        </w:tc>
        <w:tc>
          <w:tcPr>
            <w:tcW w:w="2664" w:type="dxa"/>
            <w:vAlign w:val="center"/>
          </w:tcPr>
          <w:p w14:paraId="5CE451FB" w14:textId="77777777" w:rsidR="009F2DEE" w:rsidRPr="00ED4F16" w:rsidRDefault="009F2DEE" w:rsidP="001B7C41">
            <w:pPr>
              <w:pStyle w:val="Tablehead"/>
            </w:pPr>
            <w:r w:rsidRPr="00ED4F16">
              <w:t>Recommandation</w:t>
            </w:r>
          </w:p>
        </w:tc>
      </w:tr>
      <w:tr w:rsidR="009F2DEE" w:rsidRPr="00ED4F16" w14:paraId="5EC85FCC" w14:textId="77777777" w:rsidTr="00196ABF">
        <w:trPr>
          <w:cantSplit/>
          <w:jc w:val="center"/>
        </w:trPr>
        <w:tc>
          <w:tcPr>
            <w:tcW w:w="3253" w:type="dxa"/>
            <w:vAlign w:val="center"/>
          </w:tcPr>
          <w:p w14:paraId="6893668C" w14:textId="03A7085E" w:rsidR="009F2DEE" w:rsidRPr="00ED4F16" w:rsidRDefault="006134A9" w:rsidP="001B7C41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Organisation libyenne pour les technologies de l</w:t>
            </w:r>
            <w:r w:rsidR="00C50779"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'</w:t>
            </w:r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information</w:t>
            </w:r>
            <w:r w:rsidR="00D97BD9"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 xml:space="preserve"> </w:t>
            </w:r>
            <w:r w:rsidR="00196ABF"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br/>
            </w:r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et les télécommunications</w:t>
            </w:r>
          </w:p>
        </w:tc>
        <w:tc>
          <w:tcPr>
            <w:tcW w:w="1417" w:type="dxa"/>
            <w:vAlign w:val="center"/>
          </w:tcPr>
          <w:p w14:paraId="79D1F919" w14:textId="2F8E729D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UIT-D</w:t>
            </w:r>
          </w:p>
        </w:tc>
        <w:tc>
          <w:tcPr>
            <w:tcW w:w="2664" w:type="dxa"/>
            <w:vAlign w:val="center"/>
          </w:tcPr>
          <w:p w14:paraId="074E3809" w14:textId="06CFB7FF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fr-FR"/>
              </w:rPr>
              <w:t>NON</w:t>
            </w:r>
          </w:p>
        </w:tc>
      </w:tr>
    </w:tbl>
    <w:p w14:paraId="15B5F85F" w14:textId="4547AAA9" w:rsidR="009F2DEE" w:rsidRPr="00ED4F16" w:rsidRDefault="006134A9" w:rsidP="00C50779">
      <w:r w:rsidRPr="00ED4F16">
        <w:t>L</w:t>
      </w:r>
      <w:r w:rsidR="00C50779" w:rsidRPr="00ED4F16">
        <w:t>'</w:t>
      </w:r>
      <w:r w:rsidRPr="00ED4F16">
        <w:t>Organisation libyenne pour les technologies de l</w:t>
      </w:r>
      <w:r w:rsidR="00C50779" w:rsidRPr="00ED4F16">
        <w:t>'</w:t>
      </w:r>
      <w:r w:rsidRPr="00ED4F16">
        <w:t xml:space="preserve">information et les télécommunications </w:t>
      </w:r>
      <w:r w:rsidR="00C84219" w:rsidRPr="00ED4F16">
        <w:t xml:space="preserve">est une organisation de la société civile à but non lucratif située en Libye, </w:t>
      </w:r>
      <w:r w:rsidR="00400CFA" w:rsidRPr="00ED4F16">
        <w:t>qui relie l</w:t>
      </w:r>
      <w:r w:rsidR="00C50779" w:rsidRPr="00ED4F16">
        <w:t>'</w:t>
      </w:r>
      <w:r w:rsidR="00400CFA" w:rsidRPr="00ED4F16">
        <w:t xml:space="preserve">ensemble des </w:t>
      </w:r>
      <w:r w:rsidR="00C84219" w:rsidRPr="00ED4F16">
        <w:t xml:space="preserve">parties prenantes </w:t>
      </w:r>
      <w:r w:rsidR="00400CFA" w:rsidRPr="00ED4F16">
        <w:t>locales</w:t>
      </w:r>
      <w:r w:rsidR="00C84219" w:rsidRPr="00ED4F16">
        <w:t xml:space="preserve">, y compris le public, </w:t>
      </w:r>
      <w:r w:rsidR="00400CFA" w:rsidRPr="00ED4F16">
        <w:t xml:space="preserve">les </w:t>
      </w:r>
      <w:r w:rsidR="00C84219" w:rsidRPr="00ED4F16">
        <w:t xml:space="preserve">entreprises, </w:t>
      </w:r>
      <w:r w:rsidR="00400CFA" w:rsidRPr="00ED4F16">
        <w:t xml:space="preserve">les autorités locales </w:t>
      </w:r>
      <w:r w:rsidR="00C84219" w:rsidRPr="00ED4F16">
        <w:t xml:space="preserve">et les ministères. </w:t>
      </w:r>
      <w:r w:rsidR="00AA1DB6" w:rsidRPr="00ED4F16">
        <w:t>De l</w:t>
      </w:r>
      <w:r w:rsidR="00C50779" w:rsidRPr="00ED4F16">
        <w:t>'</w:t>
      </w:r>
      <w:r w:rsidR="00AA1DB6" w:rsidRPr="00ED4F16">
        <w:t xml:space="preserve">avis du </w:t>
      </w:r>
      <w:r w:rsidR="00C84219" w:rsidRPr="00ED4F16">
        <w:t>secrétariat</w:t>
      </w:r>
      <w:r w:rsidR="00AA1DB6" w:rsidRPr="00ED4F16">
        <w:t xml:space="preserve">, </w:t>
      </w:r>
      <w:r w:rsidR="00C84219" w:rsidRPr="00ED4F16">
        <w:t xml:space="preserve">cette entité ne </w:t>
      </w:r>
      <w:r w:rsidR="00AA1DB6" w:rsidRPr="00ED4F16">
        <w:t>répond pas aux</w:t>
      </w:r>
      <w:r w:rsidR="00C84219" w:rsidRPr="00ED4F16">
        <w:t xml:space="preserve"> critères d</w:t>
      </w:r>
      <w:r w:rsidR="00C50779" w:rsidRPr="00ED4F16">
        <w:t>'</w:t>
      </w:r>
      <w:r w:rsidR="00C84219" w:rsidRPr="00ED4F16">
        <w:t>exonération</w:t>
      </w:r>
      <w:r w:rsidR="000A0D91" w:rsidRPr="00ED4F16">
        <w:t xml:space="preserve"> du paiement des droits</w:t>
      </w:r>
      <w:r w:rsidR="003D6970" w:rsidRPr="00ED4F16">
        <w:t xml:space="preserve"> établis par le Conseil</w:t>
      </w:r>
      <w:r w:rsidR="00C84219" w:rsidRPr="00ED4F16">
        <w:t>, car il</w:t>
      </w:r>
      <w:r w:rsidR="00B60496" w:rsidRPr="00ED4F16">
        <w:t xml:space="preserve"> s</w:t>
      </w:r>
      <w:r w:rsidR="00C50779" w:rsidRPr="00ED4F16">
        <w:t>'</w:t>
      </w:r>
      <w:r w:rsidR="00BA622E" w:rsidRPr="00ED4F16">
        <w:t>agit d</w:t>
      </w:r>
      <w:r w:rsidR="00C50779" w:rsidRPr="00ED4F16">
        <w:t>'</w:t>
      </w:r>
      <w:r w:rsidR="00BA622E" w:rsidRPr="00ED4F16">
        <w:t>une entité nationale.</w:t>
      </w:r>
    </w:p>
    <w:p w14:paraId="7BAA37B5" w14:textId="2DF3DE6C" w:rsidR="009F2DEE" w:rsidRPr="00ED4F16" w:rsidRDefault="009F2DEE" w:rsidP="00C50779">
      <w:r w:rsidRPr="00ED4F16">
        <w:t>2.6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4"/>
        <w:gridCol w:w="1260"/>
        <w:gridCol w:w="2730"/>
      </w:tblGrid>
      <w:tr w:rsidR="009F2DEE" w:rsidRPr="00ED4F16" w14:paraId="00FE8F9A" w14:textId="77777777" w:rsidTr="00BA6895">
        <w:trPr>
          <w:cantSplit/>
          <w:jc w:val="center"/>
        </w:trPr>
        <w:tc>
          <w:tcPr>
            <w:tcW w:w="3344" w:type="dxa"/>
            <w:vAlign w:val="center"/>
          </w:tcPr>
          <w:p w14:paraId="22C25AEC" w14:textId="77777777" w:rsidR="009F2DEE" w:rsidRPr="00ED4F16" w:rsidRDefault="009F2DEE" w:rsidP="001B7C41">
            <w:pPr>
              <w:pStyle w:val="Tablehead"/>
            </w:pPr>
            <w:r w:rsidRPr="00ED4F16">
              <w:t>Organisation</w:t>
            </w:r>
          </w:p>
        </w:tc>
        <w:tc>
          <w:tcPr>
            <w:tcW w:w="1260" w:type="dxa"/>
            <w:vAlign w:val="center"/>
          </w:tcPr>
          <w:p w14:paraId="1526DF16" w14:textId="77777777" w:rsidR="009F2DEE" w:rsidRPr="00ED4F16" w:rsidRDefault="009F2DEE" w:rsidP="001B7C41">
            <w:pPr>
              <w:pStyle w:val="Tablehead"/>
            </w:pPr>
            <w:r w:rsidRPr="00ED4F16">
              <w:t>Secteur</w:t>
            </w:r>
          </w:p>
        </w:tc>
        <w:tc>
          <w:tcPr>
            <w:tcW w:w="2730" w:type="dxa"/>
            <w:vAlign w:val="center"/>
          </w:tcPr>
          <w:p w14:paraId="0F49102F" w14:textId="77777777" w:rsidR="009F2DEE" w:rsidRPr="00ED4F16" w:rsidRDefault="009F2DEE" w:rsidP="001B7C41">
            <w:pPr>
              <w:pStyle w:val="Tablehead"/>
            </w:pPr>
            <w:r w:rsidRPr="00ED4F16">
              <w:t>Recommandation</w:t>
            </w:r>
          </w:p>
        </w:tc>
      </w:tr>
      <w:tr w:rsidR="009F2DEE" w:rsidRPr="00ED4F16" w14:paraId="0A24FE32" w14:textId="77777777" w:rsidTr="00BA6895">
        <w:trPr>
          <w:cantSplit/>
          <w:jc w:val="center"/>
        </w:trPr>
        <w:tc>
          <w:tcPr>
            <w:tcW w:w="3344" w:type="dxa"/>
            <w:vAlign w:val="center"/>
          </w:tcPr>
          <w:p w14:paraId="40D7C716" w14:textId="4917A38F" w:rsidR="009F2DEE" w:rsidRPr="00ED4F16" w:rsidRDefault="006C113B" w:rsidP="001B7C41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bookmarkStart w:id="3" w:name="_Hlk138415009"/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Fédération mondiale des organisations d</w:t>
            </w:r>
            <w:r w:rsidR="00C50779"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'</w:t>
            </w:r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ingénieurs (FMOI)</w:t>
            </w:r>
            <w:bookmarkEnd w:id="3"/>
          </w:p>
        </w:tc>
        <w:tc>
          <w:tcPr>
            <w:tcW w:w="1260" w:type="dxa"/>
            <w:vAlign w:val="center"/>
          </w:tcPr>
          <w:p w14:paraId="3DB9EFD8" w14:textId="4D030F06" w:rsidR="009F2DEE" w:rsidRPr="00ED4F16" w:rsidRDefault="009F2DEE" w:rsidP="001B7C41">
            <w:pPr>
              <w:keepNext/>
              <w:keepLines/>
              <w:tabs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</w:rPr>
              <w:t>UIT-R</w:t>
            </w:r>
          </w:p>
          <w:p w14:paraId="213305C4" w14:textId="0AAB7FC4" w:rsidR="009F2DEE" w:rsidRPr="00ED4F16" w:rsidRDefault="009F2DEE" w:rsidP="001B7C41">
            <w:pPr>
              <w:keepNext/>
              <w:keepLines/>
              <w:tabs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</w:rPr>
              <w:t>UIT-T</w:t>
            </w:r>
          </w:p>
          <w:p w14:paraId="30FD5D0D" w14:textId="39969CBB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UIT-D</w:t>
            </w:r>
          </w:p>
        </w:tc>
        <w:tc>
          <w:tcPr>
            <w:tcW w:w="2730" w:type="dxa"/>
            <w:vAlign w:val="center"/>
          </w:tcPr>
          <w:p w14:paraId="6F0FFD23" w14:textId="62078BEC" w:rsidR="009F2DEE" w:rsidRPr="00ED4F16" w:rsidRDefault="009F2DEE" w:rsidP="001B7C41">
            <w:pPr>
              <w:keepNext/>
              <w:keepLines/>
              <w:tabs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ED4F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NON</w:t>
            </w:r>
          </w:p>
          <w:p w14:paraId="536F11E3" w14:textId="3C280EE4" w:rsidR="009F2DEE" w:rsidRPr="00ED4F16" w:rsidRDefault="009F2DEE" w:rsidP="001B7C41">
            <w:pPr>
              <w:keepNext/>
              <w:keepLines/>
              <w:tabs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ED4F1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OUI</w:t>
            </w:r>
          </w:p>
          <w:p w14:paraId="02E79AA9" w14:textId="1CE02BE0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fr-FR"/>
              </w:rPr>
              <w:t>OUI</w:t>
            </w:r>
          </w:p>
        </w:tc>
      </w:tr>
    </w:tbl>
    <w:p w14:paraId="05EC7698" w14:textId="5FBCDE4E" w:rsidR="009F2DEE" w:rsidRPr="00ED4F16" w:rsidRDefault="009D1A4A" w:rsidP="00196ABF">
      <w:r w:rsidRPr="00ED4F16">
        <w:t xml:space="preserve">La </w:t>
      </w:r>
      <w:r w:rsidRPr="00ED4F16">
        <w:rPr>
          <w:iCs/>
        </w:rPr>
        <w:t>Fédération mondiale des organisations d</w:t>
      </w:r>
      <w:r w:rsidR="00C50779" w:rsidRPr="00ED4F16">
        <w:rPr>
          <w:iCs/>
        </w:rPr>
        <w:t>'</w:t>
      </w:r>
      <w:r w:rsidRPr="00ED4F16">
        <w:rPr>
          <w:iCs/>
        </w:rPr>
        <w:t>ingénieurs (FMOI)</w:t>
      </w:r>
      <w:r w:rsidRPr="00ED4F16">
        <w:t>, organisation internationale non gouvernementale qui regroupe des associations techniques pluridisciplinaires du monde entier, a été créée</w:t>
      </w:r>
      <w:r w:rsidR="00CB3014" w:rsidRPr="00ED4F16">
        <w:t xml:space="preserve"> pour unir des associations d</w:t>
      </w:r>
      <w:r w:rsidR="00C50779" w:rsidRPr="00ED4F16">
        <w:t>'</w:t>
      </w:r>
      <w:r w:rsidR="00CB3014" w:rsidRPr="00ED4F16">
        <w:t>ingénie</w:t>
      </w:r>
      <w:r w:rsidR="002D72EF" w:rsidRPr="00ED4F16">
        <w:t>urs</w:t>
      </w:r>
      <w:r w:rsidR="00CB3014" w:rsidRPr="00ED4F16">
        <w:t xml:space="preserve"> pluridisciplinaires dans le monde entier</w:t>
      </w:r>
      <w:r w:rsidRPr="00ED4F16">
        <w:t xml:space="preserve">. </w:t>
      </w:r>
      <w:r w:rsidR="00305F95" w:rsidRPr="00ED4F16">
        <w:t>Le FMOI, qui réunit des institutions nationales d</w:t>
      </w:r>
      <w:r w:rsidR="00C50779" w:rsidRPr="00ED4F16">
        <w:t>'</w:t>
      </w:r>
      <w:r w:rsidR="00734028" w:rsidRPr="00ED4F16">
        <w:t>ingénie</w:t>
      </w:r>
      <w:r w:rsidR="00276DDA" w:rsidRPr="00ED4F16">
        <w:t>rie</w:t>
      </w:r>
      <w:r w:rsidR="00305F95" w:rsidRPr="00ED4F16">
        <w:t xml:space="preserve"> d</w:t>
      </w:r>
      <w:r w:rsidR="00C50779" w:rsidRPr="00ED4F16">
        <w:t>'</w:t>
      </w:r>
      <w:r w:rsidR="00305F95" w:rsidRPr="00ED4F16">
        <w:t>une centaine de pays, représente plus de 30 millions d</w:t>
      </w:r>
      <w:r w:rsidR="00C50779" w:rsidRPr="00ED4F16">
        <w:t>'</w:t>
      </w:r>
      <w:r w:rsidR="00305F95" w:rsidRPr="00ED4F16">
        <w:t xml:space="preserve">ingénieurs. </w:t>
      </w:r>
      <w:r w:rsidR="000A0D91" w:rsidRPr="00ED4F16">
        <w:t xml:space="preserve">Le secrétariat estime que cette entité, </w:t>
      </w:r>
      <w:r w:rsidR="00D9386F" w:rsidRPr="00ED4F16">
        <w:t xml:space="preserve">organisation internationale </w:t>
      </w:r>
      <w:r w:rsidR="00FB6559" w:rsidRPr="00ED4F16">
        <w:t xml:space="preserve">constituée </w:t>
      </w:r>
      <w:r w:rsidR="00D9386F" w:rsidRPr="00ED4F16">
        <w:t>d</w:t>
      </w:r>
      <w:r w:rsidR="00C50779" w:rsidRPr="00ED4F16">
        <w:t>'</w:t>
      </w:r>
      <w:r w:rsidR="00D9386F" w:rsidRPr="00ED4F16">
        <w:t>un grand nombre d</w:t>
      </w:r>
      <w:r w:rsidR="00C50779" w:rsidRPr="00ED4F16">
        <w:t>'</w:t>
      </w:r>
      <w:r w:rsidR="00D9386F" w:rsidRPr="00ED4F16">
        <w:t xml:space="preserve">associations scientifiques et techniques du monde entier, </w:t>
      </w:r>
      <w:r w:rsidR="000A0D91" w:rsidRPr="00ED4F16">
        <w:t xml:space="preserve">remplit les </w:t>
      </w:r>
      <w:r w:rsidR="00D9386F" w:rsidRPr="00ED4F16">
        <w:t xml:space="preserve">critères </w:t>
      </w:r>
      <w:r w:rsidR="000D1A1F" w:rsidRPr="00ED4F16">
        <w:t>institutionnels</w:t>
      </w:r>
      <w:r w:rsidR="003A6C80" w:rsidRPr="00ED4F16">
        <w:t xml:space="preserve"> </w:t>
      </w:r>
      <w:r w:rsidR="00D9386F" w:rsidRPr="00ED4F16">
        <w:t xml:space="preserve">établis par le Conseil </w:t>
      </w:r>
      <w:r w:rsidR="00414C22" w:rsidRPr="00ED4F16">
        <w:t xml:space="preserve">concernant </w:t>
      </w:r>
      <w:r w:rsidR="00D9386F" w:rsidRPr="00ED4F16">
        <w:t>l</w:t>
      </w:r>
      <w:r w:rsidR="00C50779" w:rsidRPr="00ED4F16">
        <w:t>'</w:t>
      </w:r>
      <w:r w:rsidR="00D9386F" w:rsidRPr="00ED4F16">
        <w:t>exonération du paiement des droits</w:t>
      </w:r>
      <w:r w:rsidR="003D6970" w:rsidRPr="00ED4F16">
        <w:t xml:space="preserve"> </w:t>
      </w:r>
      <w:r w:rsidR="000D1A1F" w:rsidRPr="00ED4F16">
        <w:t xml:space="preserve">fixé lui </w:t>
      </w:r>
      <w:r w:rsidR="002A4252" w:rsidRPr="00ED4F16">
        <w:t xml:space="preserve">et </w:t>
      </w:r>
      <w:r w:rsidR="00EB7539" w:rsidRPr="00ED4F16">
        <w:t xml:space="preserve">la réciprocité </w:t>
      </w:r>
      <w:r w:rsidR="002A4252" w:rsidRPr="00ED4F16">
        <w:t xml:space="preserve">vis-à-vis de </w:t>
      </w:r>
      <w:r w:rsidR="00D9386F" w:rsidRPr="00ED4F16">
        <w:t>l</w:t>
      </w:r>
      <w:r w:rsidR="00C50779" w:rsidRPr="00ED4F16">
        <w:t>'</w:t>
      </w:r>
      <w:r w:rsidR="00D9386F" w:rsidRPr="00ED4F16">
        <w:t xml:space="preserve">UIT-T et </w:t>
      </w:r>
      <w:r w:rsidR="002A4252" w:rsidRPr="00ED4F16">
        <w:t xml:space="preserve">de </w:t>
      </w:r>
      <w:r w:rsidR="00D9386F" w:rsidRPr="00ED4F16">
        <w:t>l</w:t>
      </w:r>
      <w:r w:rsidR="00C50779" w:rsidRPr="00ED4F16">
        <w:t>'</w:t>
      </w:r>
      <w:r w:rsidR="00D9386F" w:rsidRPr="00ED4F16">
        <w:t>UIT-D.</w:t>
      </w:r>
      <w:r w:rsidR="003E7396" w:rsidRPr="00ED4F16">
        <w:t xml:space="preserve"> </w:t>
      </w:r>
      <w:r w:rsidR="00FE34EF" w:rsidRPr="00ED4F16">
        <w:t xml:space="preserve">Toutefois, </w:t>
      </w:r>
      <w:r w:rsidR="00C0341F" w:rsidRPr="00ED4F16">
        <w:t xml:space="preserve">il est difficile de déterminer </w:t>
      </w:r>
      <w:r w:rsidR="000D1A1F" w:rsidRPr="00ED4F16">
        <w:t xml:space="preserve">en quoi </w:t>
      </w:r>
      <w:r w:rsidR="00FE34EF" w:rsidRPr="00ED4F16">
        <w:t>l</w:t>
      </w:r>
      <w:r w:rsidR="00C50779" w:rsidRPr="00ED4F16">
        <w:t>'</w:t>
      </w:r>
      <w:r w:rsidR="00FE34EF" w:rsidRPr="00ED4F16">
        <w:t>organisation apportera une valeur ajoutée à l</w:t>
      </w:r>
      <w:r w:rsidR="00C50779" w:rsidRPr="00ED4F16">
        <w:t>'</w:t>
      </w:r>
      <w:r w:rsidR="00FE34EF" w:rsidRPr="00ED4F16">
        <w:t xml:space="preserve">UIT-R en </w:t>
      </w:r>
      <w:r w:rsidR="000D1A1F" w:rsidRPr="00ED4F16">
        <w:t xml:space="preserve">comme </w:t>
      </w:r>
      <w:r w:rsidR="00414C22" w:rsidRPr="00ED4F16">
        <w:t>M</w:t>
      </w:r>
      <w:r w:rsidR="00FE34EF" w:rsidRPr="00ED4F16">
        <w:t xml:space="preserve">embre de </w:t>
      </w:r>
      <w:r w:rsidR="00414C22" w:rsidRPr="00ED4F16">
        <w:t>S</w:t>
      </w:r>
      <w:r w:rsidR="00FE34EF" w:rsidRPr="00ED4F16">
        <w:t>ecteur</w:t>
      </w:r>
      <w:r w:rsidR="00C0341F" w:rsidRPr="00ED4F16">
        <w:t>,</w:t>
      </w:r>
      <w:r w:rsidR="00FE34EF" w:rsidRPr="00ED4F16">
        <w:t xml:space="preserve"> </w:t>
      </w:r>
      <w:r w:rsidR="000D1A1F" w:rsidRPr="00ED4F16">
        <w:t>étant donné qu</w:t>
      </w:r>
      <w:r w:rsidR="00C50779" w:rsidRPr="00ED4F16">
        <w:t>'</w:t>
      </w:r>
      <w:r w:rsidR="000D1A1F" w:rsidRPr="00ED4F16">
        <w:t xml:space="preserve">elle </w:t>
      </w:r>
      <w:r w:rsidR="00FE34EF" w:rsidRPr="00ED4F16">
        <w:t>ne précise pas si elle possède des compétences en matière de gestion du spectre des fréquences radioélectriques.</w:t>
      </w:r>
    </w:p>
    <w:p w14:paraId="0F0331F8" w14:textId="2F954F29" w:rsidR="009F2DEE" w:rsidRPr="00ED4F16" w:rsidRDefault="009F2DEE" w:rsidP="00196ABF">
      <w:r w:rsidRPr="00ED4F16">
        <w:t>2.7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4"/>
        <w:gridCol w:w="1260"/>
        <w:gridCol w:w="2730"/>
      </w:tblGrid>
      <w:tr w:rsidR="009F2DEE" w:rsidRPr="00ED4F16" w14:paraId="2E7D305A" w14:textId="77777777" w:rsidTr="00BA6895">
        <w:trPr>
          <w:cantSplit/>
          <w:jc w:val="center"/>
        </w:trPr>
        <w:tc>
          <w:tcPr>
            <w:tcW w:w="3344" w:type="dxa"/>
            <w:vAlign w:val="center"/>
          </w:tcPr>
          <w:p w14:paraId="4E726E28" w14:textId="77777777" w:rsidR="009F2DEE" w:rsidRPr="00ED4F16" w:rsidRDefault="009F2DEE" w:rsidP="001B7C41">
            <w:pPr>
              <w:pStyle w:val="Tablehead"/>
            </w:pPr>
            <w:r w:rsidRPr="00ED4F16">
              <w:t>Organisation</w:t>
            </w:r>
          </w:p>
        </w:tc>
        <w:tc>
          <w:tcPr>
            <w:tcW w:w="1260" w:type="dxa"/>
            <w:vAlign w:val="center"/>
          </w:tcPr>
          <w:p w14:paraId="16F8C4DB" w14:textId="77777777" w:rsidR="009F2DEE" w:rsidRPr="00ED4F16" w:rsidRDefault="009F2DEE" w:rsidP="001B7C41">
            <w:pPr>
              <w:pStyle w:val="Tablehead"/>
            </w:pPr>
            <w:r w:rsidRPr="00ED4F16">
              <w:t>Secteur</w:t>
            </w:r>
          </w:p>
        </w:tc>
        <w:tc>
          <w:tcPr>
            <w:tcW w:w="2730" w:type="dxa"/>
            <w:vAlign w:val="center"/>
          </w:tcPr>
          <w:p w14:paraId="60A4D49B" w14:textId="77777777" w:rsidR="009F2DEE" w:rsidRPr="00ED4F16" w:rsidRDefault="009F2DEE" w:rsidP="001B7C41">
            <w:pPr>
              <w:pStyle w:val="Tablehead"/>
            </w:pPr>
            <w:r w:rsidRPr="00ED4F16">
              <w:t>Recommandation</w:t>
            </w:r>
          </w:p>
        </w:tc>
      </w:tr>
      <w:tr w:rsidR="009F2DEE" w:rsidRPr="00ED4F16" w14:paraId="61C95EE9" w14:textId="77777777" w:rsidTr="00BA6895">
        <w:trPr>
          <w:cantSplit/>
          <w:jc w:val="center"/>
        </w:trPr>
        <w:tc>
          <w:tcPr>
            <w:tcW w:w="3344" w:type="dxa"/>
            <w:vAlign w:val="center"/>
          </w:tcPr>
          <w:p w14:paraId="13B4B1B5" w14:textId="436555FA" w:rsidR="009F2DEE" w:rsidRPr="00ED4F16" w:rsidRDefault="009F2DEE" w:rsidP="001B7C41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Environmental Coalition on Standards (ECOS)</w:t>
            </w:r>
          </w:p>
        </w:tc>
        <w:tc>
          <w:tcPr>
            <w:tcW w:w="1260" w:type="dxa"/>
            <w:vAlign w:val="center"/>
          </w:tcPr>
          <w:p w14:paraId="6DDC0BE8" w14:textId="513192BC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UIT-T</w:t>
            </w:r>
          </w:p>
        </w:tc>
        <w:tc>
          <w:tcPr>
            <w:tcW w:w="2730" w:type="dxa"/>
            <w:vAlign w:val="center"/>
          </w:tcPr>
          <w:p w14:paraId="2270F08F" w14:textId="71CB5C38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</w:p>
        </w:tc>
      </w:tr>
    </w:tbl>
    <w:p w14:paraId="4B656A10" w14:textId="6C6C4490" w:rsidR="009F2DEE" w:rsidRPr="00ED4F16" w:rsidRDefault="009F2DEE" w:rsidP="00196ABF">
      <w:r w:rsidRPr="00ED4F16">
        <w:t>Environmental Coalition on Standards (ECOS)</w:t>
      </w:r>
      <w:r w:rsidR="00720801" w:rsidRPr="00ED4F16">
        <w:t>, fondée en 2001,</w:t>
      </w:r>
      <w:r w:rsidRPr="00ED4F16">
        <w:t xml:space="preserve"> </w:t>
      </w:r>
      <w:r w:rsidR="00F36A99" w:rsidRPr="00ED4F16">
        <w:t xml:space="preserve">est une ONG internationale </w:t>
      </w:r>
      <w:r w:rsidR="000D1A1F" w:rsidRPr="00ED4F16">
        <w:t xml:space="preserve">à </w:t>
      </w:r>
      <w:r w:rsidR="00F36A99" w:rsidRPr="00ED4F16">
        <w:t>un réseau de membres et d</w:t>
      </w:r>
      <w:r w:rsidR="00C50779" w:rsidRPr="00ED4F16">
        <w:t>'</w:t>
      </w:r>
      <w:r w:rsidR="00F36A99" w:rsidRPr="00ED4F16">
        <w:t>experts préconisant des normes techniques, des politiques et des lois respectueuses de l</w:t>
      </w:r>
      <w:r w:rsidR="00C50779" w:rsidRPr="00ED4F16">
        <w:t>'</w:t>
      </w:r>
      <w:r w:rsidR="00F36A99" w:rsidRPr="00ED4F16">
        <w:t xml:space="preserve">environnement. </w:t>
      </w:r>
      <w:r w:rsidR="006F2011" w:rsidRPr="00ED4F16">
        <w:t xml:space="preserve">Elle </w:t>
      </w:r>
      <w:r w:rsidR="000D1A1F" w:rsidRPr="00ED4F16">
        <w:t xml:space="preserve">affirme </w:t>
      </w:r>
      <w:r w:rsidR="006F2011" w:rsidRPr="00ED4F16">
        <w:t xml:space="preserve">être la seule organisation </w:t>
      </w:r>
      <w:r w:rsidR="000D1A1F" w:rsidRPr="00ED4F16">
        <w:lastRenderedPageBreak/>
        <w:t xml:space="preserve">internationale de défense de </w:t>
      </w:r>
      <w:r w:rsidR="006F2011" w:rsidRPr="00ED4F16">
        <w:t>l</w:t>
      </w:r>
      <w:r w:rsidR="00C50779" w:rsidRPr="00ED4F16">
        <w:t>'</w:t>
      </w:r>
      <w:r w:rsidR="006F2011" w:rsidRPr="00ED4F16">
        <w:t xml:space="preserve">environnement à se spécialiser dans la normalisation. </w:t>
      </w:r>
      <w:r w:rsidR="000D1A1F" w:rsidRPr="00ED4F16">
        <w:t>Elle</w:t>
      </w:r>
      <w:r w:rsidR="00196ABF" w:rsidRPr="00ED4F16">
        <w:t> </w:t>
      </w:r>
      <w:r w:rsidR="000D1A1F" w:rsidRPr="00ED4F16">
        <w:t xml:space="preserve">œuvre pour </w:t>
      </w:r>
      <w:r w:rsidR="00287F0D" w:rsidRPr="00ED4F16">
        <w:t xml:space="preserve">un système de normalisation plus inclusif, ouvert et transparent, aux </w:t>
      </w:r>
      <w:r w:rsidR="000D1A1F" w:rsidRPr="00ED4F16">
        <w:t>échelons</w:t>
      </w:r>
      <w:r w:rsidR="00287F0D" w:rsidRPr="00ED4F16">
        <w:t xml:space="preserve"> international</w:t>
      </w:r>
      <w:r w:rsidR="007C2A44" w:rsidRPr="00ED4F16">
        <w:t>,</w:t>
      </w:r>
      <w:r w:rsidR="00287F0D" w:rsidRPr="00ED4F16">
        <w:t xml:space="preserve"> européen et national, tout en </w:t>
      </w:r>
      <w:r w:rsidR="000D1A1F" w:rsidRPr="00ED4F16">
        <w:t xml:space="preserve">veillant à une </w:t>
      </w:r>
      <w:r w:rsidR="00287F0D" w:rsidRPr="00ED4F16">
        <w:t>utilisation appropriée des normes à l</w:t>
      </w:r>
      <w:r w:rsidR="00C50779" w:rsidRPr="00ED4F16">
        <w:t>'</w:t>
      </w:r>
      <w:r w:rsidR="00287F0D" w:rsidRPr="00ED4F16">
        <w:t>appui de la législation et des politiques en matière d</w:t>
      </w:r>
      <w:r w:rsidR="00C50779" w:rsidRPr="00ED4F16">
        <w:t>'</w:t>
      </w:r>
      <w:r w:rsidR="00287F0D" w:rsidRPr="00ED4F16">
        <w:t>environnement.</w:t>
      </w:r>
      <w:r w:rsidR="007C2A44" w:rsidRPr="00ED4F16">
        <w:t xml:space="preserve"> </w:t>
      </w:r>
      <w:r w:rsidR="00FB0573" w:rsidRPr="00ED4F16">
        <w:t>Dans l</w:t>
      </w:r>
      <w:r w:rsidR="00196ABF" w:rsidRPr="00ED4F16">
        <w:t>a</w:t>
      </w:r>
      <w:r w:rsidR="00FB0573" w:rsidRPr="00ED4F16">
        <w:t xml:space="preserve"> mesure où</w:t>
      </w:r>
      <w:r w:rsidR="00C44643" w:rsidRPr="00ED4F16">
        <w:t xml:space="preserve"> </w:t>
      </w:r>
      <w:r w:rsidR="00FB0573" w:rsidRPr="00ED4F16">
        <w:t>il s</w:t>
      </w:r>
      <w:r w:rsidR="00C50779" w:rsidRPr="00ED4F16">
        <w:t>'</w:t>
      </w:r>
      <w:r w:rsidR="00FB0573" w:rsidRPr="00ED4F16">
        <w:t>agit d</w:t>
      </w:r>
      <w:r w:rsidR="00C50779" w:rsidRPr="00ED4F16">
        <w:t>'</w:t>
      </w:r>
      <w:r w:rsidR="00942419" w:rsidRPr="00ED4F16">
        <w:t xml:space="preserve">une </w:t>
      </w:r>
      <w:r w:rsidR="00C44643" w:rsidRPr="00ED4F16">
        <w:t>organisation internationale composée d</w:t>
      </w:r>
      <w:r w:rsidR="00C50779" w:rsidRPr="00ED4F16">
        <w:t>'</w:t>
      </w:r>
      <w:r w:rsidR="00C44643" w:rsidRPr="00ED4F16">
        <w:t>ONG membres, le secrétariat</w:t>
      </w:r>
      <w:r w:rsidR="00FB0573" w:rsidRPr="00ED4F16">
        <w:t xml:space="preserve"> estime que cette entité remplit</w:t>
      </w:r>
      <w:r w:rsidR="00C44643" w:rsidRPr="00ED4F16">
        <w:t xml:space="preserve"> les critères d</w:t>
      </w:r>
      <w:r w:rsidR="00C50779" w:rsidRPr="00ED4F16">
        <w:t>'</w:t>
      </w:r>
      <w:r w:rsidR="00C44643" w:rsidRPr="00ED4F16">
        <w:t>exonération du paiement des droits établis par le Conseil.</w:t>
      </w:r>
    </w:p>
    <w:p w14:paraId="2A4B3E7F" w14:textId="049FF0BA" w:rsidR="009F2DEE" w:rsidRPr="00ED4F16" w:rsidRDefault="009F2DEE" w:rsidP="00196ABF">
      <w:r w:rsidRPr="00ED4F16">
        <w:t>2.8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4"/>
        <w:gridCol w:w="1260"/>
        <w:gridCol w:w="2730"/>
      </w:tblGrid>
      <w:tr w:rsidR="009F2DEE" w:rsidRPr="00ED4F16" w14:paraId="08D4D223" w14:textId="77777777" w:rsidTr="00BA6895">
        <w:trPr>
          <w:cantSplit/>
          <w:jc w:val="center"/>
        </w:trPr>
        <w:tc>
          <w:tcPr>
            <w:tcW w:w="3344" w:type="dxa"/>
            <w:vAlign w:val="center"/>
          </w:tcPr>
          <w:p w14:paraId="7DE31F1D" w14:textId="77777777" w:rsidR="009F2DEE" w:rsidRPr="00ED4F16" w:rsidRDefault="009F2DEE" w:rsidP="001B7C41">
            <w:pPr>
              <w:pStyle w:val="Tablehead"/>
            </w:pPr>
            <w:r w:rsidRPr="00ED4F16">
              <w:t>Organisation</w:t>
            </w:r>
          </w:p>
        </w:tc>
        <w:tc>
          <w:tcPr>
            <w:tcW w:w="1260" w:type="dxa"/>
            <w:vAlign w:val="center"/>
          </w:tcPr>
          <w:p w14:paraId="0D2D8D5B" w14:textId="77777777" w:rsidR="009F2DEE" w:rsidRPr="00ED4F16" w:rsidRDefault="009F2DEE" w:rsidP="001B7C41">
            <w:pPr>
              <w:pStyle w:val="Tablehead"/>
            </w:pPr>
            <w:r w:rsidRPr="00ED4F16">
              <w:t>Secteur</w:t>
            </w:r>
          </w:p>
        </w:tc>
        <w:tc>
          <w:tcPr>
            <w:tcW w:w="2730" w:type="dxa"/>
            <w:vAlign w:val="center"/>
          </w:tcPr>
          <w:p w14:paraId="27948C3D" w14:textId="77777777" w:rsidR="009F2DEE" w:rsidRPr="00ED4F16" w:rsidRDefault="009F2DEE" w:rsidP="001B7C41">
            <w:pPr>
              <w:pStyle w:val="Tablehead"/>
            </w:pPr>
            <w:r w:rsidRPr="00ED4F16">
              <w:t>Recommandation</w:t>
            </w:r>
          </w:p>
        </w:tc>
      </w:tr>
      <w:tr w:rsidR="009F2DEE" w:rsidRPr="00ED4F16" w14:paraId="01D7F2F5" w14:textId="77777777" w:rsidTr="00BA6895">
        <w:trPr>
          <w:cantSplit/>
          <w:jc w:val="center"/>
        </w:trPr>
        <w:tc>
          <w:tcPr>
            <w:tcW w:w="3344" w:type="dxa"/>
            <w:vAlign w:val="center"/>
          </w:tcPr>
          <w:p w14:paraId="678E3140" w14:textId="649990EC" w:rsidR="009F2DEE" w:rsidRPr="00ED4F16" w:rsidRDefault="009F2DEE" w:rsidP="001B7C41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MTU XRP Ledger Trust</w:t>
            </w:r>
          </w:p>
        </w:tc>
        <w:tc>
          <w:tcPr>
            <w:tcW w:w="1260" w:type="dxa"/>
            <w:vAlign w:val="center"/>
          </w:tcPr>
          <w:p w14:paraId="73DA7439" w14:textId="24768949" w:rsidR="009F2DEE" w:rsidRPr="00ED4F16" w:rsidRDefault="009F2DEE" w:rsidP="001B7C41">
            <w:pPr>
              <w:keepNext/>
              <w:keepLines/>
              <w:tabs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</w:rPr>
              <w:t>UIT-T</w:t>
            </w:r>
          </w:p>
          <w:p w14:paraId="5504485A" w14:textId="5FB7A836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UIT-D</w:t>
            </w:r>
          </w:p>
        </w:tc>
        <w:tc>
          <w:tcPr>
            <w:tcW w:w="2730" w:type="dxa"/>
            <w:vAlign w:val="center"/>
          </w:tcPr>
          <w:p w14:paraId="1952491C" w14:textId="23BCFE67" w:rsidR="009F2DEE" w:rsidRPr="00ED4F16" w:rsidRDefault="009F2DEE" w:rsidP="001B7C41">
            <w:pPr>
              <w:keepNext/>
              <w:keepLines/>
              <w:tabs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after="6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ED4F16">
              <w:rPr>
                <w:rFonts w:asciiTheme="minorHAnsi" w:hAnsiTheme="minorHAnsi" w:cstheme="minorBidi"/>
                <w:sz w:val="22"/>
                <w:szCs w:val="22"/>
              </w:rPr>
              <w:t>NON</w:t>
            </w:r>
          </w:p>
          <w:p w14:paraId="20589850" w14:textId="247886A4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NON</w:t>
            </w:r>
          </w:p>
        </w:tc>
      </w:tr>
    </w:tbl>
    <w:p w14:paraId="45054DA9" w14:textId="108F3902" w:rsidR="009F2DEE" w:rsidRPr="00ED4F16" w:rsidRDefault="009F2DEE" w:rsidP="00196ABF">
      <w:r w:rsidRPr="00ED4F16">
        <w:t xml:space="preserve">MTU XRP Ledger Trust </w:t>
      </w:r>
      <w:r w:rsidR="007446A0" w:rsidRPr="00ED4F16">
        <w:t xml:space="preserve">est une entité indépendante à but non lucratif qui </w:t>
      </w:r>
      <w:r w:rsidR="000D1A1F" w:rsidRPr="00ED4F16">
        <w:t>œuvre</w:t>
      </w:r>
      <w:r w:rsidR="007446A0" w:rsidRPr="00ED4F16">
        <w:t xml:space="preserve"> à </w:t>
      </w:r>
      <w:r w:rsidR="000D1A1F" w:rsidRPr="00ED4F16">
        <w:t>l</w:t>
      </w:r>
      <w:r w:rsidR="00C50779" w:rsidRPr="00ED4F16">
        <w:t>'</w:t>
      </w:r>
      <w:r w:rsidR="000D1A1F" w:rsidRPr="00ED4F16">
        <w:t xml:space="preserve">appui du développement et de </w:t>
      </w:r>
      <w:r w:rsidR="007446A0" w:rsidRPr="00ED4F16">
        <w:t>l</w:t>
      </w:r>
      <w:r w:rsidR="00C50779" w:rsidRPr="00ED4F16">
        <w:t>'</w:t>
      </w:r>
      <w:r w:rsidR="007446A0" w:rsidRPr="00ED4F16">
        <w:t xml:space="preserve">utilisation du </w:t>
      </w:r>
      <w:r w:rsidR="008740A3" w:rsidRPr="00ED4F16">
        <w:t>registre</w:t>
      </w:r>
      <w:r w:rsidR="007446A0" w:rsidRPr="00ED4F16">
        <w:t xml:space="preserve"> XRP</w:t>
      </w:r>
      <w:r w:rsidR="00687180" w:rsidRPr="00ED4F16">
        <w:t xml:space="preserve"> Ledger</w:t>
      </w:r>
      <w:r w:rsidR="007446A0" w:rsidRPr="00ED4F16">
        <w:t xml:space="preserve">. </w:t>
      </w:r>
      <w:r w:rsidR="00CB4A90" w:rsidRPr="00ED4F16">
        <w:t>Son objectif est de créer un bien numérique durable et construit spécialement pour les paiements.</w:t>
      </w:r>
      <w:r w:rsidRPr="00ED4F16">
        <w:t xml:space="preserve"> </w:t>
      </w:r>
      <w:r w:rsidR="00AD2A0F" w:rsidRPr="00ED4F16">
        <w:t xml:space="preserve">Étant donné que cette organisation ne compte pas de membres, le secrétariat estime que </w:t>
      </w:r>
      <w:r w:rsidR="00153771" w:rsidRPr="00ED4F16">
        <w:t>l</w:t>
      </w:r>
      <w:r w:rsidR="00C50779" w:rsidRPr="00ED4F16">
        <w:t>'</w:t>
      </w:r>
      <w:r w:rsidR="00AD2A0F" w:rsidRPr="00ED4F16">
        <w:t xml:space="preserve">entité ne remplit pas les critères </w:t>
      </w:r>
      <w:r w:rsidR="00414C22" w:rsidRPr="00ED4F16">
        <w:t>d</w:t>
      </w:r>
      <w:r w:rsidR="00C50779" w:rsidRPr="00ED4F16">
        <w:t>'</w:t>
      </w:r>
      <w:r w:rsidR="00414C22" w:rsidRPr="00ED4F16">
        <w:t xml:space="preserve">exonération du paiement des droits </w:t>
      </w:r>
      <w:r w:rsidR="00AD2A0F" w:rsidRPr="00ED4F16">
        <w:t>établis par le Conseil.</w:t>
      </w:r>
    </w:p>
    <w:p w14:paraId="6AF653ED" w14:textId="5A3465DE" w:rsidR="009F2DEE" w:rsidRPr="00ED4F16" w:rsidRDefault="009F2DEE" w:rsidP="00196ABF">
      <w:r w:rsidRPr="00ED4F16">
        <w:t>2.9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8"/>
        <w:gridCol w:w="1276"/>
        <w:gridCol w:w="2380"/>
      </w:tblGrid>
      <w:tr w:rsidR="009F2DEE" w:rsidRPr="00ED4F16" w14:paraId="7C658619" w14:textId="77777777" w:rsidTr="00196ABF">
        <w:trPr>
          <w:cantSplit/>
          <w:jc w:val="center"/>
        </w:trPr>
        <w:tc>
          <w:tcPr>
            <w:tcW w:w="3678" w:type="dxa"/>
            <w:vAlign w:val="center"/>
          </w:tcPr>
          <w:p w14:paraId="41CD7977" w14:textId="77777777" w:rsidR="009F2DEE" w:rsidRPr="00ED4F16" w:rsidRDefault="009F2DEE" w:rsidP="001B7C41">
            <w:pPr>
              <w:pStyle w:val="Tablehead"/>
            </w:pPr>
            <w:r w:rsidRPr="00ED4F16">
              <w:t>Organisation</w:t>
            </w:r>
          </w:p>
        </w:tc>
        <w:tc>
          <w:tcPr>
            <w:tcW w:w="1276" w:type="dxa"/>
            <w:vAlign w:val="center"/>
          </w:tcPr>
          <w:p w14:paraId="02B9A353" w14:textId="77777777" w:rsidR="009F2DEE" w:rsidRPr="00ED4F16" w:rsidRDefault="009F2DEE" w:rsidP="001B7C41">
            <w:pPr>
              <w:pStyle w:val="Tablehead"/>
            </w:pPr>
            <w:r w:rsidRPr="00ED4F16">
              <w:t>Secteur</w:t>
            </w:r>
          </w:p>
        </w:tc>
        <w:tc>
          <w:tcPr>
            <w:tcW w:w="2380" w:type="dxa"/>
            <w:vAlign w:val="center"/>
          </w:tcPr>
          <w:p w14:paraId="26BB5982" w14:textId="77777777" w:rsidR="009F2DEE" w:rsidRPr="00ED4F16" w:rsidRDefault="009F2DEE" w:rsidP="001B7C41">
            <w:pPr>
              <w:pStyle w:val="Tablehead"/>
            </w:pPr>
            <w:r w:rsidRPr="00ED4F16">
              <w:t>Recommandation</w:t>
            </w:r>
          </w:p>
        </w:tc>
      </w:tr>
      <w:tr w:rsidR="009F2DEE" w:rsidRPr="00ED4F16" w14:paraId="651E3D8F" w14:textId="77777777" w:rsidTr="00196ABF">
        <w:trPr>
          <w:cantSplit/>
          <w:jc w:val="center"/>
        </w:trPr>
        <w:tc>
          <w:tcPr>
            <w:tcW w:w="3678" w:type="dxa"/>
            <w:vAlign w:val="center"/>
          </w:tcPr>
          <w:p w14:paraId="5DD674ED" w14:textId="4D1347C3" w:rsidR="009F2DEE" w:rsidRPr="00ED4F16" w:rsidRDefault="001B6F8F" w:rsidP="001B7C41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 xml:space="preserve">Global Impact, </w:t>
            </w:r>
            <w:r w:rsidR="001B668F"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Partenariat mondial pour l</w:t>
            </w:r>
            <w:r w:rsidR="00C50779"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'</w:t>
            </w:r>
            <w:r w:rsidR="001B668F"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inclusion numérique (GDIP)</w:t>
            </w:r>
          </w:p>
        </w:tc>
        <w:tc>
          <w:tcPr>
            <w:tcW w:w="1276" w:type="dxa"/>
            <w:vAlign w:val="center"/>
          </w:tcPr>
          <w:p w14:paraId="386750E9" w14:textId="75A09C98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UIT-D</w:t>
            </w:r>
          </w:p>
        </w:tc>
        <w:tc>
          <w:tcPr>
            <w:tcW w:w="2380" w:type="dxa"/>
            <w:vAlign w:val="center"/>
          </w:tcPr>
          <w:p w14:paraId="4F5E0623" w14:textId="37D37581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OUI</w:t>
            </w:r>
          </w:p>
        </w:tc>
      </w:tr>
    </w:tbl>
    <w:p w14:paraId="30593C76" w14:textId="399F83A1" w:rsidR="009F2DEE" w:rsidRPr="00ED4F16" w:rsidRDefault="00AC787C" w:rsidP="00196ABF">
      <w:r w:rsidRPr="00ED4F16">
        <w:t>Global Impact</w:t>
      </w:r>
      <w:r w:rsidR="00A77AF4" w:rsidRPr="00ED4F16">
        <w:t>,</w:t>
      </w:r>
      <w:r w:rsidRPr="00ED4F16">
        <w:t xml:space="preserve"> </w:t>
      </w:r>
      <w:r w:rsidR="000D1A1F" w:rsidRPr="00ED4F16">
        <w:t xml:space="preserve">qui a son </w:t>
      </w:r>
      <w:r w:rsidR="00197256" w:rsidRPr="00ED4F16">
        <w:t xml:space="preserve">siège aux États-Unis, </w:t>
      </w:r>
      <w:r w:rsidRPr="00ED4F16">
        <w:t>a été fondé</w:t>
      </w:r>
      <w:r w:rsidR="000D1A1F" w:rsidRPr="00ED4F16">
        <w:t>e</w:t>
      </w:r>
      <w:r w:rsidRPr="00ED4F16">
        <w:t xml:space="preserve"> en 1956, lorsque quatre </w:t>
      </w:r>
      <w:r w:rsidR="006B197B" w:rsidRPr="00ED4F16">
        <w:t xml:space="preserve">organisations </w:t>
      </w:r>
      <w:r w:rsidRPr="00ED4F16">
        <w:t xml:space="preserve">caritatives internationales se sont réunies pour former une fédération. </w:t>
      </w:r>
      <w:r w:rsidR="006A6A22" w:rsidRPr="00ED4F16">
        <w:t>Au cours des années 80, près de 50 nouveaux membres ont rejoint l</w:t>
      </w:r>
      <w:r w:rsidR="00C50779" w:rsidRPr="00ED4F16">
        <w:t>'</w:t>
      </w:r>
      <w:r w:rsidR="006A6A22" w:rsidRPr="00ED4F16">
        <w:t xml:space="preserve">initiative. </w:t>
      </w:r>
      <w:r w:rsidR="005C2B64" w:rsidRPr="00ED4F16">
        <w:t>Global Impact a lancé le Partenariat mondial pour l</w:t>
      </w:r>
      <w:r w:rsidR="00C50779" w:rsidRPr="00ED4F16">
        <w:t>'</w:t>
      </w:r>
      <w:r w:rsidR="005C2B64" w:rsidRPr="00ED4F16">
        <w:t>inclusion numérique (GDIP), coalition d</w:t>
      </w:r>
      <w:r w:rsidR="00C50779" w:rsidRPr="00ED4F16">
        <w:t>'</w:t>
      </w:r>
      <w:r w:rsidR="005C2B64" w:rsidRPr="00ED4F16">
        <w:t xml:space="preserve">organisations publiques, privées et de la société civile </w:t>
      </w:r>
      <w:r w:rsidR="000D1A1F" w:rsidRPr="00ED4F16">
        <w:t xml:space="preserve">œuvrant pour </w:t>
      </w:r>
      <w:r w:rsidR="005C2B64" w:rsidRPr="00ED4F16">
        <w:t>mettre l</w:t>
      </w:r>
      <w:r w:rsidR="00C50779" w:rsidRPr="00ED4F16">
        <w:t>'</w:t>
      </w:r>
      <w:r w:rsidR="005C2B64" w:rsidRPr="00ED4F16">
        <w:t xml:space="preserve">Internet à la portée de la </w:t>
      </w:r>
      <w:r w:rsidR="000D1A1F" w:rsidRPr="00ED4F16">
        <w:t>plus grande partie</w:t>
      </w:r>
      <w:r w:rsidR="005C2B64" w:rsidRPr="00ED4F16">
        <w:t xml:space="preserve"> </w:t>
      </w:r>
      <w:r w:rsidR="00AA5CFD" w:rsidRPr="00ED4F16">
        <w:t xml:space="preserve">des habitants </w:t>
      </w:r>
      <w:r w:rsidR="000D1A1F" w:rsidRPr="00ED4F16">
        <w:t xml:space="preserve">de la planète </w:t>
      </w:r>
      <w:r w:rsidR="005C2B64" w:rsidRPr="00ED4F16">
        <w:t xml:space="preserve">et à faire en sorte que chacun soit réellement connecté </w:t>
      </w:r>
      <w:r w:rsidR="00BD7C64" w:rsidRPr="00ED4F16">
        <w:t>d</w:t>
      </w:r>
      <w:r w:rsidR="00C50779" w:rsidRPr="00ED4F16">
        <w:t>'</w:t>
      </w:r>
      <w:r w:rsidR="00BD7C64" w:rsidRPr="00ED4F16">
        <w:t xml:space="preserve">ici </w:t>
      </w:r>
      <w:r w:rsidR="005C2B64" w:rsidRPr="00ED4F16">
        <w:t xml:space="preserve">à 2030. </w:t>
      </w:r>
      <w:r w:rsidR="00FD4AF4" w:rsidRPr="00ED4F16">
        <w:t>Le GDIP offre des possibilités numériques qui facilitent l</w:t>
      </w:r>
      <w:r w:rsidR="00C50779" w:rsidRPr="00ED4F16">
        <w:t>'</w:t>
      </w:r>
      <w:r w:rsidR="00FD4AF4" w:rsidRPr="00ED4F16">
        <w:t>autonomisation et l</w:t>
      </w:r>
      <w:r w:rsidR="00C50779" w:rsidRPr="00ED4F16">
        <w:t>'</w:t>
      </w:r>
      <w:r w:rsidR="00FD4AF4" w:rsidRPr="00ED4F16">
        <w:t>accompagnement de la vie quotidienne, ce qui contribue à l</w:t>
      </w:r>
      <w:r w:rsidR="00C50779" w:rsidRPr="00ED4F16">
        <w:t>'</w:t>
      </w:r>
      <w:r w:rsidR="00FD4AF4" w:rsidRPr="00ED4F16">
        <w:t xml:space="preserve">édification de sociétés numériques inclusives. </w:t>
      </w:r>
      <w:r w:rsidR="00414C22" w:rsidRPr="00ED4F16">
        <w:t>Le</w:t>
      </w:r>
      <w:r w:rsidR="00FD4AF4" w:rsidRPr="00ED4F16">
        <w:t xml:space="preserve"> secrétariat</w:t>
      </w:r>
      <w:r w:rsidR="00414C22" w:rsidRPr="00ED4F16">
        <w:t xml:space="preserve"> estime que</w:t>
      </w:r>
      <w:r w:rsidR="00FD4AF4" w:rsidRPr="00ED4F16">
        <w:t xml:space="preserve"> cette entité remplit les critères d</w:t>
      </w:r>
      <w:r w:rsidR="00C50779" w:rsidRPr="00ED4F16">
        <w:t>'</w:t>
      </w:r>
      <w:r w:rsidR="00FD4AF4" w:rsidRPr="00ED4F16">
        <w:t xml:space="preserve">exonération </w:t>
      </w:r>
      <w:r w:rsidR="00414C22" w:rsidRPr="00ED4F16">
        <w:t xml:space="preserve">du paiement </w:t>
      </w:r>
      <w:r w:rsidR="00FD4AF4" w:rsidRPr="00ED4F16">
        <w:t>des droits établis par le Conseil.</w:t>
      </w:r>
    </w:p>
    <w:p w14:paraId="70F35241" w14:textId="5640789B" w:rsidR="009F2DEE" w:rsidRPr="00ED4F16" w:rsidRDefault="009F2DEE" w:rsidP="00196ABF">
      <w:r w:rsidRPr="00ED4F16">
        <w:t>2.10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36"/>
        <w:gridCol w:w="1701"/>
        <w:gridCol w:w="2097"/>
      </w:tblGrid>
      <w:tr w:rsidR="009F2DEE" w:rsidRPr="00ED4F16" w14:paraId="34D5FC92" w14:textId="77777777" w:rsidTr="00196ABF">
        <w:trPr>
          <w:cantSplit/>
          <w:jc w:val="center"/>
        </w:trPr>
        <w:tc>
          <w:tcPr>
            <w:tcW w:w="3536" w:type="dxa"/>
            <w:vAlign w:val="center"/>
          </w:tcPr>
          <w:p w14:paraId="023BC5FE" w14:textId="77777777" w:rsidR="009F2DEE" w:rsidRPr="00ED4F16" w:rsidRDefault="009F2DEE" w:rsidP="001B7C41">
            <w:pPr>
              <w:pStyle w:val="Tablehead"/>
            </w:pPr>
            <w:r w:rsidRPr="00ED4F16">
              <w:t>Organisation</w:t>
            </w:r>
          </w:p>
        </w:tc>
        <w:tc>
          <w:tcPr>
            <w:tcW w:w="1701" w:type="dxa"/>
            <w:vAlign w:val="center"/>
          </w:tcPr>
          <w:p w14:paraId="4A275BA4" w14:textId="77777777" w:rsidR="009F2DEE" w:rsidRPr="00ED4F16" w:rsidRDefault="009F2DEE" w:rsidP="001B7C41">
            <w:pPr>
              <w:pStyle w:val="Tablehead"/>
            </w:pPr>
            <w:r w:rsidRPr="00ED4F16">
              <w:t>Secteur</w:t>
            </w:r>
          </w:p>
        </w:tc>
        <w:tc>
          <w:tcPr>
            <w:tcW w:w="2097" w:type="dxa"/>
            <w:vAlign w:val="center"/>
          </w:tcPr>
          <w:p w14:paraId="62F38F86" w14:textId="77777777" w:rsidR="009F2DEE" w:rsidRPr="00ED4F16" w:rsidRDefault="009F2DEE" w:rsidP="001B7C41">
            <w:pPr>
              <w:pStyle w:val="Tablehead"/>
            </w:pPr>
            <w:r w:rsidRPr="00ED4F16">
              <w:t>Recommandation</w:t>
            </w:r>
          </w:p>
        </w:tc>
      </w:tr>
      <w:tr w:rsidR="009F2DEE" w:rsidRPr="00ED4F16" w14:paraId="149DA37E" w14:textId="77777777" w:rsidTr="00196ABF">
        <w:trPr>
          <w:cantSplit/>
          <w:jc w:val="center"/>
        </w:trPr>
        <w:tc>
          <w:tcPr>
            <w:tcW w:w="3536" w:type="dxa"/>
            <w:vAlign w:val="center"/>
          </w:tcPr>
          <w:p w14:paraId="10472E4E" w14:textId="31996C35" w:rsidR="009F2DEE" w:rsidRPr="00ED4F16" w:rsidRDefault="00530734" w:rsidP="001B7C41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Organisation arabe pour l</w:t>
            </w:r>
            <w:r w:rsidR="00C50779"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'</w:t>
            </w:r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éducation, la culture et la science (ALECSO)</w:t>
            </w:r>
          </w:p>
        </w:tc>
        <w:tc>
          <w:tcPr>
            <w:tcW w:w="1701" w:type="dxa"/>
            <w:vAlign w:val="center"/>
          </w:tcPr>
          <w:p w14:paraId="4C5EB1B3" w14:textId="56268F05" w:rsidR="009F2DEE" w:rsidRPr="00ED4F16" w:rsidRDefault="009F2DEE" w:rsidP="001B7C41">
            <w:pPr>
              <w:keepNext/>
              <w:keepLines/>
              <w:tabs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</w:rPr>
              <w:t>UIT-T</w:t>
            </w:r>
          </w:p>
          <w:p w14:paraId="15C821D5" w14:textId="5600C045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UIT-D</w:t>
            </w:r>
          </w:p>
        </w:tc>
        <w:tc>
          <w:tcPr>
            <w:tcW w:w="2097" w:type="dxa"/>
            <w:vAlign w:val="center"/>
          </w:tcPr>
          <w:p w14:paraId="6E05A926" w14:textId="2027D98D" w:rsidR="009F2DEE" w:rsidRPr="00ED4F16" w:rsidRDefault="009F2DEE" w:rsidP="001B7C41">
            <w:pPr>
              <w:keepNext/>
              <w:keepLines/>
              <w:tabs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after="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4F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OUI</w:t>
            </w:r>
          </w:p>
          <w:p w14:paraId="39C6A466" w14:textId="11B7321C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OUI</w:t>
            </w:r>
          </w:p>
        </w:tc>
      </w:tr>
    </w:tbl>
    <w:p w14:paraId="2DC603AC" w14:textId="72585A7B" w:rsidR="009F2DEE" w:rsidRPr="00ED4F16" w:rsidRDefault="00C703D9" w:rsidP="00196ABF">
      <w:r w:rsidRPr="00ED4F16">
        <w:t>L</w:t>
      </w:r>
      <w:r w:rsidR="00C50779" w:rsidRPr="00ED4F16">
        <w:t>'</w:t>
      </w:r>
      <w:r w:rsidRPr="00ED4F16">
        <w:t>Organisation arabe pour l</w:t>
      </w:r>
      <w:r w:rsidR="00C50779" w:rsidRPr="00ED4F16">
        <w:t>'</w:t>
      </w:r>
      <w:r w:rsidRPr="00ED4F16">
        <w:t xml:space="preserve">éducation, la culture et les sciences (ALECSO) est une institution de la Ligue arabe </w:t>
      </w:r>
      <w:r w:rsidR="005B25F5" w:rsidRPr="00ED4F16">
        <w:t xml:space="preserve">sise </w:t>
      </w:r>
      <w:r w:rsidRPr="00ED4F16">
        <w:t xml:space="preserve">à Tunis et créée en 1970, qui compte 22 États Membres. </w:t>
      </w:r>
      <w:r w:rsidR="00F4070C" w:rsidRPr="00ED4F16">
        <w:t>Elle s</w:t>
      </w:r>
      <w:r w:rsidR="00C50779" w:rsidRPr="00ED4F16">
        <w:t>'</w:t>
      </w:r>
      <w:r w:rsidR="00F4070C" w:rsidRPr="00ED4F16">
        <w:t xml:space="preserve">emploie à coordonner </w:t>
      </w:r>
      <w:r w:rsidR="005B25F5" w:rsidRPr="00ED4F16">
        <w:t xml:space="preserve">des </w:t>
      </w:r>
      <w:r w:rsidR="00F4070C" w:rsidRPr="00ED4F16">
        <w:t xml:space="preserve">activités culturelles et éducatives dans le monde arabe. Parmi ses diverses activités, </w:t>
      </w:r>
      <w:r w:rsidR="004378FC" w:rsidRPr="00ED4F16">
        <w:t xml:space="preserve">on </w:t>
      </w:r>
      <w:r w:rsidR="005B25F5" w:rsidRPr="00ED4F16">
        <w:t xml:space="preserve">mentionnera </w:t>
      </w:r>
      <w:r w:rsidR="004378FC" w:rsidRPr="00ED4F16">
        <w:t xml:space="preserve">la création </w:t>
      </w:r>
      <w:r w:rsidR="00F4070C" w:rsidRPr="00ED4F16">
        <w:t>d</w:t>
      </w:r>
      <w:r w:rsidR="00C50779" w:rsidRPr="00ED4F16">
        <w:t>'</w:t>
      </w:r>
      <w:r w:rsidR="00F4070C" w:rsidRPr="00ED4F16">
        <w:t>institutions subsidiaires d</w:t>
      </w:r>
      <w:r w:rsidR="005B25F5" w:rsidRPr="00ED4F16">
        <w:t>e l</w:t>
      </w:r>
      <w:r w:rsidR="00C50779" w:rsidRPr="00ED4F16">
        <w:t>'</w:t>
      </w:r>
      <w:r w:rsidR="00F4070C" w:rsidRPr="00ED4F16">
        <w:t xml:space="preserve">ALECSO dans le monde arabe. </w:t>
      </w:r>
      <w:r w:rsidR="001245EF" w:rsidRPr="00ED4F16">
        <w:t xml:space="preserve">Dans la mesure où </w:t>
      </w:r>
      <w:r w:rsidR="00B95779" w:rsidRPr="00ED4F16">
        <w:t>il s</w:t>
      </w:r>
      <w:r w:rsidR="00C50779" w:rsidRPr="00ED4F16">
        <w:t>'</w:t>
      </w:r>
      <w:r w:rsidR="00B95779" w:rsidRPr="00ED4F16">
        <w:t>agit d</w:t>
      </w:r>
      <w:r w:rsidR="00C50779" w:rsidRPr="00ED4F16">
        <w:t>'</w:t>
      </w:r>
      <w:r w:rsidR="001245EF" w:rsidRPr="00ED4F16">
        <w:t xml:space="preserve">une </w:t>
      </w:r>
      <w:r w:rsidR="00A1499D" w:rsidRPr="00ED4F16">
        <w:t>organisation internationale comptant des</w:t>
      </w:r>
      <w:r w:rsidR="001B6F8F" w:rsidRPr="00ED4F16">
        <w:t xml:space="preserve"> </w:t>
      </w:r>
      <w:r w:rsidR="00A1499D" w:rsidRPr="00ED4F16">
        <w:t>États</w:t>
      </w:r>
      <w:r w:rsidR="00196ABF" w:rsidRPr="00ED4F16">
        <w:t> </w:t>
      </w:r>
      <w:r w:rsidR="00A1499D" w:rsidRPr="00ED4F16">
        <w:t>Membres, le secrétariat estime qu</w:t>
      </w:r>
      <w:r w:rsidR="00B95779" w:rsidRPr="00ED4F16">
        <w:t>e l</w:t>
      </w:r>
      <w:r w:rsidR="00C50779" w:rsidRPr="00ED4F16">
        <w:t>'</w:t>
      </w:r>
      <w:r w:rsidR="00B95779" w:rsidRPr="00ED4F16">
        <w:t xml:space="preserve">entité </w:t>
      </w:r>
      <w:r w:rsidR="00A1499D" w:rsidRPr="00ED4F16">
        <w:t>remplit les critères d</w:t>
      </w:r>
      <w:r w:rsidR="00C50779" w:rsidRPr="00ED4F16">
        <w:t>'</w:t>
      </w:r>
      <w:r w:rsidR="00A1499D" w:rsidRPr="00ED4F16">
        <w:t>exonération du paiement des droits établis par le Conseil.</w:t>
      </w:r>
    </w:p>
    <w:p w14:paraId="51772117" w14:textId="1AD5F1B6" w:rsidR="009F2DEE" w:rsidRPr="00ED4F16" w:rsidRDefault="009F2DEE" w:rsidP="00196ABF">
      <w:r w:rsidRPr="00ED4F16">
        <w:lastRenderedPageBreak/>
        <w:t>2.11</w:t>
      </w:r>
    </w:p>
    <w:tbl>
      <w:tblPr>
        <w:tblW w:w="7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4"/>
        <w:gridCol w:w="1260"/>
        <w:gridCol w:w="2730"/>
      </w:tblGrid>
      <w:tr w:rsidR="009F2DEE" w:rsidRPr="00ED4F16" w14:paraId="63C32323" w14:textId="77777777" w:rsidTr="00BA6895">
        <w:trPr>
          <w:cantSplit/>
          <w:jc w:val="center"/>
        </w:trPr>
        <w:tc>
          <w:tcPr>
            <w:tcW w:w="3344" w:type="dxa"/>
            <w:vAlign w:val="center"/>
          </w:tcPr>
          <w:p w14:paraId="3BC4D23B" w14:textId="77777777" w:rsidR="009F2DEE" w:rsidRPr="00ED4F16" w:rsidRDefault="009F2DEE" w:rsidP="001B7C41">
            <w:pPr>
              <w:pStyle w:val="Tablehead"/>
            </w:pPr>
            <w:r w:rsidRPr="00ED4F16">
              <w:t>Organisation</w:t>
            </w:r>
          </w:p>
        </w:tc>
        <w:tc>
          <w:tcPr>
            <w:tcW w:w="1260" w:type="dxa"/>
            <w:vAlign w:val="center"/>
          </w:tcPr>
          <w:p w14:paraId="08C1EBFE" w14:textId="77777777" w:rsidR="009F2DEE" w:rsidRPr="00ED4F16" w:rsidRDefault="009F2DEE" w:rsidP="001B7C41">
            <w:pPr>
              <w:pStyle w:val="Tablehead"/>
            </w:pPr>
            <w:r w:rsidRPr="00ED4F16">
              <w:t>Secteur</w:t>
            </w:r>
          </w:p>
        </w:tc>
        <w:tc>
          <w:tcPr>
            <w:tcW w:w="2730" w:type="dxa"/>
            <w:vAlign w:val="center"/>
          </w:tcPr>
          <w:p w14:paraId="1287187D" w14:textId="77777777" w:rsidR="009F2DEE" w:rsidRPr="00ED4F16" w:rsidRDefault="009F2DEE" w:rsidP="001B7C41">
            <w:pPr>
              <w:pStyle w:val="Tablehead"/>
            </w:pPr>
            <w:r w:rsidRPr="00ED4F16">
              <w:t>Recommandation</w:t>
            </w:r>
          </w:p>
        </w:tc>
      </w:tr>
      <w:tr w:rsidR="009F2DEE" w:rsidRPr="00ED4F16" w14:paraId="075BBCB2" w14:textId="77777777" w:rsidTr="00FE090A">
        <w:trPr>
          <w:cantSplit/>
          <w:jc w:val="center"/>
        </w:trPr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5027EA9A" w14:textId="07F88FC8" w:rsidR="009F2DEE" w:rsidRPr="00ED4F16" w:rsidRDefault="00D12901" w:rsidP="001B7C41">
            <w:pPr>
              <w:pStyle w:val="TableText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fr-FR"/>
              </w:rPr>
              <w:t>Initiative pour des villes ouvertes et agiles (OASC)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B8FABE5" w14:textId="2D92D957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UIT-T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76E697D5" w14:textId="3948938F" w:rsidR="009F2DEE" w:rsidRPr="00ED4F16" w:rsidRDefault="009F2DEE" w:rsidP="001B7C41">
            <w:pPr>
              <w:pStyle w:val="TableText0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D4F16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fr-FR"/>
              </w:rPr>
              <w:t>OUI</w:t>
            </w:r>
          </w:p>
        </w:tc>
      </w:tr>
    </w:tbl>
    <w:p w14:paraId="3AC88F6D" w14:textId="0F5C2421" w:rsidR="009F2DEE" w:rsidRPr="00ED4F16" w:rsidRDefault="00CE7AE2" w:rsidP="00196ABF">
      <w:r w:rsidRPr="00ED4F16">
        <w:t>L</w:t>
      </w:r>
      <w:r w:rsidR="00C50779" w:rsidRPr="00ED4F16">
        <w:t>'</w:t>
      </w:r>
      <w:r w:rsidRPr="00ED4F16">
        <w:t xml:space="preserve">initiative pour des villes ouvertes et agiles </w:t>
      </w:r>
      <w:r w:rsidR="009F2DEE" w:rsidRPr="00ED4F16">
        <w:t xml:space="preserve">(OASC) </w:t>
      </w:r>
      <w:r w:rsidRPr="00ED4F16">
        <w:t>est une association à but non lucratif et un réseau mondial de villes et de communautés dont l</w:t>
      </w:r>
      <w:r w:rsidR="00C50779" w:rsidRPr="00ED4F16">
        <w:t>'</w:t>
      </w:r>
      <w:r w:rsidRPr="00ED4F16">
        <w:t>objectif commun est d</w:t>
      </w:r>
      <w:r w:rsidR="00C50779" w:rsidRPr="00ED4F16">
        <w:t>'</w:t>
      </w:r>
      <w:r w:rsidRPr="00ED4F16">
        <w:t>améliorer la qualité de vie de leurs citoyens grâce à l</w:t>
      </w:r>
      <w:r w:rsidR="00C50779" w:rsidRPr="00ED4F16">
        <w:t>'</w:t>
      </w:r>
      <w:r w:rsidRPr="00ED4F16">
        <w:t>innovation et à la technologie.</w:t>
      </w:r>
      <w:r w:rsidR="002D37C6" w:rsidRPr="00ED4F16">
        <w:t xml:space="preserve"> </w:t>
      </w:r>
      <w:r w:rsidR="005B25F5" w:rsidRPr="00ED4F16">
        <w:t xml:space="preserve">Elle </w:t>
      </w:r>
      <w:r w:rsidR="002D37C6" w:rsidRPr="00ED4F16">
        <w:t xml:space="preserve">a pour mission de regrouper </w:t>
      </w:r>
      <w:r w:rsidR="005B25F5" w:rsidRPr="00ED4F16">
        <w:t>d</w:t>
      </w:r>
      <w:r w:rsidR="002D37C6" w:rsidRPr="00ED4F16">
        <w:t xml:space="preserve">es villes et </w:t>
      </w:r>
      <w:r w:rsidR="005B25F5" w:rsidRPr="00ED4F16">
        <w:t>d</w:t>
      </w:r>
      <w:r w:rsidR="002D37C6" w:rsidRPr="00ED4F16">
        <w:t xml:space="preserve">es communautés du monde entier afin de créer un marché mondial pour les données et les services relatifs aux villes intelligentes du </w:t>
      </w:r>
      <w:r w:rsidR="005B25F5" w:rsidRPr="00ED4F16">
        <w:t xml:space="preserve">côté </w:t>
      </w:r>
      <w:r w:rsidR="002D37C6" w:rsidRPr="00ED4F16">
        <w:t xml:space="preserve">de la demande, en fonction des besoins des villes et des communautés. </w:t>
      </w:r>
      <w:r w:rsidR="00C724F4" w:rsidRPr="00ED4F16">
        <w:t>Dans la mesure où il s</w:t>
      </w:r>
      <w:r w:rsidR="00C50779" w:rsidRPr="00ED4F16">
        <w:t>'</w:t>
      </w:r>
      <w:r w:rsidR="00C724F4" w:rsidRPr="00ED4F16">
        <w:t>agit d</w:t>
      </w:r>
      <w:r w:rsidR="00C50779" w:rsidRPr="00ED4F16">
        <w:t>'</w:t>
      </w:r>
      <w:r w:rsidR="00C724F4" w:rsidRPr="00ED4F16">
        <w:t>une association interna</w:t>
      </w:r>
      <w:r w:rsidR="005101A8" w:rsidRPr="00ED4F16">
        <w:t>t</w:t>
      </w:r>
      <w:r w:rsidR="00C724F4" w:rsidRPr="00ED4F16">
        <w:t xml:space="preserve">ionale à but non lucratif </w:t>
      </w:r>
      <w:r w:rsidR="005B25F5" w:rsidRPr="00ED4F16">
        <w:t xml:space="preserve">dont les </w:t>
      </w:r>
      <w:r w:rsidR="00C724F4" w:rsidRPr="00ED4F16">
        <w:t xml:space="preserve">membres </w:t>
      </w:r>
      <w:r w:rsidR="005B25F5" w:rsidRPr="00ED4F16">
        <w:t xml:space="preserve">sont des </w:t>
      </w:r>
      <w:r w:rsidR="00C724F4" w:rsidRPr="00ED4F16">
        <w:t xml:space="preserve">collectivités territoriales, </w:t>
      </w:r>
      <w:r w:rsidR="000B0290" w:rsidRPr="00ED4F16">
        <w:t xml:space="preserve">le </w:t>
      </w:r>
      <w:r w:rsidR="00C724F4" w:rsidRPr="00ED4F16">
        <w:t>secrétariat</w:t>
      </w:r>
      <w:r w:rsidR="000B0290" w:rsidRPr="00ED4F16">
        <w:t xml:space="preserve"> estime que l</w:t>
      </w:r>
      <w:r w:rsidR="00C50779" w:rsidRPr="00ED4F16">
        <w:t>'</w:t>
      </w:r>
      <w:r w:rsidR="000B0290" w:rsidRPr="00ED4F16">
        <w:t>entité remplit</w:t>
      </w:r>
      <w:r w:rsidR="00C724F4" w:rsidRPr="00ED4F16">
        <w:t xml:space="preserve"> les critères d</w:t>
      </w:r>
      <w:r w:rsidR="00C50779" w:rsidRPr="00ED4F16">
        <w:t>'</w:t>
      </w:r>
      <w:r w:rsidR="00C724F4" w:rsidRPr="00ED4F16">
        <w:t>exonération</w:t>
      </w:r>
      <w:r w:rsidR="00414C22" w:rsidRPr="00ED4F16">
        <w:t xml:space="preserve"> du paiement</w:t>
      </w:r>
      <w:r w:rsidR="00C724F4" w:rsidRPr="00ED4F16">
        <w:t xml:space="preserve"> des droits établis par le </w:t>
      </w:r>
      <w:r w:rsidR="006B0D2D" w:rsidRPr="00ED4F16">
        <w:t>C</w:t>
      </w:r>
      <w:r w:rsidR="00C724F4" w:rsidRPr="00ED4F16">
        <w:t>on</w:t>
      </w:r>
      <w:r w:rsidR="005101A8" w:rsidRPr="00ED4F16">
        <w:t>s</w:t>
      </w:r>
      <w:r w:rsidR="00C724F4" w:rsidRPr="00ED4F16">
        <w:t>eil</w:t>
      </w:r>
      <w:r w:rsidR="009F2DEE" w:rsidRPr="00ED4F16">
        <w:t>.</w:t>
      </w:r>
    </w:p>
    <w:p w14:paraId="1576FD75" w14:textId="77777777" w:rsidR="00EA61B6" w:rsidRPr="00ED4F16" w:rsidRDefault="00EA61B6" w:rsidP="001B7C41">
      <w:pPr>
        <w:jc w:val="center"/>
      </w:pPr>
      <w:r w:rsidRPr="00ED4F16">
        <w:t>______________</w:t>
      </w:r>
    </w:p>
    <w:sectPr w:rsidR="00EA61B6" w:rsidRPr="00ED4F16" w:rsidSect="00D72F49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2203" w14:textId="77777777" w:rsidR="00CA7050" w:rsidRDefault="00CA7050">
      <w:r>
        <w:separator/>
      </w:r>
    </w:p>
  </w:endnote>
  <w:endnote w:type="continuationSeparator" w:id="0">
    <w:p w14:paraId="4FAA0C67" w14:textId="77777777" w:rsidR="00CA7050" w:rsidRDefault="00CA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6B9F455D" w:rsidR="00732045" w:rsidRDefault="00ED4F16">
    <w:pPr>
      <w:pStyle w:val="Footer"/>
    </w:pPr>
    <w:fldSimple w:instr=" FILENAME \p \* MERGEFORMAT ">
      <w:r w:rsidR="00AC1381">
        <w:t>P:\TRAD\F\SG\CONSEIL\C23\000\039FMontage.docx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828BF">
      <w:t>30.06.23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C1381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625FEED5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A61B6">
            <w:rPr>
              <w:noProof/>
            </w:rPr>
            <w:t>521073</w:t>
          </w:r>
        </w:p>
      </w:tc>
      <w:tc>
        <w:tcPr>
          <w:tcW w:w="8261" w:type="dxa"/>
        </w:tcPr>
        <w:p w14:paraId="0DB0A3C6" w14:textId="57B0D02B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A61B6">
            <w:rPr>
              <w:bCs/>
            </w:rPr>
            <w:t>39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B25F5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0BA722AB" w14:textId="0A767231" w:rsidR="00732045" w:rsidRPr="00A51849" w:rsidRDefault="00ED4F16" w:rsidP="00EA61B6">
    <w:pPr>
      <w:pStyle w:val="Footer"/>
      <w:spacing w:before="120"/>
    </w:pPr>
    <w:fldSimple w:instr=" FILENAME \p  \* MERGEFORMAT ">
      <w:r w:rsidR="00A619F1">
        <w:t>P:\FRA\SG\CONSEIL\C23\000\039F.docx</w:t>
      </w:r>
    </w:fldSimple>
    <w:r w:rsidR="00EA61B6">
      <w:t xml:space="preserve"> (521073)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186B0E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1D5F340D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106C1">
            <w:rPr>
              <w:bCs/>
            </w:rPr>
            <w:t>39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B25F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7B9B899E" w:rsidR="00732045" w:rsidRPr="00A51849" w:rsidRDefault="00ED4F16" w:rsidP="00EA61B6">
    <w:pPr>
      <w:pStyle w:val="Footer"/>
      <w:spacing w:before="120"/>
    </w:pPr>
    <w:fldSimple w:instr=" FILENAME \p  \* MERGEFORMAT ">
      <w:r w:rsidR="00A619F1">
        <w:t>P:\FRA\SG\CONSEIL\C23\000\039F.docx</w:t>
      </w:r>
    </w:fldSimple>
    <w:r w:rsidR="00EA61B6">
      <w:t xml:space="preserve"> (521073)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4CB0" w14:textId="77777777" w:rsidR="00CA7050" w:rsidRDefault="00CA7050">
      <w:r>
        <w:t>____________________</w:t>
      </w:r>
    </w:p>
  </w:footnote>
  <w:footnote w:type="continuationSeparator" w:id="0">
    <w:p w14:paraId="475EF8BD" w14:textId="77777777" w:rsidR="00CA7050" w:rsidRDefault="00CA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61F1C"/>
    <w:rsid w:val="00072A76"/>
    <w:rsid w:val="00076A2C"/>
    <w:rsid w:val="00077461"/>
    <w:rsid w:val="00083561"/>
    <w:rsid w:val="000A0D91"/>
    <w:rsid w:val="000A7DA9"/>
    <w:rsid w:val="000B0290"/>
    <w:rsid w:val="000B4C8D"/>
    <w:rsid w:val="000D0D0A"/>
    <w:rsid w:val="000D1A1F"/>
    <w:rsid w:val="00103163"/>
    <w:rsid w:val="00106B19"/>
    <w:rsid w:val="00107170"/>
    <w:rsid w:val="00115D93"/>
    <w:rsid w:val="001245EF"/>
    <w:rsid w:val="001247A8"/>
    <w:rsid w:val="001378C0"/>
    <w:rsid w:val="00153771"/>
    <w:rsid w:val="00163AEF"/>
    <w:rsid w:val="0018694A"/>
    <w:rsid w:val="00186B0E"/>
    <w:rsid w:val="00196ABF"/>
    <w:rsid w:val="00197256"/>
    <w:rsid w:val="001A3287"/>
    <w:rsid w:val="001A6508"/>
    <w:rsid w:val="001B668F"/>
    <w:rsid w:val="001B6F8F"/>
    <w:rsid w:val="001B7C41"/>
    <w:rsid w:val="001D4C31"/>
    <w:rsid w:val="001E4D21"/>
    <w:rsid w:val="00207CD1"/>
    <w:rsid w:val="0021272B"/>
    <w:rsid w:val="00226657"/>
    <w:rsid w:val="002477A2"/>
    <w:rsid w:val="00263A51"/>
    <w:rsid w:val="00267E02"/>
    <w:rsid w:val="00276DDA"/>
    <w:rsid w:val="002811F4"/>
    <w:rsid w:val="00287F0D"/>
    <w:rsid w:val="00295EA3"/>
    <w:rsid w:val="002A4252"/>
    <w:rsid w:val="002A5D44"/>
    <w:rsid w:val="002B3F91"/>
    <w:rsid w:val="002C36C1"/>
    <w:rsid w:val="002D37C6"/>
    <w:rsid w:val="002D72EF"/>
    <w:rsid w:val="002E0BC4"/>
    <w:rsid w:val="002E370E"/>
    <w:rsid w:val="002F1B76"/>
    <w:rsid w:val="00300710"/>
    <w:rsid w:val="00305F95"/>
    <w:rsid w:val="0033237D"/>
    <w:rsid w:val="0033568E"/>
    <w:rsid w:val="00355FF5"/>
    <w:rsid w:val="003605E9"/>
    <w:rsid w:val="00361350"/>
    <w:rsid w:val="003620C9"/>
    <w:rsid w:val="003A280E"/>
    <w:rsid w:val="003A59FB"/>
    <w:rsid w:val="003A6C80"/>
    <w:rsid w:val="003C13F4"/>
    <w:rsid w:val="003C3FAE"/>
    <w:rsid w:val="003D6970"/>
    <w:rsid w:val="003E5080"/>
    <w:rsid w:val="003E7396"/>
    <w:rsid w:val="00400CFA"/>
    <w:rsid w:val="004038CB"/>
    <w:rsid w:val="0040546F"/>
    <w:rsid w:val="00407021"/>
    <w:rsid w:val="00414C22"/>
    <w:rsid w:val="0042404A"/>
    <w:rsid w:val="004378FC"/>
    <w:rsid w:val="0044618F"/>
    <w:rsid w:val="0046769A"/>
    <w:rsid w:val="00475FB3"/>
    <w:rsid w:val="004A4776"/>
    <w:rsid w:val="004C37A9"/>
    <w:rsid w:val="004D1D50"/>
    <w:rsid w:val="004F259E"/>
    <w:rsid w:val="005101A8"/>
    <w:rsid w:val="00511F1D"/>
    <w:rsid w:val="00520F36"/>
    <w:rsid w:val="005225FB"/>
    <w:rsid w:val="00527BC0"/>
    <w:rsid w:val="00530734"/>
    <w:rsid w:val="00534E13"/>
    <w:rsid w:val="00540615"/>
    <w:rsid w:val="00540A6D"/>
    <w:rsid w:val="00566679"/>
    <w:rsid w:val="00571EEA"/>
    <w:rsid w:val="00575417"/>
    <w:rsid w:val="005768E1"/>
    <w:rsid w:val="005B1938"/>
    <w:rsid w:val="005B25F5"/>
    <w:rsid w:val="005C2B64"/>
    <w:rsid w:val="005C3890"/>
    <w:rsid w:val="005E7493"/>
    <w:rsid w:val="005F27EC"/>
    <w:rsid w:val="005F7BFE"/>
    <w:rsid w:val="00600017"/>
    <w:rsid w:val="006134A9"/>
    <w:rsid w:val="006235CA"/>
    <w:rsid w:val="0063490B"/>
    <w:rsid w:val="006354C1"/>
    <w:rsid w:val="00643ABE"/>
    <w:rsid w:val="006643AB"/>
    <w:rsid w:val="00687180"/>
    <w:rsid w:val="006A6A22"/>
    <w:rsid w:val="006A6E16"/>
    <w:rsid w:val="006B0D2D"/>
    <w:rsid w:val="006B197B"/>
    <w:rsid w:val="006C113B"/>
    <w:rsid w:val="006D2D19"/>
    <w:rsid w:val="006E0CBF"/>
    <w:rsid w:val="006F0A53"/>
    <w:rsid w:val="006F2011"/>
    <w:rsid w:val="006F44C0"/>
    <w:rsid w:val="006F531F"/>
    <w:rsid w:val="0071676A"/>
    <w:rsid w:val="00720801"/>
    <w:rsid w:val="007210CD"/>
    <w:rsid w:val="00726BCF"/>
    <w:rsid w:val="00732045"/>
    <w:rsid w:val="00734028"/>
    <w:rsid w:val="007369DB"/>
    <w:rsid w:val="007446A0"/>
    <w:rsid w:val="007536BE"/>
    <w:rsid w:val="007751CE"/>
    <w:rsid w:val="007857EA"/>
    <w:rsid w:val="007911BD"/>
    <w:rsid w:val="007956C2"/>
    <w:rsid w:val="007964C8"/>
    <w:rsid w:val="007A187E"/>
    <w:rsid w:val="007C2A44"/>
    <w:rsid w:val="007C72C2"/>
    <w:rsid w:val="007D022E"/>
    <w:rsid w:val="007D4436"/>
    <w:rsid w:val="007E6817"/>
    <w:rsid w:val="007F257A"/>
    <w:rsid w:val="007F3665"/>
    <w:rsid w:val="007F3E22"/>
    <w:rsid w:val="00800037"/>
    <w:rsid w:val="008106C1"/>
    <w:rsid w:val="00823113"/>
    <w:rsid w:val="0083391C"/>
    <w:rsid w:val="00861D73"/>
    <w:rsid w:val="008740A3"/>
    <w:rsid w:val="008828BF"/>
    <w:rsid w:val="00897553"/>
    <w:rsid w:val="008A4E87"/>
    <w:rsid w:val="008D76E6"/>
    <w:rsid w:val="008F0D7A"/>
    <w:rsid w:val="009066D9"/>
    <w:rsid w:val="0092392D"/>
    <w:rsid w:val="0093234A"/>
    <w:rsid w:val="00942419"/>
    <w:rsid w:val="009526E6"/>
    <w:rsid w:val="00956A78"/>
    <w:rsid w:val="00966772"/>
    <w:rsid w:val="0097363B"/>
    <w:rsid w:val="00973F53"/>
    <w:rsid w:val="009C2EDC"/>
    <w:rsid w:val="009C307F"/>
    <w:rsid w:val="009C353C"/>
    <w:rsid w:val="009D1A4A"/>
    <w:rsid w:val="009F2DEE"/>
    <w:rsid w:val="00A1499D"/>
    <w:rsid w:val="00A2113E"/>
    <w:rsid w:val="00A23A51"/>
    <w:rsid w:val="00A24607"/>
    <w:rsid w:val="00A25CD3"/>
    <w:rsid w:val="00A44FA1"/>
    <w:rsid w:val="00A51849"/>
    <w:rsid w:val="00A6190C"/>
    <w:rsid w:val="00A619F1"/>
    <w:rsid w:val="00A62D8B"/>
    <w:rsid w:val="00A709FE"/>
    <w:rsid w:val="00A73C60"/>
    <w:rsid w:val="00A75CC5"/>
    <w:rsid w:val="00A77AF4"/>
    <w:rsid w:val="00A82767"/>
    <w:rsid w:val="00A96F51"/>
    <w:rsid w:val="00AA1DB6"/>
    <w:rsid w:val="00AA332F"/>
    <w:rsid w:val="00AA5CFD"/>
    <w:rsid w:val="00AA7BBB"/>
    <w:rsid w:val="00AB64A8"/>
    <w:rsid w:val="00AC0266"/>
    <w:rsid w:val="00AC1381"/>
    <w:rsid w:val="00AC2133"/>
    <w:rsid w:val="00AC787C"/>
    <w:rsid w:val="00AD24EC"/>
    <w:rsid w:val="00AD2A0F"/>
    <w:rsid w:val="00AD46F5"/>
    <w:rsid w:val="00AD5300"/>
    <w:rsid w:val="00AF20AC"/>
    <w:rsid w:val="00B309F9"/>
    <w:rsid w:val="00B32B60"/>
    <w:rsid w:val="00B50F59"/>
    <w:rsid w:val="00B60496"/>
    <w:rsid w:val="00B61619"/>
    <w:rsid w:val="00B95779"/>
    <w:rsid w:val="00BA1DE8"/>
    <w:rsid w:val="00BA45A1"/>
    <w:rsid w:val="00BA622E"/>
    <w:rsid w:val="00BB4545"/>
    <w:rsid w:val="00BD5873"/>
    <w:rsid w:val="00BD5D57"/>
    <w:rsid w:val="00BD7C64"/>
    <w:rsid w:val="00BE1665"/>
    <w:rsid w:val="00BF2A67"/>
    <w:rsid w:val="00C024A6"/>
    <w:rsid w:val="00C0341F"/>
    <w:rsid w:val="00C04BE3"/>
    <w:rsid w:val="00C07102"/>
    <w:rsid w:val="00C14B55"/>
    <w:rsid w:val="00C244B7"/>
    <w:rsid w:val="00C25D29"/>
    <w:rsid w:val="00C27A7C"/>
    <w:rsid w:val="00C42437"/>
    <w:rsid w:val="00C44643"/>
    <w:rsid w:val="00C50779"/>
    <w:rsid w:val="00C703D9"/>
    <w:rsid w:val="00C724F4"/>
    <w:rsid w:val="00C84219"/>
    <w:rsid w:val="00C94938"/>
    <w:rsid w:val="00CA08ED"/>
    <w:rsid w:val="00CA3282"/>
    <w:rsid w:val="00CA7050"/>
    <w:rsid w:val="00CB3014"/>
    <w:rsid w:val="00CB4A90"/>
    <w:rsid w:val="00CE6630"/>
    <w:rsid w:val="00CE7AE2"/>
    <w:rsid w:val="00CF183B"/>
    <w:rsid w:val="00D12901"/>
    <w:rsid w:val="00D375CD"/>
    <w:rsid w:val="00D54974"/>
    <w:rsid w:val="00D553A2"/>
    <w:rsid w:val="00D72F49"/>
    <w:rsid w:val="00D774D3"/>
    <w:rsid w:val="00D904E8"/>
    <w:rsid w:val="00D9386F"/>
    <w:rsid w:val="00D97BD9"/>
    <w:rsid w:val="00DA08C3"/>
    <w:rsid w:val="00DB5A3E"/>
    <w:rsid w:val="00DC22AA"/>
    <w:rsid w:val="00DF2DF2"/>
    <w:rsid w:val="00DF355C"/>
    <w:rsid w:val="00DF74DD"/>
    <w:rsid w:val="00E12CDA"/>
    <w:rsid w:val="00E25AD0"/>
    <w:rsid w:val="00E34C9F"/>
    <w:rsid w:val="00E4428F"/>
    <w:rsid w:val="00E44B7F"/>
    <w:rsid w:val="00E93668"/>
    <w:rsid w:val="00E95647"/>
    <w:rsid w:val="00EA61B6"/>
    <w:rsid w:val="00EB6350"/>
    <w:rsid w:val="00EB7539"/>
    <w:rsid w:val="00ED4F16"/>
    <w:rsid w:val="00F00928"/>
    <w:rsid w:val="00F15B57"/>
    <w:rsid w:val="00F21AF0"/>
    <w:rsid w:val="00F226EC"/>
    <w:rsid w:val="00F35C74"/>
    <w:rsid w:val="00F35EF4"/>
    <w:rsid w:val="00F36A99"/>
    <w:rsid w:val="00F37FE5"/>
    <w:rsid w:val="00F4070C"/>
    <w:rsid w:val="00F427DB"/>
    <w:rsid w:val="00F44020"/>
    <w:rsid w:val="00F71066"/>
    <w:rsid w:val="00F728CA"/>
    <w:rsid w:val="00FA4BD0"/>
    <w:rsid w:val="00FA5EB1"/>
    <w:rsid w:val="00FA7439"/>
    <w:rsid w:val="00FB0573"/>
    <w:rsid w:val="00FB6559"/>
    <w:rsid w:val="00FC4EC0"/>
    <w:rsid w:val="00FD4AF4"/>
    <w:rsid w:val="00FD5858"/>
    <w:rsid w:val="00FE090A"/>
    <w:rsid w:val="00FE34EF"/>
    <w:rsid w:val="00FF0181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1B6"/>
    <w:rPr>
      <w:color w:val="605E5C"/>
      <w:shd w:val="clear" w:color="auto" w:fill="E1DFDD"/>
    </w:rPr>
  </w:style>
  <w:style w:type="paragraph" w:customStyle="1" w:styleId="TableHead0">
    <w:name w:val="Table_Head"/>
    <w:basedOn w:val="Normal"/>
    <w:rsid w:val="00EA61B6"/>
    <w:pPr>
      <w:keepNext/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eastAsia="SimSun" w:hAnsi="Times New Roman"/>
      <w:b/>
      <w:lang w:val="en-GB"/>
    </w:rPr>
  </w:style>
  <w:style w:type="paragraph" w:customStyle="1" w:styleId="TableText0">
    <w:name w:val="Table_Text"/>
    <w:basedOn w:val="Normal"/>
    <w:rsid w:val="00EA61B6"/>
    <w:pPr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SimSu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hub/membership/our-members/exempted-entities/" TargetMode="External"/><Relationship Id="rId13" Type="http://schemas.openxmlformats.org/officeDocument/2006/relationships/hyperlink" Target="https://www.itu.int/md/S22-CL-C-0100/fr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tu.int/md/S19-CL-C-0141/en" TargetMode="External"/><Relationship Id="rId12" Type="http://schemas.openxmlformats.org/officeDocument/2006/relationships/hyperlink" Target="https://www.itu.int/hub/membership/our-members/exempted-entities/exemption-criteria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hub/membership/our-members/exempted-entit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9-CL-C-0141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doc/gs/council/c00/docs/28rev1.html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C2CF-D09B-4623-9BFA-49B0E3DD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1968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14052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Nouvelles demandes d'exonération du paiement de droits pour les organisations ayant un caractère international</dc:title>
  <dc:subject>Conseil 2023</dc:subject>
  <dc:creator>Xue, Kun</dc:creator>
  <cp:keywords>C2023, C23, Council-23</cp:keywords>
  <dc:description/>
  <cp:lastModifiedBy>Xue, Kun</cp:lastModifiedBy>
  <cp:revision>3</cp:revision>
  <cp:lastPrinted>2000-07-18T08:55:00Z</cp:lastPrinted>
  <dcterms:created xsi:type="dcterms:W3CDTF">2023-07-05T15:17:00Z</dcterms:created>
  <dcterms:modified xsi:type="dcterms:W3CDTF">2023-07-05T15:17:00Z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