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00D7E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557CE521" w:rsidR="00796BD3" w:rsidRPr="00300D7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00D7E">
              <w:rPr>
                <w:b/>
                <w:lang w:val="ru-RU"/>
              </w:rPr>
              <w:t>Пункт повестки дня:</w:t>
            </w:r>
            <w:r w:rsidR="00537E1C" w:rsidRPr="00300D7E">
              <w:rPr>
                <w:b/>
                <w:lang w:val="ru-RU"/>
              </w:rPr>
              <w:t xml:space="preserve"> </w:t>
            </w:r>
            <w:r w:rsidR="0083464C" w:rsidRPr="00300D7E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22FBC960" w14:textId="4AEF5009" w:rsidR="00796BD3" w:rsidRPr="00300D7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00D7E">
              <w:rPr>
                <w:b/>
                <w:lang w:val="ru-RU"/>
              </w:rPr>
              <w:t xml:space="preserve">Документ </w:t>
            </w:r>
            <w:r w:rsidR="00796BD3" w:rsidRPr="00300D7E">
              <w:rPr>
                <w:b/>
                <w:lang w:val="ru-RU"/>
              </w:rPr>
              <w:t>C23/</w:t>
            </w:r>
            <w:r w:rsidR="00446EC9" w:rsidRPr="00300D7E">
              <w:rPr>
                <w:b/>
                <w:lang w:val="ru-RU"/>
              </w:rPr>
              <w:t>39</w:t>
            </w:r>
            <w:r w:rsidR="00796BD3" w:rsidRPr="00300D7E">
              <w:rPr>
                <w:b/>
                <w:lang w:val="ru-RU"/>
              </w:rPr>
              <w:t>-R</w:t>
            </w:r>
          </w:p>
        </w:tc>
      </w:tr>
      <w:tr w:rsidR="00796BD3" w:rsidRPr="00300D7E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300D7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618B786B" w:rsidR="00796BD3" w:rsidRPr="00300D7E" w:rsidRDefault="0083464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00D7E">
              <w:rPr>
                <w:b/>
                <w:lang w:val="ru-RU"/>
              </w:rPr>
              <w:t>9</w:t>
            </w:r>
            <w:r w:rsidR="00531F54" w:rsidRPr="00300D7E">
              <w:rPr>
                <w:b/>
                <w:lang w:val="ru-RU"/>
              </w:rPr>
              <w:t xml:space="preserve"> июня </w:t>
            </w:r>
            <w:r w:rsidR="00796BD3" w:rsidRPr="00300D7E">
              <w:rPr>
                <w:b/>
                <w:lang w:val="ru-RU"/>
              </w:rPr>
              <w:t>2023</w:t>
            </w:r>
            <w:r w:rsidR="00537E1C" w:rsidRPr="00300D7E">
              <w:rPr>
                <w:b/>
                <w:lang w:val="ru-RU"/>
              </w:rPr>
              <w:t xml:space="preserve"> года</w:t>
            </w:r>
          </w:p>
        </w:tc>
      </w:tr>
      <w:tr w:rsidR="00796BD3" w:rsidRPr="00300D7E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300D7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4826DEF0" w:rsidR="00796BD3" w:rsidRPr="00300D7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00D7E">
              <w:rPr>
                <w:b/>
                <w:lang w:val="ru-RU"/>
              </w:rPr>
              <w:t xml:space="preserve">Оригинал: </w:t>
            </w:r>
            <w:r w:rsidR="0083464C" w:rsidRPr="00300D7E">
              <w:rPr>
                <w:b/>
                <w:lang w:val="ru-RU"/>
              </w:rPr>
              <w:t>английский</w:t>
            </w:r>
          </w:p>
        </w:tc>
      </w:tr>
      <w:tr w:rsidR="00796BD3" w:rsidRPr="00300D7E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300D7E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300D7E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2A55DB" w:rsidRPr="00300D7E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9D77F16" w:rsidR="002A55DB" w:rsidRPr="00300D7E" w:rsidRDefault="0083464C" w:rsidP="002A55DB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00D7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bookmarkEnd w:id="5"/>
      <w:tr w:rsidR="002A55DB" w:rsidRPr="00BB13D5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29E7A096" w:rsidR="002A55DB" w:rsidRPr="00300D7E" w:rsidRDefault="0083464C" w:rsidP="002A55DB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300D7E">
              <w:rPr>
                <w:rFonts w:cstheme="minorHAnsi"/>
                <w:sz w:val="32"/>
                <w:szCs w:val="32"/>
                <w:lang w:val="ru-RU"/>
              </w:rPr>
              <w:t xml:space="preserve">НОВЫЕ </w:t>
            </w:r>
            <w:r w:rsidRPr="00300D7E">
              <w:rPr>
                <w:color w:val="000000"/>
                <w:lang w:val="ru-RU"/>
              </w:rPr>
              <w:t>ЗАЯВКИ НА ПРЕДОСТАВЛЕНИЕ ОСВОБОЖДЕНИЯ ОТ УПЛАТЫ ВЗНОСОВ ОРГАНИЗАЦИЙ МЕЖДУНАРОДНОГО ХАРАКТЕРА</w:t>
            </w:r>
          </w:p>
        </w:tc>
      </w:tr>
      <w:tr w:rsidR="00796BD3" w:rsidRPr="00300D7E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300D7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bookmarkStart w:id="6" w:name="dtitle1" w:colFirst="0" w:colLast="0"/>
            <w:r w:rsidRPr="00300D7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3EBD60BA" w:rsidR="00796BD3" w:rsidRPr="00300D7E" w:rsidRDefault="0083464C" w:rsidP="0083464C">
            <w:pPr>
              <w:rPr>
                <w:lang w:val="ru-RU"/>
              </w:rPr>
            </w:pPr>
            <w:r w:rsidRPr="00300D7E">
              <w:rPr>
                <w:lang w:val="ru-RU"/>
              </w:rPr>
              <w:t xml:space="preserve">Ежегодно МСЭ получает заявки от организаций международного характера, запрашивающих освобождение от уплаты членских взносов и других финансовых вкладов в Союз на основе принципа взаимности. Эти новые заявки рассматриваются </w:t>
            </w:r>
            <w:r w:rsidR="00337DD1" w:rsidRPr="00300D7E">
              <w:rPr>
                <w:lang w:val="ru-RU"/>
              </w:rPr>
              <w:t xml:space="preserve">Секретариатом </w:t>
            </w:r>
            <w:r w:rsidRPr="00300D7E">
              <w:rPr>
                <w:lang w:val="ru-RU"/>
              </w:rPr>
              <w:t>в соответствии с</w:t>
            </w:r>
            <w:r w:rsidR="00BB13D5">
              <w:rPr>
                <w:lang w:val="en-US"/>
              </w:rPr>
              <w:t> </w:t>
            </w:r>
            <w:r w:rsidRPr="00300D7E">
              <w:rPr>
                <w:lang w:val="ru-RU"/>
              </w:rPr>
              <w:t>критериями, установленными Советом МСЭ.</w:t>
            </w:r>
          </w:p>
          <w:p w14:paraId="0736A86A" w14:textId="77777777" w:rsidR="00796BD3" w:rsidRPr="00300D7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300D7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5565474C" w:rsidR="00537E1C" w:rsidRPr="00300D7E" w:rsidRDefault="0083464C" w:rsidP="0083464C">
            <w:pPr>
              <w:rPr>
                <w:lang w:val="ru-RU"/>
              </w:rPr>
            </w:pPr>
            <w:r w:rsidRPr="00300D7E">
              <w:rPr>
                <w:lang w:val="ru-RU"/>
              </w:rPr>
              <w:t xml:space="preserve">Совету предлагается </w:t>
            </w:r>
            <w:r w:rsidRPr="00300D7E">
              <w:rPr>
                <w:b/>
                <w:bCs/>
                <w:lang w:val="ru-RU"/>
              </w:rPr>
              <w:t xml:space="preserve">рассмотреть </w:t>
            </w:r>
            <w:r w:rsidRPr="00300D7E">
              <w:rPr>
                <w:lang w:val="ru-RU"/>
              </w:rPr>
              <w:t>рекомендации Генерального секретаря относительно новых заявок на освобождение от уплаты.</w:t>
            </w:r>
          </w:p>
          <w:p w14:paraId="3CF6375D" w14:textId="77777777" w:rsidR="0083464C" w:rsidRPr="0083464C" w:rsidRDefault="0083464C" w:rsidP="0083464C">
            <w:pPr>
              <w:rPr>
                <w:b/>
                <w:bCs/>
                <w:sz w:val="24"/>
                <w:szCs w:val="24"/>
                <w:lang w:val="ru-RU"/>
              </w:rPr>
            </w:pPr>
            <w:r w:rsidRPr="0083464C">
              <w:rPr>
                <w:b/>
                <w:bCs/>
                <w:sz w:val="24"/>
                <w:szCs w:val="24"/>
                <w:lang w:val="ru-RU"/>
              </w:rPr>
              <w:t xml:space="preserve">Соответствующая увязка </w:t>
            </w:r>
            <w:r w:rsidRPr="0083464C">
              <w:rPr>
                <w:b/>
                <w:bCs/>
                <w:lang w:val="ru-RU"/>
              </w:rPr>
              <w:t>со</w:t>
            </w:r>
            <w:r w:rsidRPr="0083464C">
              <w:rPr>
                <w:b/>
                <w:bCs/>
                <w:sz w:val="24"/>
                <w:szCs w:val="24"/>
                <w:lang w:val="ru-RU"/>
              </w:rPr>
              <w:t xml:space="preserve"> Стратегическим планом</w:t>
            </w:r>
          </w:p>
          <w:p w14:paraId="4CB6ACCC" w14:textId="77777777" w:rsidR="0083464C" w:rsidRPr="00300D7E" w:rsidRDefault="0083464C" w:rsidP="0083464C">
            <w:pPr>
              <w:rPr>
                <w:lang w:val="ru-RU"/>
              </w:rPr>
            </w:pPr>
            <w:r w:rsidRPr="00300D7E">
              <w:rPr>
                <w:lang w:val="ru-RU"/>
              </w:rPr>
              <w:t>Ориентация на интересы членов.</w:t>
            </w:r>
          </w:p>
          <w:p w14:paraId="170FE8ED" w14:textId="77777777" w:rsidR="0083464C" w:rsidRPr="0083464C" w:rsidRDefault="0083464C" w:rsidP="0083464C">
            <w:pPr>
              <w:spacing w:after="12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83464C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8678544" w14:textId="77777777" w:rsidR="0083464C" w:rsidRPr="0083464C" w:rsidRDefault="0083464C" w:rsidP="0083464C">
            <w:pPr>
              <w:rPr>
                <w:lang w:val="ru-RU"/>
              </w:rPr>
            </w:pPr>
            <w:r w:rsidRPr="0083464C">
              <w:rPr>
                <w:lang w:val="ru-RU"/>
              </w:rPr>
              <w:t>Общая сумма членских взносов для объединений, рекомендованных для утверждения секретариатом, составляет 174 900 швейцарских франков.</w:t>
            </w:r>
          </w:p>
          <w:p w14:paraId="16707240" w14:textId="77777777" w:rsidR="0083464C" w:rsidRPr="0083464C" w:rsidRDefault="0083464C" w:rsidP="0083464C">
            <w:pPr>
              <w:spacing w:after="120" w:line="260" w:lineRule="exact"/>
              <w:rPr>
                <w:lang w:val="ru-RU"/>
              </w:rPr>
            </w:pPr>
            <w:r w:rsidRPr="0083464C">
              <w:rPr>
                <w:lang w:val="ru-RU"/>
              </w:rPr>
              <w:t>__________________</w:t>
            </w:r>
          </w:p>
          <w:p w14:paraId="72DBADFB" w14:textId="77777777" w:rsidR="0083464C" w:rsidRPr="0083464C" w:rsidRDefault="0083464C" w:rsidP="0083464C">
            <w:pPr>
              <w:spacing w:after="12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83464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70AE60E1" w:rsidR="00796BD3" w:rsidRPr="00300D7E" w:rsidRDefault="00EC760F" w:rsidP="0083464C">
            <w:pPr>
              <w:spacing w:after="120"/>
              <w:rPr>
                <w:lang w:val="ru-RU"/>
              </w:rPr>
            </w:pPr>
            <w:hyperlink r:id="rId8" w:history="1">
              <w:r w:rsidR="0083464C" w:rsidRPr="00300D7E">
                <w:rPr>
                  <w:rStyle w:val="Hyperlink"/>
                  <w:i/>
                  <w:iCs/>
                  <w:lang w:val="ru-RU"/>
                </w:rPr>
                <w:t>C2000/28(Rev.1)</w:t>
              </w:r>
            </w:hyperlink>
            <w:r w:rsidR="0083464C" w:rsidRPr="00300D7E">
              <w:rPr>
                <w:lang w:val="ru-RU"/>
              </w:rPr>
              <w:t>,</w:t>
            </w:r>
            <w:r w:rsidR="0083464C" w:rsidRPr="00300D7E">
              <w:rPr>
                <w:i/>
                <w:iCs/>
                <w:u w:val="single"/>
                <w:lang w:val="ru-RU"/>
              </w:rPr>
              <w:t xml:space="preserve"> </w:t>
            </w:r>
            <w:hyperlink r:id="rId9" w:history="1">
              <w:r w:rsidR="0083464C" w:rsidRPr="00300D7E">
                <w:rPr>
                  <w:rStyle w:val="Hyperlink"/>
                  <w:i/>
                  <w:iCs/>
                  <w:lang w:val="ru-RU"/>
                </w:rPr>
                <w:t>Резолюция 925 Совета</w:t>
              </w:r>
            </w:hyperlink>
            <w:r w:rsidR="0083464C" w:rsidRPr="00300D7E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83464C" w:rsidRPr="00300D7E">
                <w:rPr>
                  <w:rStyle w:val="Hyperlink"/>
                  <w:i/>
                  <w:iCs/>
                  <w:lang w:val="ru-RU"/>
                </w:rPr>
                <w:t>Критерии Совета для освобождения (Пересм. 2017 г.)</w:t>
              </w:r>
            </w:hyperlink>
          </w:p>
        </w:tc>
      </w:tr>
      <w:bookmarkEnd w:id="2"/>
      <w:bookmarkEnd w:id="6"/>
    </w:tbl>
    <w:p w14:paraId="107FE8DB" w14:textId="773EEAF5" w:rsidR="0083464C" w:rsidRPr="00300D7E" w:rsidRDefault="00951DCD" w:rsidP="00C471C3">
      <w:pPr>
        <w:pStyle w:val="Heading1"/>
        <w:rPr>
          <w:lang w:val="ru-RU"/>
        </w:rPr>
      </w:pPr>
      <w:r w:rsidRPr="00300D7E">
        <w:rPr>
          <w:lang w:val="ru-RU"/>
        </w:rPr>
        <w:br w:type="page"/>
      </w:r>
      <w:r w:rsidR="00B26F6D">
        <w:rPr>
          <w:lang w:val="en-US"/>
        </w:rPr>
        <w:lastRenderedPageBreak/>
        <w:t>1</w:t>
      </w:r>
      <w:r w:rsidR="00B26F6D">
        <w:rPr>
          <w:lang w:val="en-US"/>
        </w:rPr>
        <w:tab/>
      </w:r>
      <w:r w:rsidR="0083464C" w:rsidRPr="00300D7E">
        <w:rPr>
          <w:lang w:val="ru-RU"/>
        </w:rPr>
        <w:t>Базовая информация</w:t>
      </w:r>
    </w:p>
    <w:p w14:paraId="1614CE3C" w14:textId="12B8D4EF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1.1</w:t>
      </w:r>
      <w:r w:rsidRPr="0083464C">
        <w:rPr>
          <w:lang w:val="ru-RU"/>
        </w:rPr>
        <w:tab/>
        <w:t>Ежегодно МСЭ получает заявки от организаций международного характера, запрашивающих освобождение от уплаты членских взносов и других финансовых вкладов в</w:t>
      </w:r>
      <w:r w:rsidR="004D5D84" w:rsidRPr="00300D7E">
        <w:rPr>
          <w:lang w:val="ru-RU"/>
        </w:rPr>
        <w:t> </w:t>
      </w:r>
      <w:r w:rsidRPr="0083464C">
        <w:rPr>
          <w:lang w:val="ru-RU"/>
        </w:rPr>
        <w:t xml:space="preserve">Союз. Эти просьбы рассматриваются в соответствии с процедурой, установленной Советом МСЭ на его сессии 2000 года (см. Документ </w:t>
      </w:r>
      <w:hyperlink r:id="rId11" w:history="1">
        <w:r w:rsidRPr="0083464C">
          <w:rPr>
            <w:rStyle w:val="Hyperlink"/>
            <w:lang w:val="ru-RU"/>
          </w:rPr>
          <w:t>C2000/28(Rev.1)</w:t>
        </w:r>
      </w:hyperlink>
      <w:r w:rsidRPr="0083464C">
        <w:rPr>
          <w:lang w:val="ru-RU"/>
        </w:rPr>
        <w:t>) и в соответствии с п.</w:t>
      </w:r>
      <w:r w:rsidR="00601F4F" w:rsidRPr="00300D7E">
        <w:rPr>
          <w:lang w:val="ru-RU"/>
        </w:rPr>
        <w:t> </w:t>
      </w:r>
      <w:r w:rsidRPr="0083464C">
        <w:rPr>
          <w:lang w:val="ru-RU"/>
        </w:rPr>
        <w:t xml:space="preserve">476 Конвенции МСЭ и </w:t>
      </w:r>
      <w:hyperlink r:id="rId12" w:history="1">
        <w:r w:rsidRPr="0083464C">
          <w:rPr>
            <w:rStyle w:val="Hyperlink"/>
            <w:lang w:val="ru-RU"/>
          </w:rPr>
          <w:t>Резолюцией 925 Совета (C-1985, последнее изменение C19</w:t>
        </w:r>
      </w:hyperlink>
      <w:r w:rsidRPr="0083464C">
        <w:rPr>
          <w:lang w:val="ru-RU"/>
        </w:rPr>
        <w:t>), а также установленными Советом критериями, пересмотренными в 2017 году (см. пункт</w:t>
      </w:r>
      <w:r w:rsidR="00601F4F" w:rsidRPr="00300D7E">
        <w:rPr>
          <w:lang w:val="ru-RU"/>
        </w:rPr>
        <w:t> </w:t>
      </w:r>
      <w:r w:rsidRPr="0083464C">
        <w:rPr>
          <w:lang w:val="ru-RU"/>
        </w:rPr>
        <w:t>1,5, ниже).</w:t>
      </w:r>
    </w:p>
    <w:p w14:paraId="3738A1DF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1.2</w:t>
      </w:r>
      <w:r w:rsidRPr="0083464C">
        <w:rPr>
          <w:lang w:val="ru-RU"/>
        </w:rPr>
        <w:tab/>
        <w:t>Освобождение от уплаты взносов предоставляется Советом после анализа соответствующих Секторов и по рекомендации Генерального секретаря. В случае утверждения они становятся Членами Секторов или Ассоциированными членами согласно п. 231 Конвенции.</w:t>
      </w:r>
    </w:p>
    <w:p w14:paraId="12A6CC32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1.3</w:t>
      </w:r>
      <w:r w:rsidRPr="0083464C">
        <w:rPr>
          <w:lang w:val="ru-RU"/>
        </w:rPr>
        <w:tab/>
        <w:t xml:space="preserve">В настоящее время от сборов освобождены 132 организации международного характера. Полный список доступен </w:t>
      </w:r>
      <w:hyperlink r:id="rId13" w:history="1">
        <w:r w:rsidRPr="0083464C">
          <w:rPr>
            <w:rStyle w:val="Hyperlink"/>
            <w:lang w:val="ru-RU"/>
          </w:rPr>
          <w:t>здесь</w:t>
        </w:r>
      </w:hyperlink>
      <w:r w:rsidRPr="0083464C">
        <w:rPr>
          <w:lang w:val="ru-RU"/>
        </w:rPr>
        <w:t>.</w:t>
      </w:r>
    </w:p>
    <w:p w14:paraId="23F44806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1.4</w:t>
      </w:r>
      <w:r w:rsidRPr="0083464C">
        <w:rPr>
          <w:lang w:val="ru-RU"/>
        </w:rPr>
        <w:tab/>
        <w:t>В своей Резолюции 187 (Пусан, 2014 г.) Полномочная конференция (Пусан, 2014 г.) поручила Совету "рассмотреть практику и критерии освобождения объединений от членских сборов и при необходимости внести изменения, направленные на ужесточение критериев соответствия условиям, чтобы содействовать большей ясности, последовательности и справедливости в отношении платящих и не платящих взносы членов и сократить общее количество освобожденных объединений".</w:t>
      </w:r>
    </w:p>
    <w:p w14:paraId="6D7BC7F2" w14:textId="09AF58DC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1.5</w:t>
      </w:r>
      <w:r w:rsidRPr="0083464C">
        <w:rPr>
          <w:lang w:val="ru-RU"/>
        </w:rPr>
        <w:tab/>
        <w:t xml:space="preserve">Совет на своей сессии 2017 года утвердил пересмотренные критерии, представленные </w:t>
      </w:r>
      <w:hyperlink r:id="rId14">
        <w:r w:rsidRPr="0083464C">
          <w:rPr>
            <w:rStyle w:val="Hyperlink"/>
            <w:lang w:val="ru-RU"/>
          </w:rPr>
          <w:t>здесь</w:t>
        </w:r>
      </w:hyperlink>
      <w:r w:rsidRPr="0083464C">
        <w:rPr>
          <w:lang w:val="ru-RU"/>
        </w:rPr>
        <w:t>. С этого времени на каждой сессии Совет рассматривает новые заявки в соответствии с</w:t>
      </w:r>
      <w:r w:rsidR="004D5D84" w:rsidRPr="00300D7E">
        <w:rPr>
          <w:lang w:val="ru-RU"/>
        </w:rPr>
        <w:t> </w:t>
      </w:r>
      <w:r w:rsidRPr="0083464C">
        <w:rPr>
          <w:lang w:val="ru-RU"/>
        </w:rPr>
        <w:t>этими критериями.</w:t>
      </w:r>
    </w:p>
    <w:p w14:paraId="40B290D7" w14:textId="0A31CD7A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1.6</w:t>
      </w:r>
      <w:r w:rsidRPr="0083464C">
        <w:rPr>
          <w:lang w:val="ru-RU"/>
        </w:rPr>
        <w:tab/>
        <w:t>В настоящем документе рассматриваются только новые заявки на освобождение от</w:t>
      </w:r>
      <w:r w:rsidR="004D5D84" w:rsidRPr="00300D7E">
        <w:rPr>
          <w:lang w:val="ru-RU"/>
        </w:rPr>
        <w:t> </w:t>
      </w:r>
      <w:r w:rsidRPr="0083464C">
        <w:rPr>
          <w:lang w:val="ru-RU"/>
        </w:rPr>
        <w:t>уплаты взносов за период после последней сессии Совета. Секретариат рассмотрел весь перечень объединений, которые в настоящее время пользуются освобождением от уплаты взносов, и представил рекомендацию Совету на рассмотрение в ходе его сессии 2022 года. Совет передал рассмотрение существующего перечня, о котором говорится в Документе</w:t>
      </w:r>
      <w:r w:rsidR="00300D7E">
        <w:rPr>
          <w:lang w:val="en-US"/>
        </w:rPr>
        <w:t> </w:t>
      </w:r>
      <w:hyperlink r:id="rId15">
        <w:r w:rsidRPr="0083464C">
          <w:rPr>
            <w:rStyle w:val="Hyperlink"/>
            <w:lang w:val="ru-RU"/>
          </w:rPr>
          <w:t>C22/100</w:t>
        </w:r>
      </w:hyperlink>
      <w:r w:rsidRPr="0083464C">
        <w:rPr>
          <w:lang w:val="ru-RU"/>
        </w:rPr>
        <w:t>, Рабочей группе Совета по финансовым и людским ресурсам (РГС-ФЛР).</w:t>
      </w:r>
    </w:p>
    <w:p w14:paraId="1D6B60C0" w14:textId="77777777" w:rsidR="0083464C" w:rsidRPr="00300D7E" w:rsidRDefault="0083464C" w:rsidP="00C471C3">
      <w:pPr>
        <w:pStyle w:val="Heading1"/>
        <w:rPr>
          <w:lang w:val="ru-RU"/>
        </w:rPr>
      </w:pPr>
      <w:r w:rsidRPr="00300D7E">
        <w:rPr>
          <w:lang w:val="ru-RU"/>
        </w:rPr>
        <w:t>2</w:t>
      </w:r>
      <w:r w:rsidRPr="00300D7E">
        <w:rPr>
          <w:lang w:val="ru-RU"/>
        </w:rPr>
        <w:tab/>
        <w:t>Новые заявки и рекомендации</w:t>
      </w:r>
    </w:p>
    <w:p w14:paraId="3B6B54A8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2.1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1"/>
        <w:gridCol w:w="1418"/>
        <w:gridCol w:w="3685"/>
      </w:tblGrid>
      <w:tr w:rsidR="0083464C" w:rsidRPr="00300D7E" w14:paraId="73CB2B8A" w14:textId="77777777" w:rsidTr="004D5D84">
        <w:trPr>
          <w:cantSplit/>
          <w:jc w:val="center"/>
        </w:trPr>
        <w:tc>
          <w:tcPr>
            <w:tcW w:w="3961" w:type="dxa"/>
          </w:tcPr>
          <w:p w14:paraId="1F9B7FA2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2B7C3216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85" w:type="dxa"/>
          </w:tcPr>
          <w:p w14:paraId="569A2D5D" w14:textId="28AE7AA5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5DE61D25" w14:textId="77777777" w:rsidTr="004D5D84">
        <w:trPr>
          <w:cantSplit/>
          <w:trHeight w:val="421"/>
          <w:jc w:val="center"/>
        </w:trPr>
        <w:tc>
          <w:tcPr>
            <w:tcW w:w="3961" w:type="dxa"/>
          </w:tcPr>
          <w:p w14:paraId="54523668" w14:textId="46D8AD34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Ассоциация регуляторных органов в</w:t>
            </w:r>
            <w:r w:rsidR="004D5D84" w:rsidRPr="00300D7E">
              <w:rPr>
                <w:b/>
                <w:lang w:val="ru-RU"/>
              </w:rPr>
              <w:t> </w:t>
            </w:r>
            <w:r w:rsidRPr="00300D7E">
              <w:rPr>
                <w:b/>
                <w:lang w:val="ru-RU"/>
              </w:rPr>
              <w:t xml:space="preserve">области связи юга Африки </w:t>
            </w:r>
            <w:r w:rsidRPr="00300D7E">
              <w:rPr>
                <w:b/>
                <w:iCs/>
                <w:lang w:val="ru-RU"/>
              </w:rPr>
              <w:t>(CRASA)</w:t>
            </w:r>
          </w:p>
        </w:tc>
        <w:tc>
          <w:tcPr>
            <w:tcW w:w="1418" w:type="dxa"/>
          </w:tcPr>
          <w:p w14:paraId="0B247A21" w14:textId="615C92B4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МСЭ-R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МСЭ-T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МСЭ-D</w:t>
            </w:r>
          </w:p>
        </w:tc>
        <w:tc>
          <w:tcPr>
            <w:tcW w:w="3685" w:type="dxa"/>
          </w:tcPr>
          <w:p w14:paraId="25F9094A" w14:textId="13ABD0C3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ДА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ДА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ДА</w:t>
            </w:r>
          </w:p>
        </w:tc>
      </w:tr>
    </w:tbl>
    <w:p w14:paraId="5FF8F64C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 xml:space="preserve">Ассоциация регуляторных органов в области связи юга Африки (CRASA), штаб-квартира которой находится в Ботсване, представляет собой форум регуляторных органов в области ИКТ и почтовой связи, в состав которого входят 13 государств-членов. CRASA является специализированным учреждением Сообщества по вопросам развития юга Африки (САДК) и была создана в 1997 году в рамках Протокола САДК по транспорту, связи и метеорологии (1995 г.). </w:t>
      </w:r>
      <w:bookmarkStart w:id="7" w:name="_Hlk133403073"/>
      <w:r w:rsidRPr="0083464C">
        <w:rPr>
          <w:lang w:val="ru-RU"/>
        </w:rPr>
        <w:t>Целью CRASA является согласование нормативно-правовой базы рынков электросвязи, радиовещания и почты. Это объединение, как региональная организация Государств-Членов, по мнению секретариата, отвечает критериям, установленным Советом для освобождения от уплаты взносов.</w:t>
      </w:r>
    </w:p>
    <w:bookmarkEnd w:id="7"/>
    <w:p w14:paraId="6D0DA3FD" w14:textId="77777777" w:rsidR="0083464C" w:rsidRPr="0083464C" w:rsidRDefault="0083464C" w:rsidP="004D5D84">
      <w:pPr>
        <w:keepNext/>
        <w:keepLines/>
        <w:rPr>
          <w:lang w:val="ru-RU"/>
        </w:rPr>
      </w:pPr>
      <w:r w:rsidRPr="0083464C">
        <w:rPr>
          <w:lang w:val="ru-RU"/>
        </w:rPr>
        <w:lastRenderedPageBreak/>
        <w:t>2.2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42"/>
        <w:gridCol w:w="3691"/>
      </w:tblGrid>
      <w:tr w:rsidR="0083464C" w:rsidRPr="00300D7E" w14:paraId="057B64A7" w14:textId="77777777" w:rsidTr="00601F4F">
        <w:trPr>
          <w:cantSplit/>
          <w:jc w:val="center"/>
        </w:trPr>
        <w:tc>
          <w:tcPr>
            <w:tcW w:w="4103" w:type="dxa"/>
          </w:tcPr>
          <w:p w14:paraId="3F590DB5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362" w:type="dxa"/>
          </w:tcPr>
          <w:p w14:paraId="566FA8B4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750" w:type="dxa"/>
          </w:tcPr>
          <w:p w14:paraId="14A7D3F7" w14:textId="63EA2586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77EBD8B4" w14:textId="77777777" w:rsidTr="00601F4F">
        <w:trPr>
          <w:cantSplit/>
          <w:jc w:val="center"/>
        </w:trPr>
        <w:tc>
          <w:tcPr>
            <w:tcW w:w="4103" w:type="dxa"/>
          </w:tcPr>
          <w:p w14:paraId="69D11DCD" w14:textId="77777777" w:rsidR="0083464C" w:rsidRPr="00300D7E" w:rsidRDefault="0083464C" w:rsidP="004D5D84">
            <w:pPr>
              <w:pStyle w:val="Tabletext"/>
              <w:rPr>
                <w:b/>
                <w:lang w:val="ru-RU"/>
              </w:rPr>
            </w:pPr>
            <w:r w:rsidRPr="00300D7E">
              <w:rPr>
                <w:b/>
                <w:lang w:val="ru-RU"/>
              </w:rPr>
              <w:t>Общество разработки стандартов электросвязи, Индия (TSDSI)</w:t>
            </w:r>
          </w:p>
        </w:tc>
        <w:tc>
          <w:tcPr>
            <w:tcW w:w="1362" w:type="dxa"/>
          </w:tcPr>
          <w:p w14:paraId="10816C14" w14:textId="28653FD6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МСЭ-R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МСЭ-T</w:t>
            </w:r>
          </w:p>
        </w:tc>
        <w:tc>
          <w:tcPr>
            <w:tcW w:w="3750" w:type="dxa"/>
          </w:tcPr>
          <w:p w14:paraId="59219206" w14:textId="1C0D6AAD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НЕТ</w:t>
            </w:r>
          </w:p>
        </w:tc>
      </w:tr>
    </w:tbl>
    <w:p w14:paraId="2DE55A24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Эта заявка была отложена Советом на его сессии 2022 года до полного рассмотрения всех освобожденных объединений, как указано в разделе 1.6, выше. Тем временем TSDSI присоединилось к числу выплачивающих взносы Членов Секторов МСЭ-R и МСЭ-Т.</w:t>
      </w:r>
    </w:p>
    <w:p w14:paraId="52BFEE85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Общество TSDSI как автономная организация было основано компаниями, представляющими индийскую промышленность, академическими организациями, исследовательскими институтами и правительством Индии в качестве некоммерческой организации с целью стимулирования деятельности по стандартизации электросвязи в Индии и представления интересов Индии на глобальных форумах. Членами TSDSI являются международные компании и академические/исследовательские учреждения из многих стран. TSDSI активно участвует в международной деятельности, в том числе в МСЭ, и имеет международных членов (в основном национальные филиалы), но их члены в основном являются некоммерческими организациями. Кроме того, TSDSI создано как национальное объединение, а не как международная/региональная организация. По этим причинам, по мнению секретариата, это объединение не соответствует критериям, установленным Советом для освобождения от уплаты взносов.</w:t>
      </w:r>
    </w:p>
    <w:p w14:paraId="282E3D2F" w14:textId="77777777" w:rsidR="0083464C" w:rsidRPr="0083464C" w:rsidRDefault="0083464C" w:rsidP="0083464C">
      <w:pPr>
        <w:rPr>
          <w:lang w:val="ru-RU"/>
        </w:rPr>
      </w:pPr>
      <w:r w:rsidRPr="0083464C">
        <w:rPr>
          <w:bCs/>
          <w:lang w:val="ru-RU"/>
        </w:rPr>
        <w:t>2.3</w:t>
      </w:r>
      <w:bookmarkStart w:id="8" w:name="_Hlk106608884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4BEC358F" w14:textId="77777777" w:rsidTr="00601F4F">
        <w:trPr>
          <w:cantSplit/>
          <w:jc w:val="center"/>
        </w:trPr>
        <w:tc>
          <w:tcPr>
            <w:tcW w:w="4103" w:type="dxa"/>
          </w:tcPr>
          <w:p w14:paraId="10EDF7E3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144B81B4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2FBB9FBF" w14:textId="4658F853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6EC1F035" w14:textId="77777777" w:rsidTr="00601F4F">
        <w:trPr>
          <w:cantSplit/>
          <w:trHeight w:val="55"/>
          <w:jc w:val="center"/>
        </w:trPr>
        <w:tc>
          <w:tcPr>
            <w:tcW w:w="4103" w:type="dxa"/>
          </w:tcPr>
          <w:p w14:paraId="3FCF7A41" w14:textId="77777777" w:rsidR="0083464C" w:rsidRPr="00300D7E" w:rsidRDefault="0083464C" w:rsidP="004D5D84">
            <w:pPr>
              <w:pStyle w:val="Tabletext"/>
              <w:rPr>
                <w:b/>
                <w:bCs/>
                <w:iCs/>
                <w:lang w:val="ru-RU"/>
              </w:rPr>
            </w:pPr>
            <w:r w:rsidRPr="00300D7E">
              <w:rPr>
                <w:b/>
                <w:bCs/>
                <w:iCs/>
                <w:lang w:val="ru-RU"/>
              </w:rPr>
              <w:t>IoT Lab</w:t>
            </w:r>
          </w:p>
        </w:tc>
        <w:tc>
          <w:tcPr>
            <w:tcW w:w="1418" w:type="dxa"/>
          </w:tcPr>
          <w:p w14:paraId="1591D826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</w:p>
        </w:tc>
        <w:tc>
          <w:tcPr>
            <w:tcW w:w="3694" w:type="dxa"/>
          </w:tcPr>
          <w:p w14:paraId="171DD6B1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</w:p>
        </w:tc>
      </w:tr>
    </w:tbl>
    <w:bookmarkEnd w:id="8"/>
    <w:p w14:paraId="21290C07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Эта заявка была отложена Советом на его сессиях 2021 и 2022 годов до проведения дальнейших консультаций и исследований, а также полного рассмотрения всех освобожденных объединений согласно разделу 1.6, выше. Расположенная в Швейцарии компания IoT Lab – международная платформа услуг и ресурсов для интернета вещей (IoT), объединяющая сообщества в различных областях деятельности: услуги IoT, неприкосновенность частной жизни и безопасность, тестирование и передача технологий, ЦУР и сети и сообщества. По мнению секретариата, хотя объединение имеет международных партнеров, оно не соответствует критериям для предоставления освобождения, поскольку не является организацией, основанной на членском составе.</w:t>
      </w:r>
    </w:p>
    <w:p w14:paraId="3EBF3C3D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2.4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5BE9F299" w14:textId="77777777" w:rsidTr="00601F4F">
        <w:trPr>
          <w:cantSplit/>
          <w:jc w:val="center"/>
        </w:trPr>
        <w:tc>
          <w:tcPr>
            <w:tcW w:w="4103" w:type="dxa"/>
          </w:tcPr>
          <w:p w14:paraId="4976C5E1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6C921AC8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3C1A66E3" w14:textId="2AC0ED36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75E8475F" w14:textId="77777777" w:rsidTr="00601F4F">
        <w:trPr>
          <w:cantSplit/>
          <w:jc w:val="center"/>
        </w:trPr>
        <w:tc>
          <w:tcPr>
            <w:tcW w:w="4103" w:type="dxa"/>
          </w:tcPr>
          <w:p w14:paraId="390CB325" w14:textId="77777777" w:rsidR="0083464C" w:rsidRPr="00300D7E" w:rsidRDefault="0083464C" w:rsidP="004D5D84">
            <w:pPr>
              <w:pStyle w:val="Tabletext"/>
              <w:rPr>
                <w:b/>
                <w:bCs/>
                <w:iCs/>
                <w:lang w:val="ru-RU"/>
              </w:rPr>
            </w:pPr>
            <w:r w:rsidRPr="00300D7E">
              <w:rPr>
                <w:b/>
                <w:bCs/>
                <w:iCs/>
                <w:lang w:val="ru-RU"/>
              </w:rPr>
              <w:t>Фонд Фейнмана</w:t>
            </w:r>
          </w:p>
        </w:tc>
        <w:tc>
          <w:tcPr>
            <w:tcW w:w="1418" w:type="dxa"/>
          </w:tcPr>
          <w:p w14:paraId="37416AEF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</w:p>
        </w:tc>
        <w:tc>
          <w:tcPr>
            <w:tcW w:w="3694" w:type="dxa"/>
          </w:tcPr>
          <w:p w14:paraId="63B01A27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</w:p>
        </w:tc>
      </w:tr>
    </w:tbl>
    <w:p w14:paraId="6B06F55B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 xml:space="preserve">Целью Фонда Фейнмана, штаб-квартира которого находится в Бельгии, является продвижение в Бельгии или за рубежом науки и квантовых технологий (включая компьютеры, электросвязь и квантовые датчики), как товара на индивидуальном, институциональном, национальном, региональном и международном уровнях. Фонд Фейнмана оказывает поддержку, предоставляя финансовую помощь, открытую науку, бесплатное программное обеспечение, программное обеспечение с открытым исходным кодом, а также открытое аппаратное обеспечение на основе следующих основополагающих принципов: свободный доступ к научным и/или техническим знаниям; открытая научная и/или технологическая инфраструктура; открытые научные и/или технологические коммуникации; открытое участие заинтересованных сторон в жизни общества; и открытый диалог с другими системами знаний. По мнению секретариата, это объединение не удовлетворяет критериям, установленным </w:t>
      </w:r>
      <w:r w:rsidRPr="0083464C">
        <w:rPr>
          <w:lang w:val="ru-RU"/>
        </w:rPr>
        <w:lastRenderedPageBreak/>
        <w:t>Советом для освобождения от уплаты взносов, поскольку оно не является организацией, основанной на членском составе.</w:t>
      </w:r>
    </w:p>
    <w:p w14:paraId="04FF88FE" w14:textId="77777777" w:rsidR="0083464C" w:rsidRPr="0083464C" w:rsidRDefault="0083464C" w:rsidP="004D5D84">
      <w:pPr>
        <w:keepNext/>
        <w:keepLines/>
        <w:rPr>
          <w:lang w:val="ru-RU"/>
        </w:rPr>
      </w:pPr>
      <w:bookmarkStart w:id="9" w:name="_Hlk129002000"/>
      <w:r w:rsidRPr="0083464C">
        <w:rPr>
          <w:lang w:val="ru-RU"/>
        </w:rPr>
        <w:t>2.5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189A744A" w14:textId="77777777" w:rsidTr="00601F4F">
        <w:trPr>
          <w:cantSplit/>
          <w:jc w:val="center"/>
        </w:trPr>
        <w:tc>
          <w:tcPr>
            <w:tcW w:w="4103" w:type="dxa"/>
          </w:tcPr>
          <w:p w14:paraId="5A371F29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0FB34C27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6C7D28FD" w14:textId="2CBD5356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24B348D1" w14:textId="77777777" w:rsidTr="00601F4F">
        <w:trPr>
          <w:cantSplit/>
          <w:jc w:val="center"/>
        </w:trPr>
        <w:tc>
          <w:tcPr>
            <w:tcW w:w="4103" w:type="dxa"/>
          </w:tcPr>
          <w:p w14:paraId="786BF074" w14:textId="2012BB39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Ливийская организация по</w:t>
            </w:r>
            <w:r w:rsidR="00300D7E">
              <w:rPr>
                <w:b/>
                <w:lang w:val="en-US"/>
              </w:rPr>
              <w:t> </w:t>
            </w:r>
            <w:r w:rsidRPr="00300D7E">
              <w:rPr>
                <w:b/>
                <w:lang w:val="ru-RU"/>
              </w:rPr>
              <w:t>информационным технологиям и</w:t>
            </w:r>
            <w:r w:rsidR="00300D7E">
              <w:rPr>
                <w:b/>
                <w:lang w:val="en-US"/>
              </w:rPr>
              <w:t> </w:t>
            </w:r>
            <w:r w:rsidRPr="00300D7E">
              <w:rPr>
                <w:b/>
                <w:lang w:val="ru-RU"/>
              </w:rPr>
              <w:t>электросвязи</w:t>
            </w:r>
          </w:p>
        </w:tc>
        <w:tc>
          <w:tcPr>
            <w:tcW w:w="1418" w:type="dxa"/>
          </w:tcPr>
          <w:p w14:paraId="5FF48D79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МСЭ-D</w:t>
            </w:r>
          </w:p>
        </w:tc>
        <w:tc>
          <w:tcPr>
            <w:tcW w:w="3694" w:type="dxa"/>
          </w:tcPr>
          <w:p w14:paraId="43E43432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</w:p>
        </w:tc>
      </w:tr>
    </w:tbl>
    <w:bookmarkEnd w:id="9"/>
    <w:p w14:paraId="0CFD4DED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 xml:space="preserve">Ливийская организация по информационным технологиям и электросвязи является некоммерческой организацией гражданского общества, расположенной в Ливии и соединяющей все заинтересованные стороны общества, включая общественность, компании, правительства и министерства. По мнению секретариата, это объединение не соответствует критериям, установленным Советом для освобождения от уплаты взносов, поскольку оно является национальным объединением. </w:t>
      </w:r>
    </w:p>
    <w:p w14:paraId="6CA321F6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2.6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7FBC78A4" w14:textId="77777777" w:rsidTr="00601F4F">
        <w:trPr>
          <w:cantSplit/>
          <w:jc w:val="center"/>
        </w:trPr>
        <w:tc>
          <w:tcPr>
            <w:tcW w:w="4103" w:type="dxa"/>
          </w:tcPr>
          <w:p w14:paraId="495AC24B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39DC8EB0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5D5ACECD" w14:textId="45140980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36DDD1A5" w14:textId="77777777" w:rsidTr="00601F4F">
        <w:trPr>
          <w:cantSplit/>
          <w:trHeight w:val="558"/>
          <w:jc w:val="center"/>
        </w:trPr>
        <w:tc>
          <w:tcPr>
            <w:tcW w:w="4103" w:type="dxa"/>
          </w:tcPr>
          <w:p w14:paraId="7C6D3A8A" w14:textId="77777777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Всемирная федерация инженерных организаций</w:t>
            </w:r>
            <w:r w:rsidRPr="00300D7E">
              <w:rPr>
                <w:b/>
                <w:iCs/>
                <w:lang w:val="ru-RU"/>
              </w:rPr>
              <w:t xml:space="preserve"> (WFEO)</w:t>
            </w:r>
          </w:p>
        </w:tc>
        <w:tc>
          <w:tcPr>
            <w:tcW w:w="1418" w:type="dxa"/>
          </w:tcPr>
          <w:p w14:paraId="0E17EE53" w14:textId="4E6B30C5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МСЭ-R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МСЭ-T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МСЭ-D</w:t>
            </w:r>
          </w:p>
        </w:tc>
        <w:tc>
          <w:tcPr>
            <w:tcW w:w="3694" w:type="dxa"/>
          </w:tcPr>
          <w:p w14:paraId="628F8492" w14:textId="6E5B713C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ДА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ДА</w:t>
            </w:r>
          </w:p>
        </w:tc>
      </w:tr>
    </w:tbl>
    <w:p w14:paraId="76C08366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Всемирная федерация инженерно-технических организаций (WFEO), являющаяся международной неправительственной организацией, была создана для объединения многодисциплинарных инженерно-технических ассоциаций по всему миру. WFEO объединяет национальные инженерные институты приблизительно из 100 стран и представляет более 30 миллионов инженеров. Как международная организация, в которую входит широкий круг научно-технических ассоциаций во всем мире, по мнению секретариата, это объединение соответствует организационным критериям, установленным Советом для освобождения от уплаты взносов, а также принципу взаимности для МСЭ-Т и МСЭ-D. В то же время неясно, как эта организация может быть полезна для МСЭ</w:t>
      </w:r>
      <w:r w:rsidRPr="0083464C">
        <w:rPr>
          <w:lang w:val="ru-RU"/>
        </w:rPr>
        <w:noBreakHyphen/>
        <w:t>R как Член Сектора, поскольку она не заявила о наличии специальных знаний и опыта в области управления использованием радиочастотного спектра.</w:t>
      </w:r>
    </w:p>
    <w:p w14:paraId="527DE5CD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2.7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655D8416" w14:textId="77777777" w:rsidTr="00601F4F">
        <w:trPr>
          <w:cantSplit/>
          <w:jc w:val="center"/>
        </w:trPr>
        <w:tc>
          <w:tcPr>
            <w:tcW w:w="4103" w:type="dxa"/>
          </w:tcPr>
          <w:p w14:paraId="42E5CC27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04D5D67A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1A91C5CA" w14:textId="0AC460C4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4F4897F8" w14:textId="77777777" w:rsidTr="00601F4F">
        <w:trPr>
          <w:cantSplit/>
          <w:jc w:val="center"/>
        </w:trPr>
        <w:tc>
          <w:tcPr>
            <w:tcW w:w="4103" w:type="dxa"/>
          </w:tcPr>
          <w:p w14:paraId="4FA1388D" w14:textId="77777777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Экологическая коалиция по стандартам (ECOS)</w:t>
            </w:r>
          </w:p>
        </w:tc>
        <w:tc>
          <w:tcPr>
            <w:tcW w:w="1418" w:type="dxa"/>
          </w:tcPr>
          <w:p w14:paraId="77035D06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</w:p>
        </w:tc>
        <w:tc>
          <w:tcPr>
            <w:tcW w:w="3694" w:type="dxa"/>
          </w:tcPr>
          <w:p w14:paraId="5714AD48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ДА</w:t>
            </w:r>
          </w:p>
        </w:tc>
      </w:tr>
    </w:tbl>
    <w:p w14:paraId="2EFAE5C1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 xml:space="preserve">Созданная в 2001 году Экологическая коалиция по стандартам (ECOS) – это международная НПО, обладающая сетью членов и экспертов, выступающих за экологически безопасные технические стандарты, стратегии и законы. ECOS заявляет, что является единственной глобальной природоохранной организацией, специализирующейся на стандартизации. </w:t>
      </w:r>
      <w:bookmarkStart w:id="10" w:name="_Hlk133403443"/>
      <w:r w:rsidRPr="0083464C">
        <w:rPr>
          <w:lang w:val="ru-RU"/>
        </w:rPr>
        <w:t>Она стремится создать более инклюзивную, открытую и прозрачную систему стандартизации в международном масштабе и на европейском и национальном уровнях, обеспечивая при этом надлежащее использование стандартов для поддержки экологического законодательства и политики. Как международная организация, в состав которой входят НПО, это объединение, по мнению секретариата, соответствует критериям, установленным Советом для освобождения от уплаты взносов.</w:t>
      </w:r>
    </w:p>
    <w:bookmarkEnd w:id="10"/>
    <w:p w14:paraId="6A4CDCBA" w14:textId="77777777" w:rsidR="0083464C" w:rsidRPr="0083464C" w:rsidRDefault="0083464C" w:rsidP="00A34E6A">
      <w:pPr>
        <w:keepNext/>
        <w:keepLines/>
        <w:rPr>
          <w:lang w:val="ru-RU"/>
        </w:rPr>
      </w:pPr>
      <w:r w:rsidRPr="0083464C">
        <w:rPr>
          <w:lang w:val="ru-RU"/>
        </w:rPr>
        <w:lastRenderedPageBreak/>
        <w:t>2.8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091FA4C2" w14:textId="77777777" w:rsidTr="00601F4F">
        <w:trPr>
          <w:cantSplit/>
          <w:jc w:val="center"/>
        </w:trPr>
        <w:tc>
          <w:tcPr>
            <w:tcW w:w="4103" w:type="dxa"/>
          </w:tcPr>
          <w:p w14:paraId="21BCAD94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5E5BD0B8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03630767" w14:textId="656FBD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794A80C3" w14:textId="77777777" w:rsidTr="00300D7E">
        <w:trPr>
          <w:cantSplit/>
          <w:jc w:val="center"/>
        </w:trPr>
        <w:tc>
          <w:tcPr>
            <w:tcW w:w="4103" w:type="dxa"/>
          </w:tcPr>
          <w:p w14:paraId="1E004BA5" w14:textId="77777777" w:rsidR="0083464C" w:rsidRPr="00300D7E" w:rsidRDefault="0083464C" w:rsidP="00300D7E">
            <w:pPr>
              <w:pStyle w:val="Tabletext"/>
              <w:rPr>
                <w:b/>
                <w:bCs/>
                <w:iCs/>
                <w:lang w:val="ru-RU"/>
              </w:rPr>
            </w:pPr>
            <w:r w:rsidRPr="00300D7E">
              <w:rPr>
                <w:b/>
                <w:bCs/>
                <w:iCs/>
                <w:lang w:val="ru-RU"/>
              </w:rPr>
              <w:t>MTU XRP Ledger Trust</w:t>
            </w:r>
          </w:p>
        </w:tc>
        <w:tc>
          <w:tcPr>
            <w:tcW w:w="1418" w:type="dxa"/>
          </w:tcPr>
          <w:p w14:paraId="41075056" w14:textId="00F80D16" w:rsidR="0083464C" w:rsidRPr="00300D7E" w:rsidRDefault="0083464C" w:rsidP="00300D7E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МСЭ-D</w:t>
            </w:r>
          </w:p>
        </w:tc>
        <w:tc>
          <w:tcPr>
            <w:tcW w:w="3694" w:type="dxa"/>
          </w:tcPr>
          <w:p w14:paraId="694E3B6C" w14:textId="68C192A4" w:rsidR="0083464C" w:rsidRPr="00300D7E" w:rsidRDefault="0083464C" w:rsidP="00300D7E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НЕТ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НЕТ</w:t>
            </w:r>
          </w:p>
        </w:tc>
      </w:tr>
    </w:tbl>
    <w:p w14:paraId="3A3AB393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MTU XRP Ledger Trust – это независимое некоммерческое объединение, деятельность которого направлена на поддержку развития и использования реестра XRP. Его цель состоит в создании устойчивого и специально созданного для осуществления платежей цифрового актива. Поскольку эта организация не имеет членов, секретариат считает, что это объединение не соответствует критериям, установленным Советом для освобождения от уплаты взносов.</w:t>
      </w:r>
    </w:p>
    <w:p w14:paraId="7907D641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2.9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1397"/>
        <w:gridCol w:w="3636"/>
      </w:tblGrid>
      <w:tr w:rsidR="0083464C" w:rsidRPr="00300D7E" w14:paraId="3ABCC68A" w14:textId="77777777" w:rsidTr="00601F4F">
        <w:trPr>
          <w:cantSplit/>
          <w:jc w:val="center"/>
        </w:trPr>
        <w:tc>
          <w:tcPr>
            <w:tcW w:w="4103" w:type="dxa"/>
          </w:tcPr>
          <w:p w14:paraId="3CB3833C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418" w:type="dxa"/>
          </w:tcPr>
          <w:p w14:paraId="4DBE65F2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1C59C3E4" w14:textId="66A1BA2A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169B141F" w14:textId="77777777" w:rsidTr="00601F4F">
        <w:trPr>
          <w:cantSplit/>
          <w:jc w:val="center"/>
        </w:trPr>
        <w:tc>
          <w:tcPr>
            <w:tcW w:w="4103" w:type="dxa"/>
          </w:tcPr>
          <w:p w14:paraId="77196543" w14:textId="6EB2701B" w:rsidR="0083464C" w:rsidRPr="00300D7E" w:rsidRDefault="0083464C" w:rsidP="004D5D84">
            <w:pPr>
              <w:pStyle w:val="Tabletext"/>
              <w:rPr>
                <w:b/>
                <w:bCs/>
                <w:iCs/>
                <w:lang w:val="ru-RU"/>
              </w:rPr>
            </w:pPr>
            <w:r w:rsidRPr="00300D7E">
              <w:rPr>
                <w:b/>
                <w:bCs/>
                <w:iCs/>
                <w:lang w:val="ru-RU"/>
              </w:rPr>
              <w:t>Global Impact (</w:t>
            </w:r>
            <w:r w:rsidRPr="00300D7E">
              <w:rPr>
                <w:b/>
                <w:bCs/>
                <w:lang w:val="ru-RU"/>
              </w:rPr>
              <w:t>Глобальное партнерство по</w:t>
            </w:r>
            <w:r w:rsidR="00300D7E">
              <w:rPr>
                <w:b/>
                <w:bCs/>
                <w:lang w:val="en-US"/>
              </w:rPr>
              <w:t> </w:t>
            </w:r>
            <w:r w:rsidRPr="00300D7E">
              <w:rPr>
                <w:b/>
                <w:bCs/>
                <w:lang w:val="ru-RU"/>
              </w:rPr>
              <w:t>охвату цифровыми технологиями</w:t>
            </w:r>
            <w:r w:rsidRPr="00300D7E">
              <w:rPr>
                <w:b/>
                <w:bCs/>
                <w:iCs/>
                <w:lang w:val="ru-RU"/>
              </w:rPr>
              <w:t>)</w:t>
            </w:r>
          </w:p>
        </w:tc>
        <w:tc>
          <w:tcPr>
            <w:tcW w:w="1418" w:type="dxa"/>
          </w:tcPr>
          <w:p w14:paraId="244E9FF8" w14:textId="77777777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МСЭ-D</w:t>
            </w:r>
          </w:p>
        </w:tc>
        <w:tc>
          <w:tcPr>
            <w:tcW w:w="3694" w:type="dxa"/>
          </w:tcPr>
          <w:p w14:paraId="775BC4D5" w14:textId="3DA0ADE6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ДА</w:t>
            </w:r>
          </w:p>
        </w:tc>
      </w:tr>
    </w:tbl>
    <w:p w14:paraId="565F9CBD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Организация Global Impact, имеющая штаб-квартиру в Соединенных Штатах Америки, была основана в 1956 году, когда четыре международные благотворительные организации объединились, для того чтобы сформировать федерацию. К 1980-м годам число благотворительных организаций – членов выросло примерно до 50. Global Impact создал Глобальное партнерство по охвату цифровыми технологиями (GDIP), коалицию организаций государственного и частного секторов и гражданского общества, работающих над обеспечением большинства людей всего мира возможностью подключения к интернету и обеспечения того, чтобы к 2030 году все имели реальные соединения. GDIP укрепляет цифровые перспективы для расширения прав и возможностей и поддержки жизни людей в целях создания открытого для всех цифрового общества. По мнению секретариата, это объединение соответствует критериям, установленным Советом для освобождения от уплаты взносов.</w:t>
      </w:r>
    </w:p>
    <w:p w14:paraId="2D0CD055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2.10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37"/>
        <w:gridCol w:w="3636"/>
      </w:tblGrid>
      <w:tr w:rsidR="0083464C" w:rsidRPr="00300D7E" w14:paraId="1070DBFB" w14:textId="77777777" w:rsidTr="00601F4F">
        <w:trPr>
          <w:cantSplit/>
          <w:jc w:val="center"/>
        </w:trPr>
        <w:tc>
          <w:tcPr>
            <w:tcW w:w="3961" w:type="dxa"/>
          </w:tcPr>
          <w:p w14:paraId="5FA12644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560" w:type="dxa"/>
          </w:tcPr>
          <w:p w14:paraId="4445F34B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4A935000" w14:textId="12DDEB8A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638CB1BD" w14:textId="77777777" w:rsidTr="00601F4F">
        <w:trPr>
          <w:cantSplit/>
          <w:jc w:val="center"/>
        </w:trPr>
        <w:tc>
          <w:tcPr>
            <w:tcW w:w="3961" w:type="dxa"/>
          </w:tcPr>
          <w:p w14:paraId="54B3E6B4" w14:textId="10E625C1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Организация Лиги арабских государств по</w:t>
            </w:r>
            <w:r w:rsidR="00300D7E">
              <w:rPr>
                <w:b/>
                <w:lang w:val="en-US"/>
              </w:rPr>
              <w:t> </w:t>
            </w:r>
            <w:r w:rsidRPr="00300D7E">
              <w:rPr>
                <w:b/>
                <w:lang w:val="ru-RU"/>
              </w:rPr>
              <w:t>вопросам образования, культуры и</w:t>
            </w:r>
            <w:r w:rsidR="00300D7E">
              <w:rPr>
                <w:b/>
                <w:lang w:val="en-US"/>
              </w:rPr>
              <w:t> </w:t>
            </w:r>
            <w:r w:rsidRPr="00300D7E">
              <w:rPr>
                <w:b/>
                <w:lang w:val="ru-RU"/>
              </w:rPr>
              <w:t>науки (АЛЕКСО)</w:t>
            </w:r>
          </w:p>
        </w:tc>
        <w:tc>
          <w:tcPr>
            <w:tcW w:w="1560" w:type="dxa"/>
          </w:tcPr>
          <w:p w14:paraId="4D20CF49" w14:textId="39FF20C5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МСЭ-D</w:t>
            </w:r>
          </w:p>
        </w:tc>
        <w:tc>
          <w:tcPr>
            <w:tcW w:w="3694" w:type="dxa"/>
          </w:tcPr>
          <w:p w14:paraId="36D9FB5B" w14:textId="090C3921" w:rsidR="0083464C" w:rsidRPr="00300D7E" w:rsidRDefault="0083464C" w:rsidP="004D5D84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ДА</w:t>
            </w:r>
            <w:r w:rsidR="004D5D84" w:rsidRPr="00300D7E">
              <w:rPr>
                <w:lang w:val="ru-RU"/>
              </w:rPr>
              <w:br/>
            </w:r>
            <w:r w:rsidRPr="00300D7E">
              <w:rPr>
                <w:lang w:val="ru-RU"/>
              </w:rPr>
              <w:t>ДА</w:t>
            </w:r>
          </w:p>
        </w:tc>
      </w:tr>
    </w:tbl>
    <w:p w14:paraId="278B9E24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Организация Лиги арабских государств по вопросам образования, культуры и науки (АЛЕКСО) является базирующимся в Тунисе учреждением Лиги арабских государств, созданным в 1970 году и имеющим в своем составе 22 государства-члена. АЛЕКСО осуществляет координацию культурной и образовательной деятельности в арабском мире. В числе разнообразных видов деятельности были созданы филиалы АЛЕКСО в арабском мире. Секретариат считает, что, как международная организация, в состав которой входят государства-члены, это объединение соответствует критериям, установленным Советом для освобождения от уплаты взносов.</w:t>
      </w:r>
    </w:p>
    <w:p w14:paraId="323E95EF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2.11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37"/>
        <w:gridCol w:w="3636"/>
      </w:tblGrid>
      <w:tr w:rsidR="0083464C" w:rsidRPr="00300D7E" w14:paraId="470B3DC1" w14:textId="77777777" w:rsidTr="00601F4F">
        <w:trPr>
          <w:cantSplit/>
          <w:jc w:val="center"/>
        </w:trPr>
        <w:tc>
          <w:tcPr>
            <w:tcW w:w="3961" w:type="dxa"/>
          </w:tcPr>
          <w:p w14:paraId="260AB6E9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Организация</w:t>
            </w:r>
          </w:p>
        </w:tc>
        <w:tc>
          <w:tcPr>
            <w:tcW w:w="1560" w:type="dxa"/>
          </w:tcPr>
          <w:p w14:paraId="0417CE42" w14:textId="77777777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Сектор</w:t>
            </w:r>
          </w:p>
        </w:tc>
        <w:tc>
          <w:tcPr>
            <w:tcW w:w="3694" w:type="dxa"/>
          </w:tcPr>
          <w:p w14:paraId="205063A4" w14:textId="13933ED3" w:rsidR="0083464C" w:rsidRPr="00300D7E" w:rsidRDefault="0083464C" w:rsidP="004D5D84">
            <w:pPr>
              <w:pStyle w:val="Tablehead"/>
              <w:rPr>
                <w:lang w:val="ru-RU"/>
              </w:rPr>
            </w:pPr>
            <w:r w:rsidRPr="00300D7E">
              <w:rPr>
                <w:lang w:val="ru-RU"/>
              </w:rPr>
              <w:t>Рекомендация</w:t>
            </w:r>
          </w:p>
        </w:tc>
      </w:tr>
      <w:tr w:rsidR="0083464C" w:rsidRPr="00300D7E" w14:paraId="24B63CA7" w14:textId="77777777" w:rsidTr="00300D7E">
        <w:trPr>
          <w:cantSplit/>
          <w:jc w:val="center"/>
        </w:trPr>
        <w:tc>
          <w:tcPr>
            <w:tcW w:w="3961" w:type="dxa"/>
          </w:tcPr>
          <w:p w14:paraId="154CF147" w14:textId="7A4D387C" w:rsidR="0083464C" w:rsidRPr="00300D7E" w:rsidRDefault="0083464C" w:rsidP="004D5D84">
            <w:pPr>
              <w:pStyle w:val="Tabletext"/>
              <w:rPr>
                <w:b/>
                <w:iCs/>
                <w:lang w:val="ru-RU"/>
              </w:rPr>
            </w:pPr>
            <w:r w:rsidRPr="00300D7E">
              <w:rPr>
                <w:b/>
                <w:lang w:val="ru-RU"/>
              </w:rPr>
              <w:t>Инициатива по созданию открытых и</w:t>
            </w:r>
            <w:r w:rsidR="00300D7E">
              <w:rPr>
                <w:b/>
                <w:lang w:val="en-US"/>
              </w:rPr>
              <w:t> </w:t>
            </w:r>
            <w:r w:rsidRPr="00300D7E">
              <w:rPr>
                <w:b/>
                <w:lang w:val="ru-RU"/>
              </w:rPr>
              <w:t>адаптивных "умных" городов</w:t>
            </w:r>
            <w:r w:rsidRPr="00300D7E">
              <w:rPr>
                <w:b/>
                <w:iCs/>
                <w:lang w:val="ru-RU"/>
              </w:rPr>
              <w:t xml:space="preserve"> (OASC)</w:t>
            </w:r>
          </w:p>
        </w:tc>
        <w:tc>
          <w:tcPr>
            <w:tcW w:w="1560" w:type="dxa"/>
          </w:tcPr>
          <w:p w14:paraId="43D0F44E" w14:textId="77777777" w:rsidR="0083464C" w:rsidRPr="00300D7E" w:rsidRDefault="0083464C" w:rsidP="00300D7E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МСЭ-T</w:t>
            </w:r>
          </w:p>
        </w:tc>
        <w:tc>
          <w:tcPr>
            <w:tcW w:w="3694" w:type="dxa"/>
          </w:tcPr>
          <w:p w14:paraId="42392110" w14:textId="77777777" w:rsidR="0083464C" w:rsidRPr="00300D7E" w:rsidRDefault="0083464C" w:rsidP="00300D7E">
            <w:pPr>
              <w:pStyle w:val="Tabletext"/>
              <w:jc w:val="center"/>
              <w:rPr>
                <w:lang w:val="ru-RU"/>
              </w:rPr>
            </w:pPr>
            <w:r w:rsidRPr="00300D7E">
              <w:rPr>
                <w:lang w:val="ru-RU"/>
              </w:rPr>
              <w:t>ДА</w:t>
            </w:r>
          </w:p>
        </w:tc>
      </w:tr>
    </w:tbl>
    <w:p w14:paraId="7E41A456" w14:textId="77777777" w:rsidR="0083464C" w:rsidRPr="0083464C" w:rsidRDefault="0083464C" w:rsidP="0083464C">
      <w:pPr>
        <w:rPr>
          <w:lang w:val="ru-RU"/>
        </w:rPr>
      </w:pPr>
      <w:r w:rsidRPr="0083464C">
        <w:rPr>
          <w:lang w:val="ru-RU"/>
        </w:rPr>
        <w:t>Инициатива по созданию открытых и адаптивных "умных" городов</w:t>
      </w:r>
      <w:r w:rsidRPr="0083464C">
        <w:rPr>
          <w:b/>
          <w:iCs/>
          <w:lang w:val="ru-RU"/>
        </w:rPr>
        <w:t xml:space="preserve"> </w:t>
      </w:r>
      <w:r w:rsidRPr="0083464C">
        <w:rPr>
          <w:lang w:val="ru-RU"/>
        </w:rPr>
        <w:t xml:space="preserve">(OASC) – это некоммерческая ассоциация и глобальная сеть городов и сообществ, общая цель которых состоит в повышении качества жизни своих граждан благодаря инновациям и технологиям. </w:t>
      </w:r>
      <w:r w:rsidRPr="0083464C">
        <w:rPr>
          <w:lang w:val="ru-RU"/>
        </w:rPr>
        <w:lastRenderedPageBreak/>
        <w:t>Миссия OASC заключается в объединении городов и сообществ по всему миру для создания глобального рынка данных и услуг "умных" городов со стороны спроса, исходя из потребностей городов и сообществ. Это объединение, как международная некоммерческая ассоциация, в состав которой входят члены местных органов власти, по мнению секретариата, соответствует критериям, установленным Советом для освобождения от уплаты взносов.</w:t>
      </w:r>
    </w:p>
    <w:p w14:paraId="13859755" w14:textId="77777777" w:rsidR="0083464C" w:rsidRPr="00300D7E" w:rsidRDefault="0083464C" w:rsidP="00A34E6A">
      <w:pPr>
        <w:spacing w:before="720"/>
        <w:jc w:val="center"/>
        <w:rPr>
          <w:lang w:val="ru-RU"/>
        </w:rPr>
      </w:pPr>
      <w:r w:rsidRPr="00300D7E">
        <w:rPr>
          <w:lang w:val="ru-RU"/>
        </w:rPr>
        <w:t>______________</w:t>
      </w:r>
    </w:p>
    <w:sectPr w:rsidR="0083464C" w:rsidRPr="00300D7E" w:rsidSect="00796BD3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3FC007C9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46EC9">
            <w:rPr>
              <w:noProof/>
            </w:rPr>
            <w:t>521073</w:t>
          </w:r>
        </w:p>
      </w:tc>
      <w:tc>
        <w:tcPr>
          <w:tcW w:w="8261" w:type="dxa"/>
        </w:tcPr>
        <w:p w14:paraId="58E7E4C6" w14:textId="7C9336D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46EC9">
            <w:rPr>
              <w:bCs/>
            </w:rPr>
            <w:t>39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EC760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2275A6A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46EC9">
            <w:rPr>
              <w:bCs/>
            </w:rPr>
            <w:t>39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1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3659"/>
    <w:rsid w:val="00005BE0"/>
    <w:rsid w:val="0002183E"/>
    <w:rsid w:val="000248CE"/>
    <w:rsid w:val="000569B4"/>
    <w:rsid w:val="00080E82"/>
    <w:rsid w:val="000B2DE7"/>
    <w:rsid w:val="000E568E"/>
    <w:rsid w:val="0014734F"/>
    <w:rsid w:val="0015710D"/>
    <w:rsid w:val="001630F1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A55DB"/>
    <w:rsid w:val="002D2F57"/>
    <w:rsid w:val="002D48C5"/>
    <w:rsid w:val="00300D7E"/>
    <w:rsid w:val="0033025A"/>
    <w:rsid w:val="00337DD1"/>
    <w:rsid w:val="00375D19"/>
    <w:rsid w:val="003B1374"/>
    <w:rsid w:val="003F099E"/>
    <w:rsid w:val="003F235E"/>
    <w:rsid w:val="004023E0"/>
    <w:rsid w:val="00403DD8"/>
    <w:rsid w:val="00430BC9"/>
    <w:rsid w:val="00442515"/>
    <w:rsid w:val="00446EC9"/>
    <w:rsid w:val="0045686C"/>
    <w:rsid w:val="004918C4"/>
    <w:rsid w:val="00497703"/>
    <w:rsid w:val="004A0374"/>
    <w:rsid w:val="004A45B5"/>
    <w:rsid w:val="004D0129"/>
    <w:rsid w:val="004D5D84"/>
    <w:rsid w:val="004F7982"/>
    <w:rsid w:val="005051DE"/>
    <w:rsid w:val="00507CAF"/>
    <w:rsid w:val="00531C47"/>
    <w:rsid w:val="00531F54"/>
    <w:rsid w:val="00537E1C"/>
    <w:rsid w:val="00545974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01F4F"/>
    <w:rsid w:val="00672F8A"/>
    <w:rsid w:val="006935E2"/>
    <w:rsid w:val="006E2D42"/>
    <w:rsid w:val="006F0F19"/>
    <w:rsid w:val="00703676"/>
    <w:rsid w:val="00706AF7"/>
    <w:rsid w:val="00707304"/>
    <w:rsid w:val="007255B8"/>
    <w:rsid w:val="00732269"/>
    <w:rsid w:val="007650E3"/>
    <w:rsid w:val="00785ABD"/>
    <w:rsid w:val="00792456"/>
    <w:rsid w:val="00796BD3"/>
    <w:rsid w:val="007A2DD4"/>
    <w:rsid w:val="007D38B5"/>
    <w:rsid w:val="007E7EA0"/>
    <w:rsid w:val="007F0B59"/>
    <w:rsid w:val="00804BAC"/>
    <w:rsid w:val="00807255"/>
    <w:rsid w:val="0081023E"/>
    <w:rsid w:val="00813247"/>
    <w:rsid w:val="008173AA"/>
    <w:rsid w:val="0083464C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0299E"/>
    <w:rsid w:val="00940E96"/>
    <w:rsid w:val="00951DCD"/>
    <w:rsid w:val="0099131E"/>
    <w:rsid w:val="009B04C9"/>
    <w:rsid w:val="009B0BAE"/>
    <w:rsid w:val="009C1C89"/>
    <w:rsid w:val="009D4640"/>
    <w:rsid w:val="009E3248"/>
    <w:rsid w:val="009F2BEA"/>
    <w:rsid w:val="009F3448"/>
    <w:rsid w:val="00A00C10"/>
    <w:rsid w:val="00A01CF9"/>
    <w:rsid w:val="00A30261"/>
    <w:rsid w:val="00A34E6A"/>
    <w:rsid w:val="00A4756C"/>
    <w:rsid w:val="00A529CD"/>
    <w:rsid w:val="00A71773"/>
    <w:rsid w:val="00A93151"/>
    <w:rsid w:val="00AA58D0"/>
    <w:rsid w:val="00AD4C03"/>
    <w:rsid w:val="00AE2C85"/>
    <w:rsid w:val="00B07AF5"/>
    <w:rsid w:val="00B12A37"/>
    <w:rsid w:val="00B26F6D"/>
    <w:rsid w:val="00B41837"/>
    <w:rsid w:val="00B607CB"/>
    <w:rsid w:val="00B63EF2"/>
    <w:rsid w:val="00B8711D"/>
    <w:rsid w:val="00BA7D89"/>
    <w:rsid w:val="00BB13D5"/>
    <w:rsid w:val="00BC0D39"/>
    <w:rsid w:val="00BC7BC0"/>
    <w:rsid w:val="00BD57B7"/>
    <w:rsid w:val="00BD6AE8"/>
    <w:rsid w:val="00BE63E2"/>
    <w:rsid w:val="00C40169"/>
    <w:rsid w:val="00C427C2"/>
    <w:rsid w:val="00C471C3"/>
    <w:rsid w:val="00C56B46"/>
    <w:rsid w:val="00C67F0B"/>
    <w:rsid w:val="00C73621"/>
    <w:rsid w:val="00CA714F"/>
    <w:rsid w:val="00CC7E0E"/>
    <w:rsid w:val="00CD2009"/>
    <w:rsid w:val="00CF629C"/>
    <w:rsid w:val="00D5616F"/>
    <w:rsid w:val="00D92EEA"/>
    <w:rsid w:val="00DA5D4E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B4FCB"/>
    <w:rsid w:val="00EC2E6B"/>
    <w:rsid w:val="00EC6BC5"/>
    <w:rsid w:val="00EC760F"/>
    <w:rsid w:val="00ED35ED"/>
    <w:rsid w:val="00EE2054"/>
    <w:rsid w:val="00EE5249"/>
    <w:rsid w:val="00F02FE8"/>
    <w:rsid w:val="00F14ED5"/>
    <w:rsid w:val="00F21FAA"/>
    <w:rsid w:val="00F35898"/>
    <w:rsid w:val="00F37DFA"/>
    <w:rsid w:val="00F51C9C"/>
    <w:rsid w:val="00F5225B"/>
    <w:rsid w:val="00F648F8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hyperlink" Target="https://www.itu.int/hub/membership/itu-family/organizations/exempted-entiti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100/en" TargetMode="External"/><Relationship Id="rId10" Type="http://schemas.openxmlformats.org/officeDocument/2006/relationships/hyperlink" Target="https://www.itu.int/hub/membership/our-members/exempted-entiti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hyperlink" Target="https://www.itu.int/hub/membership/itu-family/organizations/exempted-entities/exemption-criteri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1539</Words>
  <Characters>11576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2023-07-07T15:00:00Z</dcterms:created>
  <dcterms:modified xsi:type="dcterms:W3CDTF">2023-07-07T15:00:00Z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