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0351FEE8" w:rsidR="00AD3606" w:rsidRPr="00E85629" w:rsidRDefault="00AD3606" w:rsidP="00472BAD">
            <w:pPr>
              <w:tabs>
                <w:tab w:val="left" w:pos="851"/>
              </w:tabs>
              <w:spacing w:before="0" w:line="240" w:lineRule="atLeast"/>
              <w:rPr>
                <w:b/>
              </w:rPr>
            </w:pPr>
            <w:bookmarkStart w:id="0" w:name="dmeeting" w:colFirst="0" w:colLast="0"/>
            <w:bookmarkStart w:id="1" w:name="dnum" w:colFirst="1" w:colLast="1"/>
            <w:r>
              <w:rPr>
                <w:b/>
              </w:rPr>
              <w:t xml:space="preserve">Agenda item: </w:t>
            </w:r>
            <w:r w:rsidR="00592BFD">
              <w:rPr>
                <w:b/>
              </w:rPr>
              <w:t>ADM 2</w:t>
            </w:r>
          </w:p>
        </w:tc>
        <w:tc>
          <w:tcPr>
            <w:tcW w:w="5245" w:type="dxa"/>
          </w:tcPr>
          <w:p w14:paraId="2F0CB53A" w14:textId="1EB41ECB" w:rsidR="00AD3606" w:rsidRPr="00E85629" w:rsidRDefault="00AD3606" w:rsidP="00472BAD">
            <w:pPr>
              <w:tabs>
                <w:tab w:val="left" w:pos="851"/>
              </w:tabs>
              <w:spacing w:before="0" w:line="240" w:lineRule="atLeast"/>
              <w:jc w:val="right"/>
              <w:rPr>
                <w:b/>
              </w:rPr>
            </w:pPr>
            <w:r>
              <w:rPr>
                <w:b/>
              </w:rPr>
              <w:t>Document C23/</w:t>
            </w:r>
            <w:r w:rsidR="00914372">
              <w:rPr>
                <w:b/>
              </w:rPr>
              <w:t>42</w:t>
            </w:r>
            <w:r>
              <w:rPr>
                <w:b/>
              </w:rPr>
              <w:t>-E</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3EFDCA58" w:rsidR="00AD3606" w:rsidRPr="00E85629" w:rsidRDefault="00282EE7" w:rsidP="00AD3606">
            <w:pPr>
              <w:tabs>
                <w:tab w:val="left" w:pos="851"/>
              </w:tabs>
              <w:spacing w:before="0"/>
              <w:jc w:val="right"/>
              <w:rPr>
                <w:b/>
              </w:rPr>
            </w:pPr>
            <w:r>
              <w:rPr>
                <w:b/>
              </w:rPr>
              <w:t>12</w:t>
            </w:r>
            <w:r w:rsidR="00592BFD">
              <w:rPr>
                <w:b/>
              </w:rPr>
              <w:t xml:space="preserve"> June</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77777777" w:rsidR="00AD3606" w:rsidRPr="00813E5E" w:rsidRDefault="00AD3606" w:rsidP="00AD3606">
            <w:pPr>
              <w:pStyle w:val="Source"/>
              <w:framePr w:hSpace="0" w:wrap="auto" w:vAnchor="margin" w:hAnchor="text" w:yAlign="inline"/>
            </w:pPr>
            <w:bookmarkStart w:id="4" w:name="dsource" w:colFirst="0" w:colLast="0"/>
            <w:bookmarkEnd w:id="3"/>
            <w:r>
              <w:t>Report</w:t>
            </w:r>
            <w:r w:rsidRPr="002C54E2">
              <w:t xml:space="preserve"> </w:t>
            </w:r>
            <w:r>
              <w:t>by</w:t>
            </w:r>
            <w:r w:rsidRPr="002C54E2">
              <w:t xml:space="preserve"> </w:t>
            </w:r>
            <w:r>
              <w:t>the</w:t>
            </w:r>
            <w:r w:rsidRPr="002C54E2">
              <w:t xml:space="preserve"> </w:t>
            </w:r>
            <w:r>
              <w:t>Secretary-</w:t>
            </w:r>
            <w:r w:rsidRPr="002C54E2">
              <w:t>General</w:t>
            </w:r>
          </w:p>
        </w:tc>
      </w:tr>
      <w:tr w:rsidR="00AD3606" w:rsidRPr="00813E5E" w14:paraId="62B9C291" w14:textId="77777777" w:rsidTr="00AD3606">
        <w:trPr>
          <w:cantSplit/>
        </w:trPr>
        <w:tc>
          <w:tcPr>
            <w:tcW w:w="9214" w:type="dxa"/>
            <w:gridSpan w:val="2"/>
            <w:tcMar>
              <w:left w:w="0" w:type="dxa"/>
            </w:tcMar>
          </w:tcPr>
          <w:p w14:paraId="556A1BCF" w14:textId="10856378" w:rsidR="00AD3606" w:rsidRPr="00813E5E" w:rsidRDefault="00592BFD" w:rsidP="00592BFD">
            <w:pPr>
              <w:pStyle w:val="Subtitle"/>
              <w:framePr w:hSpace="0" w:wrap="auto" w:hAnchor="text" w:xAlign="left" w:yAlign="inline"/>
            </w:pPr>
            <w:bookmarkStart w:id="5" w:name="dtitle1" w:colFirst="0" w:colLast="0"/>
            <w:bookmarkEnd w:id="4"/>
            <w:r>
              <w:t>SPECIAL REPORT BY THE EXTERNAL AUDITOR ON THE REGIONAL OFFICE FOR THE AMERICAS – STATUS UPDATE</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4CC0FDC9" w:rsidR="00AD3606" w:rsidRPr="00F16BAB" w:rsidRDefault="00F16BAB" w:rsidP="00F16BAB">
            <w:pPr>
              <w:spacing w:before="160"/>
              <w:rPr>
                <w:b/>
                <w:bCs/>
                <w:sz w:val="26"/>
                <w:szCs w:val="26"/>
              </w:rPr>
            </w:pPr>
            <w:r w:rsidRPr="00F16BAB">
              <w:rPr>
                <w:b/>
                <w:bCs/>
                <w:sz w:val="26"/>
                <w:szCs w:val="26"/>
              </w:rPr>
              <w:t>Purpose</w:t>
            </w:r>
          </w:p>
          <w:p w14:paraId="710C35D2" w14:textId="77777777" w:rsidR="004B1D9F" w:rsidRDefault="00082752" w:rsidP="00964086">
            <w:pPr>
              <w:jc w:val="both"/>
            </w:pPr>
            <w:r>
              <w:t xml:space="preserve">Between 30 April and 6 May 2022, ITU’s external auditor conducted </w:t>
            </w:r>
            <w:r w:rsidR="00123957">
              <w:t xml:space="preserve">a specific audit of the activities performed in the ITU Regional Office for the Americas, </w:t>
            </w:r>
            <w:r w:rsidR="005D442A">
              <w:t>reviewing various issues that have been highlighted in audit reports and other reports of ITU’s oversight committees and groups</w:t>
            </w:r>
            <w:r w:rsidR="00123957">
              <w:t xml:space="preserve">. </w:t>
            </w:r>
            <w:r w:rsidR="005D442A">
              <w:t>The report of the specific audit was presented to ITU Council at its 2022 session</w:t>
            </w:r>
            <w:r w:rsidR="005067BA">
              <w:t xml:space="preserve"> for examination</w:t>
            </w:r>
            <w:r w:rsidR="00001DA8">
              <w:t xml:space="preserve">. The report makes </w:t>
            </w:r>
            <w:r w:rsidR="00445A89">
              <w:t>23 distinct recommendations</w:t>
            </w:r>
            <w:r w:rsidR="00A81F4E">
              <w:t xml:space="preserve">, and activities have been ongoing to </w:t>
            </w:r>
            <w:r w:rsidR="00F44579">
              <w:t>address the</w:t>
            </w:r>
            <w:r w:rsidR="001A5FFF">
              <w:t xml:space="preserve"> recommendations as appropriate. </w:t>
            </w:r>
          </w:p>
          <w:p w14:paraId="01EEEAC5" w14:textId="5BCA1296" w:rsidR="00AD3606" w:rsidRPr="00813E5E" w:rsidRDefault="001A5FFF" w:rsidP="00964086">
            <w:pPr>
              <w:jc w:val="both"/>
            </w:pPr>
            <w:r>
              <w:t xml:space="preserve">This </w:t>
            </w:r>
            <w:r w:rsidR="00E67180">
              <w:t>document</w:t>
            </w:r>
            <w:r>
              <w:t xml:space="preserve"> </w:t>
            </w:r>
            <w:r w:rsidR="00F44579">
              <w:t xml:space="preserve">analyses the recommendations, </w:t>
            </w:r>
            <w:r>
              <w:t>summarises</w:t>
            </w:r>
            <w:r w:rsidR="00F44579">
              <w:t xml:space="preserve"> actions taken by ITU to date, and </w:t>
            </w:r>
            <w:r w:rsidR="00BE76A7">
              <w:t>sets out the current status</w:t>
            </w:r>
            <w:r w:rsidR="00FC7D06">
              <w:t xml:space="preserve"> for each</w:t>
            </w:r>
            <w:r w:rsidR="00F44579">
              <w:t>.</w:t>
            </w:r>
          </w:p>
          <w:p w14:paraId="45B1495A" w14:textId="77777777" w:rsidR="00AD3606" w:rsidRPr="00F16BAB" w:rsidRDefault="00AD3606" w:rsidP="00F16BAB">
            <w:pPr>
              <w:spacing w:before="160"/>
              <w:rPr>
                <w:b/>
                <w:bCs/>
                <w:sz w:val="26"/>
                <w:szCs w:val="26"/>
              </w:rPr>
            </w:pPr>
            <w:r w:rsidRPr="00F16BAB">
              <w:rPr>
                <w:b/>
                <w:bCs/>
                <w:sz w:val="26"/>
                <w:szCs w:val="26"/>
              </w:rPr>
              <w:t>Action required</w:t>
            </w:r>
            <w:r w:rsidR="00F16BAB" w:rsidRPr="00F16BAB">
              <w:rPr>
                <w:b/>
                <w:bCs/>
                <w:sz w:val="26"/>
                <w:szCs w:val="26"/>
              </w:rPr>
              <w:t xml:space="preserve"> by the Council</w:t>
            </w:r>
          </w:p>
          <w:p w14:paraId="3D57EDF8" w14:textId="0010AA6A" w:rsidR="00AD3606" w:rsidRPr="00484009" w:rsidRDefault="00282EE7" w:rsidP="00AD3606">
            <w:r>
              <w:t xml:space="preserve">The ITU </w:t>
            </w:r>
            <w:r w:rsidR="00BE76A7">
              <w:t xml:space="preserve">Council is invited </w:t>
            </w:r>
            <w:r w:rsidR="00BE76A7" w:rsidRPr="00D14A56">
              <w:rPr>
                <w:b/>
                <w:bCs/>
              </w:rPr>
              <w:t xml:space="preserve">to </w:t>
            </w:r>
            <w:r w:rsidR="00BE76A7" w:rsidRPr="00592BFD">
              <w:rPr>
                <w:b/>
                <w:bCs/>
              </w:rPr>
              <w:t xml:space="preserve">consider and take note of </w:t>
            </w:r>
            <w:r w:rsidR="00BE76A7">
              <w:t>this report.</w:t>
            </w:r>
          </w:p>
          <w:p w14:paraId="71511FA1" w14:textId="1F544385" w:rsidR="00F16BAB" w:rsidRDefault="00F16BAB" w:rsidP="00F16BAB">
            <w:pPr>
              <w:spacing w:before="160"/>
              <w:rPr>
                <w:b/>
                <w:bCs/>
                <w:sz w:val="26"/>
                <w:szCs w:val="26"/>
              </w:rPr>
            </w:pPr>
            <w:r>
              <w:rPr>
                <w:b/>
                <w:bCs/>
                <w:sz w:val="26"/>
                <w:szCs w:val="26"/>
              </w:rPr>
              <w:t>Relevant link</w:t>
            </w:r>
            <w:r w:rsidR="00A54171">
              <w:rPr>
                <w:b/>
                <w:bCs/>
                <w:sz w:val="26"/>
                <w:szCs w:val="26"/>
              </w:rPr>
              <w:t>(s)</w:t>
            </w:r>
            <w:r>
              <w:rPr>
                <w:b/>
                <w:bCs/>
                <w:sz w:val="26"/>
                <w:szCs w:val="26"/>
              </w:rPr>
              <w:t xml:space="preserve"> with the Strategic Plan</w:t>
            </w:r>
          </w:p>
          <w:p w14:paraId="503749D7" w14:textId="7D947555" w:rsidR="00F16BAB" w:rsidRPr="00F16BAB" w:rsidRDefault="00833DFB" w:rsidP="00F16BAB">
            <w:r>
              <w:t>ITU regional presence</w:t>
            </w:r>
          </w:p>
          <w:p w14:paraId="5DC6B120" w14:textId="77777777" w:rsidR="00592BFD" w:rsidRDefault="00F16BAB" w:rsidP="00F16BAB">
            <w:pPr>
              <w:spacing w:before="160"/>
              <w:rPr>
                <w:b/>
                <w:bCs/>
                <w:sz w:val="26"/>
                <w:szCs w:val="26"/>
              </w:rPr>
            </w:pPr>
            <w:r>
              <w:rPr>
                <w:b/>
                <w:bCs/>
                <w:sz w:val="26"/>
                <w:szCs w:val="26"/>
              </w:rPr>
              <w:t>Financial implications</w:t>
            </w:r>
          </w:p>
          <w:p w14:paraId="74189BBD" w14:textId="00E3503F" w:rsidR="00F16BAB" w:rsidRPr="00592BFD" w:rsidRDefault="00592BFD" w:rsidP="00F16BAB">
            <w:pPr>
              <w:spacing w:before="160"/>
              <w:rPr>
                <w:sz w:val="26"/>
                <w:szCs w:val="26"/>
              </w:rPr>
            </w:pPr>
            <w:r w:rsidRPr="00592BFD">
              <w:rPr>
                <w:sz w:val="26"/>
                <w:szCs w:val="26"/>
              </w:rPr>
              <w:t>N</w:t>
            </w:r>
            <w:r w:rsidR="00F16BAB" w:rsidRPr="00592BFD">
              <w:rPr>
                <w:sz w:val="26"/>
                <w:szCs w:val="26"/>
              </w:rPr>
              <w:t>one</w:t>
            </w:r>
            <w:r w:rsidRPr="00592BFD">
              <w:rPr>
                <w:sz w:val="26"/>
                <w:szCs w:val="26"/>
              </w:rPr>
              <w:t>.</w:t>
            </w:r>
          </w:p>
          <w:p w14:paraId="6F1B8B4E" w14:textId="77777777" w:rsidR="00AD3606" w:rsidRPr="00813E5E" w:rsidRDefault="00AD3606" w:rsidP="00F16BAB">
            <w:pPr>
              <w:spacing w:before="160"/>
              <w:rPr>
                <w:caps/>
                <w:sz w:val="22"/>
              </w:rPr>
            </w:pPr>
            <w:r w:rsidRPr="00813E5E">
              <w:rPr>
                <w:sz w:val="22"/>
              </w:rPr>
              <w:t>____________</w:t>
            </w:r>
            <w:r>
              <w:rPr>
                <w:sz w:val="22"/>
              </w:rPr>
              <w:t>______</w:t>
            </w:r>
          </w:p>
          <w:p w14:paraId="0EBC340A" w14:textId="77777777" w:rsidR="00AD3606" w:rsidRDefault="00AD3606" w:rsidP="00F16BAB">
            <w:pPr>
              <w:spacing w:before="160"/>
              <w:rPr>
                <w:b/>
                <w:bCs/>
                <w:sz w:val="26"/>
                <w:szCs w:val="26"/>
              </w:rPr>
            </w:pPr>
            <w:r w:rsidRPr="00F16BAB">
              <w:rPr>
                <w:b/>
                <w:bCs/>
                <w:sz w:val="26"/>
                <w:szCs w:val="26"/>
              </w:rPr>
              <w:t>References</w:t>
            </w:r>
          </w:p>
          <w:p w14:paraId="65250B1E" w14:textId="07FFEC2D" w:rsidR="00AD3606" w:rsidRDefault="00282EE7" w:rsidP="00F16BAB">
            <w:pPr>
              <w:spacing w:after="160"/>
            </w:pPr>
            <w:hyperlink r:id="rId11" w:history="1">
              <w:r w:rsidR="00EF3E78" w:rsidRPr="00855B43">
                <w:rPr>
                  <w:rStyle w:val="Hyperlink"/>
                </w:rPr>
                <w:t xml:space="preserve">Council Document </w:t>
              </w:r>
              <w:r w:rsidR="00833DFB" w:rsidRPr="00855B43">
                <w:rPr>
                  <w:rStyle w:val="Hyperlink"/>
                </w:rPr>
                <w:t>C22/</w:t>
              </w:r>
              <w:r w:rsidR="00EF3E78" w:rsidRPr="00855B43">
                <w:rPr>
                  <w:rStyle w:val="Hyperlink"/>
                </w:rPr>
                <w:t>104-E – Special Report by the External Auditor Regional Office for the Americas</w:t>
              </w:r>
            </w:hyperlink>
          </w:p>
        </w:tc>
      </w:tr>
      <w:bookmarkEnd w:id="5"/>
    </w:tbl>
    <w:p w14:paraId="16566EB5" w14:textId="75C2E9C8" w:rsidR="00A514A4" w:rsidRPr="005A6E8F" w:rsidRDefault="00A514A4">
      <w:pPr>
        <w:tabs>
          <w:tab w:val="clear" w:pos="567"/>
          <w:tab w:val="clear" w:pos="1134"/>
          <w:tab w:val="clear" w:pos="1701"/>
          <w:tab w:val="clear" w:pos="2268"/>
          <w:tab w:val="clear" w:pos="2835"/>
        </w:tabs>
        <w:overflowPunct/>
        <w:autoSpaceDE/>
        <w:autoSpaceDN/>
        <w:adjustRightInd/>
        <w:spacing w:before="0"/>
        <w:textAlignment w:val="auto"/>
      </w:pPr>
    </w:p>
    <w:p w14:paraId="496412A5" w14:textId="77777777" w:rsidR="0099157E" w:rsidRPr="005A6E8F" w:rsidRDefault="00EF3E78">
      <w:pPr>
        <w:tabs>
          <w:tab w:val="clear" w:pos="567"/>
          <w:tab w:val="clear" w:pos="1134"/>
          <w:tab w:val="clear" w:pos="1701"/>
          <w:tab w:val="clear" w:pos="2268"/>
          <w:tab w:val="clear" w:pos="2835"/>
        </w:tabs>
        <w:overflowPunct/>
        <w:autoSpaceDE/>
        <w:autoSpaceDN/>
        <w:adjustRightInd/>
        <w:spacing w:before="0"/>
        <w:textAlignment w:val="auto"/>
        <w:sectPr w:rsidR="0099157E" w:rsidRPr="005A6E8F" w:rsidSect="00AD3606">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pPr>
      <w:r w:rsidRPr="005A6E8F">
        <w:br w:type="page"/>
      </w:r>
    </w:p>
    <w:p w14:paraId="60A247C2" w14:textId="75B31400" w:rsidR="001C6B2C" w:rsidRPr="00B36A3F" w:rsidRDefault="001C6B2C" w:rsidP="00332767">
      <w:pPr>
        <w:rPr>
          <w:rFonts w:cs="Calibri"/>
          <w:lang w:val="en-US"/>
        </w:rPr>
      </w:pPr>
      <w:r w:rsidRPr="00B36A3F">
        <w:rPr>
          <w:rFonts w:cs="Calibri"/>
          <w:lang w:val="en-US"/>
        </w:rPr>
        <w:lastRenderedPageBreak/>
        <w:t>Th</w:t>
      </w:r>
      <w:r>
        <w:rPr>
          <w:rFonts w:cs="Calibri"/>
          <w:lang w:val="en-US"/>
        </w:rPr>
        <w:t>e table below</w:t>
      </w:r>
      <w:r w:rsidRPr="00B36A3F">
        <w:rPr>
          <w:rFonts w:cs="Calibri"/>
          <w:lang w:val="en-US"/>
        </w:rPr>
        <w:t xml:space="preserve"> sets out the </w:t>
      </w:r>
      <w:r w:rsidR="00E67180">
        <w:rPr>
          <w:rFonts w:cs="Calibri"/>
          <w:lang w:val="en-US"/>
        </w:rPr>
        <w:t xml:space="preserve">recommendations of the </w:t>
      </w:r>
      <w:r w:rsidRPr="00B36A3F">
        <w:rPr>
          <w:rFonts w:cs="Calibri"/>
          <w:lang w:val="en-US"/>
        </w:rPr>
        <w:t>specific audit</w:t>
      </w:r>
      <w:r w:rsidR="00E67180">
        <w:rPr>
          <w:rFonts w:cs="Calibri"/>
          <w:lang w:val="en-US"/>
        </w:rPr>
        <w:t>, and provide</w:t>
      </w:r>
      <w:r w:rsidR="00576429">
        <w:rPr>
          <w:rFonts w:cs="Calibri"/>
          <w:lang w:val="en-US"/>
        </w:rPr>
        <w:t>s the current status of ITU’s activities towards implementation of the recommendations.</w:t>
      </w:r>
    </w:p>
    <w:p w14:paraId="4CA7D9EF" w14:textId="77777777" w:rsidR="001C6B2C" w:rsidRPr="00B36A3F" w:rsidRDefault="001C6B2C">
      <w:pPr>
        <w:rPr>
          <w:rFonts w:cs="Calibri"/>
          <w:lang w:val="en-US"/>
        </w:rPr>
      </w:pPr>
    </w:p>
    <w:tbl>
      <w:tblPr>
        <w:tblStyle w:val="TableGrid"/>
        <w:tblW w:w="14029" w:type="dxa"/>
        <w:tblLook w:val="04A0" w:firstRow="1" w:lastRow="0" w:firstColumn="1" w:lastColumn="0" w:noHBand="0" w:noVBand="1"/>
      </w:tblPr>
      <w:tblGrid>
        <w:gridCol w:w="3539"/>
        <w:gridCol w:w="1559"/>
        <w:gridCol w:w="3969"/>
        <w:gridCol w:w="1985"/>
        <w:gridCol w:w="2977"/>
      </w:tblGrid>
      <w:tr w:rsidR="001C6B2C" w:rsidRPr="00592BFD" w14:paraId="55AD8684" w14:textId="77777777" w:rsidTr="4A1B70B7">
        <w:trPr>
          <w:tblHeader/>
        </w:trPr>
        <w:tc>
          <w:tcPr>
            <w:tcW w:w="3539" w:type="dxa"/>
            <w:shd w:val="clear" w:color="auto" w:fill="E5DFEC" w:themeFill="accent4" w:themeFillTint="33"/>
          </w:tcPr>
          <w:p w14:paraId="5E607459" w14:textId="77777777" w:rsidR="001C6B2C" w:rsidRPr="00592BFD" w:rsidRDefault="001C6B2C" w:rsidP="00332767">
            <w:pPr>
              <w:jc w:val="center"/>
              <w:rPr>
                <w:rFonts w:cs="Calibri"/>
                <w:b/>
                <w:bCs/>
                <w:szCs w:val="24"/>
                <w:lang w:val="en-US"/>
              </w:rPr>
            </w:pPr>
            <w:r w:rsidRPr="00592BFD">
              <w:rPr>
                <w:rFonts w:cs="Calibri"/>
                <w:b/>
                <w:bCs/>
                <w:szCs w:val="24"/>
                <w:lang w:val="en-US"/>
              </w:rPr>
              <w:t>Recommendation</w:t>
            </w:r>
          </w:p>
        </w:tc>
        <w:tc>
          <w:tcPr>
            <w:tcW w:w="1559" w:type="dxa"/>
            <w:shd w:val="clear" w:color="auto" w:fill="E5DFEC" w:themeFill="accent4" w:themeFillTint="33"/>
          </w:tcPr>
          <w:p w14:paraId="355C61F5" w14:textId="77777777" w:rsidR="001C6B2C" w:rsidRPr="00592BFD" w:rsidRDefault="001C6B2C" w:rsidP="00332767">
            <w:pPr>
              <w:jc w:val="center"/>
              <w:rPr>
                <w:rFonts w:cs="Calibri"/>
                <w:b/>
                <w:bCs/>
                <w:szCs w:val="24"/>
                <w:lang w:val="en-US"/>
              </w:rPr>
            </w:pPr>
            <w:r w:rsidRPr="00592BFD">
              <w:rPr>
                <w:rFonts w:cs="Calibri"/>
                <w:b/>
                <w:bCs/>
                <w:szCs w:val="24"/>
                <w:lang w:val="en-US"/>
              </w:rPr>
              <w:t>Responsible</w:t>
            </w:r>
          </w:p>
        </w:tc>
        <w:tc>
          <w:tcPr>
            <w:tcW w:w="3969" w:type="dxa"/>
            <w:shd w:val="clear" w:color="auto" w:fill="E5DFEC" w:themeFill="accent4" w:themeFillTint="33"/>
          </w:tcPr>
          <w:p w14:paraId="3426D5DC" w14:textId="77777777" w:rsidR="001C6B2C" w:rsidRPr="00592BFD" w:rsidRDefault="001C6B2C" w:rsidP="00332767">
            <w:pPr>
              <w:jc w:val="center"/>
              <w:rPr>
                <w:rFonts w:cs="Calibri"/>
                <w:b/>
                <w:bCs/>
                <w:szCs w:val="24"/>
                <w:lang w:val="en-US"/>
              </w:rPr>
            </w:pPr>
            <w:r w:rsidRPr="00592BFD">
              <w:rPr>
                <w:rFonts w:cs="Calibri"/>
                <w:b/>
                <w:bCs/>
                <w:szCs w:val="24"/>
                <w:lang w:val="en-US"/>
              </w:rPr>
              <w:t>Actions Taken</w:t>
            </w:r>
          </w:p>
        </w:tc>
        <w:tc>
          <w:tcPr>
            <w:tcW w:w="1985" w:type="dxa"/>
            <w:shd w:val="clear" w:color="auto" w:fill="E5DFEC" w:themeFill="accent4" w:themeFillTint="33"/>
          </w:tcPr>
          <w:p w14:paraId="50E73B4D" w14:textId="77777777" w:rsidR="001C6B2C" w:rsidRPr="00592BFD" w:rsidRDefault="001C6B2C" w:rsidP="00332767">
            <w:pPr>
              <w:jc w:val="center"/>
              <w:rPr>
                <w:rFonts w:cs="Calibri"/>
                <w:b/>
                <w:bCs/>
                <w:szCs w:val="24"/>
                <w:lang w:val="en-US"/>
              </w:rPr>
            </w:pPr>
            <w:r w:rsidRPr="00592BFD">
              <w:rPr>
                <w:rFonts w:cs="Calibri"/>
                <w:b/>
                <w:bCs/>
                <w:szCs w:val="24"/>
                <w:lang w:val="en-US"/>
              </w:rPr>
              <w:t xml:space="preserve">Status </w:t>
            </w:r>
          </w:p>
        </w:tc>
        <w:tc>
          <w:tcPr>
            <w:tcW w:w="2977" w:type="dxa"/>
            <w:shd w:val="clear" w:color="auto" w:fill="E5DFEC" w:themeFill="accent4" w:themeFillTint="33"/>
          </w:tcPr>
          <w:p w14:paraId="51DAE5C5" w14:textId="435D4E84" w:rsidR="001C6B2C" w:rsidRPr="00592BFD" w:rsidRDefault="00576429" w:rsidP="00332767">
            <w:pPr>
              <w:jc w:val="center"/>
              <w:rPr>
                <w:rFonts w:cs="Calibri"/>
                <w:b/>
                <w:bCs/>
                <w:szCs w:val="24"/>
                <w:lang w:val="en-US"/>
              </w:rPr>
            </w:pPr>
            <w:r w:rsidRPr="00592BFD">
              <w:rPr>
                <w:rFonts w:cs="Calibri"/>
                <w:b/>
                <w:bCs/>
                <w:szCs w:val="24"/>
                <w:lang w:val="en-US"/>
              </w:rPr>
              <w:t xml:space="preserve">Anticipated </w:t>
            </w:r>
            <w:r w:rsidR="001C6B2C" w:rsidRPr="00592BFD">
              <w:rPr>
                <w:rFonts w:cs="Calibri"/>
                <w:b/>
                <w:bCs/>
                <w:szCs w:val="24"/>
                <w:lang w:val="en-US"/>
              </w:rPr>
              <w:t>Completion Date</w:t>
            </w:r>
          </w:p>
        </w:tc>
      </w:tr>
      <w:tr w:rsidR="001C6B2C" w:rsidRPr="00592BFD" w14:paraId="3D1F5010" w14:textId="77777777" w:rsidTr="4A1B70B7">
        <w:tc>
          <w:tcPr>
            <w:tcW w:w="3539" w:type="dxa"/>
          </w:tcPr>
          <w:p w14:paraId="7D0E4885" w14:textId="77777777" w:rsidR="001C6B2C" w:rsidRPr="00592BFD" w:rsidRDefault="001C6B2C" w:rsidP="00332767">
            <w:pPr>
              <w:rPr>
                <w:rFonts w:cs="Calibri"/>
                <w:b/>
                <w:bCs/>
                <w:szCs w:val="24"/>
                <w:lang w:val="en-US"/>
              </w:rPr>
            </w:pPr>
            <w:r w:rsidRPr="00592BFD">
              <w:rPr>
                <w:rFonts w:cs="Calibri"/>
                <w:b/>
                <w:bCs/>
                <w:szCs w:val="24"/>
                <w:lang w:val="en-US"/>
              </w:rPr>
              <w:t>Recommendation n. 1.</w:t>
            </w:r>
          </w:p>
          <w:p w14:paraId="28011CF7" w14:textId="77777777" w:rsidR="001C6B2C" w:rsidRPr="00592BFD" w:rsidRDefault="001C6B2C" w:rsidP="00332767">
            <w:pPr>
              <w:rPr>
                <w:rFonts w:cs="Calibri"/>
                <w:szCs w:val="24"/>
                <w:lang w:val="en-US"/>
              </w:rPr>
            </w:pPr>
            <w:r w:rsidRPr="00592BFD">
              <w:rPr>
                <w:rFonts w:cs="Calibri"/>
                <w:szCs w:val="24"/>
                <w:lang w:val="en-US"/>
              </w:rPr>
              <w:t>We recommend that the presence of the ITU – in a building where the hospitality of ANATEL is free of charge – be clearly identifiable as separate from the national entity, for the respect of the impartiality of the missions of a United Nations agency</w:t>
            </w:r>
          </w:p>
        </w:tc>
        <w:tc>
          <w:tcPr>
            <w:tcW w:w="1559" w:type="dxa"/>
          </w:tcPr>
          <w:p w14:paraId="4DC0F2F1" w14:textId="77777777" w:rsidR="001C6B2C" w:rsidRPr="00592BFD" w:rsidRDefault="001C6B2C" w:rsidP="00332767">
            <w:pPr>
              <w:rPr>
                <w:rFonts w:cs="Calibri"/>
                <w:szCs w:val="24"/>
                <w:lang w:val="en-US"/>
              </w:rPr>
            </w:pPr>
            <w:r w:rsidRPr="00592BFD">
              <w:rPr>
                <w:rFonts w:cs="Calibri"/>
                <w:szCs w:val="24"/>
                <w:lang w:val="en-US"/>
              </w:rPr>
              <w:t>ITU AMS RO</w:t>
            </w:r>
          </w:p>
        </w:tc>
        <w:tc>
          <w:tcPr>
            <w:tcW w:w="3969" w:type="dxa"/>
          </w:tcPr>
          <w:p w14:paraId="7E34DEC4" w14:textId="77777777" w:rsidR="001C6B2C" w:rsidRPr="00592BFD" w:rsidRDefault="001C6B2C" w:rsidP="00332767">
            <w:pPr>
              <w:rPr>
                <w:rFonts w:cs="Calibri"/>
                <w:szCs w:val="24"/>
                <w:lang w:val="en-US"/>
              </w:rPr>
            </w:pPr>
            <w:r w:rsidRPr="00592BFD">
              <w:rPr>
                <w:rFonts w:cs="Calibri"/>
                <w:szCs w:val="24"/>
                <w:lang w:val="en-US"/>
              </w:rPr>
              <w:t xml:space="preserve">ITU has requested external signage reflecting ITU’s presence in the ANATEL building. </w:t>
            </w:r>
          </w:p>
          <w:p w14:paraId="4D52EF87" w14:textId="77777777" w:rsidR="001C6B2C" w:rsidRPr="00592BFD" w:rsidRDefault="001C6B2C" w:rsidP="00332767">
            <w:pPr>
              <w:rPr>
                <w:rFonts w:cs="Calibri"/>
                <w:szCs w:val="24"/>
                <w:lang w:val="en-US"/>
              </w:rPr>
            </w:pPr>
          </w:p>
          <w:p w14:paraId="01BBDE4C" w14:textId="1710704D" w:rsidR="001C6B2C" w:rsidRPr="00592BFD" w:rsidRDefault="001C6B2C" w:rsidP="4A1B70B7">
            <w:pPr>
              <w:rPr>
                <w:rFonts w:cs="Calibri"/>
                <w:lang w:val="en-US"/>
              </w:rPr>
            </w:pPr>
            <w:r w:rsidRPr="4A1B70B7">
              <w:rPr>
                <w:rFonts w:cs="Calibri"/>
                <w:lang w:val="en-US"/>
              </w:rPr>
              <w:t xml:space="preserve">In relation to identification of ITU’s presence on the inside of the building, ITU is carrying out discussions with ANATEL representatives. This is being discussed in the context of the </w:t>
            </w:r>
            <w:r w:rsidR="009B1E33">
              <w:rPr>
                <w:rFonts w:cs="Calibri"/>
                <w:lang w:val="en-US"/>
              </w:rPr>
              <w:t xml:space="preserve">findings of the </w:t>
            </w:r>
            <w:r w:rsidRPr="4A1B70B7">
              <w:rPr>
                <w:rFonts w:cs="Calibri"/>
                <w:lang w:val="en-US"/>
              </w:rPr>
              <w:t xml:space="preserve">ITU resilience mission </w:t>
            </w:r>
            <w:r w:rsidR="009B1E33">
              <w:rPr>
                <w:rFonts w:cs="Calibri"/>
                <w:lang w:val="en-US"/>
              </w:rPr>
              <w:t xml:space="preserve">which was </w:t>
            </w:r>
            <w:r w:rsidRPr="4A1B70B7">
              <w:rPr>
                <w:rFonts w:cs="Calibri"/>
                <w:lang w:val="en-US"/>
              </w:rPr>
              <w:t>carried out from 10 to 12 May 2023.</w:t>
            </w:r>
          </w:p>
        </w:tc>
        <w:tc>
          <w:tcPr>
            <w:tcW w:w="1985" w:type="dxa"/>
          </w:tcPr>
          <w:p w14:paraId="1F4BAB54" w14:textId="77777777" w:rsidR="001C6B2C" w:rsidRPr="00592BFD" w:rsidRDefault="001C6B2C" w:rsidP="00332767">
            <w:pPr>
              <w:rPr>
                <w:rFonts w:cs="Calibri"/>
                <w:szCs w:val="24"/>
                <w:lang w:val="en-US"/>
              </w:rPr>
            </w:pPr>
            <w:r w:rsidRPr="00592BFD">
              <w:rPr>
                <w:rFonts w:cs="Calibri"/>
                <w:szCs w:val="24"/>
                <w:lang w:val="en-US"/>
              </w:rPr>
              <w:t>IN PROGRESS</w:t>
            </w:r>
          </w:p>
        </w:tc>
        <w:tc>
          <w:tcPr>
            <w:tcW w:w="2977" w:type="dxa"/>
          </w:tcPr>
          <w:p w14:paraId="34F88551" w14:textId="77777777" w:rsidR="001C6B2C" w:rsidRPr="00592BFD" w:rsidRDefault="001C6B2C" w:rsidP="00332767">
            <w:pPr>
              <w:rPr>
                <w:rFonts w:cs="Calibri"/>
                <w:szCs w:val="24"/>
                <w:lang w:val="en-US"/>
              </w:rPr>
            </w:pPr>
            <w:r w:rsidRPr="00592BFD">
              <w:rPr>
                <w:rFonts w:cs="Calibri"/>
                <w:szCs w:val="24"/>
                <w:lang w:val="en-US"/>
              </w:rPr>
              <w:t>31 December 2023</w:t>
            </w:r>
          </w:p>
        </w:tc>
      </w:tr>
      <w:tr w:rsidR="001C6B2C" w:rsidRPr="00592BFD" w14:paraId="7782F1B7" w14:textId="77777777" w:rsidTr="4A1B70B7">
        <w:tc>
          <w:tcPr>
            <w:tcW w:w="3539" w:type="dxa"/>
          </w:tcPr>
          <w:p w14:paraId="754F5545" w14:textId="77777777" w:rsidR="001C6B2C" w:rsidRPr="00592BFD" w:rsidRDefault="001C6B2C" w:rsidP="00332767">
            <w:pPr>
              <w:rPr>
                <w:rFonts w:cs="Calibri"/>
                <w:b/>
                <w:bCs/>
                <w:szCs w:val="24"/>
                <w:lang w:val="en-US"/>
              </w:rPr>
            </w:pPr>
            <w:r w:rsidRPr="00592BFD">
              <w:rPr>
                <w:rFonts w:cs="Calibri"/>
                <w:b/>
                <w:bCs/>
                <w:szCs w:val="24"/>
                <w:lang w:val="en-US"/>
              </w:rPr>
              <w:t>Recommendation n. 2.</w:t>
            </w:r>
          </w:p>
          <w:p w14:paraId="7F8721A3" w14:textId="77777777" w:rsidR="001C6B2C" w:rsidRPr="00592BFD" w:rsidRDefault="001C6B2C" w:rsidP="00332767">
            <w:pPr>
              <w:rPr>
                <w:rFonts w:cs="Calibri"/>
                <w:szCs w:val="24"/>
                <w:lang w:val="en-US"/>
              </w:rPr>
            </w:pPr>
            <w:r w:rsidRPr="00592BFD">
              <w:rPr>
                <w:rFonts w:cs="Calibri"/>
                <w:szCs w:val="24"/>
                <w:lang w:val="en-US"/>
              </w:rPr>
              <w:t>We recommend that measures be taken to enable the regional office to have the effective power to manage its spaces and accesses in order to be able to know who has entered its spaces and had access to the office, even if staff or people delegated by.</w:t>
            </w:r>
          </w:p>
        </w:tc>
        <w:tc>
          <w:tcPr>
            <w:tcW w:w="1559" w:type="dxa"/>
          </w:tcPr>
          <w:p w14:paraId="7E2267DE" w14:textId="77777777" w:rsidR="001C6B2C" w:rsidRPr="00592BFD" w:rsidRDefault="001C6B2C" w:rsidP="00332767">
            <w:pPr>
              <w:rPr>
                <w:rFonts w:cs="Calibri"/>
                <w:szCs w:val="24"/>
                <w:lang w:val="en-US"/>
              </w:rPr>
            </w:pPr>
            <w:r w:rsidRPr="00592BFD">
              <w:rPr>
                <w:rFonts w:cs="Calibri"/>
                <w:szCs w:val="24"/>
                <w:lang w:val="en-US"/>
              </w:rPr>
              <w:t>ITU AMS RO</w:t>
            </w:r>
          </w:p>
        </w:tc>
        <w:tc>
          <w:tcPr>
            <w:tcW w:w="3969" w:type="dxa"/>
          </w:tcPr>
          <w:p w14:paraId="08F7A105" w14:textId="77777777" w:rsidR="001C6B2C" w:rsidRPr="00592BFD" w:rsidRDefault="001C6B2C" w:rsidP="4A1B70B7">
            <w:pPr>
              <w:rPr>
                <w:rFonts w:cs="Calibri"/>
                <w:lang w:val="en-US"/>
              </w:rPr>
            </w:pPr>
            <w:r w:rsidRPr="4A1B70B7">
              <w:rPr>
                <w:rFonts w:cs="Calibri"/>
                <w:lang w:val="en-US"/>
              </w:rPr>
              <w:t xml:space="preserve">An ITU resilience mission including a comprehensive security review of the Brazil office, was carried out from 10 to 12 May 2023. </w:t>
            </w:r>
          </w:p>
          <w:p w14:paraId="1EE8E98D" w14:textId="77777777" w:rsidR="001C6B2C" w:rsidRPr="00592BFD" w:rsidRDefault="001C6B2C" w:rsidP="00332767">
            <w:pPr>
              <w:rPr>
                <w:rFonts w:cs="Calibri"/>
                <w:szCs w:val="24"/>
                <w:lang w:val="en-US"/>
              </w:rPr>
            </w:pPr>
          </w:p>
          <w:p w14:paraId="68548A8E" w14:textId="77777777" w:rsidR="001C6B2C" w:rsidRPr="00592BFD" w:rsidRDefault="001C6B2C" w:rsidP="00332767">
            <w:pPr>
              <w:rPr>
                <w:rFonts w:cs="Calibri"/>
                <w:szCs w:val="24"/>
                <w:lang w:val="en-US"/>
              </w:rPr>
            </w:pPr>
            <w:r w:rsidRPr="00592BFD">
              <w:rPr>
                <w:rFonts w:cs="Calibri"/>
                <w:szCs w:val="24"/>
                <w:lang w:val="en-US"/>
              </w:rPr>
              <w:t xml:space="preserve">The recommendations of this mission will be adopted to address this recommendation, in coordination with ANATEL representatives and in </w:t>
            </w:r>
            <w:r w:rsidRPr="00592BFD">
              <w:rPr>
                <w:rFonts w:cs="Calibri"/>
                <w:szCs w:val="24"/>
                <w:lang w:val="en-US"/>
              </w:rPr>
              <w:lastRenderedPageBreak/>
              <w:t>conformity with the internal rules of the local government.</w:t>
            </w:r>
          </w:p>
        </w:tc>
        <w:tc>
          <w:tcPr>
            <w:tcW w:w="1985" w:type="dxa"/>
          </w:tcPr>
          <w:p w14:paraId="0E545C9B" w14:textId="77777777" w:rsidR="001C6B2C" w:rsidRPr="00592BFD" w:rsidRDefault="001C6B2C" w:rsidP="00332767">
            <w:pPr>
              <w:rPr>
                <w:rFonts w:cs="Calibri"/>
                <w:szCs w:val="24"/>
                <w:lang w:val="en-US"/>
              </w:rPr>
            </w:pPr>
            <w:r w:rsidRPr="00592BFD">
              <w:rPr>
                <w:rFonts w:cs="Calibri"/>
                <w:szCs w:val="24"/>
                <w:lang w:val="en-US"/>
              </w:rPr>
              <w:lastRenderedPageBreak/>
              <w:t>IN PROGRESS</w:t>
            </w:r>
          </w:p>
        </w:tc>
        <w:tc>
          <w:tcPr>
            <w:tcW w:w="2977" w:type="dxa"/>
          </w:tcPr>
          <w:p w14:paraId="557152D1" w14:textId="77777777" w:rsidR="001C6B2C" w:rsidRPr="00592BFD" w:rsidRDefault="001C6B2C" w:rsidP="00332767">
            <w:pPr>
              <w:rPr>
                <w:rFonts w:cs="Calibri"/>
                <w:szCs w:val="24"/>
                <w:lang w:val="en-US"/>
              </w:rPr>
            </w:pPr>
            <w:r w:rsidRPr="00592BFD">
              <w:rPr>
                <w:rFonts w:cs="Calibri"/>
                <w:szCs w:val="24"/>
                <w:lang w:val="en-US"/>
              </w:rPr>
              <w:t>Timelines for implementation of the recommendations of the security review will be established between ISD and ITU AMS RO.</w:t>
            </w:r>
          </w:p>
        </w:tc>
      </w:tr>
      <w:tr w:rsidR="001C6B2C" w:rsidRPr="00592BFD" w14:paraId="08DB0FE1" w14:textId="77777777" w:rsidTr="4A1B70B7">
        <w:tc>
          <w:tcPr>
            <w:tcW w:w="3539" w:type="dxa"/>
          </w:tcPr>
          <w:p w14:paraId="757FF8DB" w14:textId="77777777" w:rsidR="001C6B2C" w:rsidRPr="00592BFD" w:rsidRDefault="001C6B2C" w:rsidP="00332767">
            <w:pPr>
              <w:rPr>
                <w:rFonts w:cs="Calibri"/>
                <w:b/>
                <w:bCs/>
                <w:szCs w:val="24"/>
                <w:lang w:val="en-US"/>
              </w:rPr>
            </w:pPr>
            <w:r w:rsidRPr="00592BFD">
              <w:rPr>
                <w:rFonts w:cs="Calibri"/>
                <w:b/>
                <w:bCs/>
                <w:szCs w:val="24"/>
                <w:lang w:val="en-US"/>
              </w:rPr>
              <w:t>Recommendation n. 3.</w:t>
            </w:r>
          </w:p>
          <w:p w14:paraId="497AE1AB" w14:textId="77777777" w:rsidR="001C6B2C" w:rsidRPr="00592BFD" w:rsidRDefault="001C6B2C" w:rsidP="00332767">
            <w:pPr>
              <w:rPr>
                <w:rFonts w:cs="Calibri"/>
                <w:szCs w:val="24"/>
                <w:lang w:val="en-US"/>
              </w:rPr>
            </w:pPr>
            <w:r w:rsidRPr="00592BFD">
              <w:rPr>
                <w:rFonts w:cs="Calibri"/>
                <w:szCs w:val="24"/>
                <w:lang w:val="en-US"/>
              </w:rPr>
              <w:t>We recommend that the Host State agreement be revised, describing in detail the assets and facilities granted to ITU, with transparent description of the ITU rights and duties to control and preserve these assets as for instance, their maintenance and replacement costs.</w:t>
            </w:r>
          </w:p>
        </w:tc>
        <w:tc>
          <w:tcPr>
            <w:tcW w:w="1559" w:type="dxa"/>
          </w:tcPr>
          <w:p w14:paraId="0A303D8F" w14:textId="77777777" w:rsidR="001C6B2C" w:rsidRPr="00592BFD" w:rsidRDefault="001C6B2C" w:rsidP="00332767">
            <w:pPr>
              <w:rPr>
                <w:rFonts w:cs="Calibri"/>
                <w:szCs w:val="24"/>
                <w:lang w:val="en-US"/>
              </w:rPr>
            </w:pPr>
            <w:r w:rsidRPr="00592BFD">
              <w:rPr>
                <w:rFonts w:cs="Calibri"/>
                <w:szCs w:val="24"/>
                <w:lang w:val="en-US"/>
              </w:rPr>
              <w:t>ITU AMS RO</w:t>
            </w:r>
          </w:p>
        </w:tc>
        <w:tc>
          <w:tcPr>
            <w:tcW w:w="3969" w:type="dxa"/>
          </w:tcPr>
          <w:p w14:paraId="77B641A8" w14:textId="77777777" w:rsidR="001C6B2C" w:rsidRPr="00592BFD" w:rsidRDefault="001C6B2C" w:rsidP="00332767">
            <w:pPr>
              <w:rPr>
                <w:rFonts w:cs="Calibri"/>
                <w:szCs w:val="24"/>
                <w:lang w:val="en-US"/>
              </w:rPr>
            </w:pPr>
            <w:r w:rsidRPr="00592BFD">
              <w:rPr>
                <w:rFonts w:cs="Calibri"/>
                <w:szCs w:val="24"/>
                <w:lang w:val="en-US"/>
              </w:rPr>
              <w:t>This recommendation is being carefully considered by management, to determine whether the substantive issues can be resolved without renegotiation of the HCA, which is potentially disruptive.</w:t>
            </w:r>
          </w:p>
        </w:tc>
        <w:tc>
          <w:tcPr>
            <w:tcW w:w="1985" w:type="dxa"/>
          </w:tcPr>
          <w:p w14:paraId="2601B867" w14:textId="77777777" w:rsidR="001C6B2C" w:rsidRPr="00592BFD" w:rsidRDefault="001C6B2C" w:rsidP="00332767">
            <w:pPr>
              <w:rPr>
                <w:rFonts w:cs="Calibri"/>
                <w:szCs w:val="24"/>
                <w:lang w:val="en-US"/>
              </w:rPr>
            </w:pPr>
            <w:r w:rsidRPr="00592BFD">
              <w:rPr>
                <w:rFonts w:cs="Calibri"/>
                <w:szCs w:val="24"/>
                <w:lang w:val="en-US"/>
              </w:rPr>
              <w:t>UNDER REVIEW</w:t>
            </w:r>
          </w:p>
        </w:tc>
        <w:tc>
          <w:tcPr>
            <w:tcW w:w="2977" w:type="dxa"/>
          </w:tcPr>
          <w:p w14:paraId="2B0C1053" w14:textId="4C5094B6" w:rsidR="001C6B2C" w:rsidRPr="00592BFD" w:rsidRDefault="00684DE4" w:rsidP="00332767">
            <w:pPr>
              <w:rPr>
                <w:rFonts w:cs="Calibri"/>
                <w:szCs w:val="24"/>
                <w:lang w:val="en-US"/>
              </w:rPr>
            </w:pPr>
            <w:r w:rsidRPr="00592BFD">
              <w:rPr>
                <w:rFonts w:cs="Calibri"/>
                <w:szCs w:val="24"/>
                <w:lang w:val="en-US"/>
              </w:rPr>
              <w:t xml:space="preserve">Timelines will be proposed </w:t>
            </w:r>
            <w:r w:rsidR="00B742F6" w:rsidRPr="00592BFD">
              <w:rPr>
                <w:rFonts w:cs="Calibri"/>
                <w:szCs w:val="24"/>
                <w:lang w:val="en-US"/>
              </w:rPr>
              <w:t xml:space="preserve">if applicable </w:t>
            </w:r>
            <w:r w:rsidRPr="00592BFD">
              <w:rPr>
                <w:rFonts w:cs="Calibri"/>
                <w:szCs w:val="24"/>
                <w:lang w:val="en-US"/>
              </w:rPr>
              <w:t xml:space="preserve">following </w:t>
            </w:r>
            <w:r w:rsidR="00B742F6" w:rsidRPr="00592BFD">
              <w:rPr>
                <w:rFonts w:cs="Calibri"/>
                <w:szCs w:val="24"/>
                <w:lang w:val="en-US"/>
              </w:rPr>
              <w:t>ITU’s</w:t>
            </w:r>
            <w:r w:rsidRPr="00592BFD">
              <w:rPr>
                <w:rFonts w:cs="Calibri"/>
                <w:szCs w:val="24"/>
                <w:lang w:val="en-US"/>
              </w:rPr>
              <w:t xml:space="preserve"> consideration of the implications of </w:t>
            </w:r>
            <w:r w:rsidR="00B742F6" w:rsidRPr="00592BFD">
              <w:rPr>
                <w:rFonts w:cs="Calibri"/>
                <w:szCs w:val="24"/>
                <w:lang w:val="en-US"/>
              </w:rPr>
              <w:t>renegotiating the HCA</w:t>
            </w:r>
            <w:r w:rsidRPr="00592BFD">
              <w:rPr>
                <w:rFonts w:cs="Calibri"/>
                <w:szCs w:val="24"/>
                <w:lang w:val="en-US"/>
              </w:rPr>
              <w:t>.</w:t>
            </w:r>
          </w:p>
        </w:tc>
      </w:tr>
      <w:tr w:rsidR="001C6B2C" w:rsidRPr="00592BFD" w14:paraId="48AA80C6" w14:textId="77777777" w:rsidTr="4A1B70B7">
        <w:tc>
          <w:tcPr>
            <w:tcW w:w="3539" w:type="dxa"/>
          </w:tcPr>
          <w:p w14:paraId="56FCE867" w14:textId="77777777" w:rsidR="001C6B2C" w:rsidRPr="00592BFD" w:rsidRDefault="001C6B2C" w:rsidP="00332767">
            <w:pPr>
              <w:rPr>
                <w:rFonts w:cs="Calibri"/>
                <w:b/>
                <w:bCs/>
                <w:szCs w:val="24"/>
                <w:lang w:val="en-US"/>
              </w:rPr>
            </w:pPr>
            <w:r w:rsidRPr="00592BFD">
              <w:rPr>
                <w:rFonts w:cs="Calibri"/>
                <w:b/>
                <w:bCs/>
                <w:szCs w:val="24"/>
                <w:lang w:val="en-US"/>
              </w:rPr>
              <w:t>Recommendation n. 4.</w:t>
            </w:r>
          </w:p>
          <w:p w14:paraId="3F6CA410" w14:textId="6DBFF0B8" w:rsidR="001C6B2C" w:rsidRPr="00592BFD" w:rsidRDefault="001C6B2C" w:rsidP="4A1B70B7">
            <w:pPr>
              <w:rPr>
                <w:rFonts w:cs="Calibri"/>
                <w:lang w:val="en-US"/>
              </w:rPr>
            </w:pPr>
            <w:r w:rsidRPr="4A1B70B7">
              <w:rPr>
                <w:rFonts w:cs="Calibri"/>
                <w:lang w:val="en-US"/>
              </w:rPr>
              <w:t xml:space="preserve">In line with the Recommendation n. 3, in order to be compliant with IPSAS, Brasilia Regional office </w:t>
            </w:r>
            <w:r w:rsidR="009B1E33">
              <w:rPr>
                <w:rFonts w:cs="Calibri"/>
                <w:lang w:val="en-US"/>
              </w:rPr>
              <w:t xml:space="preserve">should have </w:t>
            </w:r>
            <w:r w:rsidRPr="4A1B70B7">
              <w:rPr>
                <w:rFonts w:cs="Calibri"/>
                <w:lang w:val="en-US"/>
              </w:rPr>
              <w:t>“control” over these assets granted by ANATEL, we recommend following up them in a regular inventory process.</w:t>
            </w:r>
          </w:p>
        </w:tc>
        <w:tc>
          <w:tcPr>
            <w:tcW w:w="1559" w:type="dxa"/>
          </w:tcPr>
          <w:p w14:paraId="45DEE230" w14:textId="77777777" w:rsidR="001C6B2C" w:rsidRPr="00592BFD" w:rsidRDefault="001C6B2C" w:rsidP="00332767">
            <w:pPr>
              <w:rPr>
                <w:rFonts w:cs="Calibri"/>
                <w:szCs w:val="24"/>
                <w:lang w:val="en-US"/>
              </w:rPr>
            </w:pPr>
            <w:r w:rsidRPr="00592BFD">
              <w:rPr>
                <w:rFonts w:cs="Calibri"/>
                <w:szCs w:val="24"/>
                <w:lang w:val="en-US"/>
              </w:rPr>
              <w:t>ITU AMS RO</w:t>
            </w:r>
          </w:p>
        </w:tc>
        <w:tc>
          <w:tcPr>
            <w:tcW w:w="3969" w:type="dxa"/>
          </w:tcPr>
          <w:p w14:paraId="12982641" w14:textId="77777777" w:rsidR="001C6B2C" w:rsidRPr="00592BFD" w:rsidRDefault="001C6B2C" w:rsidP="00332767">
            <w:pPr>
              <w:rPr>
                <w:rFonts w:cs="Calibri"/>
                <w:szCs w:val="24"/>
                <w:lang w:val="en-US"/>
              </w:rPr>
            </w:pPr>
            <w:r w:rsidRPr="00592BFD">
              <w:rPr>
                <w:rFonts w:cs="Calibri"/>
                <w:szCs w:val="24"/>
                <w:lang w:val="en-US"/>
              </w:rPr>
              <w:t>ITU AMS RO has coordinated with ANATEL to ensure regular inventory process for ANATEL assets in the Regional Office.</w:t>
            </w:r>
          </w:p>
        </w:tc>
        <w:tc>
          <w:tcPr>
            <w:tcW w:w="1985" w:type="dxa"/>
          </w:tcPr>
          <w:p w14:paraId="720044C8" w14:textId="77777777" w:rsidR="001C6B2C" w:rsidRPr="00592BFD" w:rsidRDefault="001C6B2C" w:rsidP="00332767">
            <w:pPr>
              <w:rPr>
                <w:rFonts w:cs="Calibri"/>
                <w:szCs w:val="24"/>
                <w:lang w:val="en-US"/>
              </w:rPr>
            </w:pPr>
            <w:r w:rsidRPr="00592BFD">
              <w:rPr>
                <w:rFonts w:cs="Calibri"/>
                <w:szCs w:val="24"/>
                <w:lang w:val="en-US"/>
              </w:rPr>
              <w:t>IMPLEMENTED</w:t>
            </w:r>
          </w:p>
        </w:tc>
        <w:tc>
          <w:tcPr>
            <w:tcW w:w="2977" w:type="dxa"/>
          </w:tcPr>
          <w:p w14:paraId="0F5B9D34" w14:textId="4A65F8C9" w:rsidR="001C6B2C" w:rsidRPr="00592BFD" w:rsidRDefault="001C6B2C" w:rsidP="00332767">
            <w:pPr>
              <w:rPr>
                <w:rFonts w:cs="Calibri"/>
                <w:szCs w:val="24"/>
                <w:lang w:val="en-US"/>
              </w:rPr>
            </w:pPr>
          </w:p>
        </w:tc>
      </w:tr>
      <w:tr w:rsidR="001C6B2C" w:rsidRPr="00592BFD" w14:paraId="5F4FD8E2" w14:textId="77777777" w:rsidTr="4A1B70B7">
        <w:tc>
          <w:tcPr>
            <w:tcW w:w="3539" w:type="dxa"/>
          </w:tcPr>
          <w:p w14:paraId="501AFE33" w14:textId="77777777" w:rsidR="001C6B2C" w:rsidRPr="00592BFD" w:rsidRDefault="001C6B2C" w:rsidP="00332767">
            <w:pPr>
              <w:rPr>
                <w:rFonts w:cs="Calibri"/>
                <w:b/>
                <w:bCs/>
                <w:szCs w:val="24"/>
                <w:lang w:val="en-US"/>
              </w:rPr>
            </w:pPr>
            <w:r w:rsidRPr="00592BFD">
              <w:rPr>
                <w:rFonts w:cs="Calibri"/>
                <w:b/>
                <w:bCs/>
                <w:szCs w:val="24"/>
                <w:lang w:val="en-US"/>
              </w:rPr>
              <w:t>Recommendation n. 5.</w:t>
            </w:r>
          </w:p>
          <w:p w14:paraId="3696D54D" w14:textId="77777777" w:rsidR="001C6B2C" w:rsidRPr="00592BFD" w:rsidRDefault="001C6B2C" w:rsidP="00332767">
            <w:pPr>
              <w:rPr>
                <w:rFonts w:cs="Calibri"/>
                <w:szCs w:val="24"/>
                <w:lang w:val="en-US"/>
              </w:rPr>
            </w:pPr>
            <w:r w:rsidRPr="00592BFD">
              <w:rPr>
                <w:rFonts w:cs="Calibri"/>
                <w:szCs w:val="24"/>
                <w:lang w:val="en-US"/>
              </w:rPr>
              <w:t xml:space="preserve">We recommend improving asset management in Regional and Area Offices, through the update </w:t>
            </w:r>
            <w:r w:rsidRPr="00592BFD">
              <w:rPr>
                <w:rFonts w:cs="Calibri"/>
                <w:szCs w:val="24"/>
                <w:lang w:val="en-US"/>
              </w:rPr>
              <w:lastRenderedPageBreak/>
              <w:t>of the assignment to pertinent staff, and also, with regard to the fair value of assets, their obsolescence, impairment, enhancing the procedures for writing off at regional level.</w:t>
            </w:r>
          </w:p>
        </w:tc>
        <w:tc>
          <w:tcPr>
            <w:tcW w:w="1559" w:type="dxa"/>
          </w:tcPr>
          <w:p w14:paraId="5381BE97" w14:textId="77777777" w:rsidR="001C6B2C" w:rsidRPr="00592BFD" w:rsidRDefault="001C6B2C" w:rsidP="00332767">
            <w:pPr>
              <w:rPr>
                <w:rFonts w:cs="Calibri"/>
                <w:szCs w:val="24"/>
                <w:lang w:val="en-US"/>
              </w:rPr>
            </w:pPr>
            <w:r w:rsidRPr="00592BFD">
              <w:rPr>
                <w:rFonts w:cs="Calibri"/>
                <w:szCs w:val="24"/>
                <w:lang w:val="en-US"/>
              </w:rPr>
              <w:lastRenderedPageBreak/>
              <w:t>ITU AMS RO</w:t>
            </w:r>
          </w:p>
        </w:tc>
        <w:tc>
          <w:tcPr>
            <w:tcW w:w="3969" w:type="dxa"/>
          </w:tcPr>
          <w:p w14:paraId="33799BF8" w14:textId="018608EA" w:rsidR="001C6B2C" w:rsidRPr="00592BFD" w:rsidRDefault="001C6B2C" w:rsidP="4A1B70B7">
            <w:pPr>
              <w:rPr>
                <w:rFonts w:cs="Calibri"/>
                <w:lang w:val="en-US"/>
              </w:rPr>
            </w:pPr>
            <w:r w:rsidRPr="4A1B70B7">
              <w:rPr>
                <w:rFonts w:cs="Calibri"/>
                <w:lang w:val="en-US"/>
              </w:rPr>
              <w:t>The list of ITU assets based in the AMS RO is regularly reviewed.</w:t>
            </w:r>
          </w:p>
        </w:tc>
        <w:tc>
          <w:tcPr>
            <w:tcW w:w="1985" w:type="dxa"/>
          </w:tcPr>
          <w:p w14:paraId="5B614F43" w14:textId="77777777" w:rsidR="001C6B2C" w:rsidRPr="00592BFD" w:rsidRDefault="001C6B2C" w:rsidP="00332767">
            <w:pPr>
              <w:rPr>
                <w:rFonts w:cs="Calibri"/>
                <w:szCs w:val="24"/>
                <w:lang w:val="en-US"/>
              </w:rPr>
            </w:pPr>
            <w:r w:rsidRPr="00592BFD">
              <w:rPr>
                <w:rFonts w:cs="Calibri"/>
                <w:szCs w:val="24"/>
                <w:lang w:val="en-US"/>
              </w:rPr>
              <w:t>IMPLEMENTED</w:t>
            </w:r>
          </w:p>
        </w:tc>
        <w:tc>
          <w:tcPr>
            <w:tcW w:w="2977" w:type="dxa"/>
          </w:tcPr>
          <w:p w14:paraId="3F2A92D5" w14:textId="77777777" w:rsidR="001C6B2C" w:rsidRPr="00592BFD" w:rsidRDefault="001C6B2C" w:rsidP="00332767">
            <w:pPr>
              <w:rPr>
                <w:rFonts w:cs="Calibri"/>
                <w:szCs w:val="24"/>
                <w:lang w:val="en-US"/>
              </w:rPr>
            </w:pPr>
          </w:p>
        </w:tc>
      </w:tr>
      <w:tr w:rsidR="001C6B2C" w:rsidRPr="00592BFD" w14:paraId="33549815" w14:textId="77777777" w:rsidTr="4A1B70B7">
        <w:tc>
          <w:tcPr>
            <w:tcW w:w="3539" w:type="dxa"/>
          </w:tcPr>
          <w:p w14:paraId="15403856" w14:textId="77777777" w:rsidR="001C6B2C" w:rsidRPr="00592BFD" w:rsidRDefault="001C6B2C" w:rsidP="00332767">
            <w:pPr>
              <w:rPr>
                <w:rFonts w:cs="Calibri"/>
                <w:b/>
                <w:bCs/>
                <w:szCs w:val="24"/>
                <w:lang w:val="en-US"/>
              </w:rPr>
            </w:pPr>
            <w:r w:rsidRPr="00592BFD">
              <w:rPr>
                <w:rFonts w:cs="Calibri"/>
                <w:b/>
                <w:bCs/>
                <w:szCs w:val="24"/>
                <w:lang w:val="en-US"/>
              </w:rPr>
              <w:t>Recommendation n. 6.</w:t>
            </w:r>
          </w:p>
          <w:p w14:paraId="5BBDF3BD" w14:textId="77777777" w:rsidR="001C6B2C" w:rsidRPr="00592BFD" w:rsidRDefault="001C6B2C" w:rsidP="00332767">
            <w:pPr>
              <w:rPr>
                <w:rFonts w:cs="Calibri"/>
                <w:szCs w:val="24"/>
                <w:lang w:val="en-US"/>
              </w:rPr>
            </w:pPr>
            <w:r w:rsidRPr="00592BFD">
              <w:rPr>
                <w:rFonts w:cs="Calibri"/>
                <w:szCs w:val="24"/>
                <w:lang w:val="en-US"/>
              </w:rPr>
              <w:t>Comprehensive identification of low level assets should be maintained, even if in a separate list of assets that can be considered of “low value”, followed up by a regular inventory process which should consider also their accounting, if material.</w:t>
            </w:r>
          </w:p>
        </w:tc>
        <w:tc>
          <w:tcPr>
            <w:tcW w:w="1559" w:type="dxa"/>
          </w:tcPr>
          <w:p w14:paraId="213C71DA" w14:textId="77777777" w:rsidR="001C6B2C" w:rsidRPr="00592BFD" w:rsidRDefault="001C6B2C" w:rsidP="00332767">
            <w:pPr>
              <w:rPr>
                <w:rFonts w:cs="Calibri"/>
                <w:szCs w:val="24"/>
                <w:lang w:val="en-US"/>
              </w:rPr>
            </w:pPr>
            <w:r w:rsidRPr="00592BFD">
              <w:rPr>
                <w:rFonts w:cs="Calibri"/>
                <w:szCs w:val="24"/>
                <w:lang w:val="en-US"/>
              </w:rPr>
              <w:t>FRMD</w:t>
            </w:r>
          </w:p>
        </w:tc>
        <w:tc>
          <w:tcPr>
            <w:tcW w:w="3969" w:type="dxa"/>
          </w:tcPr>
          <w:p w14:paraId="26E88A05" w14:textId="77777777" w:rsidR="001C6B2C" w:rsidRPr="00592BFD" w:rsidRDefault="001C6B2C" w:rsidP="00332767">
            <w:pPr>
              <w:rPr>
                <w:rFonts w:cs="Calibri"/>
                <w:szCs w:val="24"/>
                <w:lang w:val="en-US"/>
              </w:rPr>
            </w:pPr>
            <w:r w:rsidRPr="00592BFD">
              <w:rPr>
                <w:rFonts w:cs="Calibri"/>
                <w:szCs w:val="24"/>
                <w:lang w:val="en-US"/>
              </w:rPr>
              <w:t>Low value assets are inventoried and are part of regular inventory checks such as: mobiles, tablets, and others. Any other low-value items that ITU decides to identify with an inventory number, they will be also checked regularly.</w:t>
            </w:r>
          </w:p>
        </w:tc>
        <w:tc>
          <w:tcPr>
            <w:tcW w:w="1985" w:type="dxa"/>
          </w:tcPr>
          <w:p w14:paraId="4203A2C8" w14:textId="77777777" w:rsidR="001C6B2C" w:rsidRPr="00592BFD" w:rsidRDefault="001C6B2C" w:rsidP="00332767">
            <w:pPr>
              <w:rPr>
                <w:rFonts w:cs="Calibri"/>
                <w:szCs w:val="24"/>
                <w:lang w:val="en-US"/>
              </w:rPr>
            </w:pPr>
            <w:r w:rsidRPr="00592BFD">
              <w:rPr>
                <w:rFonts w:cs="Calibri"/>
                <w:szCs w:val="24"/>
                <w:lang w:val="en-US"/>
              </w:rPr>
              <w:t>IMPLEMENTED</w:t>
            </w:r>
          </w:p>
        </w:tc>
        <w:tc>
          <w:tcPr>
            <w:tcW w:w="2977" w:type="dxa"/>
          </w:tcPr>
          <w:p w14:paraId="208898A4" w14:textId="77777777" w:rsidR="001C6B2C" w:rsidRPr="00592BFD" w:rsidRDefault="001C6B2C" w:rsidP="00332767">
            <w:pPr>
              <w:rPr>
                <w:rFonts w:cs="Calibri"/>
                <w:szCs w:val="24"/>
                <w:lang w:val="en-US"/>
              </w:rPr>
            </w:pPr>
          </w:p>
        </w:tc>
      </w:tr>
      <w:tr w:rsidR="001C6B2C" w:rsidRPr="00592BFD" w14:paraId="5D202846" w14:textId="77777777" w:rsidTr="4A1B70B7">
        <w:tc>
          <w:tcPr>
            <w:tcW w:w="3539" w:type="dxa"/>
          </w:tcPr>
          <w:p w14:paraId="4F5B2290" w14:textId="77777777" w:rsidR="001C6B2C" w:rsidRPr="00592BFD" w:rsidRDefault="001C6B2C" w:rsidP="00332767">
            <w:pPr>
              <w:rPr>
                <w:rFonts w:cs="Calibri"/>
                <w:b/>
                <w:bCs/>
                <w:szCs w:val="24"/>
                <w:lang w:val="en-US"/>
              </w:rPr>
            </w:pPr>
            <w:r w:rsidRPr="00592BFD">
              <w:rPr>
                <w:rFonts w:cs="Calibri"/>
                <w:b/>
                <w:bCs/>
                <w:szCs w:val="24"/>
                <w:lang w:val="en-US"/>
              </w:rPr>
              <w:t>Recommendation n. 7.</w:t>
            </w:r>
          </w:p>
          <w:p w14:paraId="7649CC58" w14:textId="7C5C112A" w:rsidR="001C6B2C" w:rsidRPr="00592BFD" w:rsidRDefault="001C6B2C" w:rsidP="4A1B70B7">
            <w:pPr>
              <w:rPr>
                <w:rFonts w:cs="Calibri"/>
                <w:lang w:val="en-US"/>
              </w:rPr>
            </w:pPr>
            <w:r w:rsidRPr="4A1B70B7">
              <w:rPr>
                <w:rFonts w:cs="Calibri"/>
                <w:lang w:val="en-US"/>
              </w:rPr>
              <w:t xml:space="preserve">We recommend that the headquarters and the local office make an appropriate assessment of the risk of tampering and that ITU take appropriate measures to allow </w:t>
            </w:r>
            <w:r w:rsidR="009B1E33">
              <w:rPr>
                <w:rFonts w:cs="Calibri"/>
                <w:lang w:val="en-US"/>
              </w:rPr>
              <w:t>full control (including secure physical control) of</w:t>
            </w:r>
            <w:r w:rsidRPr="4A1B70B7">
              <w:rPr>
                <w:rFonts w:cs="Calibri"/>
                <w:lang w:val="en-US"/>
              </w:rPr>
              <w:t xml:space="preserve"> its servers in the regional headquarters.</w:t>
            </w:r>
          </w:p>
        </w:tc>
        <w:tc>
          <w:tcPr>
            <w:tcW w:w="1559" w:type="dxa"/>
          </w:tcPr>
          <w:p w14:paraId="08314A9A" w14:textId="77777777" w:rsidR="001C6B2C" w:rsidRPr="00592BFD" w:rsidRDefault="001C6B2C" w:rsidP="00332767">
            <w:pPr>
              <w:rPr>
                <w:rFonts w:cs="Calibri"/>
                <w:szCs w:val="24"/>
                <w:lang w:val="en-US"/>
              </w:rPr>
            </w:pPr>
            <w:r w:rsidRPr="00592BFD">
              <w:rPr>
                <w:rFonts w:cs="Calibri"/>
                <w:szCs w:val="24"/>
                <w:lang w:val="en-US"/>
              </w:rPr>
              <w:t>ISD</w:t>
            </w:r>
          </w:p>
        </w:tc>
        <w:tc>
          <w:tcPr>
            <w:tcW w:w="3969" w:type="dxa"/>
          </w:tcPr>
          <w:p w14:paraId="6607A885" w14:textId="746F3B0D" w:rsidR="001C6B2C" w:rsidRPr="00592BFD" w:rsidRDefault="001C6B2C" w:rsidP="4A1B70B7">
            <w:pPr>
              <w:rPr>
                <w:rFonts w:cs="Calibri"/>
                <w:lang w:val="en-US"/>
              </w:rPr>
            </w:pPr>
            <w:r w:rsidRPr="4A1B70B7">
              <w:rPr>
                <w:rFonts w:cs="Calibri"/>
                <w:lang w:val="en-US"/>
              </w:rPr>
              <w:t>This recommendation will be considered during a planned review of all regional and area office IS systems</w:t>
            </w:r>
            <w:r w:rsidR="009B1E33">
              <w:rPr>
                <w:rFonts w:cs="Calibri"/>
                <w:lang w:val="en-US"/>
              </w:rPr>
              <w:t>, which is being started in 2023 and will continue into 2024 depending on budget availability</w:t>
            </w:r>
            <w:r w:rsidRPr="4A1B70B7">
              <w:rPr>
                <w:rFonts w:cs="Calibri"/>
                <w:lang w:val="en-US"/>
              </w:rPr>
              <w:t>.</w:t>
            </w:r>
          </w:p>
        </w:tc>
        <w:tc>
          <w:tcPr>
            <w:tcW w:w="1985" w:type="dxa"/>
          </w:tcPr>
          <w:p w14:paraId="4ED8E775" w14:textId="77777777" w:rsidR="001C6B2C" w:rsidRPr="00592BFD" w:rsidRDefault="001C6B2C" w:rsidP="00332767">
            <w:pPr>
              <w:rPr>
                <w:rFonts w:cs="Calibri"/>
                <w:szCs w:val="24"/>
                <w:lang w:val="en-US"/>
              </w:rPr>
            </w:pPr>
            <w:r w:rsidRPr="00592BFD">
              <w:rPr>
                <w:rFonts w:cs="Calibri"/>
                <w:szCs w:val="24"/>
                <w:lang w:val="en-US"/>
              </w:rPr>
              <w:t>IN PROGRESS</w:t>
            </w:r>
          </w:p>
        </w:tc>
        <w:tc>
          <w:tcPr>
            <w:tcW w:w="2977" w:type="dxa"/>
          </w:tcPr>
          <w:p w14:paraId="723457FB" w14:textId="77777777" w:rsidR="001C6B2C" w:rsidRPr="00592BFD" w:rsidRDefault="001C6B2C" w:rsidP="00332767">
            <w:pPr>
              <w:rPr>
                <w:rFonts w:cs="Calibri"/>
                <w:szCs w:val="24"/>
                <w:lang w:val="en-US"/>
              </w:rPr>
            </w:pPr>
            <w:r w:rsidRPr="00592BFD">
              <w:rPr>
                <w:rFonts w:cs="Calibri"/>
                <w:szCs w:val="24"/>
                <w:lang w:val="en-US"/>
              </w:rPr>
              <w:t>Timelines for implementation of the recommendations of the security review will be established between ISD and ITU AMS RO.</w:t>
            </w:r>
          </w:p>
        </w:tc>
      </w:tr>
      <w:tr w:rsidR="001C6B2C" w:rsidRPr="00592BFD" w14:paraId="7151200F" w14:textId="77777777" w:rsidTr="4A1B70B7">
        <w:tc>
          <w:tcPr>
            <w:tcW w:w="3539" w:type="dxa"/>
          </w:tcPr>
          <w:p w14:paraId="35B5FB71" w14:textId="77777777" w:rsidR="001C6B2C" w:rsidRPr="00592BFD" w:rsidRDefault="001C6B2C" w:rsidP="00332767">
            <w:pPr>
              <w:rPr>
                <w:rFonts w:cs="Calibri"/>
                <w:b/>
                <w:bCs/>
                <w:szCs w:val="24"/>
                <w:lang w:val="en-US"/>
              </w:rPr>
            </w:pPr>
            <w:r w:rsidRPr="00592BFD">
              <w:rPr>
                <w:rFonts w:cs="Calibri"/>
                <w:b/>
                <w:bCs/>
                <w:szCs w:val="24"/>
                <w:lang w:val="en-US"/>
              </w:rPr>
              <w:lastRenderedPageBreak/>
              <w:t>Recommendation n. 8. (Description of Services in Local Agreement)</w:t>
            </w:r>
          </w:p>
          <w:p w14:paraId="217BFB1D" w14:textId="77777777" w:rsidR="001C6B2C" w:rsidRPr="00592BFD" w:rsidRDefault="001C6B2C" w:rsidP="00332767">
            <w:pPr>
              <w:rPr>
                <w:rFonts w:cs="Calibri"/>
                <w:szCs w:val="24"/>
                <w:lang w:val="en-US"/>
              </w:rPr>
            </w:pPr>
            <w:r w:rsidRPr="00592BFD">
              <w:rPr>
                <w:rFonts w:cs="Calibri"/>
                <w:szCs w:val="24"/>
                <w:lang w:val="en-US"/>
              </w:rPr>
              <w:t>We recommend that ITU Management enhance the monitoring of local agreements and contracts, assuring compliance with ITU procurement rules and general good practices.</w:t>
            </w:r>
          </w:p>
        </w:tc>
        <w:tc>
          <w:tcPr>
            <w:tcW w:w="1559" w:type="dxa"/>
          </w:tcPr>
          <w:p w14:paraId="2C5D51F1" w14:textId="77777777" w:rsidR="001C6B2C" w:rsidRPr="00592BFD" w:rsidRDefault="001C6B2C" w:rsidP="00332767">
            <w:pPr>
              <w:rPr>
                <w:rFonts w:cs="Calibri"/>
                <w:szCs w:val="24"/>
                <w:lang w:val="en-US"/>
              </w:rPr>
            </w:pPr>
            <w:r w:rsidRPr="00592BFD">
              <w:rPr>
                <w:rFonts w:cs="Calibri"/>
                <w:szCs w:val="24"/>
                <w:lang w:val="en-US"/>
              </w:rPr>
              <w:t>ITU AMS RO</w:t>
            </w:r>
          </w:p>
        </w:tc>
        <w:tc>
          <w:tcPr>
            <w:tcW w:w="3969" w:type="dxa"/>
          </w:tcPr>
          <w:p w14:paraId="131D4C31" w14:textId="77777777" w:rsidR="001C6B2C" w:rsidRPr="00592BFD" w:rsidRDefault="001C6B2C" w:rsidP="00332767">
            <w:pPr>
              <w:rPr>
                <w:rFonts w:cs="Calibri"/>
                <w:szCs w:val="24"/>
                <w:lang w:val="en-US"/>
              </w:rPr>
            </w:pPr>
            <w:r w:rsidRPr="00592BFD">
              <w:rPr>
                <w:rFonts w:cs="Calibri"/>
                <w:szCs w:val="24"/>
                <w:lang w:val="en-US"/>
              </w:rPr>
              <w:t xml:space="preserve">A comprehensive assessment of all local service contracts will be conducted by 30 September 2023, in accordance with ITU’s procurement manual. </w:t>
            </w:r>
          </w:p>
        </w:tc>
        <w:tc>
          <w:tcPr>
            <w:tcW w:w="1985" w:type="dxa"/>
          </w:tcPr>
          <w:p w14:paraId="6600ABC5" w14:textId="77777777" w:rsidR="001C6B2C" w:rsidRPr="00592BFD" w:rsidRDefault="001C6B2C" w:rsidP="00332767">
            <w:pPr>
              <w:rPr>
                <w:rFonts w:cs="Calibri"/>
                <w:szCs w:val="24"/>
                <w:lang w:val="en-US"/>
              </w:rPr>
            </w:pPr>
            <w:r w:rsidRPr="00592BFD">
              <w:rPr>
                <w:rFonts w:cs="Calibri"/>
                <w:szCs w:val="24"/>
                <w:lang w:val="en-US"/>
              </w:rPr>
              <w:t>IN PROGRESS</w:t>
            </w:r>
          </w:p>
        </w:tc>
        <w:tc>
          <w:tcPr>
            <w:tcW w:w="2977" w:type="dxa"/>
          </w:tcPr>
          <w:p w14:paraId="42CA98B5" w14:textId="77777777" w:rsidR="001C6B2C" w:rsidRPr="00592BFD" w:rsidRDefault="001C6B2C" w:rsidP="00332767">
            <w:pPr>
              <w:rPr>
                <w:rFonts w:cs="Calibri"/>
                <w:szCs w:val="24"/>
                <w:lang w:val="en-US"/>
              </w:rPr>
            </w:pPr>
            <w:r w:rsidRPr="00592BFD">
              <w:rPr>
                <w:rFonts w:cs="Calibri"/>
                <w:szCs w:val="24"/>
                <w:lang w:val="en-US"/>
              </w:rPr>
              <w:t>30 September 2023</w:t>
            </w:r>
          </w:p>
        </w:tc>
      </w:tr>
      <w:tr w:rsidR="001C6B2C" w:rsidRPr="00592BFD" w14:paraId="30750109" w14:textId="77777777" w:rsidTr="4A1B70B7">
        <w:tc>
          <w:tcPr>
            <w:tcW w:w="3539" w:type="dxa"/>
          </w:tcPr>
          <w:p w14:paraId="5047C427" w14:textId="77777777" w:rsidR="001C6B2C" w:rsidRPr="00592BFD" w:rsidRDefault="001C6B2C" w:rsidP="00332767">
            <w:pPr>
              <w:rPr>
                <w:rFonts w:cs="Calibri"/>
                <w:b/>
                <w:bCs/>
                <w:szCs w:val="24"/>
                <w:lang w:val="en-US"/>
              </w:rPr>
            </w:pPr>
            <w:r w:rsidRPr="00592BFD">
              <w:rPr>
                <w:rFonts w:cs="Calibri"/>
                <w:b/>
                <w:bCs/>
                <w:szCs w:val="24"/>
                <w:lang w:val="en-US"/>
              </w:rPr>
              <w:t>Recommendation n. 9.</w:t>
            </w:r>
          </w:p>
          <w:p w14:paraId="6C3CEACD" w14:textId="77777777" w:rsidR="001C6B2C" w:rsidRPr="00592BFD" w:rsidRDefault="001C6B2C" w:rsidP="00332767">
            <w:pPr>
              <w:rPr>
                <w:rFonts w:cs="Calibri"/>
                <w:szCs w:val="24"/>
                <w:lang w:val="en-US"/>
              </w:rPr>
            </w:pPr>
            <w:r w:rsidRPr="00592BFD">
              <w:rPr>
                <w:rFonts w:cs="Calibri"/>
                <w:szCs w:val="24"/>
                <w:lang w:val="en-US"/>
              </w:rPr>
              <w:t>Recommend PROC to start an effective monitoring of all local contracts, in particular on amounts negotiated and split in various agreements with the same suppliers.</w:t>
            </w:r>
          </w:p>
        </w:tc>
        <w:tc>
          <w:tcPr>
            <w:tcW w:w="1559" w:type="dxa"/>
          </w:tcPr>
          <w:p w14:paraId="7808A41E" w14:textId="77777777" w:rsidR="001C6B2C" w:rsidRPr="00592BFD" w:rsidRDefault="001C6B2C" w:rsidP="00332767">
            <w:pPr>
              <w:rPr>
                <w:rFonts w:cs="Calibri"/>
                <w:szCs w:val="24"/>
                <w:lang w:val="en-US"/>
              </w:rPr>
            </w:pPr>
            <w:r w:rsidRPr="00592BFD">
              <w:rPr>
                <w:rFonts w:cs="Calibri"/>
                <w:szCs w:val="24"/>
                <w:lang w:val="en-US"/>
              </w:rPr>
              <w:t>PROC/ITU AMS RO</w:t>
            </w:r>
          </w:p>
        </w:tc>
        <w:tc>
          <w:tcPr>
            <w:tcW w:w="3969" w:type="dxa"/>
          </w:tcPr>
          <w:p w14:paraId="7E8D1798" w14:textId="15E6000D" w:rsidR="001C6B2C" w:rsidRPr="00592BFD" w:rsidRDefault="00260094" w:rsidP="00332767">
            <w:pPr>
              <w:rPr>
                <w:rFonts w:asciiTheme="minorHAnsi" w:hAnsiTheme="minorHAnsi" w:cstheme="minorHAnsi"/>
                <w:szCs w:val="24"/>
                <w:lang w:val="en-US"/>
              </w:rPr>
            </w:pPr>
            <w:r w:rsidRPr="00592BFD">
              <w:rPr>
                <w:rStyle w:val="cf01"/>
                <w:rFonts w:asciiTheme="minorHAnsi" w:hAnsiTheme="minorHAnsi" w:cstheme="minorHAnsi"/>
                <w:sz w:val="24"/>
                <w:szCs w:val="24"/>
              </w:rPr>
              <w:t>The revision of the Procurement Manual has considered this recommendation, including appropriate amendments to the Low Value Procurement workflow with an annual threshold.</w:t>
            </w:r>
          </w:p>
        </w:tc>
        <w:tc>
          <w:tcPr>
            <w:tcW w:w="1985" w:type="dxa"/>
          </w:tcPr>
          <w:p w14:paraId="05CF1670" w14:textId="77777777" w:rsidR="001C6B2C" w:rsidRPr="00592BFD" w:rsidRDefault="001C6B2C" w:rsidP="00332767">
            <w:pPr>
              <w:rPr>
                <w:rFonts w:cs="Calibri"/>
                <w:szCs w:val="24"/>
                <w:lang w:val="en-US"/>
              </w:rPr>
            </w:pPr>
            <w:r w:rsidRPr="00592BFD">
              <w:rPr>
                <w:rFonts w:cs="Calibri"/>
                <w:szCs w:val="24"/>
                <w:lang w:val="en-US"/>
              </w:rPr>
              <w:t>UNDER REVIEW</w:t>
            </w:r>
          </w:p>
        </w:tc>
        <w:tc>
          <w:tcPr>
            <w:tcW w:w="2977" w:type="dxa"/>
          </w:tcPr>
          <w:p w14:paraId="749C6FAC" w14:textId="6F73EECC" w:rsidR="001C6B2C" w:rsidRPr="00592BFD" w:rsidRDefault="001C6B2C" w:rsidP="00332767">
            <w:pPr>
              <w:rPr>
                <w:rFonts w:cs="Calibri"/>
                <w:szCs w:val="24"/>
                <w:lang w:val="en-US"/>
              </w:rPr>
            </w:pPr>
            <w:r w:rsidRPr="00592BFD">
              <w:rPr>
                <w:rFonts w:cs="Calibri"/>
                <w:szCs w:val="24"/>
                <w:lang w:val="en-US"/>
              </w:rPr>
              <w:t>31 December 2023</w:t>
            </w:r>
          </w:p>
        </w:tc>
      </w:tr>
      <w:tr w:rsidR="001C6B2C" w:rsidRPr="00592BFD" w14:paraId="7D7CDD73" w14:textId="77777777" w:rsidTr="4A1B70B7">
        <w:tc>
          <w:tcPr>
            <w:tcW w:w="3539" w:type="dxa"/>
          </w:tcPr>
          <w:p w14:paraId="13B5914F" w14:textId="77777777" w:rsidR="001C6B2C" w:rsidRPr="00592BFD" w:rsidRDefault="001C6B2C" w:rsidP="00332767">
            <w:pPr>
              <w:rPr>
                <w:rFonts w:cs="Calibri"/>
                <w:b/>
                <w:bCs/>
                <w:szCs w:val="24"/>
                <w:lang w:val="en-US"/>
              </w:rPr>
            </w:pPr>
            <w:r w:rsidRPr="00592BFD">
              <w:rPr>
                <w:rFonts w:cs="Calibri"/>
                <w:b/>
                <w:bCs/>
                <w:szCs w:val="24"/>
                <w:lang w:val="en-US"/>
              </w:rPr>
              <w:t>Recommendation n. 10. (Dual Signatories of Local Agreements/contracts)</w:t>
            </w:r>
          </w:p>
          <w:p w14:paraId="379451C6" w14:textId="3981F64B" w:rsidR="001C6B2C" w:rsidRPr="00592BFD" w:rsidRDefault="001C6B2C" w:rsidP="00332767">
            <w:pPr>
              <w:rPr>
                <w:rFonts w:cs="Calibri"/>
                <w:szCs w:val="24"/>
                <w:lang w:val="en-US"/>
              </w:rPr>
            </w:pPr>
            <w:r w:rsidRPr="00592BFD">
              <w:rPr>
                <w:rFonts w:cs="Calibri"/>
                <w:szCs w:val="24"/>
                <w:lang w:val="en-US"/>
              </w:rPr>
              <w:t xml:space="preserve">To enhance the internal controls, we recommend that any agreements that should be signed locally should have dual signatories, for instance, one </w:t>
            </w:r>
            <w:r w:rsidRPr="00592BFD">
              <w:rPr>
                <w:rFonts w:cs="Calibri"/>
                <w:szCs w:val="24"/>
                <w:lang w:val="en-US"/>
              </w:rPr>
              <w:lastRenderedPageBreak/>
              <w:t>from Regional staff and one from HQ.</w:t>
            </w:r>
          </w:p>
        </w:tc>
        <w:tc>
          <w:tcPr>
            <w:tcW w:w="1559" w:type="dxa"/>
          </w:tcPr>
          <w:p w14:paraId="5011FD1C" w14:textId="77777777" w:rsidR="001C6B2C" w:rsidRPr="00592BFD" w:rsidRDefault="001C6B2C" w:rsidP="00332767">
            <w:pPr>
              <w:rPr>
                <w:rFonts w:cs="Calibri"/>
                <w:szCs w:val="24"/>
                <w:lang w:val="en-US"/>
              </w:rPr>
            </w:pPr>
            <w:r w:rsidRPr="00592BFD">
              <w:rPr>
                <w:rFonts w:cs="Calibri"/>
                <w:szCs w:val="24"/>
                <w:lang w:val="en-US"/>
              </w:rPr>
              <w:lastRenderedPageBreak/>
              <w:t>BDT/ITU AMS RO</w:t>
            </w:r>
          </w:p>
        </w:tc>
        <w:tc>
          <w:tcPr>
            <w:tcW w:w="3969" w:type="dxa"/>
          </w:tcPr>
          <w:p w14:paraId="5D27EF64" w14:textId="77777777" w:rsidR="001C6B2C" w:rsidRPr="00592BFD" w:rsidRDefault="001C6B2C" w:rsidP="00332767">
            <w:pPr>
              <w:rPr>
                <w:rFonts w:cs="Calibri"/>
                <w:szCs w:val="24"/>
                <w:lang w:val="en-US"/>
              </w:rPr>
            </w:pPr>
            <w:r w:rsidRPr="00592BFD">
              <w:rPr>
                <w:rFonts w:cs="Calibri"/>
                <w:szCs w:val="24"/>
                <w:lang w:val="en-US"/>
              </w:rPr>
              <w:t>This recommendation is being considered carefully in accordance with implementation of recommendations of the PWC Regional Presence Review regarding delegation of authority. Decision on implementation for that process is by 31 December 2023.</w:t>
            </w:r>
          </w:p>
        </w:tc>
        <w:tc>
          <w:tcPr>
            <w:tcW w:w="1985" w:type="dxa"/>
          </w:tcPr>
          <w:p w14:paraId="6017AF76" w14:textId="77777777" w:rsidR="001C6B2C" w:rsidRPr="00592BFD" w:rsidRDefault="001C6B2C" w:rsidP="00332767">
            <w:pPr>
              <w:rPr>
                <w:rFonts w:cs="Calibri"/>
                <w:szCs w:val="24"/>
                <w:lang w:val="en-US"/>
              </w:rPr>
            </w:pPr>
            <w:r w:rsidRPr="00592BFD">
              <w:rPr>
                <w:rFonts w:cs="Calibri"/>
                <w:szCs w:val="24"/>
                <w:lang w:val="en-US"/>
              </w:rPr>
              <w:t>UNDER REVIEW</w:t>
            </w:r>
          </w:p>
        </w:tc>
        <w:tc>
          <w:tcPr>
            <w:tcW w:w="2977" w:type="dxa"/>
          </w:tcPr>
          <w:p w14:paraId="07B31D6F" w14:textId="77777777" w:rsidR="001C6B2C" w:rsidRPr="00592BFD" w:rsidRDefault="001C6B2C" w:rsidP="00332767">
            <w:pPr>
              <w:rPr>
                <w:rFonts w:cs="Calibri"/>
                <w:szCs w:val="24"/>
                <w:lang w:val="en-US"/>
              </w:rPr>
            </w:pPr>
            <w:r w:rsidRPr="00592BFD">
              <w:rPr>
                <w:rFonts w:cs="Calibri"/>
                <w:szCs w:val="24"/>
                <w:lang w:val="en-US"/>
              </w:rPr>
              <w:t>31 December 2023</w:t>
            </w:r>
          </w:p>
        </w:tc>
      </w:tr>
      <w:tr w:rsidR="001C6B2C" w:rsidRPr="00592BFD" w14:paraId="22558E9C" w14:textId="77777777" w:rsidTr="4A1B70B7">
        <w:tc>
          <w:tcPr>
            <w:tcW w:w="3539" w:type="dxa"/>
          </w:tcPr>
          <w:p w14:paraId="3A487279" w14:textId="77777777" w:rsidR="001C6B2C" w:rsidRPr="00592BFD" w:rsidRDefault="001C6B2C" w:rsidP="00332767">
            <w:pPr>
              <w:rPr>
                <w:rFonts w:cs="Calibri"/>
                <w:b/>
                <w:bCs/>
                <w:szCs w:val="24"/>
                <w:lang w:val="en-US"/>
              </w:rPr>
            </w:pPr>
            <w:r w:rsidRPr="00592BFD">
              <w:rPr>
                <w:rFonts w:cs="Calibri"/>
                <w:b/>
                <w:bCs/>
                <w:szCs w:val="24"/>
                <w:lang w:val="en-US"/>
              </w:rPr>
              <w:t>Recommendation n. 11.</w:t>
            </w:r>
          </w:p>
          <w:p w14:paraId="085C62CD" w14:textId="77777777" w:rsidR="001C6B2C" w:rsidRPr="00592BFD" w:rsidRDefault="001C6B2C" w:rsidP="00332767">
            <w:pPr>
              <w:rPr>
                <w:rFonts w:cs="Calibri"/>
                <w:szCs w:val="24"/>
                <w:lang w:val="en-US"/>
              </w:rPr>
            </w:pPr>
            <w:r w:rsidRPr="00592BFD">
              <w:rPr>
                <w:rFonts w:cs="Calibri"/>
                <w:szCs w:val="24"/>
                <w:lang w:val="en-US"/>
              </w:rPr>
              <w:t>Also in line with recommendation 8 point (i), having detected agreements prepared and signed only in local language, in consideration that the risk of dispute on clauses might increase, we therefore recommend the followings: (i) to involve, since the earliest stage of drafting a report in local language, the ITU legal department, (ii) to involve the UN office in the Member States in being helped in legal matters; for instance, we are aware that in Brasilia there is a UN office with a consistent staff, that we suppose it could be consulted for help by ITU.</w:t>
            </w:r>
          </w:p>
        </w:tc>
        <w:tc>
          <w:tcPr>
            <w:tcW w:w="1559" w:type="dxa"/>
          </w:tcPr>
          <w:p w14:paraId="5B4719F4" w14:textId="77777777" w:rsidR="001C6B2C" w:rsidRPr="00592BFD" w:rsidRDefault="001C6B2C" w:rsidP="00332767">
            <w:pPr>
              <w:rPr>
                <w:rFonts w:cs="Calibri"/>
                <w:szCs w:val="24"/>
                <w:lang w:val="en-US"/>
              </w:rPr>
            </w:pPr>
            <w:r w:rsidRPr="00592BFD">
              <w:rPr>
                <w:rFonts w:cs="Calibri"/>
                <w:szCs w:val="24"/>
                <w:lang w:val="en-US"/>
              </w:rPr>
              <w:t>ITU AMS RO</w:t>
            </w:r>
          </w:p>
        </w:tc>
        <w:tc>
          <w:tcPr>
            <w:tcW w:w="3969" w:type="dxa"/>
          </w:tcPr>
          <w:p w14:paraId="51BB8A6B" w14:textId="77777777" w:rsidR="001C6B2C" w:rsidRPr="00592BFD" w:rsidRDefault="001C6B2C" w:rsidP="00332767">
            <w:pPr>
              <w:rPr>
                <w:rFonts w:cs="Calibri"/>
                <w:szCs w:val="24"/>
                <w:lang w:val="en-US"/>
              </w:rPr>
            </w:pPr>
            <w:r w:rsidRPr="00592BFD">
              <w:rPr>
                <w:rFonts w:cs="Calibri"/>
                <w:szCs w:val="24"/>
                <w:lang w:val="en-US"/>
              </w:rPr>
              <w:t>This recommendation is being considered carefully in accordance with implementation of recommendations of the PWC Regional Presence Review regarding delegation of authority. Decision on implementation for that process is by 31 December 2023.</w:t>
            </w:r>
          </w:p>
        </w:tc>
        <w:tc>
          <w:tcPr>
            <w:tcW w:w="1985" w:type="dxa"/>
          </w:tcPr>
          <w:p w14:paraId="22BA107A" w14:textId="77777777" w:rsidR="001C6B2C" w:rsidRPr="00592BFD" w:rsidRDefault="001C6B2C" w:rsidP="00332767">
            <w:pPr>
              <w:rPr>
                <w:rFonts w:cs="Calibri"/>
                <w:szCs w:val="24"/>
                <w:lang w:val="en-US"/>
              </w:rPr>
            </w:pPr>
            <w:r w:rsidRPr="00592BFD">
              <w:rPr>
                <w:rFonts w:cs="Calibri"/>
                <w:szCs w:val="24"/>
                <w:lang w:val="en-US"/>
              </w:rPr>
              <w:t>UNDER REVIEW</w:t>
            </w:r>
          </w:p>
        </w:tc>
        <w:tc>
          <w:tcPr>
            <w:tcW w:w="2977" w:type="dxa"/>
          </w:tcPr>
          <w:p w14:paraId="5716D77C" w14:textId="77777777" w:rsidR="001C6B2C" w:rsidRPr="00592BFD" w:rsidRDefault="001C6B2C" w:rsidP="00332767">
            <w:pPr>
              <w:rPr>
                <w:rFonts w:cs="Calibri"/>
                <w:szCs w:val="24"/>
                <w:lang w:val="en-US"/>
              </w:rPr>
            </w:pPr>
            <w:r w:rsidRPr="00592BFD">
              <w:rPr>
                <w:rFonts w:cs="Calibri"/>
                <w:szCs w:val="24"/>
                <w:lang w:val="en-US"/>
              </w:rPr>
              <w:t>31 December 2023</w:t>
            </w:r>
          </w:p>
        </w:tc>
      </w:tr>
      <w:tr w:rsidR="001C6B2C" w:rsidRPr="00592BFD" w14:paraId="3269EBF7" w14:textId="77777777" w:rsidTr="4A1B70B7">
        <w:tc>
          <w:tcPr>
            <w:tcW w:w="3539" w:type="dxa"/>
          </w:tcPr>
          <w:p w14:paraId="474CB2FD" w14:textId="77777777" w:rsidR="001C6B2C" w:rsidRPr="00592BFD" w:rsidRDefault="001C6B2C" w:rsidP="00332767">
            <w:pPr>
              <w:rPr>
                <w:rFonts w:cs="Calibri"/>
                <w:b/>
                <w:bCs/>
                <w:szCs w:val="24"/>
                <w:lang w:val="en-US"/>
              </w:rPr>
            </w:pPr>
            <w:r w:rsidRPr="00592BFD">
              <w:rPr>
                <w:rFonts w:cs="Calibri"/>
                <w:b/>
                <w:bCs/>
                <w:szCs w:val="24"/>
                <w:lang w:val="en-US"/>
              </w:rPr>
              <w:t>Recommendation n. 12.</w:t>
            </w:r>
          </w:p>
          <w:p w14:paraId="647B7637" w14:textId="77777777" w:rsidR="001C6B2C" w:rsidRPr="00592BFD" w:rsidRDefault="001C6B2C" w:rsidP="00332767">
            <w:pPr>
              <w:rPr>
                <w:rFonts w:cs="Calibri"/>
                <w:szCs w:val="24"/>
                <w:lang w:val="en-US"/>
              </w:rPr>
            </w:pPr>
            <w:r w:rsidRPr="00592BFD">
              <w:rPr>
                <w:rFonts w:cs="Calibri"/>
                <w:szCs w:val="24"/>
                <w:lang w:val="en-US"/>
              </w:rPr>
              <w:t xml:space="preserve">We recommend that a procedure be urgently put in place, clearly stating who is accountable of </w:t>
            </w:r>
            <w:r w:rsidRPr="00592BFD">
              <w:rPr>
                <w:rFonts w:cs="Calibri"/>
                <w:szCs w:val="24"/>
                <w:lang w:val="en-US"/>
              </w:rPr>
              <w:lastRenderedPageBreak/>
              <w:t>managerial decision on controlling and monitoring staff presence (and telework) and that an efficient and effective decisional process be defined to establish whether a sanction should be provided to an unjustified absent staff.</w:t>
            </w:r>
          </w:p>
        </w:tc>
        <w:tc>
          <w:tcPr>
            <w:tcW w:w="1559" w:type="dxa"/>
          </w:tcPr>
          <w:p w14:paraId="6F7301CE" w14:textId="77777777" w:rsidR="001C6B2C" w:rsidRPr="00592BFD" w:rsidRDefault="001C6B2C" w:rsidP="00332767">
            <w:pPr>
              <w:rPr>
                <w:rFonts w:cs="Calibri"/>
                <w:szCs w:val="24"/>
                <w:lang w:val="en-US"/>
              </w:rPr>
            </w:pPr>
            <w:r w:rsidRPr="00592BFD">
              <w:rPr>
                <w:rFonts w:cs="Calibri"/>
                <w:szCs w:val="24"/>
                <w:lang w:val="en-US"/>
              </w:rPr>
              <w:lastRenderedPageBreak/>
              <w:t>HRMD/ITU AMS RO</w:t>
            </w:r>
          </w:p>
        </w:tc>
        <w:tc>
          <w:tcPr>
            <w:tcW w:w="3969" w:type="dxa"/>
          </w:tcPr>
          <w:p w14:paraId="2A193645" w14:textId="71559777" w:rsidR="001C6B2C" w:rsidRPr="00592BFD" w:rsidRDefault="001C6B2C" w:rsidP="4A1B70B7">
            <w:pPr>
              <w:rPr>
                <w:rFonts w:cs="Calibri"/>
                <w:lang w:val="en-US"/>
              </w:rPr>
            </w:pPr>
            <w:r w:rsidRPr="4A1B70B7">
              <w:rPr>
                <w:rFonts w:cs="Calibri"/>
                <w:lang w:val="en-US"/>
              </w:rPr>
              <w:t xml:space="preserve">ITU has implemented a global process and control systems for teleworking which has been implemented in Regional and Area Offices with Regional Directors and Area </w:t>
            </w:r>
            <w:r w:rsidRPr="4A1B70B7">
              <w:rPr>
                <w:rFonts w:cs="Calibri"/>
                <w:lang w:val="en-US"/>
              </w:rPr>
              <w:lastRenderedPageBreak/>
              <w:t>Representative</w:t>
            </w:r>
            <w:r w:rsidR="742F3301" w:rsidRPr="4A1B70B7">
              <w:rPr>
                <w:rFonts w:cs="Calibri"/>
                <w:lang w:val="en-US"/>
              </w:rPr>
              <w:t>s</w:t>
            </w:r>
            <w:r w:rsidRPr="4A1B70B7">
              <w:rPr>
                <w:rFonts w:cs="Calibri"/>
                <w:lang w:val="en-US"/>
              </w:rPr>
              <w:t xml:space="preserve"> having responsibility for implementation and monitoring in their respective offices.</w:t>
            </w:r>
          </w:p>
        </w:tc>
        <w:tc>
          <w:tcPr>
            <w:tcW w:w="1985" w:type="dxa"/>
          </w:tcPr>
          <w:p w14:paraId="2443C76A" w14:textId="77777777" w:rsidR="001C6B2C" w:rsidRPr="00592BFD" w:rsidRDefault="001C6B2C" w:rsidP="00332767">
            <w:pPr>
              <w:rPr>
                <w:rFonts w:cs="Calibri"/>
                <w:szCs w:val="24"/>
                <w:lang w:val="en-US"/>
              </w:rPr>
            </w:pPr>
            <w:r w:rsidRPr="00592BFD">
              <w:rPr>
                <w:rFonts w:cs="Calibri"/>
                <w:szCs w:val="24"/>
                <w:lang w:val="en-US"/>
              </w:rPr>
              <w:lastRenderedPageBreak/>
              <w:t>IMPLEMENTED</w:t>
            </w:r>
          </w:p>
        </w:tc>
        <w:tc>
          <w:tcPr>
            <w:tcW w:w="2977" w:type="dxa"/>
          </w:tcPr>
          <w:p w14:paraId="5745F8E2" w14:textId="77777777" w:rsidR="001C6B2C" w:rsidRPr="00592BFD" w:rsidRDefault="001C6B2C" w:rsidP="00332767">
            <w:pPr>
              <w:rPr>
                <w:rFonts w:cs="Calibri"/>
                <w:szCs w:val="24"/>
                <w:lang w:val="en-US"/>
              </w:rPr>
            </w:pPr>
          </w:p>
        </w:tc>
      </w:tr>
      <w:tr w:rsidR="001C6B2C" w:rsidRPr="00592BFD" w14:paraId="530F46B6" w14:textId="77777777" w:rsidTr="4A1B70B7">
        <w:tc>
          <w:tcPr>
            <w:tcW w:w="3539" w:type="dxa"/>
          </w:tcPr>
          <w:p w14:paraId="248E31DB" w14:textId="77777777" w:rsidR="001C6B2C" w:rsidRPr="00592BFD" w:rsidRDefault="001C6B2C" w:rsidP="00332767">
            <w:pPr>
              <w:rPr>
                <w:rFonts w:cs="Calibri"/>
                <w:b/>
                <w:bCs/>
                <w:szCs w:val="24"/>
                <w:lang w:val="en-US"/>
              </w:rPr>
            </w:pPr>
            <w:r w:rsidRPr="00592BFD">
              <w:rPr>
                <w:rFonts w:cs="Calibri"/>
                <w:b/>
                <w:bCs/>
                <w:szCs w:val="24"/>
                <w:lang w:val="en-US"/>
              </w:rPr>
              <w:t>Recommendation n. 13. (Register for recording staff presence)</w:t>
            </w:r>
          </w:p>
          <w:p w14:paraId="7E1B7133" w14:textId="77777777" w:rsidR="001C6B2C" w:rsidRPr="00592BFD" w:rsidRDefault="001C6B2C" w:rsidP="00332767">
            <w:pPr>
              <w:rPr>
                <w:rFonts w:cs="Calibri"/>
                <w:szCs w:val="24"/>
                <w:lang w:val="en-US"/>
              </w:rPr>
            </w:pPr>
            <w:r w:rsidRPr="00592BFD">
              <w:rPr>
                <w:rFonts w:cs="Calibri"/>
                <w:szCs w:val="24"/>
                <w:lang w:val="en-US"/>
              </w:rPr>
              <w:t>We recommend installing a system for recording access at regional level.</w:t>
            </w:r>
          </w:p>
        </w:tc>
        <w:tc>
          <w:tcPr>
            <w:tcW w:w="1559" w:type="dxa"/>
          </w:tcPr>
          <w:p w14:paraId="7DD2BF23" w14:textId="77777777" w:rsidR="001C6B2C" w:rsidRPr="00592BFD" w:rsidRDefault="001C6B2C" w:rsidP="00332767">
            <w:pPr>
              <w:rPr>
                <w:rFonts w:cs="Calibri"/>
                <w:szCs w:val="24"/>
                <w:lang w:val="en-US"/>
              </w:rPr>
            </w:pPr>
            <w:r w:rsidRPr="00592BFD">
              <w:rPr>
                <w:rFonts w:cs="Calibri"/>
                <w:szCs w:val="24"/>
                <w:lang w:val="en-US"/>
              </w:rPr>
              <w:t>ITU AMS RO</w:t>
            </w:r>
          </w:p>
        </w:tc>
        <w:tc>
          <w:tcPr>
            <w:tcW w:w="3969" w:type="dxa"/>
          </w:tcPr>
          <w:p w14:paraId="18FBAD9C" w14:textId="77777777" w:rsidR="001C6B2C" w:rsidRPr="00592BFD" w:rsidRDefault="001C6B2C" w:rsidP="00332767">
            <w:pPr>
              <w:rPr>
                <w:rFonts w:cs="Calibri"/>
                <w:szCs w:val="24"/>
                <w:lang w:val="en-US"/>
              </w:rPr>
            </w:pPr>
            <w:r w:rsidRPr="00592BFD">
              <w:rPr>
                <w:rFonts w:cs="Calibri"/>
                <w:szCs w:val="24"/>
                <w:lang w:val="en-US"/>
              </w:rPr>
              <w:t>An automated teleworking register has been put in place for ITU, which is being implemented by all RO and AOs.</w:t>
            </w:r>
          </w:p>
        </w:tc>
        <w:tc>
          <w:tcPr>
            <w:tcW w:w="1985" w:type="dxa"/>
          </w:tcPr>
          <w:p w14:paraId="0A3FF1F2" w14:textId="77777777" w:rsidR="001C6B2C" w:rsidRPr="00592BFD" w:rsidRDefault="001C6B2C" w:rsidP="00332767">
            <w:pPr>
              <w:rPr>
                <w:rFonts w:cs="Calibri"/>
                <w:szCs w:val="24"/>
                <w:lang w:val="en-US"/>
              </w:rPr>
            </w:pPr>
            <w:r w:rsidRPr="00592BFD">
              <w:rPr>
                <w:rFonts w:cs="Calibri"/>
                <w:szCs w:val="24"/>
                <w:lang w:val="en-US"/>
              </w:rPr>
              <w:t>IMPLEMENTED</w:t>
            </w:r>
          </w:p>
        </w:tc>
        <w:tc>
          <w:tcPr>
            <w:tcW w:w="2977" w:type="dxa"/>
          </w:tcPr>
          <w:p w14:paraId="52319433" w14:textId="77777777" w:rsidR="001C6B2C" w:rsidRPr="00592BFD" w:rsidRDefault="001C6B2C" w:rsidP="00332767">
            <w:pPr>
              <w:rPr>
                <w:rFonts w:cs="Calibri"/>
                <w:szCs w:val="24"/>
                <w:lang w:val="en-US"/>
              </w:rPr>
            </w:pPr>
          </w:p>
        </w:tc>
      </w:tr>
      <w:tr w:rsidR="001C6B2C" w:rsidRPr="00592BFD" w14:paraId="1E38CEA9" w14:textId="77777777" w:rsidTr="4A1B70B7">
        <w:tc>
          <w:tcPr>
            <w:tcW w:w="3539" w:type="dxa"/>
          </w:tcPr>
          <w:p w14:paraId="0C189A53" w14:textId="77777777" w:rsidR="001C6B2C" w:rsidRPr="00592BFD" w:rsidRDefault="001C6B2C" w:rsidP="00332767">
            <w:pPr>
              <w:rPr>
                <w:rFonts w:cs="Calibri"/>
                <w:b/>
                <w:bCs/>
                <w:szCs w:val="24"/>
                <w:lang w:val="en-US"/>
              </w:rPr>
            </w:pPr>
            <w:r w:rsidRPr="00592BFD">
              <w:rPr>
                <w:rFonts w:cs="Calibri"/>
                <w:b/>
                <w:bCs/>
                <w:szCs w:val="24"/>
                <w:lang w:val="en-US"/>
              </w:rPr>
              <w:t>Recommendation n. 14. (Detecting presence during teleworking)</w:t>
            </w:r>
          </w:p>
          <w:p w14:paraId="26E50C57" w14:textId="77777777" w:rsidR="001C6B2C" w:rsidRPr="00592BFD" w:rsidRDefault="001C6B2C" w:rsidP="00332767">
            <w:pPr>
              <w:rPr>
                <w:rFonts w:cs="Calibri"/>
                <w:szCs w:val="24"/>
                <w:lang w:val="en-US"/>
              </w:rPr>
            </w:pPr>
            <w:r w:rsidRPr="00592BFD">
              <w:rPr>
                <w:rFonts w:cs="Calibri"/>
                <w:szCs w:val="24"/>
                <w:lang w:val="en-US"/>
              </w:rPr>
              <w:t>In line with recommendation 13, that recommends installing a system for recording presence at regional level, we recommend enhancing internal controls on teleworking, for instance using IT tools.</w:t>
            </w:r>
          </w:p>
        </w:tc>
        <w:tc>
          <w:tcPr>
            <w:tcW w:w="1559" w:type="dxa"/>
          </w:tcPr>
          <w:p w14:paraId="3C172332" w14:textId="77777777" w:rsidR="001C6B2C" w:rsidRPr="00592BFD" w:rsidRDefault="001C6B2C" w:rsidP="00332767">
            <w:pPr>
              <w:rPr>
                <w:rFonts w:cs="Calibri"/>
                <w:szCs w:val="24"/>
                <w:lang w:val="en-US"/>
              </w:rPr>
            </w:pPr>
            <w:r w:rsidRPr="00592BFD">
              <w:rPr>
                <w:rFonts w:cs="Calibri"/>
                <w:szCs w:val="24"/>
                <w:lang w:val="en-US"/>
              </w:rPr>
              <w:t>ISD/ITU AMS RO</w:t>
            </w:r>
          </w:p>
        </w:tc>
        <w:tc>
          <w:tcPr>
            <w:tcW w:w="3969" w:type="dxa"/>
          </w:tcPr>
          <w:p w14:paraId="7EF1CACB" w14:textId="205F7652" w:rsidR="005D0DAC" w:rsidRPr="00592BFD" w:rsidRDefault="005D0DAC" w:rsidP="005D0DAC">
            <w:pPr>
              <w:tabs>
                <w:tab w:val="clear" w:pos="567"/>
                <w:tab w:val="clear" w:pos="1134"/>
                <w:tab w:val="clear" w:pos="1701"/>
                <w:tab w:val="clear" w:pos="2268"/>
                <w:tab w:val="clear" w:pos="2835"/>
              </w:tabs>
              <w:ind w:left="35"/>
              <w:rPr>
                <w:szCs w:val="24"/>
              </w:rPr>
            </w:pPr>
            <w:r w:rsidRPr="00592BFD">
              <w:rPr>
                <w:szCs w:val="24"/>
              </w:rPr>
              <w:t>In compliance to the personal data protection and privacy principles adopted by the UN High-Level Committee on Management (HLCM) at its 36th Meeting on 11 October 2018, ITU issued Service Order No. 20/10 Physical Access Control System (</w:t>
            </w:r>
            <w:r w:rsidRPr="00592BFD">
              <w:rPr>
                <w:b/>
                <w:bCs/>
                <w:szCs w:val="24"/>
              </w:rPr>
              <w:t>ACS</w:t>
            </w:r>
            <w:r w:rsidRPr="00592BFD">
              <w:rPr>
                <w:szCs w:val="24"/>
              </w:rPr>
              <w:t>) in ITU Headquarter Premises which stipulates that “</w:t>
            </w:r>
            <w:r w:rsidRPr="00592BFD">
              <w:rPr>
                <w:i/>
                <w:iCs/>
                <w:szCs w:val="24"/>
              </w:rPr>
              <w:t xml:space="preserve">the </w:t>
            </w:r>
            <w:r w:rsidRPr="00592BFD">
              <w:rPr>
                <w:b/>
                <w:bCs/>
                <w:i/>
                <w:iCs/>
                <w:szCs w:val="24"/>
              </w:rPr>
              <w:t>ACS</w:t>
            </w:r>
            <w:r w:rsidRPr="00592BFD">
              <w:rPr>
                <w:i/>
                <w:iCs/>
                <w:szCs w:val="24"/>
              </w:rPr>
              <w:t xml:space="preserve"> is neither intended nor used for profiling or for monitoring the presence of individual staff, delegates or visitors</w:t>
            </w:r>
            <w:r w:rsidRPr="00592BFD">
              <w:rPr>
                <w:szCs w:val="24"/>
              </w:rPr>
              <w:t xml:space="preserve">”.  While the SO has been </w:t>
            </w:r>
            <w:r w:rsidRPr="00592BFD">
              <w:rPr>
                <w:szCs w:val="24"/>
              </w:rPr>
              <w:lastRenderedPageBreak/>
              <w:t xml:space="preserve">issued for HQ operations, the principle is valid for all ITU staff, delegates or visitors globally. </w:t>
            </w:r>
          </w:p>
          <w:p w14:paraId="5EAE1AD7" w14:textId="63110E53" w:rsidR="001C6B2C" w:rsidRPr="00592BFD" w:rsidRDefault="001C6B2C" w:rsidP="00332767">
            <w:pPr>
              <w:rPr>
                <w:rFonts w:cs="Calibri"/>
                <w:szCs w:val="24"/>
                <w:lang w:val="en-US"/>
              </w:rPr>
            </w:pPr>
            <w:r w:rsidRPr="00592BFD">
              <w:rPr>
                <w:rFonts w:cs="Calibri"/>
                <w:szCs w:val="24"/>
                <w:lang w:val="en-US"/>
              </w:rPr>
              <w:t>Regional Directors and Area Representatives are tasked with ensuring attendance of staff in office, in accordance with the automated teleworking register put in place for ITU.</w:t>
            </w:r>
          </w:p>
        </w:tc>
        <w:tc>
          <w:tcPr>
            <w:tcW w:w="1985" w:type="dxa"/>
          </w:tcPr>
          <w:p w14:paraId="5848969A" w14:textId="77777777" w:rsidR="001C6B2C" w:rsidRPr="00592BFD" w:rsidRDefault="001C6B2C" w:rsidP="00332767">
            <w:pPr>
              <w:rPr>
                <w:rFonts w:cs="Calibri"/>
                <w:szCs w:val="24"/>
                <w:lang w:val="en-US"/>
              </w:rPr>
            </w:pPr>
            <w:r w:rsidRPr="00592BFD">
              <w:rPr>
                <w:rFonts w:cs="Calibri"/>
                <w:szCs w:val="24"/>
                <w:lang w:val="en-US"/>
              </w:rPr>
              <w:lastRenderedPageBreak/>
              <w:t>UNDER REVIEW</w:t>
            </w:r>
          </w:p>
        </w:tc>
        <w:tc>
          <w:tcPr>
            <w:tcW w:w="2977" w:type="dxa"/>
          </w:tcPr>
          <w:p w14:paraId="73C66C62" w14:textId="2555A95E" w:rsidR="001C6B2C" w:rsidRPr="00592BFD" w:rsidRDefault="001C6B2C" w:rsidP="00332767">
            <w:pPr>
              <w:rPr>
                <w:rFonts w:cs="Calibri"/>
                <w:szCs w:val="24"/>
                <w:lang w:val="en-US"/>
              </w:rPr>
            </w:pPr>
          </w:p>
        </w:tc>
      </w:tr>
      <w:tr w:rsidR="001C6B2C" w:rsidRPr="00592BFD" w14:paraId="7B01E2D6" w14:textId="77777777" w:rsidTr="4A1B70B7">
        <w:tc>
          <w:tcPr>
            <w:tcW w:w="3539" w:type="dxa"/>
          </w:tcPr>
          <w:p w14:paraId="045CE1F8" w14:textId="77777777" w:rsidR="001C6B2C" w:rsidRPr="00592BFD" w:rsidRDefault="001C6B2C" w:rsidP="00332767">
            <w:pPr>
              <w:rPr>
                <w:rFonts w:cs="Calibri"/>
                <w:b/>
                <w:bCs/>
                <w:szCs w:val="24"/>
                <w:lang w:val="en-US"/>
              </w:rPr>
            </w:pPr>
            <w:r w:rsidRPr="00592BFD">
              <w:rPr>
                <w:rFonts w:cs="Calibri"/>
                <w:b/>
                <w:bCs/>
                <w:szCs w:val="24"/>
                <w:lang w:val="en-US"/>
              </w:rPr>
              <w:t>Recommendation n. 15. (A defined regulatory framework for teleworking is missing)</w:t>
            </w:r>
          </w:p>
          <w:p w14:paraId="7A559FE3" w14:textId="77777777" w:rsidR="001C6B2C" w:rsidRPr="00592BFD" w:rsidRDefault="001C6B2C" w:rsidP="00332767">
            <w:pPr>
              <w:rPr>
                <w:rFonts w:cs="Calibri"/>
                <w:szCs w:val="24"/>
                <w:lang w:val="en-US"/>
              </w:rPr>
            </w:pPr>
            <w:r w:rsidRPr="00592BFD">
              <w:rPr>
                <w:rFonts w:cs="Calibri"/>
                <w:szCs w:val="24"/>
                <w:lang w:val="en-US"/>
              </w:rPr>
              <w:t>We recommended to enhance internal controls on teleworking, in particular through IT tools based also on access remotely in the ERP from staff working at home.</w:t>
            </w:r>
          </w:p>
          <w:p w14:paraId="41E3BB87" w14:textId="77777777" w:rsidR="001C6B2C" w:rsidRPr="00592BFD" w:rsidRDefault="001C6B2C" w:rsidP="00332767">
            <w:pPr>
              <w:rPr>
                <w:rFonts w:cs="Calibri"/>
                <w:szCs w:val="24"/>
                <w:lang w:val="en-US"/>
              </w:rPr>
            </w:pPr>
          </w:p>
        </w:tc>
        <w:tc>
          <w:tcPr>
            <w:tcW w:w="1559" w:type="dxa"/>
          </w:tcPr>
          <w:p w14:paraId="589E11D1" w14:textId="77777777" w:rsidR="001C6B2C" w:rsidRPr="00592BFD" w:rsidRDefault="001C6B2C" w:rsidP="00332767">
            <w:pPr>
              <w:rPr>
                <w:rFonts w:cs="Calibri"/>
                <w:szCs w:val="24"/>
                <w:lang w:val="en-US"/>
              </w:rPr>
            </w:pPr>
            <w:r w:rsidRPr="00592BFD">
              <w:rPr>
                <w:rFonts w:cs="Calibri"/>
                <w:szCs w:val="24"/>
                <w:lang w:val="en-US"/>
              </w:rPr>
              <w:t>HRMD</w:t>
            </w:r>
          </w:p>
        </w:tc>
        <w:tc>
          <w:tcPr>
            <w:tcW w:w="3969" w:type="dxa"/>
          </w:tcPr>
          <w:p w14:paraId="431E6EB8" w14:textId="77777777" w:rsidR="001C6B2C" w:rsidRPr="00592BFD" w:rsidRDefault="001C6B2C" w:rsidP="00332767">
            <w:pPr>
              <w:rPr>
                <w:rFonts w:cs="Calibri"/>
                <w:szCs w:val="24"/>
                <w:lang w:val="en-US"/>
              </w:rPr>
            </w:pPr>
            <w:r w:rsidRPr="00592BFD">
              <w:rPr>
                <w:rFonts w:cs="Calibri"/>
                <w:szCs w:val="24"/>
                <w:lang w:val="en-US"/>
              </w:rPr>
              <w:t>This has been implemented.</w:t>
            </w:r>
          </w:p>
        </w:tc>
        <w:tc>
          <w:tcPr>
            <w:tcW w:w="1985" w:type="dxa"/>
          </w:tcPr>
          <w:p w14:paraId="018A62FD" w14:textId="77777777" w:rsidR="001C6B2C" w:rsidRPr="00592BFD" w:rsidRDefault="001C6B2C" w:rsidP="00332767">
            <w:pPr>
              <w:rPr>
                <w:rFonts w:cs="Calibri"/>
                <w:szCs w:val="24"/>
                <w:lang w:val="en-US"/>
              </w:rPr>
            </w:pPr>
            <w:r w:rsidRPr="00592BFD">
              <w:rPr>
                <w:rFonts w:cs="Calibri"/>
                <w:szCs w:val="24"/>
                <w:lang w:val="en-US"/>
              </w:rPr>
              <w:t>IMPLEMENTED</w:t>
            </w:r>
          </w:p>
        </w:tc>
        <w:tc>
          <w:tcPr>
            <w:tcW w:w="2977" w:type="dxa"/>
          </w:tcPr>
          <w:p w14:paraId="350424BB" w14:textId="77777777" w:rsidR="001C6B2C" w:rsidRPr="00592BFD" w:rsidRDefault="001C6B2C" w:rsidP="00332767">
            <w:pPr>
              <w:rPr>
                <w:rFonts w:cs="Calibri"/>
                <w:szCs w:val="24"/>
                <w:lang w:val="en-US"/>
              </w:rPr>
            </w:pPr>
          </w:p>
        </w:tc>
      </w:tr>
      <w:tr w:rsidR="001C6B2C" w:rsidRPr="00592BFD" w14:paraId="51A0F743" w14:textId="77777777" w:rsidTr="4A1B70B7">
        <w:tc>
          <w:tcPr>
            <w:tcW w:w="3539" w:type="dxa"/>
          </w:tcPr>
          <w:p w14:paraId="12682D55" w14:textId="77777777" w:rsidR="001C6B2C" w:rsidRPr="00592BFD" w:rsidRDefault="001C6B2C" w:rsidP="00332767">
            <w:pPr>
              <w:rPr>
                <w:rFonts w:cs="Calibri"/>
                <w:b/>
                <w:bCs/>
                <w:szCs w:val="24"/>
                <w:lang w:val="en-US"/>
              </w:rPr>
            </w:pPr>
            <w:r w:rsidRPr="00592BFD">
              <w:rPr>
                <w:rFonts w:cs="Calibri"/>
                <w:b/>
                <w:bCs/>
                <w:szCs w:val="24"/>
                <w:lang w:val="en-US"/>
              </w:rPr>
              <w:t>Recommendation n. 16.</w:t>
            </w:r>
          </w:p>
          <w:p w14:paraId="419FE23B" w14:textId="77777777" w:rsidR="001C6B2C" w:rsidRPr="00592BFD" w:rsidRDefault="001C6B2C" w:rsidP="00332767">
            <w:pPr>
              <w:rPr>
                <w:rFonts w:cs="Calibri"/>
                <w:szCs w:val="24"/>
                <w:lang w:val="en-US"/>
              </w:rPr>
            </w:pPr>
            <w:r w:rsidRPr="00592BFD">
              <w:rPr>
                <w:rFonts w:cs="Calibri"/>
                <w:szCs w:val="24"/>
                <w:lang w:val="en-US"/>
              </w:rPr>
              <w:t>We recommend, in order to enhance internal controls, implementing urgently specific rules over SSA.</w:t>
            </w:r>
          </w:p>
        </w:tc>
        <w:tc>
          <w:tcPr>
            <w:tcW w:w="1559" w:type="dxa"/>
          </w:tcPr>
          <w:p w14:paraId="2DB6CECC" w14:textId="77777777" w:rsidR="001C6B2C" w:rsidRPr="00592BFD" w:rsidRDefault="001C6B2C" w:rsidP="00332767">
            <w:pPr>
              <w:rPr>
                <w:rFonts w:cs="Calibri"/>
                <w:szCs w:val="24"/>
                <w:lang w:val="en-US"/>
              </w:rPr>
            </w:pPr>
            <w:r w:rsidRPr="00592BFD">
              <w:rPr>
                <w:rFonts w:cs="Calibri"/>
                <w:szCs w:val="24"/>
                <w:lang w:val="en-US"/>
              </w:rPr>
              <w:t>BDT</w:t>
            </w:r>
          </w:p>
        </w:tc>
        <w:tc>
          <w:tcPr>
            <w:tcW w:w="3969" w:type="dxa"/>
          </w:tcPr>
          <w:p w14:paraId="59282806" w14:textId="77777777" w:rsidR="001C6B2C" w:rsidRPr="00592BFD" w:rsidRDefault="001C6B2C" w:rsidP="00332767">
            <w:pPr>
              <w:rPr>
                <w:rFonts w:cs="Calibri"/>
                <w:szCs w:val="24"/>
                <w:lang w:val="en-US"/>
              </w:rPr>
            </w:pPr>
            <w:r w:rsidRPr="00592BFD">
              <w:rPr>
                <w:rFonts w:cs="Calibri"/>
                <w:szCs w:val="24"/>
                <w:lang w:val="en-US"/>
              </w:rPr>
              <w:t>A system for managing SSA performance has been implemented in BDT on a global basis. Regional and Area Office staff are being reminded to adhere to these requirements.</w:t>
            </w:r>
          </w:p>
        </w:tc>
        <w:tc>
          <w:tcPr>
            <w:tcW w:w="1985" w:type="dxa"/>
          </w:tcPr>
          <w:p w14:paraId="749445B1" w14:textId="77777777" w:rsidR="001C6B2C" w:rsidRPr="00592BFD" w:rsidRDefault="001C6B2C" w:rsidP="00332767">
            <w:pPr>
              <w:rPr>
                <w:rFonts w:cs="Calibri"/>
                <w:szCs w:val="24"/>
                <w:lang w:val="en-US"/>
              </w:rPr>
            </w:pPr>
            <w:r w:rsidRPr="00592BFD">
              <w:rPr>
                <w:rFonts w:cs="Calibri"/>
                <w:szCs w:val="24"/>
                <w:lang w:val="en-US"/>
              </w:rPr>
              <w:t>IMPLEMENTED</w:t>
            </w:r>
          </w:p>
        </w:tc>
        <w:tc>
          <w:tcPr>
            <w:tcW w:w="2977" w:type="dxa"/>
          </w:tcPr>
          <w:p w14:paraId="77429D7F" w14:textId="77777777" w:rsidR="001C6B2C" w:rsidRPr="00592BFD" w:rsidRDefault="001C6B2C" w:rsidP="00332767">
            <w:pPr>
              <w:rPr>
                <w:rFonts w:cs="Calibri"/>
                <w:szCs w:val="24"/>
                <w:lang w:val="en-US"/>
              </w:rPr>
            </w:pPr>
          </w:p>
        </w:tc>
      </w:tr>
      <w:tr w:rsidR="001C6B2C" w:rsidRPr="00592BFD" w14:paraId="4CC62175" w14:textId="77777777" w:rsidTr="4A1B70B7">
        <w:tc>
          <w:tcPr>
            <w:tcW w:w="3539" w:type="dxa"/>
          </w:tcPr>
          <w:p w14:paraId="273AB55C" w14:textId="77777777" w:rsidR="001C6B2C" w:rsidRPr="00592BFD" w:rsidRDefault="001C6B2C" w:rsidP="00332767">
            <w:pPr>
              <w:rPr>
                <w:rFonts w:cs="Calibri"/>
                <w:b/>
                <w:bCs/>
                <w:szCs w:val="24"/>
                <w:lang w:val="en-US"/>
              </w:rPr>
            </w:pPr>
            <w:r w:rsidRPr="00592BFD">
              <w:rPr>
                <w:rFonts w:cs="Calibri"/>
                <w:b/>
                <w:bCs/>
                <w:szCs w:val="24"/>
                <w:lang w:val="en-US"/>
              </w:rPr>
              <w:lastRenderedPageBreak/>
              <w:t>Recommendation n. 17.</w:t>
            </w:r>
          </w:p>
          <w:p w14:paraId="124C531B" w14:textId="77777777" w:rsidR="001C6B2C" w:rsidRPr="00592BFD" w:rsidRDefault="001C6B2C" w:rsidP="00332767">
            <w:pPr>
              <w:rPr>
                <w:rFonts w:cs="Calibri"/>
                <w:szCs w:val="24"/>
                <w:lang w:val="en-US"/>
              </w:rPr>
            </w:pPr>
            <w:r w:rsidRPr="00592BFD">
              <w:rPr>
                <w:rFonts w:cs="Calibri"/>
                <w:szCs w:val="24"/>
                <w:lang w:val="en-US"/>
              </w:rPr>
              <w:t>We recommend implementation of a rotation policy, which provide for a specific regulatory framework related to regional presence, where P staff and Directors should rotate in short intervals, according to international good practices.</w:t>
            </w:r>
          </w:p>
        </w:tc>
        <w:tc>
          <w:tcPr>
            <w:tcW w:w="1559" w:type="dxa"/>
          </w:tcPr>
          <w:p w14:paraId="151CEDA1" w14:textId="77777777" w:rsidR="001C6B2C" w:rsidRPr="00592BFD" w:rsidRDefault="001C6B2C" w:rsidP="00332767">
            <w:pPr>
              <w:rPr>
                <w:rFonts w:cs="Calibri"/>
                <w:szCs w:val="24"/>
                <w:lang w:val="en-US"/>
              </w:rPr>
            </w:pPr>
            <w:r w:rsidRPr="00592BFD">
              <w:rPr>
                <w:rFonts w:cs="Calibri"/>
                <w:szCs w:val="24"/>
                <w:lang w:val="en-US"/>
              </w:rPr>
              <w:t>HRMD</w:t>
            </w:r>
          </w:p>
        </w:tc>
        <w:tc>
          <w:tcPr>
            <w:tcW w:w="3969" w:type="dxa"/>
          </w:tcPr>
          <w:p w14:paraId="11D50385" w14:textId="6AA83C5D" w:rsidR="001C6B2C" w:rsidRPr="00592BFD" w:rsidRDefault="001C6B2C" w:rsidP="00332767">
            <w:pPr>
              <w:rPr>
                <w:rFonts w:cs="Calibri"/>
                <w:szCs w:val="24"/>
                <w:lang w:val="en-US"/>
              </w:rPr>
            </w:pPr>
            <w:r w:rsidRPr="00592BFD">
              <w:rPr>
                <w:rFonts w:cs="Calibri"/>
                <w:szCs w:val="24"/>
                <w:lang w:val="en-US"/>
              </w:rPr>
              <w:t xml:space="preserve">This is being </w:t>
            </w:r>
            <w:r w:rsidR="00525601" w:rsidRPr="00592BFD">
              <w:rPr>
                <w:rFonts w:cs="Calibri"/>
                <w:szCs w:val="24"/>
                <w:lang w:val="en-US"/>
              </w:rPr>
              <w:t>considered as part of the ITU transformation initiatives</w:t>
            </w:r>
            <w:r w:rsidRPr="00592BFD">
              <w:rPr>
                <w:rFonts w:cs="Calibri"/>
                <w:szCs w:val="24"/>
                <w:lang w:val="en-US"/>
              </w:rPr>
              <w:t>.</w:t>
            </w:r>
          </w:p>
        </w:tc>
        <w:tc>
          <w:tcPr>
            <w:tcW w:w="1985" w:type="dxa"/>
          </w:tcPr>
          <w:p w14:paraId="33F4CA7A" w14:textId="77777777" w:rsidR="001C6B2C" w:rsidRPr="00592BFD" w:rsidRDefault="001C6B2C" w:rsidP="00332767">
            <w:pPr>
              <w:rPr>
                <w:rFonts w:cs="Calibri"/>
                <w:szCs w:val="24"/>
                <w:lang w:val="en-US"/>
              </w:rPr>
            </w:pPr>
            <w:r w:rsidRPr="00592BFD">
              <w:rPr>
                <w:rFonts w:cs="Calibri"/>
                <w:szCs w:val="24"/>
                <w:lang w:val="en-US"/>
              </w:rPr>
              <w:t>IN PROGRESS</w:t>
            </w:r>
          </w:p>
        </w:tc>
        <w:tc>
          <w:tcPr>
            <w:tcW w:w="2977" w:type="dxa"/>
          </w:tcPr>
          <w:p w14:paraId="510876E5" w14:textId="1A503EB2" w:rsidR="001C6B2C" w:rsidRPr="00592BFD" w:rsidRDefault="00B742F6" w:rsidP="00332767">
            <w:pPr>
              <w:rPr>
                <w:rFonts w:cs="Calibri"/>
                <w:szCs w:val="24"/>
                <w:lang w:val="en-US"/>
              </w:rPr>
            </w:pPr>
            <w:r w:rsidRPr="00592BFD">
              <w:rPr>
                <w:rFonts w:cs="Calibri"/>
                <w:szCs w:val="24"/>
                <w:lang w:val="en-US"/>
              </w:rPr>
              <w:t xml:space="preserve">Timelines </w:t>
            </w:r>
            <w:r w:rsidR="00797695" w:rsidRPr="00592BFD">
              <w:rPr>
                <w:rFonts w:cs="Calibri"/>
                <w:szCs w:val="24"/>
                <w:lang w:val="en-US"/>
              </w:rPr>
              <w:t xml:space="preserve">to </w:t>
            </w:r>
            <w:r w:rsidR="001E7B87" w:rsidRPr="00592BFD">
              <w:rPr>
                <w:rFonts w:cs="Calibri"/>
                <w:szCs w:val="24"/>
                <w:lang w:val="en-US"/>
              </w:rPr>
              <w:t>be established.</w:t>
            </w:r>
          </w:p>
        </w:tc>
      </w:tr>
      <w:tr w:rsidR="001C6B2C" w:rsidRPr="00592BFD" w14:paraId="24EE97FF" w14:textId="77777777" w:rsidTr="4A1B70B7">
        <w:tc>
          <w:tcPr>
            <w:tcW w:w="3539" w:type="dxa"/>
          </w:tcPr>
          <w:p w14:paraId="67FE5F6A" w14:textId="77777777" w:rsidR="001C6B2C" w:rsidRPr="00592BFD" w:rsidRDefault="001C6B2C" w:rsidP="00332767">
            <w:pPr>
              <w:rPr>
                <w:rFonts w:cs="Calibri"/>
                <w:b/>
                <w:bCs/>
                <w:szCs w:val="24"/>
                <w:lang w:val="en-US"/>
              </w:rPr>
            </w:pPr>
            <w:r w:rsidRPr="00592BFD">
              <w:rPr>
                <w:rFonts w:cs="Calibri"/>
                <w:b/>
                <w:bCs/>
                <w:szCs w:val="24"/>
                <w:lang w:val="en-US"/>
              </w:rPr>
              <w:t>Recommendation n. 18.</w:t>
            </w:r>
          </w:p>
          <w:p w14:paraId="249F6483" w14:textId="77777777" w:rsidR="001C6B2C" w:rsidRPr="00592BFD" w:rsidRDefault="001C6B2C" w:rsidP="00332767">
            <w:pPr>
              <w:rPr>
                <w:rFonts w:cs="Calibri"/>
                <w:szCs w:val="24"/>
                <w:lang w:val="en-US"/>
              </w:rPr>
            </w:pPr>
            <w:r w:rsidRPr="00592BFD">
              <w:rPr>
                <w:rFonts w:cs="Calibri"/>
                <w:szCs w:val="24"/>
                <w:lang w:val="en-US"/>
              </w:rPr>
              <w:t xml:space="preserve">In line with our rec. 17, we recommend an effective staff rotation, in order to avoid: (i) potential conflict of interests in case consultants (under SSA) and P and D staff work in the same Region and/or Member state where they have their citizenship, or in case of previous relations with donors (familiar, former employment, etc.); (ii) that they might have a position in that geographical area that could influence the technical choice of one technology comparing to </w:t>
            </w:r>
            <w:r w:rsidRPr="00592BFD">
              <w:rPr>
                <w:rFonts w:cs="Calibri"/>
                <w:szCs w:val="24"/>
                <w:lang w:val="en-US"/>
              </w:rPr>
              <w:lastRenderedPageBreak/>
              <w:t xml:space="preserve">others; (iii) they might represent ITU in their home country. </w:t>
            </w:r>
          </w:p>
        </w:tc>
        <w:tc>
          <w:tcPr>
            <w:tcW w:w="1559" w:type="dxa"/>
          </w:tcPr>
          <w:p w14:paraId="11DFCADD" w14:textId="77777777" w:rsidR="001C6B2C" w:rsidRPr="00592BFD" w:rsidRDefault="001C6B2C" w:rsidP="00332767">
            <w:pPr>
              <w:rPr>
                <w:rFonts w:cs="Calibri"/>
                <w:szCs w:val="24"/>
                <w:lang w:val="en-US"/>
              </w:rPr>
            </w:pPr>
            <w:r w:rsidRPr="00592BFD">
              <w:rPr>
                <w:rFonts w:cs="Calibri"/>
                <w:szCs w:val="24"/>
                <w:lang w:val="en-US"/>
              </w:rPr>
              <w:lastRenderedPageBreak/>
              <w:t>HRMD</w:t>
            </w:r>
          </w:p>
        </w:tc>
        <w:tc>
          <w:tcPr>
            <w:tcW w:w="3969" w:type="dxa"/>
          </w:tcPr>
          <w:p w14:paraId="51762885" w14:textId="219BC4F6" w:rsidR="001C6B2C" w:rsidRPr="00592BFD" w:rsidRDefault="00525601" w:rsidP="00332767">
            <w:pPr>
              <w:rPr>
                <w:rFonts w:cs="Calibri"/>
                <w:szCs w:val="24"/>
                <w:lang w:val="en-US"/>
              </w:rPr>
            </w:pPr>
            <w:r w:rsidRPr="00592BFD">
              <w:rPr>
                <w:rFonts w:cs="Calibri"/>
                <w:szCs w:val="24"/>
                <w:lang w:val="en-US"/>
              </w:rPr>
              <w:t>This is being considered as part of the ITU transformation initiatives.</w:t>
            </w:r>
          </w:p>
        </w:tc>
        <w:tc>
          <w:tcPr>
            <w:tcW w:w="1985" w:type="dxa"/>
          </w:tcPr>
          <w:p w14:paraId="3CFD64E9" w14:textId="77777777" w:rsidR="001C6B2C" w:rsidRPr="00592BFD" w:rsidRDefault="001C6B2C" w:rsidP="00332767">
            <w:pPr>
              <w:rPr>
                <w:rFonts w:cs="Calibri"/>
                <w:szCs w:val="24"/>
                <w:lang w:val="en-US"/>
              </w:rPr>
            </w:pPr>
            <w:r w:rsidRPr="00592BFD">
              <w:rPr>
                <w:rFonts w:cs="Calibri"/>
                <w:szCs w:val="24"/>
                <w:lang w:val="en-US"/>
              </w:rPr>
              <w:t>IN PROGRESS</w:t>
            </w:r>
          </w:p>
        </w:tc>
        <w:tc>
          <w:tcPr>
            <w:tcW w:w="2977" w:type="dxa"/>
          </w:tcPr>
          <w:p w14:paraId="60151C61" w14:textId="1381F787" w:rsidR="001C6B2C" w:rsidRPr="00592BFD" w:rsidRDefault="001E7B87" w:rsidP="00332767">
            <w:pPr>
              <w:rPr>
                <w:rFonts w:cs="Calibri"/>
                <w:szCs w:val="24"/>
                <w:lang w:val="en-US"/>
              </w:rPr>
            </w:pPr>
            <w:r w:rsidRPr="00592BFD">
              <w:rPr>
                <w:rFonts w:cs="Calibri"/>
                <w:szCs w:val="24"/>
                <w:lang w:val="en-US"/>
              </w:rPr>
              <w:t>Timelines to be established.</w:t>
            </w:r>
          </w:p>
        </w:tc>
      </w:tr>
      <w:tr w:rsidR="001C6B2C" w:rsidRPr="00592BFD" w14:paraId="21F277E6" w14:textId="77777777" w:rsidTr="4A1B70B7">
        <w:tc>
          <w:tcPr>
            <w:tcW w:w="3539" w:type="dxa"/>
          </w:tcPr>
          <w:p w14:paraId="7049D48C" w14:textId="77777777" w:rsidR="001C6B2C" w:rsidRPr="00592BFD" w:rsidRDefault="001C6B2C" w:rsidP="00332767">
            <w:pPr>
              <w:rPr>
                <w:rFonts w:cs="Calibri"/>
                <w:b/>
                <w:bCs/>
                <w:szCs w:val="24"/>
                <w:lang w:val="en-US"/>
              </w:rPr>
            </w:pPr>
            <w:r w:rsidRPr="00592BFD">
              <w:rPr>
                <w:rFonts w:cs="Calibri"/>
                <w:b/>
                <w:bCs/>
                <w:szCs w:val="24"/>
                <w:lang w:val="en-US"/>
              </w:rPr>
              <w:t>Recommendation n. 19.</w:t>
            </w:r>
          </w:p>
          <w:p w14:paraId="5B6BE091" w14:textId="77777777" w:rsidR="001C6B2C" w:rsidRPr="00592BFD" w:rsidRDefault="001C6B2C" w:rsidP="00332767">
            <w:pPr>
              <w:rPr>
                <w:rFonts w:cs="Calibri"/>
                <w:szCs w:val="24"/>
                <w:lang w:val="en-US"/>
              </w:rPr>
            </w:pPr>
            <w:r w:rsidRPr="00592BFD">
              <w:rPr>
                <w:rFonts w:cs="Calibri"/>
                <w:szCs w:val="24"/>
                <w:lang w:val="en-US"/>
              </w:rPr>
              <w:t>In order to improve monitoring of expenditures executed by ROs and AOs, we recommend updating the SAP system or finding a solution that allow to extract timely information per Purchase orders, in a way that Headquarter could start an effective monitoring of level of expenditures performed at regional level.</w:t>
            </w:r>
          </w:p>
        </w:tc>
        <w:tc>
          <w:tcPr>
            <w:tcW w:w="1559" w:type="dxa"/>
          </w:tcPr>
          <w:p w14:paraId="5492EF1E" w14:textId="77777777" w:rsidR="001C6B2C" w:rsidRPr="00592BFD" w:rsidRDefault="001C6B2C" w:rsidP="00332767">
            <w:pPr>
              <w:rPr>
                <w:rFonts w:cs="Calibri"/>
                <w:szCs w:val="24"/>
                <w:lang w:val="en-US"/>
              </w:rPr>
            </w:pPr>
            <w:r w:rsidRPr="00592BFD">
              <w:rPr>
                <w:rFonts w:cs="Calibri"/>
                <w:szCs w:val="24"/>
                <w:lang w:val="en-US"/>
              </w:rPr>
              <w:t>ISD/FRMD</w:t>
            </w:r>
          </w:p>
        </w:tc>
        <w:tc>
          <w:tcPr>
            <w:tcW w:w="3969" w:type="dxa"/>
          </w:tcPr>
          <w:p w14:paraId="23EC46F0" w14:textId="77777777" w:rsidR="001C6B2C" w:rsidRPr="00592BFD" w:rsidRDefault="001C6B2C" w:rsidP="00332767">
            <w:pPr>
              <w:rPr>
                <w:rFonts w:cs="Calibri"/>
                <w:szCs w:val="24"/>
                <w:lang w:val="en-US"/>
              </w:rPr>
            </w:pPr>
            <w:r w:rsidRPr="00592BFD">
              <w:rPr>
                <w:rFonts w:cs="Calibri"/>
                <w:szCs w:val="24"/>
                <w:lang w:val="en-US"/>
              </w:rPr>
              <w:t>The update of SAP is being implemented as part of the overall ITU transformation initiative.</w:t>
            </w:r>
          </w:p>
        </w:tc>
        <w:tc>
          <w:tcPr>
            <w:tcW w:w="1985" w:type="dxa"/>
          </w:tcPr>
          <w:p w14:paraId="3A6A3463" w14:textId="77777777" w:rsidR="001C6B2C" w:rsidRPr="00592BFD" w:rsidRDefault="001C6B2C" w:rsidP="00332767">
            <w:pPr>
              <w:rPr>
                <w:rFonts w:cs="Calibri"/>
                <w:szCs w:val="24"/>
                <w:lang w:val="en-US"/>
              </w:rPr>
            </w:pPr>
            <w:r w:rsidRPr="00592BFD">
              <w:rPr>
                <w:rFonts w:cs="Calibri"/>
                <w:szCs w:val="24"/>
                <w:lang w:val="en-US"/>
              </w:rPr>
              <w:t>IN PROGRESS</w:t>
            </w:r>
          </w:p>
        </w:tc>
        <w:tc>
          <w:tcPr>
            <w:tcW w:w="2977" w:type="dxa"/>
          </w:tcPr>
          <w:p w14:paraId="17689395" w14:textId="66654AFC" w:rsidR="001C6B2C" w:rsidRPr="00592BFD" w:rsidRDefault="001E7B87" w:rsidP="00332767">
            <w:pPr>
              <w:rPr>
                <w:rFonts w:cs="Calibri"/>
                <w:szCs w:val="24"/>
                <w:lang w:val="en-US"/>
              </w:rPr>
            </w:pPr>
            <w:r w:rsidRPr="00592BFD">
              <w:rPr>
                <w:rFonts w:cs="Calibri"/>
                <w:szCs w:val="24"/>
                <w:lang w:val="en-US"/>
              </w:rPr>
              <w:t>Timelines to be advised.</w:t>
            </w:r>
          </w:p>
        </w:tc>
      </w:tr>
      <w:tr w:rsidR="001C6B2C" w:rsidRPr="00592BFD" w14:paraId="6740690C" w14:textId="77777777" w:rsidTr="4A1B70B7">
        <w:tc>
          <w:tcPr>
            <w:tcW w:w="3539" w:type="dxa"/>
          </w:tcPr>
          <w:p w14:paraId="6DEE71F1" w14:textId="77777777" w:rsidR="001C6B2C" w:rsidRPr="00592BFD" w:rsidRDefault="001C6B2C" w:rsidP="00332767">
            <w:pPr>
              <w:rPr>
                <w:rFonts w:cs="Calibri"/>
                <w:b/>
                <w:bCs/>
                <w:szCs w:val="24"/>
                <w:lang w:val="en-US"/>
              </w:rPr>
            </w:pPr>
            <w:r w:rsidRPr="00592BFD">
              <w:rPr>
                <w:rFonts w:cs="Calibri"/>
                <w:b/>
                <w:bCs/>
                <w:szCs w:val="24"/>
                <w:lang w:val="en-US"/>
              </w:rPr>
              <w:t>Recommendation n. 20.</w:t>
            </w:r>
          </w:p>
          <w:p w14:paraId="6F961E03" w14:textId="1D5E3116" w:rsidR="001C6B2C" w:rsidRPr="00592BFD" w:rsidRDefault="001C6B2C" w:rsidP="00332767">
            <w:pPr>
              <w:rPr>
                <w:rFonts w:cs="Calibri"/>
                <w:szCs w:val="24"/>
                <w:lang w:val="en-US"/>
              </w:rPr>
            </w:pPr>
            <w:r w:rsidRPr="00592BFD">
              <w:rPr>
                <w:rFonts w:cs="Calibri"/>
                <w:szCs w:val="24"/>
                <w:lang w:val="en-US"/>
              </w:rPr>
              <w:t>We recommend urgently establishing key internal controls that could perform an effective monitoring and not only timely implementing effective corrective actions, but also blocking and/or refusing payments, when deemed necessary.</w:t>
            </w:r>
          </w:p>
        </w:tc>
        <w:tc>
          <w:tcPr>
            <w:tcW w:w="1559" w:type="dxa"/>
          </w:tcPr>
          <w:p w14:paraId="6D0A55D8" w14:textId="77777777" w:rsidR="001C6B2C" w:rsidRPr="00592BFD" w:rsidRDefault="001C6B2C" w:rsidP="00332767">
            <w:pPr>
              <w:rPr>
                <w:rFonts w:cs="Calibri"/>
                <w:szCs w:val="24"/>
                <w:lang w:val="en-US"/>
              </w:rPr>
            </w:pPr>
            <w:r w:rsidRPr="00592BFD">
              <w:rPr>
                <w:rFonts w:cs="Calibri"/>
                <w:szCs w:val="24"/>
                <w:lang w:val="en-US"/>
              </w:rPr>
              <w:t>ITU AMS RO/ PROC</w:t>
            </w:r>
          </w:p>
        </w:tc>
        <w:tc>
          <w:tcPr>
            <w:tcW w:w="3969" w:type="dxa"/>
          </w:tcPr>
          <w:p w14:paraId="408C29F1" w14:textId="1D7A82B6" w:rsidR="001C6B2C" w:rsidRPr="00592BFD" w:rsidRDefault="001C6B2C" w:rsidP="00332767">
            <w:pPr>
              <w:rPr>
                <w:rFonts w:cs="Calibri"/>
                <w:szCs w:val="24"/>
                <w:lang w:val="en-US"/>
              </w:rPr>
            </w:pPr>
            <w:r w:rsidRPr="00592BFD">
              <w:rPr>
                <w:rFonts w:cs="Calibri"/>
                <w:szCs w:val="24"/>
                <w:lang w:val="en-US"/>
              </w:rPr>
              <w:t xml:space="preserve">This has been noted. It should be noted that the </w:t>
            </w:r>
            <w:r w:rsidR="001E027C" w:rsidRPr="00592BFD">
              <w:rPr>
                <w:rFonts w:cs="Calibri"/>
                <w:szCs w:val="24"/>
                <w:lang w:val="en-US"/>
              </w:rPr>
              <w:t>problems identified in the audit</w:t>
            </w:r>
            <w:r w:rsidRPr="00592BFD">
              <w:rPr>
                <w:rFonts w:cs="Calibri"/>
                <w:szCs w:val="24"/>
                <w:lang w:val="en-US"/>
              </w:rPr>
              <w:t xml:space="preserve"> pre-date the revision of ITU’s Procurement Manual</w:t>
            </w:r>
            <w:r w:rsidR="001E027C" w:rsidRPr="00592BFD">
              <w:rPr>
                <w:rFonts w:cs="Calibri"/>
                <w:szCs w:val="24"/>
                <w:lang w:val="en-US"/>
              </w:rPr>
              <w:t xml:space="preserve"> and implementation of new procurement processes</w:t>
            </w:r>
            <w:r w:rsidRPr="00592BFD">
              <w:rPr>
                <w:rFonts w:cs="Calibri"/>
                <w:szCs w:val="24"/>
                <w:lang w:val="en-US"/>
              </w:rPr>
              <w:t>.</w:t>
            </w:r>
            <w:r w:rsidR="005C5110" w:rsidRPr="00592BFD">
              <w:rPr>
                <w:rFonts w:cs="Calibri"/>
                <w:szCs w:val="24"/>
                <w:lang w:val="en-US"/>
              </w:rPr>
              <w:t xml:space="preserve"> </w:t>
            </w:r>
            <w:r w:rsidR="003C2343" w:rsidRPr="00592BFD">
              <w:rPr>
                <w:rFonts w:cs="Calibri"/>
                <w:szCs w:val="24"/>
                <w:lang w:val="en-US"/>
              </w:rPr>
              <w:t xml:space="preserve">The </w:t>
            </w:r>
            <w:r w:rsidR="009F07EA" w:rsidRPr="00592BFD">
              <w:rPr>
                <w:rFonts w:cs="Calibri"/>
                <w:szCs w:val="24"/>
                <w:lang w:val="en-US"/>
              </w:rPr>
              <w:t>S</w:t>
            </w:r>
            <w:r w:rsidR="003C2343" w:rsidRPr="00592BFD">
              <w:rPr>
                <w:rFonts w:cs="Calibri"/>
                <w:szCs w:val="24"/>
                <w:lang w:val="en-US"/>
              </w:rPr>
              <w:t>ecretariat</w:t>
            </w:r>
            <w:r w:rsidR="009F07EA" w:rsidRPr="00592BFD">
              <w:rPr>
                <w:rFonts w:cs="Calibri"/>
                <w:szCs w:val="24"/>
                <w:lang w:val="en-US"/>
              </w:rPr>
              <w:t xml:space="preserve"> has reviewed this issue and considers that the current framework adequately addresses the risks, as noted further below.</w:t>
            </w:r>
          </w:p>
        </w:tc>
        <w:tc>
          <w:tcPr>
            <w:tcW w:w="1985" w:type="dxa"/>
          </w:tcPr>
          <w:p w14:paraId="5C31E0BC" w14:textId="340B9D0D" w:rsidR="001C6B2C" w:rsidRPr="00592BFD" w:rsidRDefault="001C6B2C" w:rsidP="00332767">
            <w:pPr>
              <w:rPr>
                <w:rFonts w:cs="Calibri"/>
                <w:szCs w:val="24"/>
                <w:lang w:val="en-US"/>
              </w:rPr>
            </w:pPr>
            <w:r w:rsidRPr="00592BFD">
              <w:rPr>
                <w:rFonts w:cs="Calibri"/>
                <w:szCs w:val="24"/>
                <w:lang w:val="en-US"/>
              </w:rPr>
              <w:t>IMPLEMENTED</w:t>
            </w:r>
          </w:p>
        </w:tc>
        <w:tc>
          <w:tcPr>
            <w:tcW w:w="2977" w:type="dxa"/>
          </w:tcPr>
          <w:p w14:paraId="00877281" w14:textId="77777777" w:rsidR="001C6B2C" w:rsidRPr="00592BFD" w:rsidRDefault="001C6B2C" w:rsidP="00332767">
            <w:pPr>
              <w:rPr>
                <w:rFonts w:cs="Calibri"/>
                <w:szCs w:val="24"/>
                <w:lang w:val="en-US"/>
              </w:rPr>
            </w:pPr>
          </w:p>
        </w:tc>
      </w:tr>
      <w:tr w:rsidR="001C6B2C" w:rsidRPr="00592BFD" w14:paraId="34D7A747" w14:textId="77777777" w:rsidTr="4A1B70B7">
        <w:tc>
          <w:tcPr>
            <w:tcW w:w="3539" w:type="dxa"/>
          </w:tcPr>
          <w:p w14:paraId="2D0AD551" w14:textId="77777777" w:rsidR="001C6B2C" w:rsidRPr="00592BFD" w:rsidRDefault="001C6B2C" w:rsidP="00332767">
            <w:pPr>
              <w:rPr>
                <w:rFonts w:cs="Calibri"/>
                <w:b/>
                <w:bCs/>
                <w:szCs w:val="24"/>
                <w:lang w:val="en-US"/>
              </w:rPr>
            </w:pPr>
            <w:r w:rsidRPr="00592BFD">
              <w:rPr>
                <w:rFonts w:cs="Calibri"/>
                <w:b/>
                <w:bCs/>
                <w:szCs w:val="24"/>
                <w:lang w:val="en-US"/>
              </w:rPr>
              <w:t>Recommendation n. 21.</w:t>
            </w:r>
          </w:p>
          <w:p w14:paraId="13A64F35" w14:textId="77777777" w:rsidR="001C6B2C" w:rsidRPr="00592BFD" w:rsidRDefault="001C6B2C" w:rsidP="00332767">
            <w:pPr>
              <w:rPr>
                <w:rFonts w:cs="Calibri"/>
                <w:szCs w:val="24"/>
                <w:lang w:val="en-US"/>
              </w:rPr>
            </w:pPr>
            <w:r w:rsidRPr="00592BFD">
              <w:rPr>
                <w:rFonts w:cs="Calibri"/>
                <w:szCs w:val="24"/>
                <w:lang w:val="en-US"/>
              </w:rPr>
              <w:lastRenderedPageBreak/>
              <w:t>We recommend that the Procurement Manual should clarify and reassess which should be the role of the donor and the beneficiary in the selection of the suppliers, in order also to avoid potential conflict of interests among donor, supplier, and ITU, with the aim to minimize the reputational risks for ITU in case this potential conflict of interests will end in a real conflict of interest, and then increase the fraud risk.</w:t>
            </w:r>
          </w:p>
          <w:p w14:paraId="6E39625E" w14:textId="77777777" w:rsidR="001C6B2C" w:rsidRPr="00592BFD" w:rsidRDefault="001C6B2C" w:rsidP="00332767">
            <w:pPr>
              <w:rPr>
                <w:rFonts w:cs="Calibri"/>
                <w:szCs w:val="24"/>
                <w:lang w:val="en-US"/>
              </w:rPr>
            </w:pPr>
          </w:p>
          <w:p w14:paraId="2A7FA03E" w14:textId="77777777" w:rsidR="001C6B2C" w:rsidRPr="00592BFD" w:rsidRDefault="001C6B2C" w:rsidP="00332767">
            <w:pPr>
              <w:rPr>
                <w:rFonts w:cs="Calibri"/>
                <w:szCs w:val="24"/>
                <w:lang w:val="en-US"/>
              </w:rPr>
            </w:pPr>
            <w:r w:rsidRPr="00592BFD">
              <w:rPr>
                <w:rFonts w:cs="Calibri"/>
                <w:szCs w:val="24"/>
                <w:lang w:val="en-US"/>
              </w:rPr>
              <w:t>We recommend that, for technical cooperation and assistance projects:</w:t>
            </w:r>
          </w:p>
          <w:p w14:paraId="7D333A2B" w14:textId="77777777" w:rsidR="001C6B2C" w:rsidRPr="00592BFD" w:rsidRDefault="001C6B2C" w:rsidP="00332767">
            <w:pPr>
              <w:rPr>
                <w:rFonts w:cs="Calibri"/>
                <w:szCs w:val="24"/>
                <w:lang w:val="en-US"/>
              </w:rPr>
            </w:pPr>
            <w:r w:rsidRPr="00592BFD">
              <w:rPr>
                <w:rFonts w:cs="Calibri"/>
                <w:szCs w:val="24"/>
                <w:lang w:val="en-US"/>
              </w:rPr>
              <w:t xml:space="preserve">i. if ITU has not the capacity to write the Term of References and they are written by the donor, the donor should sign a declaration of absence of conflict of interest, to be assessed by independent staff, who have a real capacity of such assessment, </w:t>
            </w:r>
            <w:r w:rsidRPr="00592BFD">
              <w:rPr>
                <w:rFonts w:cs="Calibri"/>
                <w:szCs w:val="24"/>
                <w:lang w:val="en-US"/>
              </w:rPr>
              <w:lastRenderedPageBreak/>
              <w:t>according to the ITU oversight framework.</w:t>
            </w:r>
          </w:p>
          <w:p w14:paraId="314B870C" w14:textId="72FFACF1" w:rsidR="001C6B2C" w:rsidRPr="00592BFD" w:rsidRDefault="001C6B2C" w:rsidP="4A1B70B7">
            <w:pPr>
              <w:rPr>
                <w:rFonts w:cs="Calibri"/>
                <w:lang w:val="en-US"/>
              </w:rPr>
            </w:pPr>
            <w:r w:rsidRPr="4A1B70B7">
              <w:rPr>
                <w:rFonts w:cs="Calibri"/>
                <w:lang w:val="en-US"/>
              </w:rPr>
              <w:t>ii. in case representative from the donor are invited to sit in the</w:t>
            </w:r>
            <w:r w:rsidR="009B1E33">
              <w:rPr>
                <w:rFonts w:cs="Calibri"/>
                <w:lang w:val="en-US"/>
              </w:rPr>
              <w:t xml:space="preserve"> Technical Evaluation Panel (</w:t>
            </w:r>
            <w:r w:rsidRPr="4A1B70B7">
              <w:rPr>
                <w:rFonts w:cs="Calibri"/>
                <w:lang w:val="en-US"/>
              </w:rPr>
              <w:t>TEP</w:t>
            </w:r>
            <w:r w:rsidR="009B1E33">
              <w:rPr>
                <w:rFonts w:cs="Calibri"/>
                <w:lang w:val="en-US"/>
              </w:rPr>
              <w:t>)</w:t>
            </w:r>
            <w:r w:rsidRPr="4A1B70B7">
              <w:rPr>
                <w:rFonts w:cs="Calibri"/>
                <w:lang w:val="en-US"/>
              </w:rPr>
              <w:t>, they should not be possibly the same staff who wrote the Term of References;</w:t>
            </w:r>
          </w:p>
          <w:p w14:paraId="3988A1EA" w14:textId="77777777" w:rsidR="001C6B2C" w:rsidRPr="00592BFD" w:rsidRDefault="001C6B2C" w:rsidP="00332767">
            <w:pPr>
              <w:rPr>
                <w:rFonts w:cs="Calibri"/>
                <w:szCs w:val="24"/>
                <w:lang w:val="en-US"/>
              </w:rPr>
            </w:pPr>
            <w:r w:rsidRPr="00592BFD">
              <w:rPr>
                <w:rFonts w:cs="Calibri"/>
                <w:szCs w:val="24"/>
                <w:lang w:val="en-US"/>
              </w:rPr>
              <w:t>iii. in case ITU has not the capacity to write the Term of References and/or to perform a technical evaluation, (a) consultant(s) should be hired for writing the TOR and for being member of the TEP;</w:t>
            </w:r>
          </w:p>
          <w:p w14:paraId="49B85D95" w14:textId="23C1BBC9" w:rsidR="001C6B2C" w:rsidRPr="00592BFD" w:rsidRDefault="001C6B2C" w:rsidP="00332767">
            <w:pPr>
              <w:rPr>
                <w:rFonts w:cs="Calibri"/>
                <w:szCs w:val="24"/>
                <w:lang w:val="en-US"/>
              </w:rPr>
            </w:pPr>
            <w:r w:rsidRPr="00592BFD">
              <w:rPr>
                <w:rFonts w:cs="Calibri"/>
                <w:szCs w:val="24"/>
                <w:lang w:val="en-US"/>
              </w:rPr>
              <w:t xml:space="preserve">iv. the Procurement Manual should be modified, in order to clarify about the participation of the donor and the beneficiary in the </w:t>
            </w:r>
            <w:r w:rsidR="009B1E33">
              <w:rPr>
                <w:rFonts w:cs="Calibri"/>
                <w:szCs w:val="24"/>
                <w:lang w:val="en-US"/>
              </w:rPr>
              <w:t>TEP</w:t>
            </w:r>
            <w:r w:rsidRPr="00592BFD">
              <w:rPr>
                <w:rFonts w:cs="Calibri"/>
                <w:szCs w:val="24"/>
                <w:lang w:val="en-US"/>
              </w:rPr>
              <w:t xml:space="preserve"> (for example reading the Procurement Manual the role of the donor in the technical evaluation is completely unclear (active role or just observer).</w:t>
            </w:r>
          </w:p>
          <w:p w14:paraId="40EAF339" w14:textId="77777777" w:rsidR="001C6B2C" w:rsidRPr="00592BFD" w:rsidRDefault="001C6B2C" w:rsidP="00332767">
            <w:pPr>
              <w:rPr>
                <w:rFonts w:cs="Calibri"/>
                <w:szCs w:val="24"/>
                <w:lang w:val="en-US"/>
              </w:rPr>
            </w:pPr>
            <w:r w:rsidRPr="00592BFD">
              <w:rPr>
                <w:rFonts w:cs="Calibri"/>
                <w:szCs w:val="24"/>
                <w:lang w:val="en-US"/>
              </w:rPr>
              <w:t xml:space="preserve">v. if ITU has not the technical capacity to write a Project or the </w:t>
            </w:r>
            <w:r w:rsidRPr="00592BFD">
              <w:rPr>
                <w:rFonts w:cs="Calibri"/>
                <w:szCs w:val="24"/>
                <w:lang w:val="en-US"/>
              </w:rPr>
              <w:lastRenderedPageBreak/>
              <w:t>Terms of Reference and the related technical evaluation and this task is performed by the donor or the beneficiary, ITU should question the donor or beneficiary, in a written procedure, in order to have an explanation on why they want to have the project/procurement implemented through ITU, in order to have a transparent reason on why ITU has been involved in that specific project</w:t>
            </w:r>
          </w:p>
        </w:tc>
        <w:tc>
          <w:tcPr>
            <w:tcW w:w="1559" w:type="dxa"/>
          </w:tcPr>
          <w:p w14:paraId="1081A03C" w14:textId="77777777" w:rsidR="001C6B2C" w:rsidRPr="00592BFD" w:rsidRDefault="001C6B2C" w:rsidP="00332767">
            <w:pPr>
              <w:rPr>
                <w:rFonts w:cs="Calibri"/>
                <w:szCs w:val="24"/>
                <w:lang w:val="en-US"/>
              </w:rPr>
            </w:pPr>
            <w:r w:rsidRPr="00592BFD">
              <w:rPr>
                <w:rFonts w:cs="Calibri"/>
                <w:szCs w:val="24"/>
                <w:lang w:val="en-US"/>
              </w:rPr>
              <w:lastRenderedPageBreak/>
              <w:t>PROC/ ITU AMS RO</w:t>
            </w:r>
          </w:p>
        </w:tc>
        <w:tc>
          <w:tcPr>
            <w:tcW w:w="3969" w:type="dxa"/>
          </w:tcPr>
          <w:p w14:paraId="57ECDF0F" w14:textId="497EF2BB" w:rsidR="001C6B2C" w:rsidRPr="00592BFD" w:rsidRDefault="001C6B2C" w:rsidP="00332767">
            <w:pPr>
              <w:rPr>
                <w:rFonts w:cs="Calibri"/>
                <w:szCs w:val="24"/>
                <w:lang w:val="en-US"/>
              </w:rPr>
            </w:pPr>
            <w:r w:rsidRPr="00592BFD">
              <w:rPr>
                <w:rFonts w:cs="Calibri"/>
                <w:szCs w:val="24"/>
                <w:lang w:val="en-US"/>
              </w:rPr>
              <w:t xml:space="preserve">The recommendations have been noted. </w:t>
            </w:r>
            <w:r w:rsidR="003574F0" w:rsidRPr="00592BFD">
              <w:rPr>
                <w:rFonts w:cs="Calibri"/>
                <w:szCs w:val="24"/>
                <w:lang w:val="en-US"/>
              </w:rPr>
              <w:t xml:space="preserve">All cooperation agreements </w:t>
            </w:r>
            <w:r w:rsidR="003574F0" w:rsidRPr="00592BFD">
              <w:rPr>
                <w:rFonts w:cs="Calibri"/>
                <w:szCs w:val="24"/>
                <w:lang w:val="en-US"/>
              </w:rPr>
              <w:lastRenderedPageBreak/>
              <w:t>and project documents signed with funding partners (including for technical assistance) clearly define the application of all ITU rules and procedures in the implementation of such cooperation. This includes the application of ITU financial rules and regulation, ITU´s Project Management Manual and the ITU Procurement Manual, which define the clear independency of ITU to ensure that the sourcing of services for projects is done based on the principles of technical expertise, market competition and transparency.</w:t>
            </w:r>
            <w:r w:rsidR="003C2343" w:rsidRPr="00592BFD">
              <w:rPr>
                <w:rFonts w:cs="Calibri"/>
                <w:szCs w:val="24"/>
                <w:lang w:val="en-US"/>
              </w:rPr>
              <w:t xml:space="preserve"> This applies also to projects for technical assistance. The Secretariat considers that its current framework adequately addresses the risks identified. </w:t>
            </w:r>
          </w:p>
        </w:tc>
        <w:tc>
          <w:tcPr>
            <w:tcW w:w="1985" w:type="dxa"/>
          </w:tcPr>
          <w:p w14:paraId="3536244E" w14:textId="77777777" w:rsidR="001C6B2C" w:rsidRPr="00592BFD" w:rsidRDefault="001C6B2C" w:rsidP="00332767">
            <w:pPr>
              <w:rPr>
                <w:rFonts w:cs="Calibri"/>
                <w:szCs w:val="24"/>
                <w:lang w:val="en-US"/>
              </w:rPr>
            </w:pPr>
            <w:r w:rsidRPr="00592BFD">
              <w:rPr>
                <w:rFonts w:cs="Calibri"/>
                <w:szCs w:val="24"/>
                <w:lang w:val="en-US"/>
              </w:rPr>
              <w:lastRenderedPageBreak/>
              <w:t>IMPLEMENTED</w:t>
            </w:r>
          </w:p>
        </w:tc>
        <w:tc>
          <w:tcPr>
            <w:tcW w:w="2977" w:type="dxa"/>
          </w:tcPr>
          <w:p w14:paraId="70B206C4" w14:textId="77777777" w:rsidR="003C2343" w:rsidRPr="00592BFD" w:rsidRDefault="003C2343" w:rsidP="00332767">
            <w:pPr>
              <w:rPr>
                <w:rFonts w:cs="Calibri"/>
                <w:szCs w:val="24"/>
                <w:lang w:val="en-US"/>
              </w:rPr>
            </w:pPr>
            <w:r w:rsidRPr="00592BFD">
              <w:rPr>
                <w:rFonts w:cs="Calibri"/>
                <w:szCs w:val="24"/>
                <w:lang w:val="en-US"/>
              </w:rPr>
              <w:t xml:space="preserve">ITU will continue to strengthen the regulatory </w:t>
            </w:r>
            <w:r w:rsidRPr="00592BFD">
              <w:rPr>
                <w:rFonts w:cs="Calibri"/>
                <w:szCs w:val="24"/>
                <w:lang w:val="en-US"/>
              </w:rPr>
              <w:lastRenderedPageBreak/>
              <w:t>framework on conflicts of interest procedures (and declaration of interests), procurement procedures, as well as the effectiveness of the new measures introduced by the Working Group on internal controls. In addition, ITU will continue to implement the Accountability Framework adopted at the last session of the ITU Council, as well as the accompanying Service Order.</w:t>
            </w:r>
          </w:p>
          <w:p w14:paraId="791BA6B7" w14:textId="78BA8EAD" w:rsidR="001C6B2C" w:rsidRPr="00592BFD" w:rsidRDefault="00C2208E" w:rsidP="00332767">
            <w:pPr>
              <w:rPr>
                <w:rFonts w:cs="Calibri"/>
                <w:szCs w:val="24"/>
                <w:lang w:val="en-US"/>
              </w:rPr>
            </w:pPr>
            <w:r w:rsidRPr="00592BFD">
              <w:rPr>
                <w:rFonts w:cs="Calibri"/>
                <w:szCs w:val="24"/>
                <w:lang w:val="en-US"/>
              </w:rPr>
              <w:t>We will continue to review and reinforce these mechanisms to address any potential risks.</w:t>
            </w:r>
          </w:p>
        </w:tc>
      </w:tr>
      <w:tr w:rsidR="001C6B2C" w:rsidRPr="00592BFD" w14:paraId="2FE56B8D" w14:textId="77777777" w:rsidTr="4A1B70B7">
        <w:tc>
          <w:tcPr>
            <w:tcW w:w="3539" w:type="dxa"/>
          </w:tcPr>
          <w:p w14:paraId="50391EBE" w14:textId="77777777" w:rsidR="001C6B2C" w:rsidRPr="00592BFD" w:rsidRDefault="001C6B2C" w:rsidP="00332767">
            <w:pPr>
              <w:rPr>
                <w:rFonts w:cs="Calibri"/>
                <w:b/>
                <w:bCs/>
                <w:szCs w:val="24"/>
                <w:lang w:val="en-US"/>
              </w:rPr>
            </w:pPr>
            <w:r w:rsidRPr="00592BFD">
              <w:rPr>
                <w:rFonts w:cs="Calibri"/>
                <w:b/>
                <w:bCs/>
                <w:szCs w:val="24"/>
                <w:lang w:val="en-US"/>
              </w:rPr>
              <w:lastRenderedPageBreak/>
              <w:t>Recommendation n. 22.</w:t>
            </w:r>
          </w:p>
          <w:p w14:paraId="3A5D3198" w14:textId="77777777" w:rsidR="001C6B2C" w:rsidRPr="00592BFD" w:rsidRDefault="001C6B2C" w:rsidP="00332767">
            <w:pPr>
              <w:rPr>
                <w:rFonts w:cs="Calibri"/>
                <w:szCs w:val="24"/>
                <w:lang w:val="en-US"/>
              </w:rPr>
            </w:pPr>
            <w:r w:rsidRPr="00592BFD">
              <w:rPr>
                <w:rFonts w:cs="Calibri"/>
                <w:szCs w:val="24"/>
                <w:lang w:val="en-US"/>
              </w:rPr>
              <w:t xml:space="preserve">In order to comply with the best practice on procurement, we recommend establishing, in case of contracts or purchase orders awarded above a certain threshold to be decided by Management (for example, the one of 50K applied for debriefing): (i) a standstill period (a period during which the procuring entity is not allowed to sign a contract send the letter of regrets as soon as the decision to </w:t>
            </w:r>
            <w:r w:rsidRPr="00592BFD">
              <w:rPr>
                <w:rFonts w:cs="Calibri"/>
                <w:szCs w:val="24"/>
                <w:lang w:val="en-US"/>
              </w:rPr>
              <w:lastRenderedPageBreak/>
              <w:t>award a contract taken); (ii) a Protest procedure to be communicated in the letter of regrets to vendors who participated in a procurement procedure.</w:t>
            </w:r>
          </w:p>
        </w:tc>
        <w:tc>
          <w:tcPr>
            <w:tcW w:w="1559" w:type="dxa"/>
          </w:tcPr>
          <w:p w14:paraId="24447481" w14:textId="77777777" w:rsidR="001C6B2C" w:rsidRPr="00592BFD" w:rsidRDefault="001C6B2C" w:rsidP="00332767">
            <w:pPr>
              <w:rPr>
                <w:rFonts w:cs="Calibri"/>
                <w:szCs w:val="24"/>
                <w:lang w:val="en-US"/>
              </w:rPr>
            </w:pPr>
            <w:r w:rsidRPr="00592BFD">
              <w:rPr>
                <w:rFonts w:cs="Calibri"/>
                <w:szCs w:val="24"/>
                <w:lang w:val="en-US"/>
              </w:rPr>
              <w:lastRenderedPageBreak/>
              <w:t>PROC</w:t>
            </w:r>
          </w:p>
        </w:tc>
        <w:tc>
          <w:tcPr>
            <w:tcW w:w="3969" w:type="dxa"/>
          </w:tcPr>
          <w:p w14:paraId="1D836B8E" w14:textId="77777777" w:rsidR="003574F0" w:rsidRPr="00592BFD" w:rsidRDefault="003574F0" w:rsidP="00332767">
            <w:pPr>
              <w:rPr>
                <w:rFonts w:cs="Calibri"/>
                <w:szCs w:val="24"/>
                <w:lang w:val="en-US"/>
              </w:rPr>
            </w:pPr>
            <w:r w:rsidRPr="00592BFD">
              <w:rPr>
                <w:rFonts w:cs="Calibri"/>
                <w:szCs w:val="24"/>
                <w:lang w:val="en-US"/>
              </w:rPr>
              <w:t xml:space="preserve">It should be noted that: </w:t>
            </w:r>
          </w:p>
          <w:p w14:paraId="08E0091A" w14:textId="15C9D11C" w:rsidR="003574F0" w:rsidRPr="00592BFD" w:rsidRDefault="003574F0" w:rsidP="003574F0">
            <w:pPr>
              <w:pStyle w:val="ListParagraph"/>
              <w:numPr>
                <w:ilvl w:val="0"/>
                <w:numId w:val="2"/>
              </w:numPr>
              <w:tabs>
                <w:tab w:val="clear" w:pos="567"/>
                <w:tab w:val="clear" w:pos="1134"/>
                <w:tab w:val="clear" w:pos="1701"/>
                <w:tab w:val="clear" w:pos="2268"/>
                <w:tab w:val="clear" w:pos="2835"/>
              </w:tabs>
              <w:ind w:left="479" w:hanging="412"/>
              <w:rPr>
                <w:rFonts w:cs="Calibri"/>
                <w:szCs w:val="24"/>
                <w:lang w:val="en-US"/>
              </w:rPr>
            </w:pPr>
            <w:r w:rsidRPr="00592BFD">
              <w:rPr>
                <w:rFonts w:cs="Calibri"/>
                <w:szCs w:val="24"/>
                <w:lang w:val="en-US"/>
              </w:rPr>
              <w:t xml:space="preserve">As opposed to EU procurement practice, a standstill period is not a common practice within the UN organizations. At the ITU, a contract with a value equal to or more than CHF 50K is signed by the Secretary-General only after the recommendation of the Contracts Committee; and </w:t>
            </w:r>
          </w:p>
          <w:p w14:paraId="471C3357" w14:textId="77777777" w:rsidR="001C6B2C" w:rsidRPr="00592BFD" w:rsidRDefault="003574F0" w:rsidP="003574F0">
            <w:pPr>
              <w:pStyle w:val="ListParagraph"/>
              <w:numPr>
                <w:ilvl w:val="0"/>
                <w:numId w:val="2"/>
              </w:numPr>
              <w:tabs>
                <w:tab w:val="clear" w:pos="567"/>
                <w:tab w:val="clear" w:pos="1134"/>
                <w:tab w:val="clear" w:pos="1701"/>
                <w:tab w:val="clear" w:pos="2268"/>
                <w:tab w:val="clear" w:pos="2835"/>
              </w:tabs>
              <w:ind w:left="479" w:hanging="412"/>
              <w:rPr>
                <w:rFonts w:cs="Calibri"/>
                <w:szCs w:val="24"/>
                <w:lang w:val="en-US"/>
              </w:rPr>
            </w:pPr>
            <w:r w:rsidRPr="00592BFD">
              <w:rPr>
                <w:rFonts w:cs="Calibri"/>
                <w:szCs w:val="24"/>
                <w:lang w:val="en-US"/>
              </w:rPr>
              <w:t>A debriefing with unsuccessful bidders is communicated in the regret letter.</w:t>
            </w:r>
          </w:p>
          <w:p w14:paraId="71363BFF" w14:textId="77A534EA" w:rsidR="003C2343" w:rsidRPr="00592BFD" w:rsidRDefault="003C2343" w:rsidP="003C2343">
            <w:pPr>
              <w:tabs>
                <w:tab w:val="clear" w:pos="567"/>
                <w:tab w:val="clear" w:pos="1134"/>
                <w:tab w:val="clear" w:pos="1701"/>
                <w:tab w:val="clear" w:pos="2268"/>
                <w:tab w:val="clear" w:pos="2835"/>
              </w:tabs>
              <w:rPr>
                <w:rFonts w:cs="Calibri"/>
                <w:szCs w:val="24"/>
                <w:lang w:val="en-US"/>
              </w:rPr>
            </w:pPr>
            <w:r w:rsidRPr="00592BFD">
              <w:rPr>
                <w:rFonts w:cs="Calibri"/>
                <w:szCs w:val="24"/>
                <w:lang w:val="en-US"/>
              </w:rPr>
              <w:lastRenderedPageBreak/>
              <w:t>The secretariat considers that ITU’s procurement practice is appropriate for the organization, and adequately addresses the risks identified.</w:t>
            </w:r>
          </w:p>
        </w:tc>
        <w:tc>
          <w:tcPr>
            <w:tcW w:w="1985" w:type="dxa"/>
          </w:tcPr>
          <w:p w14:paraId="48A89C3F" w14:textId="0CE2D217" w:rsidR="001C6B2C" w:rsidRPr="00592BFD" w:rsidRDefault="003C2343" w:rsidP="00332767">
            <w:pPr>
              <w:rPr>
                <w:rFonts w:cs="Calibri"/>
                <w:szCs w:val="24"/>
                <w:lang w:val="en-US"/>
              </w:rPr>
            </w:pPr>
            <w:r w:rsidRPr="00592BFD">
              <w:rPr>
                <w:rFonts w:cs="Calibri"/>
                <w:szCs w:val="24"/>
                <w:lang w:val="en-US"/>
              </w:rPr>
              <w:lastRenderedPageBreak/>
              <w:t>IMPLEMENTED</w:t>
            </w:r>
          </w:p>
        </w:tc>
        <w:tc>
          <w:tcPr>
            <w:tcW w:w="2977" w:type="dxa"/>
          </w:tcPr>
          <w:p w14:paraId="077F0B69" w14:textId="74A27E11" w:rsidR="00136BBE" w:rsidRPr="00592BFD" w:rsidRDefault="00136BBE" w:rsidP="00930CC8">
            <w:pPr>
              <w:rPr>
                <w:rFonts w:cs="Calibri"/>
                <w:szCs w:val="24"/>
                <w:lang w:val="en-US"/>
              </w:rPr>
            </w:pPr>
          </w:p>
        </w:tc>
      </w:tr>
      <w:tr w:rsidR="001C6B2C" w:rsidRPr="00592BFD" w14:paraId="55E29F9A" w14:textId="77777777" w:rsidTr="4A1B70B7">
        <w:tc>
          <w:tcPr>
            <w:tcW w:w="3539" w:type="dxa"/>
          </w:tcPr>
          <w:p w14:paraId="0F5BC0BD" w14:textId="77777777" w:rsidR="001C6B2C" w:rsidRPr="00592BFD" w:rsidRDefault="001C6B2C" w:rsidP="00332767">
            <w:pPr>
              <w:rPr>
                <w:rFonts w:cs="Calibri"/>
                <w:b/>
                <w:bCs/>
                <w:szCs w:val="24"/>
                <w:lang w:val="en-US"/>
              </w:rPr>
            </w:pPr>
            <w:r w:rsidRPr="00592BFD">
              <w:rPr>
                <w:rFonts w:cs="Calibri"/>
                <w:b/>
                <w:bCs/>
                <w:szCs w:val="24"/>
                <w:lang w:val="en-US"/>
              </w:rPr>
              <w:t>Recommendation n. 23.</w:t>
            </w:r>
          </w:p>
          <w:p w14:paraId="4DFDD532" w14:textId="77777777" w:rsidR="001C6B2C" w:rsidRPr="00592BFD" w:rsidRDefault="001C6B2C" w:rsidP="00332767">
            <w:pPr>
              <w:rPr>
                <w:rFonts w:cs="Calibri"/>
                <w:szCs w:val="24"/>
                <w:lang w:val="en-US"/>
              </w:rPr>
            </w:pPr>
            <w:r w:rsidRPr="00592BFD">
              <w:rPr>
                <w:rFonts w:cs="Calibri"/>
                <w:szCs w:val="24"/>
                <w:lang w:val="en-US"/>
              </w:rPr>
              <w:t>In order to enhance the accuracy of database intended to help in project management, and the effectiveness of its control, we recommend implementing a database where all relevant information related to projects are inserted timely, monitored and, after, checked by a unit different from the bureau that manages the database.</w:t>
            </w:r>
          </w:p>
        </w:tc>
        <w:tc>
          <w:tcPr>
            <w:tcW w:w="1559" w:type="dxa"/>
          </w:tcPr>
          <w:p w14:paraId="1DE8C465" w14:textId="77777777" w:rsidR="001C6B2C" w:rsidRPr="00592BFD" w:rsidRDefault="001C6B2C" w:rsidP="00332767">
            <w:pPr>
              <w:rPr>
                <w:rFonts w:cs="Calibri"/>
                <w:szCs w:val="24"/>
                <w:lang w:val="en-US"/>
              </w:rPr>
            </w:pPr>
            <w:r w:rsidRPr="00592BFD">
              <w:rPr>
                <w:rFonts w:cs="Calibri"/>
                <w:szCs w:val="24"/>
                <w:lang w:val="en-US"/>
              </w:rPr>
              <w:t>ITU AMS RO</w:t>
            </w:r>
          </w:p>
        </w:tc>
        <w:tc>
          <w:tcPr>
            <w:tcW w:w="3969" w:type="dxa"/>
          </w:tcPr>
          <w:p w14:paraId="05C31962" w14:textId="2DA760C6" w:rsidR="001C6B2C" w:rsidRPr="00592BFD" w:rsidRDefault="001C6B2C" w:rsidP="4A1B70B7">
            <w:pPr>
              <w:rPr>
                <w:rFonts w:cs="Calibri"/>
                <w:lang w:val="en-US"/>
              </w:rPr>
            </w:pPr>
            <w:r w:rsidRPr="4A1B70B7">
              <w:rPr>
                <w:rFonts w:cs="Calibri"/>
                <w:lang w:val="en-US"/>
              </w:rPr>
              <w:t>BDT has implemented a comprehensive and timely projects database and review process which is managed by</w:t>
            </w:r>
            <w:r w:rsidR="009B1E33">
              <w:rPr>
                <w:rFonts w:cs="Calibri"/>
                <w:lang w:val="en-US"/>
              </w:rPr>
              <w:t xml:space="preserve"> the BDT</w:t>
            </w:r>
            <w:r w:rsidRPr="4A1B70B7">
              <w:rPr>
                <w:rFonts w:cs="Calibri"/>
                <w:lang w:val="en-US"/>
              </w:rPr>
              <w:t xml:space="preserve"> P</w:t>
            </w:r>
            <w:r w:rsidR="009B1E33">
              <w:rPr>
                <w:rFonts w:cs="Calibri"/>
                <w:lang w:val="en-US"/>
              </w:rPr>
              <w:t>roject Support Division (P</w:t>
            </w:r>
            <w:r w:rsidRPr="4A1B70B7">
              <w:rPr>
                <w:rFonts w:cs="Calibri"/>
                <w:lang w:val="en-US"/>
              </w:rPr>
              <w:t>RJ</w:t>
            </w:r>
            <w:r w:rsidR="009B1E33">
              <w:rPr>
                <w:rFonts w:cs="Calibri"/>
                <w:lang w:val="en-US"/>
              </w:rPr>
              <w:t>)</w:t>
            </w:r>
            <w:r w:rsidRPr="4A1B70B7">
              <w:rPr>
                <w:rFonts w:cs="Calibri"/>
                <w:lang w:val="en-US"/>
              </w:rPr>
              <w:t xml:space="preserve">, which is separate from the Regional and Area Offices and all departments within BDT that manage projects. </w:t>
            </w:r>
          </w:p>
        </w:tc>
        <w:tc>
          <w:tcPr>
            <w:tcW w:w="1985" w:type="dxa"/>
          </w:tcPr>
          <w:p w14:paraId="28B16B0B" w14:textId="77777777" w:rsidR="001C6B2C" w:rsidRPr="00592BFD" w:rsidRDefault="001C6B2C" w:rsidP="00332767">
            <w:pPr>
              <w:rPr>
                <w:rFonts w:cs="Calibri"/>
                <w:szCs w:val="24"/>
                <w:lang w:val="en-US"/>
              </w:rPr>
            </w:pPr>
            <w:r w:rsidRPr="00592BFD">
              <w:rPr>
                <w:rFonts w:cs="Calibri"/>
                <w:szCs w:val="24"/>
                <w:lang w:val="en-US"/>
              </w:rPr>
              <w:t>IMPLEMENTED</w:t>
            </w:r>
          </w:p>
        </w:tc>
        <w:tc>
          <w:tcPr>
            <w:tcW w:w="2977" w:type="dxa"/>
          </w:tcPr>
          <w:p w14:paraId="39643F71" w14:textId="77777777" w:rsidR="001C6B2C" w:rsidRPr="00592BFD" w:rsidRDefault="001C6B2C" w:rsidP="00332767">
            <w:pPr>
              <w:rPr>
                <w:rFonts w:cs="Calibri"/>
                <w:szCs w:val="24"/>
                <w:lang w:val="en-US"/>
              </w:rPr>
            </w:pPr>
          </w:p>
        </w:tc>
      </w:tr>
    </w:tbl>
    <w:p w14:paraId="740C1FD8" w14:textId="565F3C31" w:rsidR="00EF3E78" w:rsidRPr="00592BFD" w:rsidRDefault="00592BFD" w:rsidP="00592BFD">
      <w:pPr>
        <w:tabs>
          <w:tab w:val="clear" w:pos="567"/>
          <w:tab w:val="clear" w:pos="1134"/>
          <w:tab w:val="clear" w:pos="1701"/>
          <w:tab w:val="clear" w:pos="2268"/>
          <w:tab w:val="clear" w:pos="2835"/>
        </w:tabs>
        <w:overflowPunct/>
        <w:autoSpaceDE/>
        <w:autoSpaceDN/>
        <w:adjustRightInd/>
        <w:spacing w:before="840"/>
        <w:jc w:val="center"/>
        <w:textAlignment w:val="auto"/>
        <w:rPr>
          <w:bCs/>
          <w:lang w:val="es-ES"/>
        </w:rPr>
      </w:pPr>
      <w:r w:rsidRPr="00592BFD">
        <w:rPr>
          <w:bCs/>
          <w:lang w:val="es-ES"/>
        </w:rPr>
        <w:t>____________________</w:t>
      </w:r>
    </w:p>
    <w:sectPr w:rsidR="00EF3E78" w:rsidRPr="00592BFD" w:rsidSect="0099157E">
      <w:headerReference w:type="first" r:id="rId15"/>
      <w:pgSz w:w="16834" w:h="11907" w:orient="landscape"/>
      <w:pgMar w:top="1418" w:right="1418" w:bottom="1418" w:left="1418" w:header="720" w:footer="720" w:gutter="0"/>
      <w:paperSrc w:first="286" w:other="286"/>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B209" w14:textId="77777777" w:rsidR="004628BF" w:rsidRDefault="004628BF">
      <w:r>
        <w:separator/>
      </w:r>
    </w:p>
  </w:endnote>
  <w:endnote w:type="continuationSeparator" w:id="0">
    <w:p w14:paraId="0AA75D67" w14:textId="77777777" w:rsidR="004628BF" w:rsidRDefault="004628BF">
      <w:r>
        <w:continuationSeparator/>
      </w:r>
    </w:p>
  </w:endnote>
  <w:endnote w:type="continuationNotice" w:id="1">
    <w:p w14:paraId="70035331" w14:textId="77777777" w:rsidR="004628BF" w:rsidRDefault="004628B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332767">
      <w:trPr>
        <w:jc w:val="center"/>
      </w:trPr>
      <w:tc>
        <w:tcPr>
          <w:tcW w:w="1803" w:type="dxa"/>
          <w:vAlign w:val="center"/>
        </w:tcPr>
        <w:p w14:paraId="3FDA5160" w14:textId="749490C8" w:rsidR="00EE49E8" w:rsidRDefault="00EE49E8" w:rsidP="00EE49E8">
          <w:pPr>
            <w:pStyle w:val="Header"/>
            <w:jc w:val="left"/>
            <w:rPr>
              <w:noProof/>
            </w:rPr>
          </w:pPr>
          <w:r>
            <w:rPr>
              <w:noProof/>
            </w:rPr>
            <w:t xml:space="preserve">DPS </w:t>
          </w:r>
          <w:r w:rsidR="00592BFD">
            <w:rPr>
              <w:noProof/>
            </w:rPr>
            <w:t>521076</w:t>
          </w:r>
        </w:p>
      </w:tc>
      <w:tc>
        <w:tcPr>
          <w:tcW w:w="8261" w:type="dxa"/>
        </w:tcPr>
        <w:p w14:paraId="35709C74" w14:textId="4A65CA0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592BFD">
            <w:rPr>
              <w:bCs/>
            </w:rPr>
            <w:t>42</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5D993FC" w:rsidR="00EE49E8" w:rsidRDefault="00592BFD" w:rsidP="00EE49E8">
          <w:pPr>
            <w:pStyle w:val="Header"/>
            <w:jc w:val="left"/>
            <w:rPr>
              <w:noProof/>
            </w:rPr>
          </w:pPr>
          <w:r w:rsidRPr="00592BFD">
            <w:t>DPS 521076</w:t>
          </w:r>
        </w:p>
      </w:tc>
      <w:tc>
        <w:tcPr>
          <w:tcW w:w="8261" w:type="dxa"/>
        </w:tcPr>
        <w:p w14:paraId="09715012" w14:textId="72C6B6E2"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592BFD">
            <w:rPr>
              <w:bCs/>
            </w:rPr>
            <w:t>42</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9F7BF" w14:textId="77777777" w:rsidR="004628BF" w:rsidRDefault="004628BF">
      <w:r>
        <w:t>____________________</w:t>
      </w:r>
    </w:p>
  </w:footnote>
  <w:footnote w:type="continuationSeparator" w:id="0">
    <w:p w14:paraId="20D21800" w14:textId="77777777" w:rsidR="004628BF" w:rsidRDefault="004628BF">
      <w:r>
        <w:continuationSeparator/>
      </w:r>
    </w:p>
  </w:footnote>
  <w:footnote w:type="continuationNotice" w:id="1">
    <w:p w14:paraId="1E3F47DA" w14:textId="77777777" w:rsidR="004628BF" w:rsidRDefault="004628B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332767">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rect id="Rectangle 5"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spid="_x0000_s1026" fillcolor="#009cd5" stroked="f" w14:anchorId="269A3B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w10:wrap anchorx="page"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2D1C1" w14:textId="71D17864" w:rsidR="00592BFD" w:rsidRDefault="00592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E080882"/>
    <w:multiLevelType w:val="hybridMultilevel"/>
    <w:tmpl w:val="A9E8D7FA"/>
    <w:lvl w:ilvl="0" w:tplc="5D2608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4816267">
    <w:abstractNumId w:val="0"/>
  </w:num>
  <w:num w:numId="2" w16cid:durableId="1335063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01DA8"/>
    <w:rsid w:val="000210D4"/>
    <w:rsid w:val="00055045"/>
    <w:rsid w:val="00063016"/>
    <w:rsid w:val="00066795"/>
    <w:rsid w:val="00076AF6"/>
    <w:rsid w:val="00082752"/>
    <w:rsid w:val="00085CF2"/>
    <w:rsid w:val="000B1705"/>
    <w:rsid w:val="000B42FF"/>
    <w:rsid w:val="000C00A6"/>
    <w:rsid w:val="000D5607"/>
    <w:rsid w:val="000D75B2"/>
    <w:rsid w:val="000E72F4"/>
    <w:rsid w:val="000F08DF"/>
    <w:rsid w:val="001121F5"/>
    <w:rsid w:val="00123957"/>
    <w:rsid w:val="00136BBE"/>
    <w:rsid w:val="001400DC"/>
    <w:rsid w:val="00140CE1"/>
    <w:rsid w:val="001707E7"/>
    <w:rsid w:val="0017539C"/>
    <w:rsid w:val="00175AC2"/>
    <w:rsid w:val="0017609F"/>
    <w:rsid w:val="001A5FFF"/>
    <w:rsid w:val="001A7D1D"/>
    <w:rsid w:val="001B51DD"/>
    <w:rsid w:val="001C628E"/>
    <w:rsid w:val="001C6B2C"/>
    <w:rsid w:val="001E027C"/>
    <w:rsid w:val="001E0F7B"/>
    <w:rsid w:val="001E2E4D"/>
    <w:rsid w:val="001E7B87"/>
    <w:rsid w:val="002119FD"/>
    <w:rsid w:val="002130E0"/>
    <w:rsid w:val="00215D76"/>
    <w:rsid w:val="00226DDE"/>
    <w:rsid w:val="00260094"/>
    <w:rsid w:val="00264425"/>
    <w:rsid w:val="00265875"/>
    <w:rsid w:val="0027303B"/>
    <w:rsid w:val="002773A4"/>
    <w:rsid w:val="0028109B"/>
    <w:rsid w:val="00282EE7"/>
    <w:rsid w:val="00290D95"/>
    <w:rsid w:val="002A2188"/>
    <w:rsid w:val="002A50E9"/>
    <w:rsid w:val="002B1F58"/>
    <w:rsid w:val="002B38A5"/>
    <w:rsid w:val="002C1C7A"/>
    <w:rsid w:val="002C54E2"/>
    <w:rsid w:val="0030160F"/>
    <w:rsid w:val="00320223"/>
    <w:rsid w:val="00322D0D"/>
    <w:rsid w:val="00332767"/>
    <w:rsid w:val="003574F0"/>
    <w:rsid w:val="00361465"/>
    <w:rsid w:val="003877F5"/>
    <w:rsid w:val="003942D4"/>
    <w:rsid w:val="003958A8"/>
    <w:rsid w:val="003C2343"/>
    <w:rsid w:val="003C2533"/>
    <w:rsid w:val="003D5A7F"/>
    <w:rsid w:val="00404250"/>
    <w:rsid w:val="0040435A"/>
    <w:rsid w:val="00413693"/>
    <w:rsid w:val="00416A24"/>
    <w:rsid w:val="00431D9E"/>
    <w:rsid w:val="00433CE8"/>
    <w:rsid w:val="00434A5C"/>
    <w:rsid w:val="00445A89"/>
    <w:rsid w:val="004544D9"/>
    <w:rsid w:val="004628BF"/>
    <w:rsid w:val="00472BAD"/>
    <w:rsid w:val="00484009"/>
    <w:rsid w:val="00490E72"/>
    <w:rsid w:val="00491157"/>
    <w:rsid w:val="004921C8"/>
    <w:rsid w:val="00494D98"/>
    <w:rsid w:val="00495B0B"/>
    <w:rsid w:val="004A1B8B"/>
    <w:rsid w:val="004B1D9F"/>
    <w:rsid w:val="004D1851"/>
    <w:rsid w:val="004D599D"/>
    <w:rsid w:val="004E2EA5"/>
    <w:rsid w:val="004E3AEB"/>
    <w:rsid w:val="0050223C"/>
    <w:rsid w:val="005067BA"/>
    <w:rsid w:val="00507CF9"/>
    <w:rsid w:val="005243FF"/>
    <w:rsid w:val="00525601"/>
    <w:rsid w:val="00555513"/>
    <w:rsid w:val="00564FBC"/>
    <w:rsid w:val="00576429"/>
    <w:rsid w:val="005800BC"/>
    <w:rsid w:val="00582442"/>
    <w:rsid w:val="00592BFD"/>
    <w:rsid w:val="005A6E8F"/>
    <w:rsid w:val="005C3364"/>
    <w:rsid w:val="005C5110"/>
    <w:rsid w:val="005D0DAC"/>
    <w:rsid w:val="005D442A"/>
    <w:rsid w:val="005F3269"/>
    <w:rsid w:val="00623AE3"/>
    <w:rsid w:val="0064737F"/>
    <w:rsid w:val="006535F1"/>
    <w:rsid w:val="0065557D"/>
    <w:rsid w:val="00660D50"/>
    <w:rsid w:val="00662984"/>
    <w:rsid w:val="006716BB"/>
    <w:rsid w:val="006820F7"/>
    <w:rsid w:val="00684DE4"/>
    <w:rsid w:val="006A24C6"/>
    <w:rsid w:val="006B1859"/>
    <w:rsid w:val="006B6680"/>
    <w:rsid w:val="006B6DCC"/>
    <w:rsid w:val="00702DEF"/>
    <w:rsid w:val="00706861"/>
    <w:rsid w:val="007318D2"/>
    <w:rsid w:val="00731A1A"/>
    <w:rsid w:val="0073407F"/>
    <w:rsid w:val="0075051B"/>
    <w:rsid w:val="00793188"/>
    <w:rsid w:val="00794D34"/>
    <w:rsid w:val="00797695"/>
    <w:rsid w:val="007B41FD"/>
    <w:rsid w:val="007D2133"/>
    <w:rsid w:val="007E33D7"/>
    <w:rsid w:val="00813E5E"/>
    <w:rsid w:val="00833DFB"/>
    <w:rsid w:val="0083581B"/>
    <w:rsid w:val="00855B43"/>
    <w:rsid w:val="00863874"/>
    <w:rsid w:val="00864AFF"/>
    <w:rsid w:val="00865925"/>
    <w:rsid w:val="00882B22"/>
    <w:rsid w:val="008B4A6A"/>
    <w:rsid w:val="008C7E27"/>
    <w:rsid w:val="008F7448"/>
    <w:rsid w:val="0090147A"/>
    <w:rsid w:val="00903AC6"/>
    <w:rsid w:val="00914372"/>
    <w:rsid w:val="009173EF"/>
    <w:rsid w:val="00930CC8"/>
    <w:rsid w:val="00932906"/>
    <w:rsid w:val="00961B0B"/>
    <w:rsid w:val="00964086"/>
    <w:rsid w:val="0099157E"/>
    <w:rsid w:val="009B1E33"/>
    <w:rsid w:val="009B38C3"/>
    <w:rsid w:val="009E17BD"/>
    <w:rsid w:val="009E485A"/>
    <w:rsid w:val="009F07EA"/>
    <w:rsid w:val="00A04CEC"/>
    <w:rsid w:val="00A27F92"/>
    <w:rsid w:val="00A32257"/>
    <w:rsid w:val="00A36D20"/>
    <w:rsid w:val="00A44716"/>
    <w:rsid w:val="00A514A4"/>
    <w:rsid w:val="00A54171"/>
    <w:rsid w:val="00A55622"/>
    <w:rsid w:val="00A6220E"/>
    <w:rsid w:val="00A81F4E"/>
    <w:rsid w:val="00A83502"/>
    <w:rsid w:val="00A8722B"/>
    <w:rsid w:val="00AD15B3"/>
    <w:rsid w:val="00AD3606"/>
    <w:rsid w:val="00AD4A3D"/>
    <w:rsid w:val="00AF14B3"/>
    <w:rsid w:val="00AF6E49"/>
    <w:rsid w:val="00B04A67"/>
    <w:rsid w:val="00B0583C"/>
    <w:rsid w:val="00B40A81"/>
    <w:rsid w:val="00B44910"/>
    <w:rsid w:val="00B72267"/>
    <w:rsid w:val="00B742F6"/>
    <w:rsid w:val="00B76EB6"/>
    <w:rsid w:val="00B7737B"/>
    <w:rsid w:val="00B824C8"/>
    <w:rsid w:val="00B84B9D"/>
    <w:rsid w:val="00BC1964"/>
    <w:rsid w:val="00BC251A"/>
    <w:rsid w:val="00BD032B"/>
    <w:rsid w:val="00BE2640"/>
    <w:rsid w:val="00BE76A7"/>
    <w:rsid w:val="00C01189"/>
    <w:rsid w:val="00C2208E"/>
    <w:rsid w:val="00C374DE"/>
    <w:rsid w:val="00C47AD4"/>
    <w:rsid w:val="00C52D81"/>
    <w:rsid w:val="00C55198"/>
    <w:rsid w:val="00CA6393"/>
    <w:rsid w:val="00CB18FF"/>
    <w:rsid w:val="00CD0C08"/>
    <w:rsid w:val="00CE03FB"/>
    <w:rsid w:val="00CE433C"/>
    <w:rsid w:val="00CF0161"/>
    <w:rsid w:val="00CF33F3"/>
    <w:rsid w:val="00D06183"/>
    <w:rsid w:val="00D14A56"/>
    <w:rsid w:val="00D22C42"/>
    <w:rsid w:val="00D65041"/>
    <w:rsid w:val="00DB1936"/>
    <w:rsid w:val="00DB384B"/>
    <w:rsid w:val="00DF0189"/>
    <w:rsid w:val="00E06FD5"/>
    <w:rsid w:val="00E10E80"/>
    <w:rsid w:val="00E124F0"/>
    <w:rsid w:val="00E60F04"/>
    <w:rsid w:val="00E65B24"/>
    <w:rsid w:val="00E67180"/>
    <w:rsid w:val="00E854E4"/>
    <w:rsid w:val="00E86DBF"/>
    <w:rsid w:val="00EB0D6F"/>
    <w:rsid w:val="00EB2232"/>
    <w:rsid w:val="00EC5337"/>
    <w:rsid w:val="00EE49E8"/>
    <w:rsid w:val="00EF3E78"/>
    <w:rsid w:val="00F16BAB"/>
    <w:rsid w:val="00F2150A"/>
    <w:rsid w:val="00F231D8"/>
    <w:rsid w:val="00F44579"/>
    <w:rsid w:val="00F44C00"/>
    <w:rsid w:val="00F46C5F"/>
    <w:rsid w:val="00F632C0"/>
    <w:rsid w:val="00F94A63"/>
    <w:rsid w:val="00FA1C28"/>
    <w:rsid w:val="00FB1279"/>
    <w:rsid w:val="00FB6B76"/>
    <w:rsid w:val="00FB7596"/>
    <w:rsid w:val="00FC7D06"/>
    <w:rsid w:val="00FE4077"/>
    <w:rsid w:val="00FE77D2"/>
    <w:rsid w:val="31129380"/>
    <w:rsid w:val="34AE150A"/>
    <w:rsid w:val="3EA17623"/>
    <w:rsid w:val="4A1B70B7"/>
    <w:rsid w:val="4CEC6E2A"/>
    <w:rsid w:val="69B6B1C8"/>
    <w:rsid w:val="742F3301"/>
    <w:rsid w:val="7C8A30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80509D64-62C7-4179-9308-819F933A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855B43"/>
    <w:rPr>
      <w:color w:val="605E5C"/>
      <w:shd w:val="clear" w:color="auto" w:fill="E1DFDD"/>
    </w:rPr>
  </w:style>
  <w:style w:type="character" w:styleId="CommentReference">
    <w:name w:val="annotation reference"/>
    <w:basedOn w:val="DefaultParagraphFont"/>
    <w:semiHidden/>
    <w:unhideWhenUsed/>
    <w:rsid w:val="006A24C6"/>
    <w:rPr>
      <w:sz w:val="16"/>
      <w:szCs w:val="16"/>
    </w:rPr>
  </w:style>
  <w:style w:type="paragraph" w:styleId="CommentText">
    <w:name w:val="annotation text"/>
    <w:basedOn w:val="Normal"/>
    <w:link w:val="CommentTextChar"/>
    <w:unhideWhenUsed/>
    <w:rsid w:val="006A24C6"/>
    <w:rPr>
      <w:sz w:val="20"/>
    </w:rPr>
  </w:style>
  <w:style w:type="character" w:customStyle="1" w:styleId="CommentTextChar">
    <w:name w:val="Comment Text Char"/>
    <w:basedOn w:val="DefaultParagraphFont"/>
    <w:link w:val="CommentText"/>
    <w:rsid w:val="006A24C6"/>
    <w:rPr>
      <w:rFonts w:ascii="Calibri" w:hAnsi="Calibri"/>
      <w:lang w:val="en-GB" w:eastAsia="en-US"/>
    </w:rPr>
  </w:style>
  <w:style w:type="paragraph" w:styleId="CommentSubject">
    <w:name w:val="annotation subject"/>
    <w:basedOn w:val="CommentText"/>
    <w:next w:val="CommentText"/>
    <w:link w:val="CommentSubjectChar"/>
    <w:semiHidden/>
    <w:unhideWhenUsed/>
    <w:rsid w:val="006A24C6"/>
    <w:rPr>
      <w:b/>
      <w:bCs/>
    </w:rPr>
  </w:style>
  <w:style w:type="character" w:customStyle="1" w:styleId="CommentSubjectChar">
    <w:name w:val="Comment Subject Char"/>
    <w:basedOn w:val="CommentTextChar"/>
    <w:link w:val="CommentSubject"/>
    <w:semiHidden/>
    <w:rsid w:val="006A24C6"/>
    <w:rPr>
      <w:rFonts w:ascii="Calibri" w:hAnsi="Calibri"/>
      <w:b/>
      <w:bCs/>
      <w:lang w:val="en-GB" w:eastAsia="en-US"/>
    </w:rPr>
  </w:style>
  <w:style w:type="character" w:styleId="Mention">
    <w:name w:val="Mention"/>
    <w:basedOn w:val="DefaultParagraphFont"/>
    <w:uiPriority w:val="99"/>
    <w:unhideWhenUsed/>
    <w:rsid w:val="006A24C6"/>
    <w:rPr>
      <w:color w:val="2B579A"/>
      <w:shd w:val="clear" w:color="auto" w:fill="E1DFDD"/>
    </w:rPr>
  </w:style>
  <w:style w:type="paragraph" w:customStyle="1" w:styleId="Subtitle1">
    <w:name w:val="Subtitle1"/>
    <w:basedOn w:val="Title1"/>
    <w:qFormat/>
    <w:rsid w:val="000B42FF"/>
    <w:pPr>
      <w:framePr w:wrap="around" w:vAnchor="margin" w:hAnchor="page" w:x="1821" w:y="2317"/>
      <w:spacing w:before="120" w:after="160"/>
    </w:pPr>
  </w:style>
  <w:style w:type="character" w:customStyle="1" w:styleId="cf01">
    <w:name w:val="cf01"/>
    <w:basedOn w:val="DefaultParagraphFont"/>
    <w:rsid w:val="00260094"/>
    <w:rPr>
      <w:rFonts w:ascii="Segoe UI" w:hAnsi="Segoe UI" w:cs="Segoe UI" w:hint="default"/>
      <w:sz w:val="18"/>
      <w:szCs w:val="18"/>
    </w:rPr>
  </w:style>
  <w:style w:type="paragraph" w:styleId="ListParagraph">
    <w:name w:val="List Paragraph"/>
    <w:basedOn w:val="Normal"/>
    <w:uiPriority w:val="34"/>
    <w:qFormat/>
    <w:rsid w:val="003574F0"/>
    <w:pPr>
      <w:ind w:left="720"/>
      <w:contextualSpacing/>
    </w:pPr>
  </w:style>
  <w:style w:type="paragraph" w:customStyle="1" w:styleId="Subtitle">
    <w:name w:val="Sub_title"/>
    <w:basedOn w:val="Title1"/>
    <w:qFormat/>
    <w:rsid w:val="00592BFD"/>
    <w:pPr>
      <w:framePr w:wrap="around" w:vAnchor="margin" w:hAnchor="page" w:x="1821" w:y="2317"/>
      <w:spacing w:before="120" w:after="160"/>
    </w:pPr>
  </w:style>
  <w:style w:type="paragraph" w:styleId="Revision">
    <w:name w:val="Revision"/>
    <w:hidden/>
    <w:uiPriority w:val="99"/>
    <w:semiHidden/>
    <w:rsid w:val="001707E7"/>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701545">
      <w:bodyDiv w:val="1"/>
      <w:marLeft w:val="0"/>
      <w:marRight w:val="0"/>
      <w:marTop w:val="0"/>
      <w:marBottom w:val="0"/>
      <w:divBdr>
        <w:top w:val="none" w:sz="0" w:space="0" w:color="auto"/>
        <w:left w:val="none" w:sz="0" w:space="0" w:color="auto"/>
        <w:bottom w:val="none" w:sz="0" w:space="0" w:color="auto"/>
        <w:right w:val="none" w:sz="0" w:space="0" w:color="auto"/>
      </w:divBdr>
    </w:div>
    <w:div w:id="176148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S22-CL-C-0104/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EF13443-B519-44B5-9826-7053E82A8CF1}">
    <t:Anchor>
      <t:Comment id="673218238"/>
    </t:Anchor>
    <t:History>
      <t:Event id="{71758B92-D530-41D3-A45B-24645F0BA1C0}" time="2023-05-30T11:55:10.159Z">
        <t:Attribution userId="S::stephen.bereaux@itu.int::0f4705d0-6bd5-4df0-80b9-c0931faa190f" userProvider="AD" userName="Bereaux, Stephen"/>
        <t:Anchor>
          <t:Comment id="673218238"/>
        </t:Anchor>
        <t:Create/>
      </t:Event>
      <t:Event id="{C67BFFE9-E209-4651-9C14-81FCAB4D0DD5}" time="2023-05-30T11:55:10.159Z">
        <t:Attribution userId="S::stephen.bereaux@itu.int::0f4705d0-6bd5-4df0-80b9-c0931faa190f" userProvider="AD" userName="Bereaux, Stephen"/>
        <t:Anchor>
          <t:Comment id="673218238"/>
        </t:Anchor>
        <t:Assign userId="S::Zoran.Cikic@itu.int::cde1a163-b07d-4134-81bc-f24651cc6630" userProvider="AD" userName="Cikic, Zoran"/>
      </t:Event>
      <t:Event id="{D72322C1-2306-4F9B-B16B-F0E6133E7AE3}" time="2023-05-30T11:55:10.159Z">
        <t:Attribution userId="S::stephen.bereaux@itu.int::0f4705d0-6bd5-4df0-80b9-c0931faa190f" userProvider="AD" userName="Bereaux, Stephen"/>
        <t:Anchor>
          <t:Comment id="673218238"/>
        </t:Anchor>
        <t:SetTitle title="@Cikic, Zoran Hi Zoran, could you please review and provide any thoughts on this recommendation arising out of the Brasilia Audit."/>
      </t:Event>
      <t:Event id="{E52DFF7A-82CF-4BC0-9755-93B34BE50F98}" time="2023-05-31T11:44:40.497Z">
        <t:Attribution userId="S::stephen.bereaux@itu.int::0f4705d0-6bd5-4df0-80b9-c0931faa190f" userProvider="AD" userName="Bereaux, Steph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53EF95-2C42-4953-B1E8-C3DC8E282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AC5A9552-BB28-4FD7-BE49-B24BC28C0B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31E8FEC-0967-4C43-93DC-C81F29CABC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2662</Words>
  <Characters>14575</Characters>
  <Application>Microsoft Office Word</Application>
  <DocSecurity>0</DocSecurity>
  <Lines>121</Lines>
  <Paragraphs>34</Paragraphs>
  <ScaleCrop>false</ScaleCrop>
  <Manager>General Secretariat - Pool</Manager>
  <Company>International Telecommunication Union (ITU)</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Report by the External Auditor on the Regional Office for the Americas – Status Update</dc:title>
  <dc:subject>Council 2023</dc:subject>
  <dc:creator>Pluchon, Beatrice</dc:creator>
  <cp:keywords>C2023, C23, Council-23</cp:keywords>
  <dc:description/>
  <cp:lastModifiedBy>Xue, Kun</cp:lastModifiedBy>
  <cp:revision>6</cp:revision>
  <cp:lastPrinted>2000-07-19T07:30:00Z</cp:lastPrinted>
  <dcterms:created xsi:type="dcterms:W3CDTF">2023-06-08T09:30:00Z</dcterms:created>
  <dcterms:modified xsi:type="dcterms:W3CDTF">2023-06-11T15:04:00Z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