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12"/>
        <w:gridCol w:w="3117"/>
      </w:tblGrid>
      <w:tr w:rsidR="007B0AA0" w14:paraId="0D349041" w14:textId="77777777" w:rsidTr="00F363FE">
        <w:tc>
          <w:tcPr>
            <w:tcW w:w="6512" w:type="dxa"/>
          </w:tcPr>
          <w:p w14:paraId="094C1E53" w14:textId="6D792F72" w:rsidR="007B0AA0" w:rsidRPr="007B0AA0" w:rsidRDefault="007B0AA0" w:rsidP="00F363FE">
            <w:pPr>
              <w:spacing w:before="60" w:after="60" w:line="260" w:lineRule="exact"/>
              <w:rPr>
                <w:b/>
                <w:bCs/>
                <w:lang w:bidi="ar-EG"/>
              </w:rPr>
            </w:pPr>
            <w:r w:rsidRPr="007B0AA0">
              <w:rPr>
                <w:rFonts w:hint="cs"/>
                <w:b/>
                <w:bCs/>
                <w:rtl/>
                <w:lang w:bidi="ar-EG"/>
              </w:rPr>
              <w:t>بند جدول الأعمال:</w:t>
            </w:r>
            <w:r w:rsidR="00DE762B">
              <w:rPr>
                <w:rFonts w:hint="cs"/>
                <w:b/>
                <w:bCs/>
                <w:rtl/>
                <w:lang w:bidi="ar-EG"/>
              </w:rPr>
              <w:t xml:space="preserve"> </w:t>
            </w:r>
            <w:r w:rsidR="00DE762B">
              <w:rPr>
                <w:b/>
                <w:bCs/>
                <w:lang w:bidi="ar-EG"/>
              </w:rPr>
              <w:t>PL 2</w:t>
            </w:r>
          </w:p>
        </w:tc>
        <w:tc>
          <w:tcPr>
            <w:tcW w:w="3117" w:type="dxa"/>
          </w:tcPr>
          <w:p w14:paraId="4833FB18" w14:textId="660240B2" w:rsidR="007B0AA0" w:rsidRPr="007B0AA0" w:rsidRDefault="007B0AA0" w:rsidP="00F363FE">
            <w:pPr>
              <w:spacing w:before="60" w:after="60" w:line="260" w:lineRule="exact"/>
              <w:rPr>
                <w:b/>
                <w:bCs/>
                <w:lang w:bidi="ar-EG"/>
              </w:rPr>
            </w:pPr>
            <w:r w:rsidRPr="007B0AA0">
              <w:rPr>
                <w:rFonts w:hint="cs"/>
                <w:b/>
                <w:bCs/>
                <w:rtl/>
                <w:lang w:bidi="ar-EG"/>
              </w:rPr>
              <w:t xml:space="preserve">الوثيقة </w:t>
            </w:r>
            <w:r w:rsidRPr="007B0AA0">
              <w:rPr>
                <w:b/>
                <w:bCs/>
                <w:lang w:bidi="ar-EG"/>
              </w:rPr>
              <w:t>C23/</w:t>
            </w:r>
            <w:r w:rsidR="00EF1A1D">
              <w:rPr>
                <w:b/>
                <w:bCs/>
                <w:lang w:bidi="ar-EG"/>
              </w:rPr>
              <w:t>47</w:t>
            </w:r>
            <w:r w:rsidRPr="007B0AA0">
              <w:rPr>
                <w:b/>
                <w:bCs/>
                <w:lang w:bidi="ar-EG"/>
              </w:rPr>
              <w:t>-A</w:t>
            </w:r>
          </w:p>
        </w:tc>
      </w:tr>
      <w:tr w:rsidR="007B0AA0" w14:paraId="196CBC8F" w14:textId="77777777" w:rsidTr="00F363FE">
        <w:tc>
          <w:tcPr>
            <w:tcW w:w="6512" w:type="dxa"/>
          </w:tcPr>
          <w:p w14:paraId="348EBA7F" w14:textId="77777777" w:rsidR="007B0AA0" w:rsidRPr="007B0AA0" w:rsidRDefault="007B0AA0" w:rsidP="00F363FE">
            <w:pPr>
              <w:spacing w:before="60" w:after="60" w:line="260" w:lineRule="exact"/>
              <w:rPr>
                <w:b/>
                <w:bCs/>
                <w:rtl/>
                <w:lang w:bidi="ar-EG"/>
              </w:rPr>
            </w:pPr>
          </w:p>
        </w:tc>
        <w:tc>
          <w:tcPr>
            <w:tcW w:w="3117" w:type="dxa"/>
          </w:tcPr>
          <w:p w14:paraId="62956C68" w14:textId="3A30909D" w:rsidR="007B0AA0" w:rsidRPr="007B0AA0" w:rsidRDefault="00EF1A1D" w:rsidP="00F363FE">
            <w:pPr>
              <w:spacing w:before="60" w:after="60" w:line="260" w:lineRule="exact"/>
              <w:rPr>
                <w:b/>
                <w:bCs/>
                <w:rtl/>
                <w:lang w:bidi="ar-EG"/>
              </w:rPr>
            </w:pPr>
            <w:r>
              <w:rPr>
                <w:rFonts w:hint="cs"/>
                <w:b/>
                <w:bCs/>
                <w:rtl/>
                <w:lang w:bidi="ar-EG"/>
              </w:rPr>
              <w:t>25 مايو</w:t>
            </w:r>
            <w:r w:rsidR="007B0AA0" w:rsidRPr="007B0AA0">
              <w:rPr>
                <w:rFonts w:hint="cs"/>
                <w:b/>
                <w:bCs/>
                <w:rtl/>
                <w:lang w:bidi="ar-EG"/>
              </w:rPr>
              <w:t xml:space="preserve"> </w:t>
            </w:r>
            <w:r w:rsidR="007B0AA0" w:rsidRPr="007B0AA0">
              <w:rPr>
                <w:b/>
                <w:bCs/>
                <w:lang w:bidi="ar-EG"/>
              </w:rPr>
              <w:t>2023</w:t>
            </w:r>
          </w:p>
        </w:tc>
      </w:tr>
      <w:tr w:rsidR="007B0AA0" w14:paraId="0CCC9B9C" w14:textId="77777777" w:rsidTr="00F363FE">
        <w:tc>
          <w:tcPr>
            <w:tcW w:w="6512" w:type="dxa"/>
          </w:tcPr>
          <w:p w14:paraId="7B8A6734" w14:textId="77777777" w:rsidR="007B0AA0" w:rsidRPr="007B0AA0" w:rsidRDefault="007B0AA0" w:rsidP="00F363FE">
            <w:pPr>
              <w:spacing w:before="60" w:after="60" w:line="260" w:lineRule="exact"/>
              <w:rPr>
                <w:b/>
                <w:bCs/>
                <w:rtl/>
                <w:lang w:bidi="ar-EG"/>
              </w:rPr>
            </w:pPr>
          </w:p>
        </w:tc>
        <w:tc>
          <w:tcPr>
            <w:tcW w:w="3117" w:type="dxa"/>
          </w:tcPr>
          <w:p w14:paraId="07A62B02" w14:textId="77777777" w:rsidR="007B0AA0" w:rsidRPr="007B0AA0" w:rsidRDefault="007B0AA0" w:rsidP="00F363FE">
            <w:pPr>
              <w:spacing w:before="60" w:after="60" w:line="260" w:lineRule="exact"/>
              <w:rPr>
                <w:b/>
                <w:bCs/>
                <w:rtl/>
                <w:lang w:bidi="ar-EG"/>
              </w:rPr>
            </w:pPr>
            <w:r w:rsidRPr="007B0AA0">
              <w:rPr>
                <w:rFonts w:hint="cs"/>
                <w:b/>
                <w:bCs/>
                <w:rtl/>
                <w:lang w:bidi="ar-EG"/>
              </w:rPr>
              <w:t>الأصل: بالإنكليزية</w:t>
            </w:r>
          </w:p>
        </w:tc>
      </w:tr>
      <w:tr w:rsidR="007B0AA0" w14:paraId="7C19EDE1" w14:textId="77777777" w:rsidTr="00F363FE">
        <w:tc>
          <w:tcPr>
            <w:tcW w:w="6512" w:type="dxa"/>
          </w:tcPr>
          <w:p w14:paraId="207A65C6" w14:textId="77777777" w:rsidR="007B0AA0" w:rsidRDefault="007B0AA0" w:rsidP="00F363FE">
            <w:pPr>
              <w:spacing w:before="60" w:after="60" w:line="260" w:lineRule="exact"/>
              <w:rPr>
                <w:lang w:bidi="ar-EG"/>
              </w:rPr>
            </w:pPr>
          </w:p>
        </w:tc>
        <w:tc>
          <w:tcPr>
            <w:tcW w:w="3117" w:type="dxa"/>
          </w:tcPr>
          <w:p w14:paraId="129F15F4" w14:textId="77777777" w:rsidR="007B0AA0" w:rsidRDefault="007B0AA0" w:rsidP="00F363FE">
            <w:pPr>
              <w:spacing w:before="60" w:after="60" w:line="260" w:lineRule="exact"/>
              <w:rPr>
                <w:rtl/>
                <w:lang w:bidi="ar-EG"/>
              </w:rPr>
            </w:pPr>
          </w:p>
        </w:tc>
      </w:tr>
      <w:tr w:rsidR="007B0AA0" w14:paraId="51E0FCB6" w14:textId="77777777" w:rsidTr="00EE7446">
        <w:tc>
          <w:tcPr>
            <w:tcW w:w="9629" w:type="dxa"/>
            <w:gridSpan w:val="2"/>
          </w:tcPr>
          <w:p w14:paraId="09C7D271" w14:textId="77777777" w:rsidR="007B0AA0" w:rsidRDefault="007B0AA0" w:rsidP="007B0AA0">
            <w:pPr>
              <w:pStyle w:val="Source"/>
              <w:jc w:val="left"/>
              <w:rPr>
                <w:rtl/>
                <w:lang w:bidi="ar-EG"/>
              </w:rPr>
            </w:pPr>
            <w:r>
              <w:rPr>
                <w:rFonts w:hint="cs"/>
                <w:rtl/>
                <w:lang w:bidi="ar-EG"/>
              </w:rPr>
              <w:t xml:space="preserve">تقرير من </w:t>
            </w:r>
            <w:r w:rsidR="004B7334">
              <w:rPr>
                <w:rFonts w:hint="cs"/>
                <w:rtl/>
                <w:lang w:bidi="ar-EG"/>
              </w:rPr>
              <w:t>الأمينة العامة</w:t>
            </w:r>
          </w:p>
        </w:tc>
      </w:tr>
      <w:tr w:rsidR="007B0AA0" w14:paraId="55304641" w14:textId="77777777" w:rsidTr="007B0AA0">
        <w:tc>
          <w:tcPr>
            <w:tcW w:w="9629" w:type="dxa"/>
            <w:gridSpan w:val="2"/>
            <w:tcBorders>
              <w:bottom w:val="single" w:sz="4" w:space="0" w:color="auto"/>
            </w:tcBorders>
          </w:tcPr>
          <w:p w14:paraId="3F4BACC8" w14:textId="65A32864" w:rsidR="007B0AA0" w:rsidRDefault="00EF1A1D" w:rsidP="00EF1A1D">
            <w:pPr>
              <w:pStyle w:val="Subtitle0"/>
            </w:pPr>
            <w:r w:rsidRPr="00EF1A1D">
              <w:rPr>
                <w:rFonts w:hint="cs"/>
                <w:rtl/>
                <w:lang w:bidi="ar-SA"/>
              </w:rPr>
              <w:t>تقرير بشأن استعمال لغات الاتحاد الست على قدم المساواة</w:t>
            </w:r>
          </w:p>
        </w:tc>
      </w:tr>
      <w:tr w:rsidR="007B0AA0" w14:paraId="26027043" w14:textId="77777777" w:rsidTr="007B0AA0">
        <w:tc>
          <w:tcPr>
            <w:tcW w:w="9629" w:type="dxa"/>
            <w:gridSpan w:val="2"/>
            <w:tcBorders>
              <w:top w:val="single" w:sz="4" w:space="0" w:color="auto"/>
              <w:bottom w:val="single" w:sz="4" w:space="0" w:color="auto"/>
            </w:tcBorders>
          </w:tcPr>
          <w:p w14:paraId="3803FE09" w14:textId="5D26F2B8" w:rsidR="007B0AA0" w:rsidRPr="007B0AA0" w:rsidRDefault="007B0AA0" w:rsidP="007B0AA0">
            <w:pPr>
              <w:rPr>
                <w:b/>
                <w:bCs/>
                <w:rtl/>
              </w:rPr>
            </w:pPr>
            <w:r w:rsidRPr="00A750CC">
              <w:rPr>
                <w:rFonts w:hint="cs"/>
                <w:b/>
                <w:bCs/>
                <w:rtl/>
              </w:rPr>
              <w:t xml:space="preserve">الغرض </w:t>
            </w:r>
          </w:p>
          <w:p w14:paraId="1CEDF060" w14:textId="2906EBAE" w:rsidR="00C13AC2" w:rsidRPr="00813E5E" w:rsidRDefault="00C13AC2" w:rsidP="00C13AC2">
            <w:r w:rsidRPr="006B1244">
              <w:rPr>
                <w:rtl/>
                <w:lang w:eastAsia="ar" w:bidi="ar-MA"/>
              </w:rPr>
              <w:t>يقدّم هذا التقرير معلومات محدَّثة إلى مجلس الاتحاد الدولي للاتصالات بشأن تنفيذ القرار 154 (المراجَع في بوخارست، 2022) الصادر عن مؤتمر المندوبين المفوَّضين، بشأن استعمال لغات الاتحاد الرسمية الست</w:t>
            </w:r>
            <w:r>
              <w:rPr>
                <w:rFonts w:hint="cs"/>
                <w:rtl/>
                <w:lang w:eastAsia="ar" w:bidi="ar-MA"/>
              </w:rPr>
              <w:t>ّ</w:t>
            </w:r>
            <w:r w:rsidRPr="006B1244">
              <w:rPr>
                <w:rtl/>
                <w:lang w:eastAsia="ar" w:bidi="ar-MA"/>
              </w:rPr>
              <w:t xml:space="preserve"> على قدم المساواة، وفقاً للقرار 1372 </w:t>
            </w:r>
            <w:r w:rsidR="00793B88">
              <w:rPr>
                <w:rFonts w:hint="cs"/>
                <w:rtl/>
                <w:lang w:eastAsia="ar" w:bidi="ar-MA"/>
              </w:rPr>
              <w:t>للمجلس</w:t>
            </w:r>
            <w:r w:rsidRPr="006B1244">
              <w:rPr>
                <w:rtl/>
                <w:lang w:eastAsia="ar" w:bidi="ar-MA"/>
              </w:rPr>
              <w:t xml:space="preserve"> </w:t>
            </w:r>
            <w:r w:rsidRPr="00BA1ECD">
              <w:rPr>
                <w:rtl/>
              </w:rPr>
              <w:t>(الصادر في دورة المجلس لعام 2015، والمعدَّل آخر مرة في دورة المجلس لعام 2019)</w:t>
            </w:r>
            <w:r w:rsidRPr="006B1244">
              <w:rPr>
                <w:rtl/>
                <w:lang w:eastAsia="ar" w:bidi="ar-MA"/>
              </w:rPr>
              <w:t>.</w:t>
            </w:r>
          </w:p>
          <w:p w14:paraId="795485C6" w14:textId="77777777" w:rsidR="007B0AA0" w:rsidRPr="007B0AA0" w:rsidRDefault="007B0AA0" w:rsidP="007B0AA0">
            <w:pPr>
              <w:rPr>
                <w:b/>
                <w:bCs/>
                <w:rtl/>
              </w:rPr>
            </w:pPr>
            <w:r w:rsidRPr="007B0AA0">
              <w:rPr>
                <w:rFonts w:hint="cs"/>
                <w:b/>
                <w:bCs/>
                <w:rtl/>
              </w:rPr>
              <w:t>الإجراء المطلوب من المجلس</w:t>
            </w:r>
          </w:p>
          <w:p w14:paraId="3A9CF2CB" w14:textId="1EED1B73" w:rsidR="007B0AA0" w:rsidRDefault="00EF1A1D" w:rsidP="00EF1A1D">
            <w:pPr>
              <w:rPr>
                <w:rtl/>
                <w:lang w:bidi="ar-SY"/>
              </w:rPr>
            </w:pPr>
            <w:r>
              <w:rPr>
                <w:rFonts w:hint="cs"/>
                <w:rtl/>
                <w:lang w:bidi="ar-EG"/>
              </w:rPr>
              <w:t>يُدعى المجلس إلى</w:t>
            </w:r>
            <w:r>
              <w:rPr>
                <w:rFonts w:hint="cs"/>
                <w:b/>
                <w:bCs/>
                <w:rtl/>
                <w:lang w:bidi="ar-EG"/>
              </w:rPr>
              <w:t xml:space="preserve"> </w:t>
            </w:r>
            <w:r w:rsidR="00C13AC2">
              <w:rPr>
                <w:rFonts w:hint="cs"/>
                <w:b/>
                <w:bCs/>
                <w:rtl/>
                <w:lang w:bidi="ar-EG"/>
              </w:rPr>
              <w:t>الإحاطة</w:t>
            </w:r>
            <w:r w:rsidR="00A750CC">
              <w:rPr>
                <w:rFonts w:hint="cs"/>
                <w:b/>
                <w:bCs/>
                <w:rtl/>
                <w:lang w:bidi="ar-EG"/>
              </w:rPr>
              <w:t xml:space="preserve"> علماً</w:t>
            </w:r>
            <w:r>
              <w:rPr>
                <w:rFonts w:hint="cs"/>
                <w:b/>
                <w:bCs/>
                <w:rtl/>
                <w:lang w:bidi="ar-EG"/>
              </w:rPr>
              <w:t xml:space="preserve"> </w:t>
            </w:r>
            <w:r w:rsidR="00C13AC2">
              <w:rPr>
                <w:rFonts w:hint="cs"/>
                <w:rtl/>
                <w:lang w:bidi="ar-EG"/>
              </w:rPr>
              <w:t>بالتقرير</w:t>
            </w:r>
            <w:r>
              <w:rPr>
                <w:rFonts w:hint="cs"/>
                <w:b/>
                <w:bCs/>
                <w:rtl/>
                <w:lang w:bidi="ar-EG"/>
              </w:rPr>
              <w:t>.</w:t>
            </w:r>
          </w:p>
          <w:p w14:paraId="321B24F2" w14:textId="363E6541" w:rsidR="007B0AA0" w:rsidRPr="007B0AA0" w:rsidRDefault="007B0AA0" w:rsidP="007B0AA0">
            <w:pPr>
              <w:rPr>
                <w:b/>
                <w:bCs/>
                <w:rtl/>
              </w:rPr>
            </w:pPr>
            <w:r w:rsidRPr="007B0AA0">
              <w:rPr>
                <w:b/>
                <w:bCs/>
                <w:rtl/>
              </w:rPr>
              <w:t>الصلة</w:t>
            </w:r>
            <w:r w:rsidR="00BA1ECD">
              <w:rPr>
                <w:rFonts w:hint="cs"/>
                <w:b/>
                <w:bCs/>
                <w:rtl/>
              </w:rPr>
              <w:t xml:space="preserve"> </w:t>
            </w:r>
            <w:r w:rsidRPr="007B0AA0">
              <w:rPr>
                <w:b/>
                <w:bCs/>
                <w:rtl/>
              </w:rPr>
              <w:t>بالخطة ال</w:t>
            </w:r>
            <w:r w:rsidRPr="007B0AA0">
              <w:rPr>
                <w:rFonts w:hint="cs"/>
                <w:b/>
                <w:bCs/>
                <w:rtl/>
              </w:rPr>
              <w:t>ا</w:t>
            </w:r>
            <w:r w:rsidRPr="007B0AA0">
              <w:rPr>
                <w:b/>
                <w:bCs/>
                <w:rtl/>
              </w:rPr>
              <w:t>ستراتيجية</w:t>
            </w:r>
          </w:p>
          <w:p w14:paraId="5A447350" w14:textId="1976A9C2" w:rsidR="00EF1A1D" w:rsidRPr="00EF1A1D" w:rsidRDefault="00EF1A1D" w:rsidP="00EF1A1D">
            <w:pPr>
              <w:rPr>
                <w:rtl/>
              </w:rPr>
            </w:pPr>
            <w:r w:rsidRPr="00EF1A1D">
              <w:rPr>
                <w:rtl/>
              </w:rPr>
              <w:t>التميز في مجال الموارد البشرية والابتكار التنظيمي</w:t>
            </w:r>
            <w:r w:rsidR="006120A5">
              <w:rPr>
                <w:rFonts w:hint="cs"/>
                <w:rtl/>
              </w:rPr>
              <w:t>.</w:t>
            </w:r>
          </w:p>
          <w:p w14:paraId="2FAA5A90" w14:textId="63AE7112" w:rsidR="00EF1A1D" w:rsidRDefault="007B0AA0" w:rsidP="007B0AA0">
            <w:pPr>
              <w:rPr>
                <w:b/>
                <w:bCs/>
                <w:rtl/>
              </w:rPr>
            </w:pPr>
            <w:r w:rsidRPr="007B0AA0">
              <w:rPr>
                <w:rFonts w:hint="cs"/>
                <w:b/>
                <w:bCs/>
                <w:rtl/>
              </w:rPr>
              <w:t>الآثار المالية</w:t>
            </w:r>
          </w:p>
          <w:p w14:paraId="0329EB2D" w14:textId="0E9AC8F2" w:rsidR="007B0AA0" w:rsidRPr="007B0AA0" w:rsidRDefault="007B0AA0" w:rsidP="00EF1A1D">
            <w:pPr>
              <w:rPr>
                <w:rtl/>
              </w:rPr>
            </w:pPr>
            <w:r w:rsidRPr="007B0AA0">
              <w:rPr>
                <w:rFonts w:hint="cs"/>
                <w:rtl/>
              </w:rPr>
              <w:t xml:space="preserve">لا </w:t>
            </w:r>
            <w:r w:rsidR="00A750CC">
              <w:rPr>
                <w:rFonts w:hint="cs"/>
                <w:rtl/>
              </w:rPr>
              <w:t>شيء</w:t>
            </w:r>
            <w:r w:rsidR="006120A5" w:rsidRPr="006120A5">
              <w:rPr>
                <w:rFonts w:hint="cs"/>
                <w:rtl/>
              </w:rPr>
              <w:t>.</w:t>
            </w:r>
          </w:p>
          <w:p w14:paraId="7A2FDCBC" w14:textId="77777777" w:rsidR="007B0AA0" w:rsidRPr="007B0AA0" w:rsidRDefault="007B0AA0" w:rsidP="007B0AA0">
            <w:pPr>
              <w:rPr>
                <w:rFonts w:ascii="Traditional Arabic" w:hAnsi="Traditional Arabic" w:cs="Traditional Arabic"/>
                <w:sz w:val="30"/>
                <w:szCs w:val="30"/>
                <w:rtl/>
              </w:rPr>
            </w:pPr>
            <w:r w:rsidRPr="007B0AA0">
              <w:rPr>
                <w:rFonts w:ascii="Traditional Arabic" w:hAnsi="Traditional Arabic" w:cs="Traditional Arabic"/>
                <w:sz w:val="30"/>
                <w:szCs w:val="30"/>
                <w:rtl/>
              </w:rPr>
              <w:t>___________</w:t>
            </w:r>
          </w:p>
          <w:p w14:paraId="19340BC4" w14:textId="77777777" w:rsidR="007B0AA0" w:rsidRPr="007B0AA0" w:rsidRDefault="007B0AA0" w:rsidP="007B0AA0">
            <w:pPr>
              <w:rPr>
                <w:b/>
                <w:bCs/>
                <w:rtl/>
              </w:rPr>
            </w:pPr>
            <w:r w:rsidRPr="007B0AA0">
              <w:rPr>
                <w:rFonts w:hint="cs"/>
                <w:b/>
                <w:bCs/>
                <w:rtl/>
              </w:rPr>
              <w:t>المراجع</w:t>
            </w:r>
          </w:p>
          <w:p w14:paraId="7CB42528" w14:textId="6B834591" w:rsidR="007B0AA0" w:rsidRPr="00BA1ECD" w:rsidRDefault="00D95FB1" w:rsidP="00D67085">
            <w:pPr>
              <w:spacing w:after="120"/>
              <w:rPr>
                <w:i/>
                <w:iCs/>
                <w:lang w:val="en-GB" w:bidi="ar-JO"/>
              </w:rPr>
            </w:pPr>
            <w:hyperlink r:id="rId8" w:history="1">
              <w:r w:rsidR="00EF1A1D" w:rsidRPr="00EF1A1D">
                <w:rPr>
                  <w:rStyle w:val="Hyperlink"/>
                  <w:rFonts w:hint="cs"/>
                  <w:i/>
                  <w:iCs/>
                  <w:rtl/>
                </w:rPr>
                <w:t>القرار 154 (المراجَع في بوخارست، 2022) لمؤتمر المندوبين المفوضين</w:t>
              </w:r>
            </w:hyperlink>
            <w:r w:rsidR="00EF1A1D" w:rsidRPr="006120A5">
              <w:rPr>
                <w:rFonts w:hint="cs"/>
                <w:i/>
                <w:iCs/>
                <w:rtl/>
              </w:rPr>
              <w:t xml:space="preserve">؛ </w:t>
            </w:r>
            <w:hyperlink r:id="rId9" w:history="1">
              <w:r w:rsidR="00EF1A1D" w:rsidRPr="00EF1A1D">
                <w:rPr>
                  <w:rStyle w:val="Hyperlink"/>
                  <w:rFonts w:hint="cs"/>
                  <w:i/>
                  <w:iCs/>
                  <w:rtl/>
                </w:rPr>
                <w:t xml:space="preserve">القرار 1372 </w:t>
              </w:r>
              <w:r w:rsidR="00793B88">
                <w:rPr>
                  <w:rStyle w:val="Hyperlink"/>
                  <w:rFonts w:hint="cs"/>
                  <w:i/>
                  <w:iCs/>
                  <w:rtl/>
                </w:rPr>
                <w:t>للمجلس</w:t>
              </w:r>
            </w:hyperlink>
            <w:r w:rsidR="00BA1ECD" w:rsidRPr="00BA1ECD">
              <w:rPr>
                <w:rStyle w:val="Hyperlink"/>
                <w:i/>
                <w:iCs/>
              </w:rPr>
              <w:t xml:space="preserve"> </w:t>
            </w:r>
            <w:r w:rsidR="00BA1ECD" w:rsidRPr="00BA1ECD">
              <w:rPr>
                <w:rStyle w:val="Hyperlink"/>
                <w:i/>
                <w:iCs/>
                <w:rtl/>
              </w:rPr>
              <w:t>(الصادر في دورة المجلس لعام 2015، والمعدَّل آخر مرة في دورة المجلس لعام 2019)</w:t>
            </w:r>
          </w:p>
        </w:tc>
      </w:tr>
    </w:tbl>
    <w:p w14:paraId="46997037" w14:textId="77777777" w:rsidR="00E61BE8" w:rsidRDefault="00E61BE8" w:rsidP="00E61BE8">
      <w:pPr>
        <w:rPr>
          <w:rtl/>
          <w:lang w:bidi="ar-EG"/>
        </w:rPr>
      </w:pPr>
    </w:p>
    <w:p w14:paraId="0772B877" w14:textId="77777777" w:rsidR="00F50E3F" w:rsidRDefault="00F50E3F" w:rsidP="006120A5">
      <w:pPr>
        <w:rPr>
          <w:rtl/>
          <w:lang w:bidi="ar-EG"/>
        </w:rPr>
      </w:pPr>
      <w:r>
        <w:rPr>
          <w:rtl/>
          <w:lang w:bidi="ar-EG"/>
        </w:rPr>
        <w:br w:type="page"/>
      </w:r>
    </w:p>
    <w:p w14:paraId="4CFE3F08" w14:textId="4F3A9621" w:rsidR="00412FCA" w:rsidRDefault="006120A5" w:rsidP="006120A5">
      <w:pPr>
        <w:pStyle w:val="Heading1"/>
        <w:rPr>
          <w:rFonts w:cstheme="minorHAnsi"/>
          <w:sz w:val="24"/>
          <w:szCs w:val="24"/>
        </w:rPr>
      </w:pPr>
      <w:r>
        <w:rPr>
          <w:rFonts w:hint="cs"/>
          <w:rtl/>
          <w:lang w:eastAsia="en-US" w:bidi="ar-EG"/>
        </w:rPr>
        <w:lastRenderedPageBreak/>
        <w:t>1</w:t>
      </w:r>
      <w:r>
        <w:rPr>
          <w:rtl/>
          <w:lang w:eastAsia="en-US" w:bidi="ar-EG"/>
        </w:rPr>
        <w:tab/>
      </w:r>
      <w:r w:rsidR="00412FCA" w:rsidRPr="006120A5">
        <w:rPr>
          <w:spacing w:val="-4"/>
          <w:rtl/>
          <w:lang w:eastAsia="en-US" w:bidi="ar-EG"/>
        </w:rPr>
        <w:t>تطوُّر ميزانية ترجمة الوثائق إلى اللغات الرسمية الست منذ مؤتمر المندوبين المفوَّضين لعام</w:t>
      </w:r>
      <w:r w:rsidRPr="006120A5">
        <w:rPr>
          <w:rFonts w:cstheme="minorHAnsi" w:hint="cs"/>
          <w:spacing w:val="-4"/>
          <w:sz w:val="24"/>
          <w:szCs w:val="24"/>
          <w:rtl/>
          <w:lang w:eastAsia="ar" w:bidi="ar-MA"/>
        </w:rPr>
        <w:t> </w:t>
      </w:r>
      <w:r w:rsidR="00412FCA" w:rsidRPr="006120A5">
        <w:rPr>
          <w:spacing w:val="-4"/>
          <w:rtl/>
          <w:lang w:eastAsia="en-US" w:bidi="ar-EG"/>
        </w:rPr>
        <w:t>2018</w:t>
      </w:r>
    </w:p>
    <w:p w14:paraId="08F640F7" w14:textId="6358E7D1" w:rsidR="00412FCA" w:rsidRPr="00412FCA" w:rsidRDefault="00412FCA" w:rsidP="006120A5">
      <w:pPr>
        <w:rPr>
          <w:lang w:bidi="ar-EG"/>
        </w:rPr>
      </w:pPr>
      <w:r w:rsidRPr="00412FCA">
        <w:rPr>
          <w:rtl/>
          <w:lang w:bidi="ar-EG"/>
        </w:rPr>
        <w:t xml:space="preserve">بناءً على طلب مؤتمر المندوبين المفوَّضين، تُقدَّم في هذه الوثيقة أرقام الميزانية لخدمات الترجمة التحريرية والترجمة الشفوية (الملحق 1، الجدول 1)، مقسَّمة إلى ثلاث فئات: ميزانية ونفقات الترجمة التحريرية والخدمات المرتبطة بها؛ </w:t>
      </w:r>
      <w:r w:rsidR="00BA1ECD">
        <w:rPr>
          <w:rFonts w:hint="cs"/>
          <w:rtl/>
          <w:lang w:bidi="ar-EG"/>
        </w:rPr>
        <w:t>و</w:t>
      </w:r>
      <w:r w:rsidRPr="00412FCA">
        <w:rPr>
          <w:rtl/>
          <w:lang w:bidi="ar-EG"/>
        </w:rPr>
        <w:t xml:space="preserve">ميزانية ونفقات خدمة الترجمة </w:t>
      </w:r>
      <w:r w:rsidR="00BA1ECD">
        <w:rPr>
          <w:rFonts w:hint="cs"/>
          <w:rtl/>
          <w:lang w:bidi="ar-EG"/>
        </w:rPr>
        <w:t>الشفوية</w:t>
      </w:r>
      <w:r w:rsidRPr="00412FCA">
        <w:rPr>
          <w:rtl/>
          <w:lang w:bidi="ar-EG"/>
        </w:rPr>
        <w:t>، وإجمالي ميزانية ونفقات الخدمات اللغوية. وبناءً على طلب فريق العمل التابع للمجلس والمعنيّ باستعمال اللغات الرسمية الست للاتحاد (</w:t>
      </w:r>
      <w:r w:rsidRPr="00412FCA">
        <w:rPr>
          <w:lang w:bidi="ar-EG"/>
        </w:rPr>
        <w:t>CWG-LANG</w:t>
      </w:r>
      <w:r w:rsidRPr="00412FCA">
        <w:rPr>
          <w:rtl/>
          <w:lang w:bidi="ar-EG"/>
        </w:rPr>
        <w:t>)، يتضمن الملحق 1، الجدول 2، معلوماتٍ عن حجم الترجمة التحريرية لكلّ لغة خلال الفترة نفسها. و</w:t>
      </w:r>
      <w:r w:rsidR="000E4415">
        <w:rPr>
          <w:rFonts w:hint="cs"/>
          <w:rtl/>
          <w:lang w:bidi="ar-EG"/>
        </w:rPr>
        <w:t>ي</w:t>
      </w:r>
      <w:r w:rsidRPr="00412FCA">
        <w:rPr>
          <w:rtl/>
          <w:lang w:bidi="ar-EG"/>
        </w:rPr>
        <w:t xml:space="preserve">عبّر حجم الترجمة </w:t>
      </w:r>
      <w:r w:rsidR="00BA1ECD">
        <w:rPr>
          <w:rFonts w:hint="cs"/>
          <w:rtl/>
          <w:lang w:bidi="ar-EG"/>
        </w:rPr>
        <w:t xml:space="preserve">عن </w:t>
      </w:r>
      <w:r w:rsidRPr="00412FCA">
        <w:rPr>
          <w:rtl/>
          <w:lang w:bidi="ar-EG"/>
        </w:rPr>
        <w:t xml:space="preserve">المساواةَ في معاملة جميع اللغات الرسمية الست للاتحاد، وعَقْد </w:t>
      </w:r>
      <w:proofErr w:type="gramStart"/>
      <w:r w:rsidRPr="00412FCA">
        <w:rPr>
          <w:rtl/>
          <w:lang w:bidi="ar-EG"/>
        </w:rPr>
        <w:t>ثلاثة</w:t>
      </w:r>
      <w:proofErr w:type="gramEnd"/>
      <w:r w:rsidRPr="00412FCA">
        <w:rPr>
          <w:rtl/>
          <w:lang w:bidi="ar-EG"/>
        </w:rPr>
        <w:t xml:space="preserve"> مؤتمرات وجمعيات عالمية في عام 2022 بصفة استثنائية.</w:t>
      </w:r>
    </w:p>
    <w:p w14:paraId="587D88E3" w14:textId="1859E63C" w:rsidR="00EF1A1D" w:rsidRDefault="006120A5" w:rsidP="006120A5">
      <w:pPr>
        <w:pStyle w:val="Heading1"/>
        <w:rPr>
          <w:rtl/>
          <w:lang w:bidi="ar-EG"/>
        </w:rPr>
      </w:pPr>
      <w:r>
        <w:rPr>
          <w:rFonts w:hint="cs"/>
          <w:rtl/>
          <w:lang w:bidi="ar-EG"/>
        </w:rPr>
        <w:t>2</w:t>
      </w:r>
      <w:r w:rsidR="00EB5F29">
        <w:rPr>
          <w:rFonts w:hint="cs"/>
          <w:rtl/>
          <w:lang w:bidi="ar-EG"/>
        </w:rPr>
        <w:t xml:space="preserve"> </w:t>
      </w:r>
      <w:r>
        <w:rPr>
          <w:rtl/>
          <w:lang w:bidi="ar-EG"/>
        </w:rPr>
        <w:tab/>
      </w:r>
      <w:r w:rsidR="00EF1A1D" w:rsidRPr="00CE5DA0">
        <w:rPr>
          <w:rFonts w:hint="cs"/>
          <w:rtl/>
          <w:lang w:eastAsia="en-US" w:bidi="ar-EG"/>
        </w:rPr>
        <w:t>الإجراءات المعتمدة في المنظمات الدولية الأخرى داخل منظومة الأمم المتحدة وخارجها</w:t>
      </w:r>
    </w:p>
    <w:p w14:paraId="7B71A4EC" w14:textId="2FE58ACF" w:rsidR="00412FCA" w:rsidRPr="00A03188" w:rsidRDefault="00412FCA" w:rsidP="006120A5">
      <w:pPr>
        <w:rPr>
          <w:lang w:bidi="ar-EG"/>
        </w:rPr>
      </w:pPr>
      <w:r w:rsidRPr="00A03188">
        <w:rPr>
          <w:rtl/>
          <w:lang w:bidi="ar-EG"/>
        </w:rPr>
        <w:t>يشارك الاتحاد الدولي للاتصالات مشاركةً فعّالة في الاجتماع السنوي الدولي المعني</w:t>
      </w:r>
      <w:r w:rsidR="00A03188">
        <w:rPr>
          <w:rFonts w:hint="cs"/>
          <w:rtl/>
          <w:lang w:bidi="ar-EG"/>
        </w:rPr>
        <w:t>ّ</w:t>
      </w:r>
      <w:r w:rsidRPr="00A03188">
        <w:rPr>
          <w:rtl/>
          <w:lang w:bidi="ar-EG"/>
        </w:rPr>
        <w:t xml:space="preserve"> بترتيبات اللغات والوثائق والمنشورات</w:t>
      </w:r>
      <w:r w:rsidR="006120A5">
        <w:rPr>
          <w:rFonts w:hint="cs"/>
          <w:rtl/>
          <w:lang w:bidi="ar-EG"/>
        </w:rPr>
        <w:t> </w:t>
      </w:r>
      <w:r w:rsidRPr="00A03188">
        <w:rPr>
          <w:rtl/>
          <w:lang w:bidi="ar-EG"/>
        </w:rPr>
        <w:t>(</w:t>
      </w:r>
      <w:r w:rsidRPr="00A03188">
        <w:rPr>
          <w:lang w:bidi="ar-EG"/>
        </w:rPr>
        <w:t>IAMLADP</w:t>
      </w:r>
      <w:r w:rsidRPr="00A03188">
        <w:rPr>
          <w:rtl/>
          <w:lang w:bidi="ar-EG"/>
        </w:rPr>
        <w:t xml:space="preserve">) وأفرقة العمل </w:t>
      </w:r>
      <w:r w:rsidR="00A750CC">
        <w:rPr>
          <w:rFonts w:hint="cs"/>
          <w:rtl/>
          <w:lang w:bidi="ar-EG"/>
        </w:rPr>
        <w:t>وأفرقة</w:t>
      </w:r>
      <w:r w:rsidRPr="00A03188">
        <w:rPr>
          <w:rtl/>
          <w:lang w:bidi="ar-EG"/>
        </w:rPr>
        <w:t xml:space="preserve"> المهامّ </w:t>
      </w:r>
      <w:r w:rsidR="00A750CC">
        <w:rPr>
          <w:rFonts w:hint="cs"/>
          <w:rtl/>
          <w:lang w:bidi="ar-EG"/>
        </w:rPr>
        <w:t>التابعة له</w:t>
      </w:r>
      <w:r w:rsidRPr="00A03188">
        <w:rPr>
          <w:rtl/>
          <w:lang w:bidi="ar-EG"/>
        </w:rPr>
        <w:t>، مثلما يشارك في الاجتماع المشترك بين الوكالات بشأن الترجمة بمساعدة الحاسوب والمصطلحات (</w:t>
      </w:r>
      <w:r w:rsidRPr="00A03188">
        <w:rPr>
          <w:lang w:bidi="ar-EG"/>
        </w:rPr>
        <w:t>JIAMCATT</w:t>
      </w:r>
      <w:r w:rsidRPr="00A03188">
        <w:rPr>
          <w:rtl/>
          <w:lang w:bidi="ar-EG"/>
        </w:rPr>
        <w:t xml:space="preserve">). </w:t>
      </w:r>
      <w:r w:rsidR="00A03188">
        <w:rPr>
          <w:rFonts w:hint="cs"/>
          <w:rtl/>
          <w:lang w:bidi="ar-EG"/>
        </w:rPr>
        <w:t xml:space="preserve">وقد </w:t>
      </w:r>
      <w:r w:rsidRPr="00A03188">
        <w:rPr>
          <w:rtl/>
          <w:lang w:bidi="ar-EG"/>
        </w:rPr>
        <w:t xml:space="preserve">ركَّزت الاستنتاجات الرئيسية </w:t>
      </w:r>
      <w:r w:rsidR="00A750CC">
        <w:rPr>
          <w:rFonts w:hint="cs"/>
          <w:rtl/>
          <w:lang w:bidi="ar-EG"/>
        </w:rPr>
        <w:t>لهذين الاجتماعين اللذين عُقِدا</w:t>
      </w:r>
      <w:r w:rsidRPr="00A03188">
        <w:rPr>
          <w:rtl/>
          <w:lang w:bidi="ar-EG"/>
        </w:rPr>
        <w:t xml:space="preserve"> في</w:t>
      </w:r>
      <w:r w:rsidR="006120A5">
        <w:rPr>
          <w:rFonts w:hint="cs"/>
          <w:rtl/>
          <w:lang w:bidi="ar-EG"/>
        </w:rPr>
        <w:t> </w:t>
      </w:r>
      <w:r w:rsidRPr="00A03188">
        <w:rPr>
          <w:rtl/>
          <w:lang w:bidi="ar-EG"/>
        </w:rPr>
        <w:t xml:space="preserve">عام 2022 على الحاجة إلى: زيادة الدعم للاجتماعات الافتراضية </w:t>
      </w:r>
      <w:r w:rsidR="00A750CC">
        <w:rPr>
          <w:rFonts w:hint="cs"/>
          <w:rtl/>
          <w:lang w:bidi="ar-EG"/>
        </w:rPr>
        <w:t>بالكامل</w:t>
      </w:r>
      <w:r w:rsidRPr="00A03188">
        <w:rPr>
          <w:rtl/>
          <w:lang w:bidi="ar-EG"/>
        </w:rPr>
        <w:t xml:space="preserve"> والاجتماعات الحضورية </w:t>
      </w:r>
      <w:r w:rsidR="00A750CC">
        <w:rPr>
          <w:rFonts w:hint="cs"/>
          <w:rtl/>
          <w:lang w:bidi="ar-EG"/>
        </w:rPr>
        <w:t>التي تتاح فيها</w:t>
      </w:r>
      <w:r w:rsidRPr="00A03188">
        <w:rPr>
          <w:rtl/>
          <w:lang w:bidi="ar-EG"/>
        </w:rPr>
        <w:t xml:space="preserve"> المشاركة عن بُعد؛ </w:t>
      </w:r>
      <w:r w:rsidR="00A03188">
        <w:rPr>
          <w:rFonts w:hint="cs"/>
          <w:rtl/>
          <w:lang w:bidi="ar-EG"/>
        </w:rPr>
        <w:t>وإظهار</w:t>
      </w:r>
      <w:r w:rsidRPr="00A03188">
        <w:rPr>
          <w:rtl/>
          <w:lang w:bidi="ar-EG"/>
        </w:rPr>
        <w:t xml:space="preserve"> أساليب العمل المتغيرة، بما في ذلك العمل عن بُعد واستخدام </w:t>
      </w:r>
      <w:r w:rsidR="00A03188">
        <w:rPr>
          <w:rFonts w:hint="cs"/>
          <w:rtl/>
          <w:lang w:bidi="ar-EG"/>
        </w:rPr>
        <w:t>التكنولوجيات</w:t>
      </w:r>
      <w:r w:rsidRPr="00A03188">
        <w:rPr>
          <w:rtl/>
          <w:lang w:bidi="ar-EG"/>
        </w:rPr>
        <w:t xml:space="preserve"> الجديدة، في الإدارة المرنة للموظفين، وتكييف العقود والتوصيفات الوظيفية الجديدة؛ </w:t>
      </w:r>
      <w:r w:rsidR="00A03188">
        <w:rPr>
          <w:rFonts w:hint="cs"/>
          <w:rtl/>
          <w:lang w:bidi="ar-EG"/>
        </w:rPr>
        <w:t>و</w:t>
      </w:r>
      <w:r w:rsidRPr="00A03188">
        <w:rPr>
          <w:rtl/>
          <w:lang w:bidi="ar-EG"/>
        </w:rPr>
        <w:t xml:space="preserve">تضمين الترجمة الآلية بشكل أعمق في عمليات الترجمة التحريرية مع الحفاظ على دور المترجمين المهنيين كجزء لا يتجزأ من الاستخدام الفعّال للأدوات الآلية؛ </w:t>
      </w:r>
      <w:r w:rsidR="00A03188">
        <w:rPr>
          <w:rFonts w:hint="cs"/>
          <w:rtl/>
          <w:lang w:bidi="ar-EG"/>
        </w:rPr>
        <w:t>و</w:t>
      </w:r>
      <w:r w:rsidRPr="00A03188">
        <w:rPr>
          <w:rtl/>
          <w:lang w:bidi="ar-EG"/>
        </w:rPr>
        <w:t xml:space="preserve">تطوير مهارات المراجعة والتحرير اللاحق </w:t>
      </w:r>
      <w:r w:rsidR="00A03188">
        <w:rPr>
          <w:rFonts w:hint="cs"/>
          <w:rtl/>
          <w:lang w:bidi="ar-EG"/>
        </w:rPr>
        <w:t xml:space="preserve">لدى </w:t>
      </w:r>
      <w:r w:rsidRPr="00A03188">
        <w:rPr>
          <w:rtl/>
          <w:lang w:bidi="ar-EG"/>
        </w:rPr>
        <w:t xml:space="preserve">موظفي الترجمة التحريرية؛ </w:t>
      </w:r>
      <w:r w:rsidR="00A03188">
        <w:rPr>
          <w:rFonts w:hint="cs"/>
          <w:rtl/>
          <w:lang w:bidi="ar-EG"/>
        </w:rPr>
        <w:t>و</w:t>
      </w:r>
      <w:r w:rsidRPr="00A03188">
        <w:rPr>
          <w:rtl/>
          <w:lang w:bidi="ar-EG"/>
        </w:rPr>
        <w:t>زيادة الوعي والمنصات التقنية المناسبة للترجمة الفورية عن بُعد.</w:t>
      </w:r>
    </w:p>
    <w:p w14:paraId="51D0E8CB" w14:textId="137B0F67" w:rsidR="00412FCA" w:rsidRPr="00A03188" w:rsidRDefault="00A03188" w:rsidP="006120A5">
      <w:pPr>
        <w:rPr>
          <w:lang w:bidi="ar-EG"/>
        </w:rPr>
      </w:pPr>
      <w:r>
        <w:rPr>
          <w:rFonts w:hint="cs"/>
          <w:rtl/>
          <w:lang w:bidi="ar-EG"/>
        </w:rPr>
        <w:t>و</w:t>
      </w:r>
      <w:r w:rsidR="00412FCA" w:rsidRPr="00A03188">
        <w:rPr>
          <w:rtl/>
          <w:lang w:bidi="ar-EG"/>
        </w:rPr>
        <w:t xml:space="preserve">يشارك الاتحاد الدولي للاتصالات مشاركة فعّالة في عمل </w:t>
      </w:r>
      <w:r w:rsidR="00FE7542">
        <w:rPr>
          <w:rFonts w:hint="cs"/>
          <w:rtl/>
          <w:lang w:bidi="ar-EG"/>
        </w:rPr>
        <w:t>فريق</w:t>
      </w:r>
      <w:r w:rsidR="00412FCA" w:rsidRPr="00A03188">
        <w:rPr>
          <w:rtl/>
          <w:lang w:bidi="ar-EG"/>
        </w:rPr>
        <w:t xml:space="preserve"> المهامّ المنبثق عن الاجتماع السنوي الدولي المعني بترتيبات اللغات والوثائق والمنشورات (</w:t>
      </w:r>
      <w:r w:rsidR="00412FCA" w:rsidRPr="00A03188">
        <w:rPr>
          <w:lang w:bidi="ar-EG"/>
        </w:rPr>
        <w:t>IAMLADP</w:t>
      </w:r>
      <w:r w:rsidR="00412FCA" w:rsidRPr="00A03188">
        <w:rPr>
          <w:rtl/>
          <w:lang w:bidi="ar-EG"/>
        </w:rPr>
        <w:t xml:space="preserve">) لإنشاء وتحليل قاعدة بيانات ملفات توصيف الوظائف على نطاق المنظمات الأعضاء </w:t>
      </w:r>
      <w:r>
        <w:rPr>
          <w:rFonts w:hint="cs"/>
          <w:rtl/>
          <w:lang w:bidi="ar-EG"/>
        </w:rPr>
        <w:t>من أجل</w:t>
      </w:r>
      <w:r w:rsidR="00A750CC">
        <w:rPr>
          <w:rFonts w:hint="cs"/>
          <w:rtl/>
          <w:lang w:bidi="ar-EG"/>
        </w:rPr>
        <w:t xml:space="preserve"> فهم</w:t>
      </w:r>
      <w:r w:rsidR="00412FCA" w:rsidRPr="00A03188">
        <w:rPr>
          <w:rtl/>
          <w:lang w:bidi="ar-EG"/>
        </w:rPr>
        <w:t xml:space="preserve"> المتطلبات المتغيرة للمهنيّين اللغويين بشكل أفضل.</w:t>
      </w:r>
    </w:p>
    <w:p w14:paraId="4DC4AF2C" w14:textId="01739981" w:rsidR="00F50E3F" w:rsidRDefault="00EF1A1D" w:rsidP="00EF1A1D">
      <w:pPr>
        <w:pStyle w:val="Heading1"/>
        <w:rPr>
          <w:lang w:bidi="ar-JO"/>
        </w:rPr>
      </w:pPr>
      <w:r w:rsidRPr="00A750CC">
        <w:rPr>
          <w:rFonts w:hint="cs"/>
          <w:rtl/>
          <w:lang w:bidi="ar-EG"/>
        </w:rPr>
        <w:t>3</w:t>
      </w:r>
      <w:r w:rsidRPr="00A750CC">
        <w:rPr>
          <w:rtl/>
          <w:lang w:bidi="ar-EG"/>
        </w:rPr>
        <w:tab/>
      </w:r>
      <w:r w:rsidRPr="00A750CC">
        <w:rPr>
          <w:rFonts w:hint="cs"/>
          <w:rtl/>
          <w:lang w:eastAsia="en-US"/>
        </w:rPr>
        <w:t>المبادرات التي تتخذها الأمانة العامة والمكاتب الثلاثة من أجل زيادة الكفاءة وتحقيق وفورات في</w:t>
      </w:r>
      <w:r w:rsidRPr="00A750CC">
        <w:rPr>
          <w:rFonts w:hint="cs"/>
          <w:rtl/>
          <w:lang w:eastAsia="en-US" w:bidi="ar-EG"/>
        </w:rPr>
        <w:t xml:space="preserve"> التكاليف فيما يتعلق بتنفيذ القرار </w:t>
      </w:r>
      <w:r w:rsidRPr="00A750CC">
        <w:rPr>
          <w:lang w:val="en-GB" w:eastAsia="en-US" w:bidi="ar-EG"/>
        </w:rPr>
        <w:t>154</w:t>
      </w:r>
      <w:r w:rsidRPr="00A750CC">
        <w:rPr>
          <w:rFonts w:hint="cs"/>
          <w:rtl/>
          <w:lang w:val="en-GB" w:eastAsia="en-US"/>
        </w:rPr>
        <w:t xml:space="preserve"> (المراجَع في </w:t>
      </w:r>
      <w:r w:rsidR="00A750CC" w:rsidRPr="00A750CC">
        <w:rPr>
          <w:rFonts w:hint="cs"/>
          <w:rtl/>
          <w:lang w:val="en-GB" w:eastAsia="en-US"/>
        </w:rPr>
        <w:t>بوخارست، 2022</w:t>
      </w:r>
      <w:r w:rsidRPr="00A750CC">
        <w:rPr>
          <w:rFonts w:hint="cs"/>
          <w:rtl/>
          <w:lang w:val="en-GB" w:eastAsia="en-US"/>
        </w:rPr>
        <w:t>)</w:t>
      </w:r>
      <w:r w:rsidR="00A750CC" w:rsidRPr="00A750CC">
        <w:rPr>
          <w:rFonts w:hint="cs"/>
          <w:rtl/>
          <w:lang w:val="en-GB" w:eastAsia="en-US"/>
        </w:rPr>
        <w:t xml:space="preserve"> لمؤتمر المندوبين المفوضين</w:t>
      </w:r>
      <w:r w:rsidRPr="00A750CC">
        <w:rPr>
          <w:rFonts w:hint="cs"/>
          <w:rtl/>
          <w:lang w:val="en-GB" w:eastAsia="en-US"/>
        </w:rPr>
        <w:t xml:space="preserve"> والقرار </w:t>
      </w:r>
      <w:r w:rsidRPr="00A750CC">
        <w:rPr>
          <w:lang w:val="en-GB" w:eastAsia="en-US"/>
        </w:rPr>
        <w:t>1372</w:t>
      </w:r>
      <w:r w:rsidRPr="00A750CC">
        <w:rPr>
          <w:rFonts w:hint="cs"/>
          <w:rtl/>
          <w:lang w:val="en-GB" w:eastAsia="en-US"/>
        </w:rPr>
        <w:t xml:space="preserve"> للمجلس</w:t>
      </w:r>
      <w:r w:rsidR="00A750CC" w:rsidRPr="00A750CC">
        <w:rPr>
          <w:rFonts w:hint="cs"/>
          <w:rtl/>
          <w:lang w:val="en-GB" w:eastAsia="en-US"/>
        </w:rPr>
        <w:t xml:space="preserve"> (الصادر في دورة المجلس لعام 2015، والمعدَّل آخر مرة في</w:t>
      </w:r>
      <w:r w:rsidR="006120A5">
        <w:rPr>
          <w:rFonts w:hint="eastAsia"/>
          <w:rtl/>
          <w:lang w:val="en-GB" w:eastAsia="en-US"/>
        </w:rPr>
        <w:t> </w:t>
      </w:r>
      <w:r w:rsidR="00A750CC" w:rsidRPr="00A750CC">
        <w:rPr>
          <w:rFonts w:hint="cs"/>
          <w:rtl/>
          <w:lang w:val="en-GB" w:eastAsia="en-US"/>
        </w:rPr>
        <w:t>دورة المجلس لعام 2019)</w:t>
      </w:r>
    </w:p>
    <w:p w14:paraId="048AC1E1" w14:textId="4AD4983E" w:rsidR="00412FCA" w:rsidRPr="002830B7" w:rsidRDefault="002830B7" w:rsidP="00B92414">
      <w:pPr>
        <w:pStyle w:val="Heading2"/>
        <w:rPr>
          <w:b w:val="0"/>
          <w:bCs w:val="0"/>
        </w:rPr>
      </w:pPr>
      <w:r>
        <w:rPr>
          <w:rStyle w:val="normaltextrun"/>
          <w:rFonts w:hint="cs"/>
          <w:color w:val="000000"/>
          <w:shd w:val="clear" w:color="auto" w:fill="FFFFFF"/>
          <w:rtl/>
          <w:lang w:eastAsia="ar" w:bidi="ar-MA"/>
        </w:rPr>
        <w:t>1.3</w:t>
      </w:r>
      <w:r w:rsidR="00412FCA" w:rsidRPr="002830B7">
        <w:rPr>
          <w:rStyle w:val="normaltextrun"/>
          <w:color w:val="000000"/>
          <w:shd w:val="clear" w:color="auto" w:fill="FFFFFF"/>
          <w:rtl/>
          <w:lang w:eastAsia="ar" w:bidi="ar-MA"/>
        </w:rPr>
        <w:t xml:space="preserve"> </w:t>
      </w:r>
      <w:r w:rsidR="00B92414" w:rsidRPr="002830B7">
        <w:rPr>
          <w:rStyle w:val="normaltextrun"/>
          <w:color w:val="000000"/>
          <w:shd w:val="clear" w:color="auto" w:fill="FFFFFF"/>
          <w:rtl/>
          <w:lang w:eastAsia="ar" w:bidi="ar-MA"/>
        </w:rPr>
        <w:tab/>
      </w:r>
      <w:r w:rsidR="00412FCA" w:rsidRPr="002830B7">
        <w:rPr>
          <w:rtl/>
          <w:lang w:eastAsia="ar" w:bidi="ar-MA"/>
        </w:rPr>
        <w:t>تنفيذ التدابير والمبادئ الخاصة بالترجمة التحريرية والترجمة الشفوية</w:t>
      </w:r>
    </w:p>
    <w:p w14:paraId="0DED6DB8" w14:textId="5B223C14" w:rsidR="00412FCA" w:rsidRPr="00B92414" w:rsidRDefault="00412FCA" w:rsidP="006120A5">
      <w:pPr>
        <w:rPr>
          <w:lang w:bidi="ar-EG"/>
        </w:rPr>
      </w:pPr>
      <w:r w:rsidRPr="00B92414">
        <w:rPr>
          <w:rtl/>
          <w:lang w:bidi="ar-EG"/>
        </w:rPr>
        <w:t xml:space="preserve">نفَّذت الأمانة بطريقة منهجية </w:t>
      </w:r>
      <w:hyperlink r:id="rId10" w:history="1">
        <w:r w:rsidRPr="00B92414">
          <w:rPr>
            <w:rStyle w:val="Hyperlink"/>
            <w:rtl/>
            <w:lang w:bidi="ar-EG"/>
          </w:rPr>
          <w:t>الوثيقة</w:t>
        </w:r>
      </w:hyperlink>
      <w:r w:rsidRPr="00B92414">
        <w:rPr>
          <w:rtl/>
          <w:lang w:bidi="ar-EG"/>
        </w:rPr>
        <w:t xml:space="preserve"> المتعلقة بالتدابير والمبادئ الخاصة بالترجمة التحريرية والترجمة الشفوية في الاتحاد الدولي للاتصالات، والتي استعرضتها الأفرقة الاستشارية للقطاعات والأمانة العامة </w:t>
      </w:r>
      <w:r w:rsidR="002830B7">
        <w:rPr>
          <w:rFonts w:hint="cs"/>
          <w:rtl/>
          <w:lang w:bidi="ar-EG"/>
        </w:rPr>
        <w:t>وقام المجلس</w:t>
      </w:r>
      <w:r w:rsidRPr="00B92414">
        <w:rPr>
          <w:rtl/>
          <w:lang w:bidi="ar-EG"/>
        </w:rPr>
        <w:t xml:space="preserve"> </w:t>
      </w:r>
      <w:r w:rsidR="002830B7">
        <w:rPr>
          <w:rFonts w:hint="cs"/>
          <w:rtl/>
          <w:lang w:bidi="ar-EG"/>
        </w:rPr>
        <w:t>ب</w:t>
      </w:r>
      <w:r w:rsidRPr="00B92414">
        <w:rPr>
          <w:rtl/>
          <w:lang w:bidi="ar-EG"/>
        </w:rPr>
        <w:t>تحديثها واعتمادها في دورته لعام</w:t>
      </w:r>
      <w:r w:rsidR="006120A5">
        <w:rPr>
          <w:rFonts w:hint="cs"/>
          <w:rtl/>
          <w:lang w:bidi="ar-EG"/>
        </w:rPr>
        <w:t> </w:t>
      </w:r>
      <w:r w:rsidRPr="00B92414">
        <w:rPr>
          <w:rtl/>
          <w:lang w:bidi="ar-EG"/>
        </w:rPr>
        <w:t xml:space="preserve">2022، </w:t>
      </w:r>
      <w:r w:rsidR="00B92414" w:rsidRPr="00B92414">
        <w:rPr>
          <w:rFonts w:hint="cs"/>
          <w:rtl/>
          <w:lang w:bidi="ar-EG"/>
        </w:rPr>
        <w:t>بصفتها</w:t>
      </w:r>
      <w:r w:rsidRPr="00B92414">
        <w:rPr>
          <w:rtl/>
          <w:lang w:bidi="ar-EG"/>
        </w:rPr>
        <w:t xml:space="preserve"> معياراً مرجعياً </w:t>
      </w:r>
      <w:r w:rsidR="00B92414" w:rsidRPr="00B92414">
        <w:rPr>
          <w:rFonts w:hint="cs"/>
          <w:rtl/>
          <w:lang w:bidi="ar-EG"/>
        </w:rPr>
        <w:t>لتوفير</w:t>
      </w:r>
      <w:r w:rsidRPr="00B92414">
        <w:rPr>
          <w:rtl/>
          <w:lang w:bidi="ar-EG"/>
        </w:rPr>
        <w:t xml:space="preserve"> خدمات الترجمة التحريرية والترجمة الشفوية لمؤتمرات الاتحاد وجمعياته </w:t>
      </w:r>
      <w:proofErr w:type="gramStart"/>
      <w:r w:rsidRPr="00B92414">
        <w:rPr>
          <w:rtl/>
          <w:lang w:bidi="ar-EG"/>
        </w:rPr>
        <w:t>واجتماعاته</w:t>
      </w:r>
      <w:proofErr w:type="gramEnd"/>
      <w:r w:rsidRPr="00B92414">
        <w:rPr>
          <w:rtl/>
          <w:lang w:bidi="ar-EG"/>
        </w:rPr>
        <w:t xml:space="preserve"> ووثائقه وصفحاته الإلكترونية ومنشوراته. </w:t>
      </w:r>
      <w:r w:rsidR="00B92414" w:rsidRPr="00B92414">
        <w:rPr>
          <w:rFonts w:hint="cs"/>
          <w:rtl/>
          <w:lang w:bidi="ar-EG"/>
        </w:rPr>
        <w:t>و</w:t>
      </w:r>
      <w:r w:rsidRPr="00B92414">
        <w:rPr>
          <w:rtl/>
          <w:lang w:bidi="ar-EG"/>
        </w:rPr>
        <w:t xml:space="preserve">سيتمُّ استعراض الوثيقة وتحديثها، </w:t>
      </w:r>
      <w:r w:rsidR="00B92414">
        <w:rPr>
          <w:rFonts w:hint="cs"/>
          <w:rtl/>
          <w:lang w:bidi="ar-EG"/>
        </w:rPr>
        <w:t>وفق ما</w:t>
      </w:r>
      <w:r w:rsidRPr="00B92414">
        <w:rPr>
          <w:rtl/>
          <w:lang w:bidi="ar-EG"/>
        </w:rPr>
        <w:t xml:space="preserve"> تقتضيه الضرورة، بالتنسيق مع الأفرقة الاستشارية للقطاعات بما يكفل استخدام جميع اللغات الرسمية للاتحاد في المنشورات والمواقع الإلكترونية والوثائق.</w:t>
      </w:r>
    </w:p>
    <w:p w14:paraId="121AD3EE" w14:textId="0B2D86F4" w:rsidR="00EF1A1D" w:rsidRPr="00BA4B4E" w:rsidRDefault="00EF1A1D" w:rsidP="00EF1A1D">
      <w:pPr>
        <w:pStyle w:val="Heading2"/>
        <w:rPr>
          <w:rtl/>
          <w:lang w:bidi="ar-EG"/>
        </w:rPr>
      </w:pPr>
      <w:r w:rsidRPr="00BA4B4E">
        <w:rPr>
          <w:rtl/>
          <w:lang w:bidi="ar-EG"/>
        </w:rPr>
        <w:t>2.3</w:t>
      </w:r>
      <w:r w:rsidRPr="00BA4B4E">
        <w:rPr>
          <w:rtl/>
          <w:lang w:bidi="ar-EG"/>
        </w:rPr>
        <w:tab/>
      </w:r>
      <w:r w:rsidR="00412FCA" w:rsidRPr="00BA4B4E">
        <w:rPr>
          <w:rtl/>
          <w:lang w:eastAsia="ar" w:bidi="ar-MA"/>
        </w:rPr>
        <w:t>تنفيذ هدف التعددية اللغوية لمنظومة الأمم المتحدة والإطار السياساتي بشأن التعددية اللغوية</w:t>
      </w:r>
    </w:p>
    <w:p w14:paraId="42B3EEF6" w14:textId="6E53D910" w:rsidR="00412FCA" w:rsidRPr="00FF300E" w:rsidRDefault="00412FCA" w:rsidP="006120A5">
      <w:pPr>
        <w:rPr>
          <w:lang w:bidi="ar-EG"/>
        </w:rPr>
      </w:pPr>
      <w:r w:rsidRPr="00FF300E">
        <w:rPr>
          <w:rtl/>
          <w:lang w:bidi="ar-EG"/>
        </w:rPr>
        <w:t xml:space="preserve">في أعقاب موافقة المجلس في دورته لعام 2022 على </w:t>
      </w:r>
      <w:r w:rsidR="00FF300E" w:rsidRPr="00FF300E">
        <w:rPr>
          <w:rFonts w:hint="cs"/>
          <w:rtl/>
          <w:lang w:bidi="ar-EG"/>
        </w:rPr>
        <w:t>الإطار السياساتي للاتحاد</w:t>
      </w:r>
      <w:r w:rsidRPr="00FF300E">
        <w:rPr>
          <w:rtl/>
          <w:lang w:bidi="ar-EG"/>
        </w:rPr>
        <w:t xml:space="preserve"> بشأن التعددية اللغوية، تقوم الأمانة بوَضْع مبادئ توجيهية إدارية وتشغيلية بشأن تنفيذ السياسة بما يتماشى مع توصيات التقرير الصادر عن وحدة التفتيش المشتركة التابعة لمنظومة الأمم المتحدة بشأن التعددية اللغوية في منظومة الأمم المتحدة (</w:t>
      </w:r>
      <w:r w:rsidR="006120A5" w:rsidRPr="006120A5">
        <w:rPr>
          <w:lang w:val="en-GB" w:bidi="ar-EG"/>
        </w:rPr>
        <w:t>JIU/REP/2020/6</w:t>
      </w:r>
      <w:r w:rsidRPr="00FF300E">
        <w:rPr>
          <w:rtl/>
          <w:lang w:bidi="ar-EG"/>
        </w:rPr>
        <w:t xml:space="preserve">)، </w:t>
      </w:r>
      <w:r w:rsidR="00FF300E" w:rsidRPr="00FF300E">
        <w:rPr>
          <w:rFonts w:hint="cs"/>
          <w:rtl/>
          <w:lang w:bidi="ar-EG"/>
        </w:rPr>
        <w:t>و</w:t>
      </w:r>
      <w:r w:rsidRPr="00FF300E">
        <w:rPr>
          <w:rtl/>
          <w:lang w:bidi="ar-EG"/>
        </w:rPr>
        <w:t>المزمَع تقديمه إلى الاجتماع القادم لفريق العمل التابع للمجلس والمعنيّ باستعمال اللغات الرسمية الست للاتحاد (</w:t>
      </w:r>
      <w:r w:rsidRPr="00FF300E">
        <w:rPr>
          <w:lang w:bidi="ar-EG"/>
        </w:rPr>
        <w:t>CWG-LANG</w:t>
      </w:r>
      <w:r w:rsidRPr="00FF300E">
        <w:rPr>
          <w:rtl/>
          <w:lang w:bidi="ar-EG"/>
        </w:rPr>
        <w:t>)</w:t>
      </w:r>
      <w:r w:rsidR="00FF300E" w:rsidRPr="00FF300E">
        <w:rPr>
          <w:rFonts w:hint="cs"/>
          <w:rtl/>
          <w:lang w:bidi="ar-EG"/>
        </w:rPr>
        <w:t>.</w:t>
      </w:r>
      <w:r w:rsidRPr="00FF300E">
        <w:rPr>
          <w:rtl/>
          <w:lang w:bidi="ar-EG"/>
        </w:rPr>
        <w:t xml:space="preserve"> وتتضمن المبادئ التوجيهية لمحةً عامةً عن الهيئات والأدوار والمسؤوليات والوثائق المتعلقة </w:t>
      </w:r>
      <w:r w:rsidR="00FF300E">
        <w:rPr>
          <w:rFonts w:hint="cs"/>
          <w:rtl/>
          <w:lang w:bidi="ar-EG"/>
        </w:rPr>
        <w:t>بتعدد</w:t>
      </w:r>
      <w:r w:rsidRPr="00FF300E">
        <w:rPr>
          <w:rtl/>
          <w:lang w:bidi="ar-EG"/>
        </w:rPr>
        <w:t xml:space="preserve"> اللغات في الاتحاد؛ والعمليات الحالية والممارسات الراهنة في تنفيذ التعددية اللغوية في جميع أنحاء المنظمة؛ وخريطة</w:t>
      </w:r>
      <w:r w:rsidR="00FF300E">
        <w:rPr>
          <w:rFonts w:hint="cs"/>
          <w:rtl/>
          <w:lang w:bidi="ar-EG"/>
        </w:rPr>
        <w:t>َ</w:t>
      </w:r>
      <w:r w:rsidRPr="00FF300E">
        <w:rPr>
          <w:rtl/>
          <w:lang w:bidi="ar-EG"/>
        </w:rPr>
        <w:t xml:space="preserve"> طريق</w:t>
      </w:r>
      <w:r w:rsidR="00FF300E">
        <w:rPr>
          <w:rFonts w:hint="cs"/>
          <w:rtl/>
          <w:lang w:bidi="ar-EG"/>
        </w:rPr>
        <w:t>ٍ</w:t>
      </w:r>
      <w:r w:rsidRPr="00FF300E">
        <w:rPr>
          <w:rtl/>
          <w:lang w:bidi="ar-EG"/>
        </w:rPr>
        <w:t xml:space="preserve"> وإطار</w:t>
      </w:r>
      <w:r w:rsidR="00FF300E">
        <w:rPr>
          <w:rFonts w:hint="cs"/>
          <w:rtl/>
          <w:lang w:bidi="ar-EG"/>
        </w:rPr>
        <w:t>اً</w:t>
      </w:r>
      <w:r w:rsidRPr="00FF300E">
        <w:rPr>
          <w:rtl/>
          <w:lang w:bidi="ar-EG"/>
        </w:rPr>
        <w:t xml:space="preserve"> </w:t>
      </w:r>
      <w:r w:rsidR="00FF300E">
        <w:rPr>
          <w:rFonts w:hint="cs"/>
          <w:rtl/>
          <w:lang w:bidi="ar-EG"/>
        </w:rPr>
        <w:t>زمنياً</w:t>
      </w:r>
      <w:r w:rsidRPr="00FF300E">
        <w:rPr>
          <w:rtl/>
          <w:lang w:bidi="ar-EG"/>
        </w:rPr>
        <w:t xml:space="preserve"> لتنفيذ المبادرات المستقبلية، بما في ذلك استراتيجيات لغوية جديدة للترجمة </w:t>
      </w:r>
      <w:r w:rsidR="0083429E">
        <w:rPr>
          <w:rFonts w:hint="cs"/>
          <w:rtl/>
          <w:lang w:bidi="ar-EG"/>
        </w:rPr>
        <w:t>الشفوية</w:t>
      </w:r>
      <w:r w:rsidRPr="00FF300E">
        <w:rPr>
          <w:rtl/>
          <w:lang w:bidi="ar-EG"/>
        </w:rPr>
        <w:t xml:space="preserve"> والترجمة التحريرية؛ ومصفوفة مقتر</w:t>
      </w:r>
      <w:r w:rsidR="0083429E">
        <w:rPr>
          <w:rFonts w:hint="cs"/>
          <w:rtl/>
          <w:lang w:bidi="ar-EG"/>
        </w:rPr>
        <w:t>َ</w:t>
      </w:r>
      <w:r w:rsidRPr="00FF300E">
        <w:rPr>
          <w:rtl/>
          <w:lang w:bidi="ar-EG"/>
        </w:rPr>
        <w:t xml:space="preserve">حة بشأن طرق الترجمة للصفحات </w:t>
      </w:r>
      <w:r w:rsidRPr="00FF300E">
        <w:rPr>
          <w:rtl/>
          <w:lang w:bidi="ar-EG"/>
        </w:rPr>
        <w:lastRenderedPageBreak/>
        <w:t xml:space="preserve">الإلكترونية والمنشورات بما يتوافق مع الجمهور، ودرجة الدقة، والطبيعة </w:t>
      </w:r>
      <w:r w:rsidR="000E4415">
        <w:rPr>
          <w:rFonts w:hint="cs"/>
          <w:rtl/>
          <w:lang w:bidi="ar-EG"/>
        </w:rPr>
        <w:t>التقنية</w:t>
      </w:r>
      <w:r w:rsidRPr="00FF300E">
        <w:rPr>
          <w:rtl/>
          <w:lang w:bidi="ar-EG"/>
        </w:rPr>
        <w:t xml:space="preserve"> للنصّ المصدر؛ ومقترحات جديدة بشأن الترجمة الشفوية في الموقع والترجمة الفورية عن بُعد، فضلاً عن زيادة الوعي بأهمية تعدُّد اللغات وتنفيذها في جميع أنحاء الاتحاد.</w:t>
      </w:r>
    </w:p>
    <w:p w14:paraId="7F04351F" w14:textId="77777777" w:rsidR="00412FCA" w:rsidRPr="006F1ED1" w:rsidRDefault="00EF1A1D" w:rsidP="006120A5">
      <w:pPr>
        <w:pStyle w:val="Heading2"/>
        <w:rPr>
          <w:lang w:eastAsia="ar" w:bidi="ar-MA"/>
        </w:rPr>
      </w:pPr>
      <w:r w:rsidRPr="006F1ED1">
        <w:rPr>
          <w:rFonts w:hint="cs"/>
          <w:rtl/>
          <w:lang w:eastAsia="ar" w:bidi="ar-MA"/>
        </w:rPr>
        <w:t>3.3</w:t>
      </w:r>
      <w:r w:rsidRPr="006F1ED1">
        <w:rPr>
          <w:rtl/>
          <w:lang w:eastAsia="ar" w:bidi="ar-MA"/>
        </w:rPr>
        <w:tab/>
      </w:r>
      <w:r w:rsidR="00412FCA" w:rsidRPr="006F1ED1">
        <w:rPr>
          <w:rtl/>
          <w:lang w:eastAsia="ar" w:bidi="ar-MA"/>
        </w:rPr>
        <w:t>استخدام التكنولوجيات الجديدة في خدمات الترجمة</w:t>
      </w:r>
    </w:p>
    <w:p w14:paraId="55F26B72" w14:textId="7B946D14" w:rsidR="00412FCA" w:rsidRPr="006F1ED1" w:rsidRDefault="00412FCA" w:rsidP="006120A5">
      <w:pPr>
        <w:rPr>
          <w:lang w:bidi="ar-EG"/>
        </w:rPr>
      </w:pPr>
      <w:r w:rsidRPr="006F1ED1">
        <w:rPr>
          <w:rtl/>
          <w:lang w:bidi="ar-EG"/>
        </w:rPr>
        <w:t>تواصِل الأمانة العامة تطوير أداة الاتحاد للترجمة الآلية العصبية (</w:t>
      </w:r>
      <w:r w:rsidRPr="006F1ED1">
        <w:rPr>
          <w:lang w:bidi="ar-EG"/>
        </w:rPr>
        <w:t>ITU Translate</w:t>
      </w:r>
      <w:r w:rsidRPr="006F1ED1">
        <w:rPr>
          <w:rtl/>
          <w:lang w:bidi="ar-EG"/>
        </w:rPr>
        <w:t xml:space="preserve">) وتحسينها، بما في ذلك استكشاف محرّكات ترجمة تجارية إضافية، وتدريب المحرّك على بيانات الاتحاد، وإنشاء </w:t>
      </w:r>
      <w:r w:rsidR="001942A1">
        <w:rPr>
          <w:rFonts w:hint="cs"/>
          <w:rtl/>
          <w:lang w:bidi="ar-EG"/>
        </w:rPr>
        <w:t>مسارات</w:t>
      </w:r>
      <w:r w:rsidRPr="006F1ED1">
        <w:rPr>
          <w:rtl/>
          <w:lang w:bidi="ar-EG"/>
        </w:rPr>
        <w:t xml:space="preserve"> العمل لمختلف التطبيقات، وتقييم الجودة والتكاليف ورضا المستخدمين. ونُشر إصدار محدَّث من الأداة عبر صفحات إلكترونية مختارة تابعة للأمانة العامة والمكاتب على منصَّت</w:t>
      </w:r>
      <w:r w:rsidR="000E455E">
        <w:rPr>
          <w:rFonts w:hint="cs"/>
          <w:rtl/>
          <w:lang w:bidi="ar-EG"/>
        </w:rPr>
        <w:t>َ</w:t>
      </w:r>
      <w:r w:rsidRPr="006F1ED1">
        <w:rPr>
          <w:rtl/>
          <w:lang w:bidi="ar-EG"/>
        </w:rPr>
        <w:t xml:space="preserve">ي </w:t>
      </w:r>
      <w:r w:rsidRPr="006F1ED1">
        <w:rPr>
          <w:lang w:bidi="ar-EG"/>
        </w:rPr>
        <w:t>SharePoint</w:t>
      </w:r>
      <w:r w:rsidRPr="006F1ED1">
        <w:rPr>
          <w:rtl/>
          <w:lang w:bidi="ar-EG"/>
        </w:rPr>
        <w:t xml:space="preserve"> و</w:t>
      </w:r>
      <w:r w:rsidRPr="006F1ED1">
        <w:rPr>
          <w:lang w:bidi="ar-EG"/>
        </w:rPr>
        <w:t>WordPress</w:t>
      </w:r>
      <w:r w:rsidRPr="006F1ED1">
        <w:rPr>
          <w:rtl/>
          <w:lang w:bidi="ar-EG"/>
        </w:rPr>
        <w:t xml:space="preserve"> كلتيهما مع واجهة مستخدم متّسقة يسهل النفاذ إليها وخاصية إخلاء المسؤولية والتعليقات. </w:t>
      </w:r>
      <w:r w:rsidR="000E455E">
        <w:rPr>
          <w:rFonts w:hint="cs"/>
          <w:rtl/>
          <w:lang w:bidi="ar-EG"/>
        </w:rPr>
        <w:t>و</w:t>
      </w:r>
      <w:r w:rsidRPr="006F1ED1">
        <w:rPr>
          <w:rtl/>
          <w:lang w:bidi="ar-EG"/>
        </w:rPr>
        <w:t xml:space="preserve">تعمل الأمانة العامة على إدماج الأداة </w:t>
      </w:r>
      <w:r w:rsidRPr="006F1ED1">
        <w:rPr>
          <w:lang w:bidi="ar-EG"/>
        </w:rPr>
        <w:t>ITU Translate</w:t>
      </w:r>
      <w:r w:rsidRPr="006F1ED1">
        <w:rPr>
          <w:rtl/>
          <w:lang w:bidi="ar-EG"/>
        </w:rPr>
        <w:t xml:space="preserve"> في النموذج الرئيسي للمنص</w:t>
      </w:r>
      <w:r w:rsidR="000E455E">
        <w:rPr>
          <w:rFonts w:hint="cs"/>
          <w:rtl/>
          <w:lang w:bidi="ar-EG"/>
        </w:rPr>
        <w:t>َ</w:t>
      </w:r>
      <w:r w:rsidRPr="006F1ED1">
        <w:rPr>
          <w:rtl/>
          <w:lang w:bidi="ar-EG"/>
        </w:rPr>
        <w:t>ّتين كل</w:t>
      </w:r>
      <w:r w:rsidR="000E4415">
        <w:rPr>
          <w:rFonts w:hint="cs"/>
          <w:rtl/>
          <w:lang w:bidi="ar-EG"/>
        </w:rPr>
        <w:t>ت</w:t>
      </w:r>
      <w:r w:rsidRPr="006F1ED1">
        <w:rPr>
          <w:rtl/>
          <w:lang w:bidi="ar-EG"/>
        </w:rPr>
        <w:t xml:space="preserve">يهما لتمكين الترجمة الآلية كترجمة افتراضية على امتداد جميع الصفحات الإلكترونية المستقبلية. وحيثما كان ذلك ضرورياً وفي حدود الموارد المتاحة، ستستمر </w:t>
      </w:r>
      <w:r w:rsidR="00FE7542">
        <w:rPr>
          <w:rFonts w:hint="cs"/>
          <w:rtl/>
          <w:lang w:bidi="ar-EG"/>
        </w:rPr>
        <w:t>أفرقة</w:t>
      </w:r>
      <w:r w:rsidRPr="006F1ED1">
        <w:rPr>
          <w:rtl/>
          <w:lang w:bidi="ar-EG"/>
        </w:rPr>
        <w:t xml:space="preserve"> الترجمة المهنية في ترجمة صفحات مختارة.</w:t>
      </w:r>
    </w:p>
    <w:p w14:paraId="5010D466" w14:textId="4E008188" w:rsidR="00412FCA" w:rsidRDefault="000E455E" w:rsidP="006120A5">
      <w:pPr>
        <w:rPr>
          <w:rtl/>
          <w:lang w:bidi="ar-EG"/>
        </w:rPr>
      </w:pPr>
      <w:r>
        <w:rPr>
          <w:rFonts w:hint="cs"/>
          <w:rtl/>
          <w:lang w:bidi="ar-EG"/>
        </w:rPr>
        <w:t>و</w:t>
      </w:r>
      <w:r w:rsidR="00412FCA" w:rsidRPr="006F1ED1">
        <w:rPr>
          <w:rtl/>
          <w:lang w:bidi="ar-EG"/>
        </w:rPr>
        <w:t xml:space="preserve">يستفيد مترجمو الاتحاد من الأداة </w:t>
      </w:r>
      <w:r w:rsidR="00412FCA" w:rsidRPr="006F1ED1">
        <w:rPr>
          <w:lang w:bidi="ar-EG"/>
        </w:rPr>
        <w:t>ITU Translate</w:t>
      </w:r>
      <w:r w:rsidR="00412FCA" w:rsidRPr="006F1ED1">
        <w:rPr>
          <w:rtl/>
          <w:lang w:bidi="ar-EG"/>
        </w:rPr>
        <w:t xml:space="preserve"> داخلياً لترجمة المقاطع والوثائق والمواقع الإلكترونية، فضلاً عن أدوات الترجمة بمساعدة الحاسوب، بما في ذلك </w:t>
      </w:r>
      <w:proofErr w:type="spellStart"/>
      <w:r w:rsidR="00412FCA" w:rsidRPr="006F1ED1">
        <w:rPr>
          <w:lang w:bidi="ar-EG"/>
        </w:rPr>
        <w:t>eLUNa</w:t>
      </w:r>
      <w:proofErr w:type="spellEnd"/>
      <w:r w:rsidR="00412FCA" w:rsidRPr="006F1ED1">
        <w:rPr>
          <w:rtl/>
          <w:lang w:bidi="ar-EG"/>
        </w:rPr>
        <w:t xml:space="preserve"> و</w:t>
      </w:r>
      <w:r w:rsidR="00412FCA" w:rsidRPr="006F1ED1">
        <w:rPr>
          <w:lang w:bidi="ar-EG"/>
        </w:rPr>
        <w:t>UNTERM</w:t>
      </w:r>
      <w:r w:rsidR="00412FCA" w:rsidRPr="006F1ED1">
        <w:rPr>
          <w:rtl/>
          <w:lang w:bidi="ar-EG"/>
        </w:rPr>
        <w:t xml:space="preserve">، قاعدة بيانات المصطلحات المرجعيّة لمنظومة الأمم المتحدة. </w:t>
      </w:r>
      <w:r>
        <w:rPr>
          <w:rFonts w:hint="cs"/>
          <w:rtl/>
          <w:lang w:bidi="ar-EG"/>
        </w:rPr>
        <w:t>و</w:t>
      </w:r>
      <w:r w:rsidR="00412FCA" w:rsidRPr="006F1ED1">
        <w:rPr>
          <w:rtl/>
          <w:lang w:bidi="ar-EG"/>
        </w:rPr>
        <w:t xml:space="preserve">استُحدثت خاصية التحرير اللاحق التلقائية في أبريل 2023 ضمن الأداة </w:t>
      </w:r>
      <w:r w:rsidR="00412FCA" w:rsidRPr="006F1ED1">
        <w:rPr>
          <w:lang w:bidi="ar-EG"/>
        </w:rPr>
        <w:t>ITU Translate</w:t>
      </w:r>
      <w:r w:rsidR="00412FCA" w:rsidRPr="006F1ED1">
        <w:rPr>
          <w:rtl/>
          <w:lang w:bidi="ar-EG"/>
        </w:rPr>
        <w:t>. واعتباراً من يونيو 2023، سيُنفَّذ أيضاً تطبيقُ إدارة</w:t>
      </w:r>
      <w:r w:rsidR="000E4415">
        <w:rPr>
          <w:rFonts w:hint="cs"/>
          <w:rtl/>
          <w:lang w:bidi="ar-EG"/>
        </w:rPr>
        <w:t xml:space="preserve"> سير العمل على</w:t>
      </w:r>
      <w:r w:rsidR="00412FCA" w:rsidRPr="006F1ED1">
        <w:rPr>
          <w:rtl/>
          <w:lang w:bidi="ar-EG"/>
        </w:rPr>
        <w:t xml:space="preserve"> الوثائق </w:t>
      </w:r>
      <w:r w:rsidR="00412FCA" w:rsidRPr="006F1ED1">
        <w:rPr>
          <w:lang w:bidi="ar-EG"/>
        </w:rPr>
        <w:t>gDo</w:t>
      </w:r>
      <w:r w:rsidR="000E4415">
        <w:rPr>
          <w:lang w:bidi="ar-EG"/>
        </w:rPr>
        <w:t>c</w:t>
      </w:r>
      <w:r w:rsidR="00A65D98">
        <w:rPr>
          <w:lang w:bidi="ar-EG"/>
        </w:rPr>
        <w:t> </w:t>
      </w:r>
      <w:r w:rsidR="000E4415">
        <w:rPr>
          <w:lang w:bidi="ar-EG"/>
        </w:rPr>
        <w:t>2.0</w:t>
      </w:r>
      <w:r w:rsidR="00412FCA" w:rsidRPr="006F1ED1">
        <w:rPr>
          <w:rtl/>
          <w:lang w:bidi="ar-EG"/>
        </w:rPr>
        <w:t>، الذي طورته إدارة شؤون الجمعية العامة والمؤتمرات للأمم المتحدة، كجزء من جهود الاتحاد لمواءَمة أساليب العمل مع سائر وكالات الأمم المتحدة الأخرى والمنظمات الدولية.</w:t>
      </w:r>
    </w:p>
    <w:p w14:paraId="4939B4B8" w14:textId="65CDEB9B" w:rsidR="00412FCA" w:rsidRPr="000E455E" w:rsidRDefault="00EF1A1D" w:rsidP="009A276F">
      <w:pPr>
        <w:pStyle w:val="Heading2"/>
        <w:rPr>
          <w:lang w:eastAsia="ar" w:bidi="ar-MA"/>
        </w:rPr>
      </w:pPr>
      <w:r w:rsidRPr="000E455E">
        <w:rPr>
          <w:rFonts w:hint="cs"/>
          <w:rtl/>
          <w:lang w:eastAsia="ar" w:bidi="ar-MA"/>
        </w:rPr>
        <w:t>4.3</w:t>
      </w:r>
      <w:r w:rsidRPr="000E455E">
        <w:rPr>
          <w:rtl/>
          <w:lang w:eastAsia="ar" w:bidi="ar-MA"/>
        </w:rPr>
        <w:tab/>
      </w:r>
      <w:r w:rsidR="00412FCA" w:rsidRPr="000E455E">
        <w:rPr>
          <w:rtl/>
          <w:lang w:eastAsia="ar" w:bidi="ar-MA"/>
        </w:rPr>
        <w:t xml:space="preserve">استخدام التكنولوجيات الجديدة في خدمات الترجمة </w:t>
      </w:r>
      <w:r w:rsidR="000E4415">
        <w:rPr>
          <w:rFonts w:hint="cs"/>
          <w:rtl/>
          <w:lang w:eastAsia="ar" w:bidi="ar-MA"/>
        </w:rPr>
        <w:t>الشفوية</w:t>
      </w:r>
    </w:p>
    <w:p w14:paraId="5981357B" w14:textId="4B5227A5" w:rsidR="00412FCA" w:rsidRPr="000E455E" w:rsidRDefault="00412FCA" w:rsidP="009A276F">
      <w:pPr>
        <w:rPr>
          <w:lang w:bidi="ar-EG"/>
        </w:rPr>
      </w:pPr>
      <w:r w:rsidRPr="000E455E">
        <w:rPr>
          <w:rtl/>
          <w:lang w:bidi="ar-EG"/>
        </w:rPr>
        <w:t xml:space="preserve">تمَّ تنفيذ الترجمة الفورية عن بُعد لبعض اجتماعات الاتحاد </w:t>
      </w:r>
      <w:r w:rsidR="000E4415">
        <w:rPr>
          <w:rFonts w:hint="cs"/>
          <w:rtl/>
          <w:lang w:bidi="ar-EG"/>
        </w:rPr>
        <w:t>التي تتاح فيها</w:t>
      </w:r>
      <w:r w:rsidRPr="000E455E">
        <w:rPr>
          <w:rtl/>
          <w:lang w:bidi="ar-EG"/>
        </w:rPr>
        <w:t xml:space="preserve"> المشاركة عن بُعد. كما اختُبرت حلول الترجمة </w:t>
      </w:r>
      <w:r w:rsidR="000E455E">
        <w:rPr>
          <w:rFonts w:hint="cs"/>
          <w:rtl/>
          <w:lang w:bidi="ar-EG"/>
        </w:rPr>
        <w:t>الشفوية</w:t>
      </w:r>
      <w:r w:rsidRPr="000E455E">
        <w:rPr>
          <w:rtl/>
          <w:lang w:bidi="ar-EG"/>
        </w:rPr>
        <w:t xml:space="preserve"> باستخدام الذكاء الاصطناعي</w:t>
      </w:r>
      <w:r w:rsidR="009A276F">
        <w:rPr>
          <w:rFonts w:hint="cs"/>
          <w:rtl/>
          <w:lang w:bidi="ar-EG"/>
        </w:rPr>
        <w:t> </w:t>
      </w:r>
      <w:r w:rsidR="009A276F">
        <w:rPr>
          <w:lang w:bidi="ar-EG"/>
        </w:rPr>
        <w:t>(AI)</w:t>
      </w:r>
      <w:r w:rsidRPr="000E455E">
        <w:rPr>
          <w:rtl/>
          <w:lang w:bidi="ar-EG"/>
        </w:rPr>
        <w:t xml:space="preserve"> والقائمة على الحوسبة السحابية ويتمُّ </w:t>
      </w:r>
      <w:r w:rsidR="000E455E">
        <w:rPr>
          <w:rFonts w:hint="cs"/>
          <w:rtl/>
          <w:lang w:bidi="ar-EG"/>
        </w:rPr>
        <w:t xml:space="preserve">حالياً </w:t>
      </w:r>
      <w:r w:rsidRPr="000E455E">
        <w:rPr>
          <w:rtl/>
          <w:lang w:bidi="ar-EG"/>
        </w:rPr>
        <w:t xml:space="preserve">تقييمها من حيث الجودة والملاءمة لأحداث الاتحاد واجتماعاته. وتواصِل خدمة الترجمة </w:t>
      </w:r>
      <w:r w:rsidR="000E455E">
        <w:rPr>
          <w:rFonts w:hint="cs"/>
          <w:rtl/>
          <w:lang w:bidi="ar-EG"/>
        </w:rPr>
        <w:t>الشفوية</w:t>
      </w:r>
      <w:r w:rsidRPr="000E455E">
        <w:rPr>
          <w:rtl/>
          <w:lang w:bidi="ar-EG"/>
        </w:rPr>
        <w:t xml:space="preserve"> تقييم جدوى الأساليب الجديدة لتوفير الترجمة </w:t>
      </w:r>
      <w:r w:rsidR="000E4415">
        <w:rPr>
          <w:rFonts w:hint="cs"/>
          <w:rtl/>
          <w:lang w:bidi="ar-EG"/>
        </w:rPr>
        <w:t>الشفوية</w:t>
      </w:r>
      <w:r w:rsidRPr="000E455E">
        <w:rPr>
          <w:rtl/>
          <w:lang w:bidi="ar-EG"/>
        </w:rPr>
        <w:t xml:space="preserve">، </w:t>
      </w:r>
      <w:r w:rsidR="000E455E">
        <w:rPr>
          <w:rFonts w:hint="cs"/>
          <w:rtl/>
          <w:lang w:bidi="ar-EG"/>
        </w:rPr>
        <w:t xml:space="preserve">مع </w:t>
      </w:r>
      <w:r w:rsidRPr="000E455E">
        <w:rPr>
          <w:rtl/>
          <w:lang w:bidi="ar-EG"/>
        </w:rPr>
        <w:t>تحديد الحلول الفعّالة من حيث التكلفة وأفضل جودة ممكنة للترجمة الشفوية. وتتضمن إستراتيجيةٌ مقترَحة قيد الإعداد تصنيف الأحداث والاجتماعات ذات الاحتياجات المختلفة من الترجمة الشفوية.</w:t>
      </w:r>
    </w:p>
    <w:p w14:paraId="78C91114" w14:textId="77777777" w:rsidR="00412FCA" w:rsidRPr="000E455E" w:rsidRDefault="00EF1A1D" w:rsidP="009A276F">
      <w:pPr>
        <w:pStyle w:val="Heading2"/>
        <w:rPr>
          <w:lang w:eastAsia="ar" w:bidi="ar-MA"/>
        </w:rPr>
      </w:pPr>
      <w:r w:rsidRPr="000E455E">
        <w:rPr>
          <w:rFonts w:hint="cs"/>
          <w:rtl/>
          <w:lang w:eastAsia="ar" w:bidi="ar-MA"/>
        </w:rPr>
        <w:t>5.3</w:t>
      </w:r>
      <w:r w:rsidRPr="000E455E">
        <w:rPr>
          <w:rtl/>
          <w:lang w:eastAsia="ar" w:bidi="ar-MA"/>
        </w:rPr>
        <w:tab/>
      </w:r>
      <w:r w:rsidR="00412FCA" w:rsidRPr="000E455E">
        <w:rPr>
          <w:rtl/>
          <w:lang w:eastAsia="ar" w:bidi="ar-MA"/>
        </w:rPr>
        <w:t>عمل لجنة تنسيق المصطلحات</w:t>
      </w:r>
      <w:r w:rsidR="00412FCA" w:rsidRPr="000E455E">
        <w:rPr>
          <w:rtl/>
        </w:rPr>
        <w:t xml:space="preserve"> (</w:t>
      </w:r>
      <w:r w:rsidR="00412FCA" w:rsidRPr="000E455E">
        <w:rPr>
          <w:lang w:bidi="ar-MA"/>
        </w:rPr>
        <w:t>CCT</w:t>
      </w:r>
      <w:r w:rsidR="00412FCA" w:rsidRPr="000E455E">
        <w:rPr>
          <w:rtl/>
        </w:rPr>
        <w:t xml:space="preserve">) </w:t>
      </w:r>
      <w:r w:rsidR="00412FCA" w:rsidRPr="000E455E">
        <w:rPr>
          <w:rtl/>
          <w:lang w:eastAsia="ar" w:bidi="ar-MA"/>
        </w:rPr>
        <w:t>وقاعدة مصطلحات الأمم المتحدة</w:t>
      </w:r>
      <w:r w:rsidR="00412FCA" w:rsidRPr="000E455E">
        <w:rPr>
          <w:rtl/>
        </w:rPr>
        <w:t xml:space="preserve"> (</w:t>
      </w:r>
      <w:r w:rsidR="00412FCA" w:rsidRPr="000E455E">
        <w:rPr>
          <w:lang w:bidi="ar-MA"/>
        </w:rPr>
        <w:t>UNTERM</w:t>
      </w:r>
      <w:r w:rsidR="00412FCA" w:rsidRPr="000E455E">
        <w:rPr>
          <w:rtl/>
        </w:rPr>
        <w:t>)</w:t>
      </w:r>
    </w:p>
    <w:p w14:paraId="1628BC66" w14:textId="6453B7C6" w:rsidR="00412FCA" w:rsidRPr="000E455E" w:rsidRDefault="00412FCA" w:rsidP="009A276F">
      <w:pPr>
        <w:rPr>
          <w:lang w:bidi="ar-EG"/>
        </w:rPr>
      </w:pPr>
      <w:r w:rsidRPr="000E455E">
        <w:rPr>
          <w:rtl/>
          <w:lang w:bidi="ar-EG"/>
        </w:rPr>
        <w:t>تواصِل لجنة تنسيق المصطلحات بالاتحاد (</w:t>
      </w:r>
      <w:r w:rsidRPr="000E455E">
        <w:rPr>
          <w:lang w:bidi="ar-EG"/>
        </w:rPr>
        <w:t>ITU CCT</w:t>
      </w:r>
      <w:r w:rsidRPr="000E455E">
        <w:rPr>
          <w:rtl/>
          <w:lang w:bidi="ar-EG"/>
        </w:rPr>
        <w:t>) عملها في توحيد المصطلحات والتعاريف داخل الاتحاد، بناءً على المقترحات المقدَّمة من لجان الدراسات في الاتحاد باللغة الإنكليزية.</w:t>
      </w:r>
      <w:r w:rsidR="000E455E">
        <w:rPr>
          <w:rFonts w:hint="cs"/>
          <w:rtl/>
          <w:lang w:bidi="ar-EG"/>
        </w:rPr>
        <w:t xml:space="preserve"> </w:t>
      </w:r>
      <w:r w:rsidRPr="000E455E">
        <w:rPr>
          <w:rtl/>
          <w:lang w:bidi="ar-EG"/>
        </w:rPr>
        <w:t>وطُبّق مسارُ عمل لتحسين الكفاءة وضمان أن المصطلحات والتعاريف التي تناقَش خلال اجتماعات لجنة تنسيق المصطلحات (</w:t>
      </w:r>
      <w:r w:rsidRPr="000E455E">
        <w:rPr>
          <w:lang w:bidi="ar-EG"/>
        </w:rPr>
        <w:t>CCT</w:t>
      </w:r>
      <w:r w:rsidRPr="000E455E">
        <w:rPr>
          <w:rtl/>
          <w:lang w:bidi="ar-EG"/>
        </w:rPr>
        <w:t xml:space="preserve">) تتمّ ترجمتها </w:t>
      </w:r>
      <w:r w:rsidR="000E4415">
        <w:rPr>
          <w:rFonts w:hint="cs"/>
          <w:rtl/>
          <w:lang w:bidi="ar-EG"/>
        </w:rPr>
        <w:t>في</w:t>
      </w:r>
      <w:r w:rsidRPr="000E455E">
        <w:rPr>
          <w:rtl/>
          <w:lang w:bidi="ar-EG"/>
        </w:rPr>
        <w:t xml:space="preserve"> الأمانة العامة </w:t>
      </w:r>
      <w:r w:rsidR="000E4415">
        <w:rPr>
          <w:rFonts w:hint="cs"/>
          <w:rtl/>
          <w:lang w:bidi="ar-EG"/>
        </w:rPr>
        <w:t>وتصدق</w:t>
      </w:r>
      <w:r w:rsidRPr="000E455E">
        <w:rPr>
          <w:rtl/>
          <w:lang w:bidi="ar-EG"/>
        </w:rPr>
        <w:t xml:space="preserve"> عليها اللجنة المذكورة. وتُدرَج جميع المصطلحات والتعاريف </w:t>
      </w:r>
      <w:r w:rsidR="000E4415">
        <w:rPr>
          <w:rFonts w:hint="cs"/>
          <w:rtl/>
          <w:lang w:bidi="ar-EG"/>
        </w:rPr>
        <w:t>التي تعتمدها</w:t>
      </w:r>
      <w:r w:rsidRPr="000E455E">
        <w:rPr>
          <w:rtl/>
          <w:lang w:bidi="ar-EG"/>
        </w:rPr>
        <w:t xml:space="preserve"> لجنة تنسيق المصطلحات (</w:t>
      </w:r>
      <w:r w:rsidRPr="000E455E">
        <w:rPr>
          <w:lang w:bidi="ar-EG"/>
        </w:rPr>
        <w:t>CCT</w:t>
      </w:r>
      <w:r w:rsidRPr="000E455E">
        <w:rPr>
          <w:rtl/>
          <w:lang w:bidi="ar-EG"/>
        </w:rPr>
        <w:t>) في قاعدة بيانات الاتحاد الإلكترونية الخاصة بالمصطلحات والتعاريف، وكذلك في قاعدة بيانات مصطلحات الأمم المتحدة (</w:t>
      </w:r>
      <w:r w:rsidRPr="000E455E">
        <w:rPr>
          <w:lang w:bidi="ar-EG"/>
        </w:rPr>
        <w:t>UNTERM</w:t>
      </w:r>
      <w:r w:rsidRPr="000E455E">
        <w:rPr>
          <w:rtl/>
          <w:lang w:bidi="ar-EG"/>
        </w:rPr>
        <w:t xml:space="preserve">)، حيث </w:t>
      </w:r>
      <w:r w:rsidR="001942A1">
        <w:rPr>
          <w:rFonts w:hint="cs"/>
          <w:rtl/>
          <w:lang w:bidi="ar-EG"/>
        </w:rPr>
        <w:t>تقع على عاتق</w:t>
      </w:r>
      <w:r w:rsidRPr="000E455E">
        <w:rPr>
          <w:rtl/>
          <w:lang w:bidi="ar-EG"/>
        </w:rPr>
        <w:t xml:space="preserve"> الاتحاد </w:t>
      </w:r>
      <w:r w:rsidR="001942A1">
        <w:rPr>
          <w:rFonts w:hint="cs"/>
          <w:rtl/>
          <w:lang w:bidi="ar-EG"/>
        </w:rPr>
        <w:t>المسؤولية</w:t>
      </w:r>
      <w:r w:rsidRPr="000E455E">
        <w:rPr>
          <w:rtl/>
          <w:lang w:bidi="ar-EG"/>
        </w:rPr>
        <w:t xml:space="preserve"> عن مجالَي الاتصالات وتكنولوجيا المعلومات والاتصالات. ونُشر موقع إلكتروني جديد للجنة تنسيق المصطلحات (</w:t>
      </w:r>
      <w:r w:rsidRPr="000E455E">
        <w:rPr>
          <w:lang w:bidi="ar-EG"/>
        </w:rPr>
        <w:t>CCT</w:t>
      </w:r>
      <w:r w:rsidRPr="000E455E">
        <w:rPr>
          <w:rtl/>
          <w:lang w:bidi="ar-EG"/>
        </w:rPr>
        <w:t>) يتيح سهولة الوصول إلى جميع الوثائق ذات الصلة. وإضافة</w:t>
      </w:r>
      <w:r w:rsidR="000E4415">
        <w:rPr>
          <w:rFonts w:hint="cs"/>
          <w:rtl/>
          <w:lang w:bidi="ar-EG"/>
        </w:rPr>
        <w:t>ً</w:t>
      </w:r>
      <w:r w:rsidRPr="000E455E">
        <w:rPr>
          <w:rtl/>
          <w:lang w:bidi="ar-EG"/>
        </w:rPr>
        <w:t xml:space="preserve"> إلى ذلك، ثمة إجراء مقترَح قيد المناقشة بشأن التعاون مع الدول الأعضاء المهتمة لتحسين ترجمة المصطلحات والتعاريف بجميع اللغات الرسمية الست.</w:t>
      </w:r>
    </w:p>
    <w:p w14:paraId="75DCB01D" w14:textId="15458DB5" w:rsidR="00412FCA" w:rsidRPr="001942A1" w:rsidRDefault="00EF1A1D" w:rsidP="009A276F">
      <w:pPr>
        <w:pStyle w:val="Heading2"/>
        <w:rPr>
          <w:lang w:eastAsia="ar" w:bidi="ar-MA"/>
        </w:rPr>
      </w:pPr>
      <w:r w:rsidRPr="001942A1">
        <w:rPr>
          <w:rFonts w:hint="cs"/>
          <w:rtl/>
          <w:lang w:eastAsia="ar" w:bidi="ar-MA"/>
        </w:rPr>
        <w:t>6.3</w:t>
      </w:r>
      <w:r w:rsidRPr="001942A1">
        <w:rPr>
          <w:rtl/>
          <w:lang w:eastAsia="ar" w:bidi="ar-MA"/>
        </w:rPr>
        <w:tab/>
      </w:r>
      <w:r w:rsidR="00412FCA" w:rsidRPr="001942A1">
        <w:rPr>
          <w:rtl/>
          <w:lang w:eastAsia="ar" w:bidi="ar-MA"/>
        </w:rPr>
        <w:t>مواءمة المواقع الإلكترونية للاتحاد باللغات الرسمية الستّ، وإدماج التعددية اللغوية في الاتصالات، وتبادُل المعارف، ووسائل التواصل الاجتماعي</w:t>
      </w:r>
    </w:p>
    <w:p w14:paraId="10AA6786" w14:textId="417ECDC6" w:rsidR="00412FCA" w:rsidRPr="001942A1" w:rsidRDefault="00412FCA" w:rsidP="009A276F">
      <w:pPr>
        <w:rPr>
          <w:lang w:bidi="ar-EG"/>
        </w:rPr>
      </w:pPr>
      <w:r w:rsidRPr="001942A1">
        <w:rPr>
          <w:rtl/>
          <w:lang w:bidi="ar-EG"/>
        </w:rPr>
        <w:t xml:space="preserve">تتواصل جهود التنسيق </w:t>
      </w:r>
      <w:r w:rsidR="000E4415">
        <w:rPr>
          <w:rFonts w:hint="cs"/>
          <w:rtl/>
          <w:lang w:bidi="ar-EG"/>
        </w:rPr>
        <w:t>من خلال</w:t>
      </w:r>
      <w:r w:rsidRPr="001942A1">
        <w:rPr>
          <w:rtl/>
          <w:lang w:bidi="ar-EG"/>
        </w:rPr>
        <w:t xml:space="preserve"> </w:t>
      </w:r>
      <w:r w:rsidR="000E4415">
        <w:rPr>
          <w:rFonts w:hint="cs"/>
          <w:rtl/>
          <w:lang w:bidi="ar-EG"/>
        </w:rPr>
        <w:t xml:space="preserve">بنية </w:t>
      </w:r>
      <w:r w:rsidRPr="001942A1">
        <w:rPr>
          <w:rtl/>
          <w:lang w:bidi="ar-EG"/>
        </w:rPr>
        <w:t xml:space="preserve">تحتية مشتركة للمعلومات </w:t>
      </w:r>
      <w:r w:rsidR="000E4415">
        <w:rPr>
          <w:rFonts w:hint="cs"/>
          <w:rtl/>
          <w:lang w:bidi="ar-EG"/>
        </w:rPr>
        <w:t>وتصميم مشترك</w:t>
      </w:r>
      <w:r w:rsidRPr="001942A1">
        <w:rPr>
          <w:rtl/>
          <w:lang w:bidi="ar-EG"/>
        </w:rPr>
        <w:t xml:space="preserve"> لجميع المواقع الإلكترونية للمؤتمرات والأحداث على منصة </w:t>
      </w:r>
      <w:r w:rsidRPr="001942A1">
        <w:rPr>
          <w:lang w:bidi="ar-EG"/>
        </w:rPr>
        <w:t>WordPress</w:t>
      </w:r>
      <w:r w:rsidRPr="001942A1">
        <w:rPr>
          <w:rtl/>
          <w:lang w:bidi="ar-EG"/>
        </w:rPr>
        <w:t xml:space="preserve">، بما في ذلك الموقع الإلكتروني لدورة مجلس الاتحاد لعام 2023. وأُعِدَّت صفحة استعراض الأحداث في إطار أسلوب "الاتحاد الواحد" على منصة </w:t>
      </w:r>
      <w:r w:rsidRPr="001942A1">
        <w:rPr>
          <w:lang w:bidi="ar-EG"/>
        </w:rPr>
        <w:t>WordPress</w:t>
      </w:r>
      <w:r w:rsidRPr="001942A1">
        <w:rPr>
          <w:rtl/>
          <w:lang w:bidi="ar-EG"/>
        </w:rPr>
        <w:t xml:space="preserve">. وتتوافر النماذج والمكونات وعناصر العلامة المميّزة المنسَّقة للانتقال إلى منصة </w:t>
      </w:r>
      <w:r w:rsidRPr="001942A1">
        <w:rPr>
          <w:lang w:bidi="ar-EG"/>
        </w:rPr>
        <w:t>WordPress</w:t>
      </w:r>
      <w:r w:rsidRPr="001942A1">
        <w:rPr>
          <w:rtl/>
          <w:lang w:bidi="ar-EG"/>
        </w:rPr>
        <w:t xml:space="preserve"> وإنشاء المحتوى، بالإضافة إلى توفير المبادئ التوجيهية للمستعم</w:t>
      </w:r>
      <w:r w:rsidR="001942A1">
        <w:rPr>
          <w:rFonts w:hint="cs"/>
          <w:rtl/>
          <w:lang w:bidi="ar-EG"/>
        </w:rPr>
        <w:t>ِ</w:t>
      </w:r>
      <w:r w:rsidRPr="001942A1">
        <w:rPr>
          <w:rtl/>
          <w:lang w:bidi="ar-EG"/>
        </w:rPr>
        <w:t>ل بما يكفل الاتساق ضمن أسلوب "الاتحاد الواحد". وتتوافر أخبار الاتحاد والصفحات الإعلامية والخطابات ذات الصلة بجميع اللغات الست من خلال الأداة</w:t>
      </w:r>
      <w:r w:rsidR="009A276F">
        <w:rPr>
          <w:rFonts w:hint="cs"/>
          <w:rtl/>
          <w:lang w:bidi="ar-EG"/>
        </w:rPr>
        <w:t> </w:t>
      </w:r>
      <w:r w:rsidRPr="001942A1">
        <w:rPr>
          <w:lang w:bidi="ar-EG"/>
        </w:rPr>
        <w:t>ITU</w:t>
      </w:r>
      <w:r w:rsidR="00E8209A">
        <w:rPr>
          <w:lang w:bidi="ar-EG"/>
        </w:rPr>
        <w:t> </w:t>
      </w:r>
      <w:r w:rsidRPr="001942A1">
        <w:rPr>
          <w:lang w:bidi="ar-EG"/>
        </w:rPr>
        <w:t>Translate</w:t>
      </w:r>
      <w:r w:rsidRPr="001942A1">
        <w:rPr>
          <w:rtl/>
          <w:lang w:bidi="ar-EG"/>
        </w:rPr>
        <w:t>؛ وما تزال الترجمة البشرية قائمة للبيانات الصحفية وإشعارات وسائل الإعلام. وإدماج الأداة</w:t>
      </w:r>
      <w:r w:rsidR="009A276F">
        <w:rPr>
          <w:rFonts w:hint="cs"/>
          <w:rtl/>
          <w:lang w:bidi="ar-EG"/>
        </w:rPr>
        <w:t> </w:t>
      </w:r>
      <w:r w:rsidRPr="001942A1">
        <w:rPr>
          <w:lang w:bidi="ar-EG"/>
        </w:rPr>
        <w:t>ITU</w:t>
      </w:r>
      <w:r w:rsidR="009A276F">
        <w:rPr>
          <w:lang w:bidi="ar-EG"/>
        </w:rPr>
        <w:t> </w:t>
      </w:r>
      <w:r w:rsidRPr="001942A1">
        <w:rPr>
          <w:lang w:bidi="ar-EG"/>
        </w:rPr>
        <w:t>Translate</w:t>
      </w:r>
      <w:r w:rsidRPr="001942A1">
        <w:rPr>
          <w:rtl/>
          <w:lang w:bidi="ar-EG"/>
        </w:rPr>
        <w:t xml:space="preserve"> في نموذج جميع صفحات </w:t>
      </w:r>
      <w:r w:rsidRPr="001942A1">
        <w:rPr>
          <w:lang w:bidi="ar-EG"/>
        </w:rPr>
        <w:t>WordPress</w:t>
      </w:r>
      <w:r w:rsidRPr="001942A1">
        <w:rPr>
          <w:rtl/>
          <w:lang w:bidi="ar-EG"/>
        </w:rPr>
        <w:t xml:space="preserve"> الجديدة سيمكّن من إتاحة جميع المحتويات على الفور وفي الوقت نفسه باللغات الست افتراضياً، مع خيار استخدام الترجمة البشرية إذا ما اقتضت الضرورة</w:t>
      </w:r>
      <w:r w:rsidR="001942A1">
        <w:rPr>
          <w:rFonts w:hint="cs"/>
          <w:rtl/>
          <w:lang w:bidi="ar-EG"/>
        </w:rPr>
        <w:t xml:space="preserve"> ذلك</w:t>
      </w:r>
      <w:r w:rsidRPr="001942A1">
        <w:rPr>
          <w:rtl/>
          <w:lang w:bidi="ar-EG"/>
        </w:rPr>
        <w:t>.</w:t>
      </w:r>
    </w:p>
    <w:p w14:paraId="59526C8D" w14:textId="2D5BC8AC" w:rsidR="00412FCA" w:rsidRPr="00B27955" w:rsidRDefault="00EF1A1D" w:rsidP="00B27955">
      <w:pPr>
        <w:pStyle w:val="Heading1"/>
        <w:rPr>
          <w:lang w:bidi="ar-EG"/>
        </w:rPr>
      </w:pPr>
      <w:r w:rsidRPr="00B27955">
        <w:rPr>
          <w:rFonts w:hint="cs"/>
          <w:rtl/>
          <w:lang w:bidi="ar-EG"/>
        </w:rPr>
        <w:lastRenderedPageBreak/>
        <w:t>4</w:t>
      </w:r>
      <w:r w:rsidRPr="00B27955">
        <w:rPr>
          <w:rtl/>
          <w:lang w:bidi="ar-EG"/>
        </w:rPr>
        <w:tab/>
      </w:r>
      <w:r w:rsidR="00412FCA" w:rsidRPr="00B27955">
        <w:rPr>
          <w:rtl/>
          <w:lang w:bidi="ar-EG"/>
        </w:rPr>
        <w:t xml:space="preserve">إجراءات إضافية </w:t>
      </w:r>
      <w:r w:rsidR="000E4415">
        <w:rPr>
          <w:rFonts w:hint="cs"/>
          <w:rtl/>
          <w:lang w:bidi="ar-EG"/>
        </w:rPr>
        <w:t>بناءً على</w:t>
      </w:r>
      <w:r w:rsidR="00412FCA" w:rsidRPr="00B27955">
        <w:rPr>
          <w:rtl/>
          <w:lang w:bidi="ar-EG"/>
        </w:rPr>
        <w:t xml:space="preserve"> مراجعة القرار 154 (المراجَع في بوخارست، 2022)</w:t>
      </w:r>
    </w:p>
    <w:p w14:paraId="75BFEF30" w14:textId="20E71D19" w:rsidR="00412FCA" w:rsidRPr="00C11259" w:rsidRDefault="00412FCA" w:rsidP="00C11259">
      <w:r w:rsidRPr="00C11259">
        <w:rPr>
          <w:rtl/>
        </w:rPr>
        <w:t xml:space="preserve">تعمل الأمانة العامة والمكاتب على إنشاء آلية على مستوى الاتحاد لنشر أيّ مساهمة في </w:t>
      </w:r>
      <w:r w:rsidR="00BB5FAC" w:rsidRPr="00C11259">
        <w:rPr>
          <w:rFonts w:hint="cs"/>
          <w:rtl/>
        </w:rPr>
        <w:t>أيّ من أحداث</w:t>
      </w:r>
      <w:r w:rsidRPr="00C11259">
        <w:rPr>
          <w:rtl/>
        </w:rPr>
        <w:t xml:space="preserve"> </w:t>
      </w:r>
      <w:r w:rsidR="00BB5FAC" w:rsidRPr="00C11259">
        <w:rPr>
          <w:rFonts w:hint="cs"/>
          <w:rtl/>
        </w:rPr>
        <w:t>الاتحاد</w:t>
      </w:r>
      <w:r w:rsidRPr="00C11259">
        <w:rPr>
          <w:rtl/>
        </w:rPr>
        <w:t xml:space="preserve"> بلغتها الأصليّة في موعد لا يتجاوز ثلاثة أيام بعد استلامها. </w:t>
      </w:r>
      <w:r w:rsidR="00F72DB9" w:rsidRPr="00C11259">
        <w:rPr>
          <w:rFonts w:hint="cs"/>
          <w:rtl/>
        </w:rPr>
        <w:t>و</w:t>
      </w:r>
      <w:r w:rsidRPr="00C11259">
        <w:rPr>
          <w:rtl/>
        </w:rPr>
        <w:t>تُشجَّع الدول الأعضاء على الاستفادة من واجهة المقترحات المقدَّمة إلى المؤتمر</w:t>
      </w:r>
      <w:r w:rsidR="009A276F" w:rsidRPr="00C11259">
        <w:rPr>
          <w:rFonts w:hint="cs"/>
          <w:rtl/>
        </w:rPr>
        <w:t> </w:t>
      </w:r>
      <w:r w:rsidRPr="00C11259">
        <w:rPr>
          <w:rtl/>
        </w:rPr>
        <w:t>(</w:t>
      </w:r>
      <w:r w:rsidRPr="00C11259">
        <w:t>CPI</w:t>
      </w:r>
      <w:r w:rsidRPr="00C11259">
        <w:rPr>
          <w:rtl/>
        </w:rPr>
        <w:t>) ومبادئها التوجيهية لتسريع عملية نَشْر الوثائق بلغات الاتحاد الست وضمان الامتثال للنماذج الرسمية.</w:t>
      </w:r>
    </w:p>
    <w:p w14:paraId="5F47F175" w14:textId="30480EBC" w:rsidR="00412FCA" w:rsidRPr="00C11259" w:rsidRDefault="00412FCA" w:rsidP="00C11259">
      <w:r w:rsidRPr="00C11259">
        <w:rPr>
          <w:rtl/>
        </w:rPr>
        <w:t xml:space="preserve">وتتواصل الجهود المبذولة لضمان إتاحة جميع وثائق السياسات العامة للاتحاد والوثائق الأخرى التي تقدّم إرشادات بشأن حقوق الملكية الفكرية في الاتحاد بجميع اللغات الست. </w:t>
      </w:r>
      <w:r w:rsidR="00BC4633" w:rsidRPr="00C11259">
        <w:rPr>
          <w:rFonts w:hint="cs"/>
          <w:rtl/>
        </w:rPr>
        <w:t>و</w:t>
      </w:r>
      <w:r w:rsidRPr="00C11259">
        <w:rPr>
          <w:rtl/>
        </w:rPr>
        <w:t>تراقب الأمانة العامة جودة خدمات الترجمة الشفوية والترجمة التحريرية، بما</w:t>
      </w:r>
      <w:r w:rsidR="009A276F" w:rsidRPr="00C11259">
        <w:rPr>
          <w:rFonts w:hint="cs"/>
          <w:rtl/>
        </w:rPr>
        <w:t> </w:t>
      </w:r>
      <w:r w:rsidRPr="00C11259">
        <w:rPr>
          <w:rtl/>
        </w:rPr>
        <w:t>في</w:t>
      </w:r>
      <w:r w:rsidR="009A276F" w:rsidRPr="00C11259">
        <w:rPr>
          <w:rFonts w:hint="cs"/>
          <w:rtl/>
        </w:rPr>
        <w:t> </w:t>
      </w:r>
      <w:r w:rsidRPr="00C11259">
        <w:rPr>
          <w:rtl/>
        </w:rPr>
        <w:t xml:space="preserve">ذلك عن طريق إجراء استطلاعات آراء المندوبين عَقِبَ المؤتمرات والأحداث الرئيسية للاتحاد. </w:t>
      </w:r>
      <w:r w:rsidR="000E4415" w:rsidRPr="00C11259">
        <w:rPr>
          <w:rFonts w:hint="cs"/>
          <w:rtl/>
        </w:rPr>
        <w:t>وتبقى</w:t>
      </w:r>
      <w:r w:rsidRPr="00C11259">
        <w:rPr>
          <w:rtl/>
        </w:rPr>
        <w:t xml:space="preserve"> مستويات الرضا عن الترجمة التحريرية والترجمة الشفوية في جميع اللغات عاليةً.</w:t>
      </w:r>
    </w:p>
    <w:p w14:paraId="6606FA6E" w14:textId="0CC25D06" w:rsidR="00412FCA" w:rsidRPr="00C11259" w:rsidRDefault="00412FCA" w:rsidP="00C11259">
      <w:r w:rsidRPr="00C11259">
        <w:rPr>
          <w:rtl/>
        </w:rPr>
        <w:t xml:space="preserve">وتُولي الأمانة اهتماماً كبيراً </w:t>
      </w:r>
      <w:r w:rsidR="000E4415" w:rsidRPr="00C11259">
        <w:rPr>
          <w:rFonts w:hint="cs"/>
          <w:rtl/>
        </w:rPr>
        <w:t>لعقد</w:t>
      </w:r>
      <w:r w:rsidRPr="00C11259">
        <w:rPr>
          <w:rtl/>
        </w:rPr>
        <w:t xml:space="preserve"> اجتماعات </w:t>
      </w:r>
      <w:r w:rsidR="000E4415" w:rsidRPr="00C11259">
        <w:rPr>
          <w:rFonts w:hint="cs"/>
          <w:rtl/>
        </w:rPr>
        <w:t>أكثر مراعاةً</w:t>
      </w:r>
      <w:r w:rsidRPr="00C11259">
        <w:rPr>
          <w:rtl/>
        </w:rPr>
        <w:t xml:space="preserve"> للبيئة. </w:t>
      </w:r>
      <w:r w:rsidR="000E4415" w:rsidRPr="00C11259">
        <w:rPr>
          <w:rFonts w:hint="cs"/>
          <w:rtl/>
        </w:rPr>
        <w:t>وروجع</w:t>
      </w:r>
      <w:r w:rsidR="00BC4633" w:rsidRPr="00C11259">
        <w:rPr>
          <w:rFonts w:hint="cs"/>
          <w:rtl/>
        </w:rPr>
        <w:t xml:space="preserve"> </w:t>
      </w:r>
      <w:r w:rsidRPr="00C11259">
        <w:rPr>
          <w:rtl/>
        </w:rPr>
        <w:t xml:space="preserve">الأمر الإداري </w:t>
      </w:r>
      <w:r w:rsidR="009A276F" w:rsidRPr="00C11259">
        <w:t>22/07</w:t>
      </w:r>
      <w:r w:rsidRPr="00C11259">
        <w:rPr>
          <w:rtl/>
        </w:rPr>
        <w:t>، المتعلق بالمبادئ التوجيهية لعقد اجتماعات ومؤتمرات الاتحاد بدون استخدام الورق، من أجل تعزيز الاستدامة البيئية، وتحسين الكفاءة، وخفض تكاليف عمليات الاتحاد من خلال عقد مؤتمرات واجتماعات لاورقية وتقليص الطباعة والتوزيع المادي لمنشورات الاتحاد إلى أدنى حدّ ممكن.</w:t>
      </w:r>
    </w:p>
    <w:p w14:paraId="34C24180" w14:textId="58F7D638" w:rsidR="00412FCA" w:rsidRPr="00C11259" w:rsidRDefault="00412FCA" w:rsidP="00C11259">
      <w:r w:rsidRPr="00C11259">
        <w:rPr>
          <w:rtl/>
        </w:rPr>
        <w:t xml:space="preserve">وأُعِدَّت مجموعة من النماذج المحسَّنة </w:t>
      </w:r>
      <w:r w:rsidR="000E4415" w:rsidRPr="00C11259">
        <w:rPr>
          <w:rFonts w:hint="cs"/>
          <w:rtl/>
        </w:rPr>
        <w:t>لإعداد</w:t>
      </w:r>
      <w:r w:rsidRPr="00C11259">
        <w:rPr>
          <w:rtl/>
        </w:rPr>
        <w:t xml:space="preserve"> منشورات بأنساق يسهل الوصول إليها ومستقلة عن المنصات، بما في ذلك واجهة برمجة التطبيقات التي تتيح الوصول إلى المنشورات بنسق </w:t>
      </w:r>
      <w:r w:rsidRPr="00C11259">
        <w:t>HTML</w:t>
      </w:r>
      <w:r w:rsidRPr="00C11259">
        <w:rPr>
          <w:rtl/>
        </w:rPr>
        <w:t xml:space="preserve"> بما يعزز الوصول إلى المحتوى وتوافره. </w:t>
      </w:r>
      <w:r w:rsidR="00BC4633" w:rsidRPr="00C11259">
        <w:rPr>
          <w:rFonts w:hint="cs"/>
          <w:rtl/>
        </w:rPr>
        <w:t>و</w:t>
      </w:r>
      <w:r w:rsidRPr="00C11259">
        <w:rPr>
          <w:rtl/>
        </w:rPr>
        <w:t xml:space="preserve">تواصِل الأمانة </w:t>
      </w:r>
      <w:r w:rsidR="00BC4633" w:rsidRPr="00C11259">
        <w:rPr>
          <w:rFonts w:hint="cs"/>
          <w:rtl/>
        </w:rPr>
        <w:t>رصد</w:t>
      </w:r>
      <w:r w:rsidRPr="00C11259">
        <w:rPr>
          <w:rtl/>
        </w:rPr>
        <w:t xml:space="preserve"> استخدام المنشورات من خلال الإحصاءات المتعلقة بتنزيل وشراء المنشورات بلغات مختلفة من أجل </w:t>
      </w:r>
      <w:r w:rsidR="000E4415" w:rsidRPr="00C11259">
        <w:rPr>
          <w:rFonts w:hint="cs"/>
          <w:rtl/>
        </w:rPr>
        <w:t>الاسترشاد بها في</w:t>
      </w:r>
      <w:r w:rsidRPr="00C11259">
        <w:rPr>
          <w:rtl/>
        </w:rPr>
        <w:t xml:space="preserve"> القرارات المستقبلية بشأن استخدام الترجمة الآلية. </w:t>
      </w:r>
    </w:p>
    <w:p w14:paraId="27E27880" w14:textId="77777777" w:rsidR="00F50E3F" w:rsidRDefault="00F50E3F">
      <w:pPr>
        <w:tabs>
          <w:tab w:val="clear" w:pos="794"/>
        </w:tabs>
        <w:bidi w:val="0"/>
        <w:spacing w:before="0" w:after="160" w:line="259" w:lineRule="auto"/>
        <w:jc w:val="left"/>
        <w:rPr>
          <w:rtl/>
          <w:lang w:bidi="ar-EG"/>
        </w:rPr>
      </w:pPr>
      <w:r>
        <w:rPr>
          <w:rtl/>
          <w:lang w:bidi="ar-EG"/>
        </w:rPr>
        <w:br w:type="page"/>
      </w:r>
    </w:p>
    <w:p w14:paraId="0FB82E3B" w14:textId="54D04B82" w:rsidR="00EF1A1D" w:rsidRDefault="00EF1A1D" w:rsidP="00EF1A1D">
      <w:pPr>
        <w:pStyle w:val="AnnexNo"/>
        <w:rPr>
          <w:rtl/>
        </w:rPr>
      </w:pPr>
      <w:r>
        <w:rPr>
          <w:rFonts w:hint="cs"/>
          <w:rtl/>
        </w:rPr>
        <w:lastRenderedPageBreak/>
        <w:t>الملحق 1</w:t>
      </w:r>
    </w:p>
    <w:p w14:paraId="51A8A1F8" w14:textId="3A098E79" w:rsidR="003961CC" w:rsidRDefault="00EF1A1D" w:rsidP="00127006">
      <w:pPr>
        <w:pStyle w:val="Tabletitle"/>
        <w:rPr>
          <w:rFonts w:cstheme="minorHAnsi"/>
          <w:sz w:val="24"/>
          <w:szCs w:val="24"/>
          <w:rtl/>
          <w:lang w:bidi="ar-JO"/>
        </w:rPr>
      </w:pPr>
      <w:r>
        <w:rPr>
          <w:rFonts w:hint="cs"/>
          <w:rtl/>
        </w:rPr>
        <w:t xml:space="preserve">الجدول 1. </w:t>
      </w:r>
      <w:r w:rsidR="003961CC" w:rsidRPr="003961CC">
        <w:rPr>
          <w:rtl/>
        </w:rPr>
        <w:t xml:space="preserve">تطوُّر ميزانية </w:t>
      </w:r>
      <w:r w:rsidR="003961CC">
        <w:rPr>
          <w:rFonts w:hint="cs"/>
          <w:rtl/>
        </w:rPr>
        <w:t>ونفقات الخدمات اللغوية (ب</w:t>
      </w:r>
      <w:r w:rsidR="000E4415">
        <w:rPr>
          <w:rFonts w:hint="cs"/>
          <w:rtl/>
        </w:rPr>
        <w:t>آلاف الفرنكات السويسرية</w:t>
      </w:r>
      <w:r w:rsidR="003961CC" w:rsidRPr="003961CC">
        <w:rPr>
          <w:rFonts w:hint="cs"/>
          <w:rtl/>
        </w:rPr>
        <w:t>)، 2018-2022</w:t>
      </w:r>
    </w:p>
    <w:tbl>
      <w:tblPr>
        <w:bidiVisual/>
        <w:tblW w:w="4997" w:type="pct"/>
        <w:tblLayout w:type="fixed"/>
        <w:tblLook w:val="04A0" w:firstRow="1" w:lastRow="0" w:firstColumn="1" w:lastColumn="0" w:noHBand="0" w:noVBand="1"/>
      </w:tblPr>
      <w:tblGrid>
        <w:gridCol w:w="4001"/>
        <w:gridCol w:w="1126"/>
        <w:gridCol w:w="1125"/>
        <w:gridCol w:w="1125"/>
        <w:gridCol w:w="1125"/>
        <w:gridCol w:w="1126"/>
      </w:tblGrid>
      <w:tr w:rsidR="00EF1A1D" w:rsidRPr="00EF1A1D" w14:paraId="0AB9E4FA" w14:textId="77777777" w:rsidTr="00127006">
        <w:trPr>
          <w:trHeight w:val="290"/>
        </w:trPr>
        <w:tc>
          <w:tcPr>
            <w:tcW w:w="4003" w:type="dxa"/>
            <w:tcBorders>
              <w:top w:val="nil"/>
              <w:left w:val="nil"/>
              <w:bottom w:val="nil"/>
              <w:right w:val="nil"/>
            </w:tcBorders>
            <w:shd w:val="clear" w:color="auto" w:fill="auto"/>
            <w:noWrap/>
            <w:vAlign w:val="bottom"/>
            <w:hideMark/>
          </w:tcPr>
          <w:p w14:paraId="4D879E9C" w14:textId="77777777" w:rsidR="00EF1A1D" w:rsidRPr="00EF1A1D" w:rsidRDefault="00EF1A1D" w:rsidP="00127006">
            <w:pPr>
              <w:spacing w:before="60" w:after="60" w:line="260" w:lineRule="exact"/>
              <w:rPr>
                <w:sz w:val="18"/>
                <w:szCs w:val="18"/>
                <w:lang w:eastAsia="en-GB"/>
              </w:rPr>
            </w:pPr>
            <w:bookmarkStart w:id="0" w:name="_Hlk86649659"/>
          </w:p>
        </w:tc>
        <w:tc>
          <w:tcPr>
            <w:tcW w:w="1126"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66DCAC33" w14:textId="77777777" w:rsidR="00EF1A1D" w:rsidRPr="00EF1A1D" w:rsidRDefault="00EF1A1D" w:rsidP="00127006">
            <w:pPr>
              <w:spacing w:before="60" w:after="60" w:line="260" w:lineRule="exact"/>
              <w:jc w:val="center"/>
              <w:rPr>
                <w:b/>
                <w:bCs/>
                <w:color w:val="000000"/>
                <w:sz w:val="18"/>
                <w:szCs w:val="18"/>
              </w:rPr>
            </w:pPr>
            <w:r w:rsidRPr="00EF1A1D">
              <w:rPr>
                <w:b/>
                <w:bCs/>
                <w:color w:val="000000"/>
                <w:sz w:val="18"/>
                <w:szCs w:val="18"/>
              </w:rPr>
              <w:t>2018</w:t>
            </w:r>
          </w:p>
        </w:tc>
        <w:tc>
          <w:tcPr>
            <w:tcW w:w="1126" w:type="dxa"/>
            <w:tcBorders>
              <w:top w:val="single" w:sz="4" w:space="0" w:color="auto"/>
              <w:left w:val="nil"/>
              <w:bottom w:val="single" w:sz="4" w:space="0" w:color="auto"/>
              <w:right w:val="single" w:sz="4" w:space="0" w:color="auto"/>
            </w:tcBorders>
            <w:shd w:val="clear" w:color="auto" w:fill="DEEAF6" w:themeFill="accent1" w:themeFillTint="33"/>
            <w:noWrap/>
            <w:vAlign w:val="center"/>
            <w:hideMark/>
          </w:tcPr>
          <w:p w14:paraId="3AC71617" w14:textId="77777777" w:rsidR="00EF1A1D" w:rsidRPr="00EF1A1D" w:rsidRDefault="00EF1A1D" w:rsidP="00127006">
            <w:pPr>
              <w:spacing w:before="60" w:after="60" w:line="260" w:lineRule="exact"/>
              <w:jc w:val="center"/>
              <w:rPr>
                <w:b/>
                <w:bCs/>
                <w:color w:val="000000"/>
                <w:sz w:val="18"/>
                <w:szCs w:val="18"/>
              </w:rPr>
            </w:pPr>
            <w:r w:rsidRPr="00EF1A1D">
              <w:rPr>
                <w:b/>
                <w:bCs/>
                <w:color w:val="000000"/>
                <w:sz w:val="18"/>
                <w:szCs w:val="18"/>
              </w:rPr>
              <w:t>2019</w:t>
            </w:r>
          </w:p>
        </w:tc>
        <w:tc>
          <w:tcPr>
            <w:tcW w:w="1126" w:type="dxa"/>
            <w:tcBorders>
              <w:top w:val="single" w:sz="4" w:space="0" w:color="auto"/>
              <w:left w:val="nil"/>
              <w:bottom w:val="single" w:sz="4" w:space="0" w:color="auto"/>
              <w:right w:val="single" w:sz="4" w:space="0" w:color="auto"/>
            </w:tcBorders>
            <w:shd w:val="clear" w:color="auto" w:fill="DEEAF6" w:themeFill="accent1" w:themeFillTint="33"/>
            <w:noWrap/>
            <w:vAlign w:val="center"/>
            <w:hideMark/>
          </w:tcPr>
          <w:p w14:paraId="02A749F9" w14:textId="77777777" w:rsidR="00EF1A1D" w:rsidRPr="00EF1A1D" w:rsidRDefault="00EF1A1D" w:rsidP="00127006">
            <w:pPr>
              <w:spacing w:before="60" w:after="60" w:line="260" w:lineRule="exact"/>
              <w:jc w:val="center"/>
              <w:rPr>
                <w:b/>
                <w:bCs/>
                <w:color w:val="000000"/>
                <w:sz w:val="18"/>
                <w:szCs w:val="18"/>
              </w:rPr>
            </w:pPr>
            <w:r w:rsidRPr="00EF1A1D">
              <w:rPr>
                <w:b/>
                <w:bCs/>
                <w:color w:val="000000"/>
                <w:sz w:val="18"/>
                <w:szCs w:val="18"/>
              </w:rPr>
              <w:t>2020</w:t>
            </w:r>
          </w:p>
        </w:tc>
        <w:tc>
          <w:tcPr>
            <w:tcW w:w="1126" w:type="dxa"/>
            <w:tcBorders>
              <w:top w:val="single" w:sz="4" w:space="0" w:color="auto"/>
              <w:left w:val="nil"/>
              <w:bottom w:val="single" w:sz="4" w:space="0" w:color="auto"/>
              <w:right w:val="single" w:sz="4" w:space="0" w:color="auto"/>
            </w:tcBorders>
            <w:shd w:val="clear" w:color="auto" w:fill="DEEAF6" w:themeFill="accent1" w:themeFillTint="33"/>
            <w:noWrap/>
            <w:vAlign w:val="center"/>
            <w:hideMark/>
          </w:tcPr>
          <w:p w14:paraId="66CD9239" w14:textId="77777777" w:rsidR="00EF1A1D" w:rsidRPr="00EF1A1D" w:rsidRDefault="00EF1A1D" w:rsidP="00127006">
            <w:pPr>
              <w:spacing w:before="60" w:after="60" w:line="260" w:lineRule="exact"/>
              <w:jc w:val="center"/>
              <w:rPr>
                <w:b/>
                <w:bCs/>
                <w:color w:val="000000"/>
                <w:sz w:val="18"/>
                <w:szCs w:val="18"/>
              </w:rPr>
            </w:pPr>
            <w:r w:rsidRPr="00EF1A1D">
              <w:rPr>
                <w:b/>
                <w:bCs/>
                <w:color w:val="000000"/>
                <w:sz w:val="18"/>
                <w:szCs w:val="18"/>
              </w:rPr>
              <w:t>2021</w:t>
            </w:r>
          </w:p>
        </w:tc>
        <w:tc>
          <w:tcPr>
            <w:tcW w:w="1127" w:type="dxa"/>
            <w:tcBorders>
              <w:top w:val="single" w:sz="4" w:space="0" w:color="auto"/>
              <w:left w:val="nil"/>
              <w:bottom w:val="single" w:sz="4" w:space="0" w:color="auto"/>
              <w:right w:val="single" w:sz="4" w:space="0" w:color="auto"/>
            </w:tcBorders>
            <w:shd w:val="clear" w:color="auto" w:fill="DEEAF6" w:themeFill="accent1" w:themeFillTint="33"/>
            <w:noWrap/>
            <w:vAlign w:val="center"/>
            <w:hideMark/>
          </w:tcPr>
          <w:p w14:paraId="776F7A75" w14:textId="77777777" w:rsidR="00EF1A1D" w:rsidRPr="00EF1A1D" w:rsidRDefault="00EF1A1D" w:rsidP="00127006">
            <w:pPr>
              <w:spacing w:before="60" w:after="60" w:line="260" w:lineRule="exact"/>
              <w:jc w:val="center"/>
              <w:rPr>
                <w:b/>
                <w:bCs/>
                <w:color w:val="000000"/>
                <w:sz w:val="18"/>
                <w:szCs w:val="18"/>
              </w:rPr>
            </w:pPr>
            <w:r w:rsidRPr="00EF1A1D">
              <w:rPr>
                <w:b/>
                <w:bCs/>
                <w:color w:val="000000"/>
                <w:sz w:val="18"/>
                <w:szCs w:val="18"/>
              </w:rPr>
              <w:t>2022</w:t>
            </w:r>
          </w:p>
        </w:tc>
      </w:tr>
      <w:tr w:rsidR="00EF1A1D" w:rsidRPr="00EF1A1D" w14:paraId="189083B9" w14:textId="77777777" w:rsidTr="00127006">
        <w:trPr>
          <w:trHeight w:val="264"/>
        </w:trPr>
        <w:tc>
          <w:tcPr>
            <w:tcW w:w="40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91F1B6" w14:textId="1AF95B56" w:rsidR="00EF1A1D" w:rsidRPr="00127006" w:rsidRDefault="003961CC" w:rsidP="00127006">
            <w:pPr>
              <w:spacing w:before="60" w:after="60" w:line="260" w:lineRule="exact"/>
              <w:rPr>
                <w:rFonts w:eastAsiaTheme="minorHAnsi"/>
                <w:color w:val="000000"/>
                <w:sz w:val="18"/>
                <w:szCs w:val="18"/>
              </w:rPr>
            </w:pPr>
            <w:r w:rsidRPr="00127006">
              <w:rPr>
                <w:rFonts w:eastAsiaTheme="minorHAnsi" w:hint="cs"/>
                <w:color w:val="000000"/>
                <w:sz w:val="18"/>
                <w:szCs w:val="18"/>
                <w:rtl/>
              </w:rPr>
              <w:t>ميزانية الترجمة والخدمات المرتبطة بها</w:t>
            </w:r>
          </w:p>
        </w:tc>
        <w:tc>
          <w:tcPr>
            <w:tcW w:w="1126" w:type="dxa"/>
            <w:tcBorders>
              <w:top w:val="single" w:sz="4" w:space="0" w:color="auto"/>
              <w:left w:val="nil"/>
              <w:bottom w:val="single" w:sz="4" w:space="0" w:color="auto"/>
              <w:right w:val="single" w:sz="4" w:space="0" w:color="auto"/>
            </w:tcBorders>
            <w:shd w:val="clear" w:color="auto" w:fill="auto"/>
            <w:noWrap/>
            <w:vAlign w:val="center"/>
            <w:hideMark/>
          </w:tcPr>
          <w:p w14:paraId="31F29102" w14:textId="77777777" w:rsidR="00EF1A1D" w:rsidRPr="00EF1A1D" w:rsidRDefault="00EF1A1D" w:rsidP="00127006">
            <w:pPr>
              <w:spacing w:before="60" w:after="60" w:line="260" w:lineRule="exact"/>
              <w:jc w:val="center"/>
              <w:rPr>
                <w:color w:val="000000"/>
                <w:sz w:val="18"/>
                <w:szCs w:val="18"/>
                <w:lang w:eastAsia="en-GB"/>
              </w:rPr>
            </w:pPr>
            <w:r w:rsidRPr="00EF1A1D">
              <w:rPr>
                <w:color w:val="000000"/>
                <w:sz w:val="18"/>
                <w:szCs w:val="18"/>
                <w:lang w:eastAsia="en-GB"/>
              </w:rPr>
              <w:t>13 468</w:t>
            </w:r>
          </w:p>
        </w:tc>
        <w:tc>
          <w:tcPr>
            <w:tcW w:w="1126" w:type="dxa"/>
            <w:tcBorders>
              <w:top w:val="single" w:sz="4" w:space="0" w:color="auto"/>
              <w:left w:val="nil"/>
              <w:bottom w:val="single" w:sz="4" w:space="0" w:color="auto"/>
              <w:right w:val="single" w:sz="4" w:space="0" w:color="auto"/>
            </w:tcBorders>
            <w:shd w:val="clear" w:color="auto" w:fill="auto"/>
            <w:noWrap/>
            <w:vAlign w:val="center"/>
            <w:hideMark/>
          </w:tcPr>
          <w:p w14:paraId="41B1D4EA" w14:textId="77777777" w:rsidR="00EF1A1D" w:rsidRPr="00EF1A1D" w:rsidRDefault="00EF1A1D" w:rsidP="00127006">
            <w:pPr>
              <w:spacing w:before="60" w:after="60" w:line="260" w:lineRule="exact"/>
              <w:jc w:val="center"/>
              <w:rPr>
                <w:color w:val="000000"/>
                <w:sz w:val="18"/>
                <w:szCs w:val="18"/>
                <w:lang w:eastAsia="en-GB"/>
              </w:rPr>
            </w:pPr>
            <w:r w:rsidRPr="00EF1A1D">
              <w:rPr>
                <w:color w:val="000000"/>
                <w:sz w:val="18"/>
                <w:szCs w:val="18"/>
                <w:lang w:eastAsia="en-GB"/>
              </w:rPr>
              <w:t>14 488</w:t>
            </w:r>
          </w:p>
        </w:tc>
        <w:tc>
          <w:tcPr>
            <w:tcW w:w="1126" w:type="dxa"/>
            <w:tcBorders>
              <w:top w:val="single" w:sz="4" w:space="0" w:color="auto"/>
              <w:left w:val="nil"/>
              <w:bottom w:val="single" w:sz="4" w:space="0" w:color="auto"/>
              <w:right w:val="single" w:sz="4" w:space="0" w:color="auto"/>
            </w:tcBorders>
            <w:shd w:val="clear" w:color="auto" w:fill="auto"/>
            <w:noWrap/>
            <w:vAlign w:val="center"/>
            <w:hideMark/>
          </w:tcPr>
          <w:p w14:paraId="5E41F105" w14:textId="77777777" w:rsidR="00EF1A1D" w:rsidRPr="00EF1A1D" w:rsidRDefault="00EF1A1D" w:rsidP="00127006">
            <w:pPr>
              <w:spacing w:before="60" w:after="60" w:line="260" w:lineRule="exact"/>
              <w:jc w:val="center"/>
              <w:rPr>
                <w:color w:val="000000"/>
                <w:sz w:val="18"/>
                <w:szCs w:val="18"/>
                <w:lang w:eastAsia="en-GB"/>
              </w:rPr>
            </w:pPr>
            <w:r w:rsidRPr="00EF1A1D">
              <w:rPr>
                <w:color w:val="000000"/>
                <w:sz w:val="18"/>
                <w:szCs w:val="18"/>
                <w:lang w:eastAsia="en-GB"/>
              </w:rPr>
              <w:t>13 048</w:t>
            </w:r>
          </w:p>
        </w:tc>
        <w:tc>
          <w:tcPr>
            <w:tcW w:w="1126" w:type="dxa"/>
            <w:tcBorders>
              <w:top w:val="single" w:sz="4" w:space="0" w:color="auto"/>
              <w:left w:val="nil"/>
              <w:bottom w:val="single" w:sz="4" w:space="0" w:color="auto"/>
              <w:right w:val="single" w:sz="4" w:space="0" w:color="auto"/>
            </w:tcBorders>
            <w:shd w:val="clear" w:color="auto" w:fill="auto"/>
            <w:noWrap/>
            <w:vAlign w:val="center"/>
            <w:hideMark/>
          </w:tcPr>
          <w:p w14:paraId="22C828C1" w14:textId="77777777" w:rsidR="00EF1A1D" w:rsidRPr="00EF1A1D" w:rsidRDefault="00EF1A1D" w:rsidP="00127006">
            <w:pPr>
              <w:spacing w:before="60" w:after="60" w:line="260" w:lineRule="exact"/>
              <w:jc w:val="center"/>
              <w:rPr>
                <w:color w:val="000000"/>
                <w:sz w:val="18"/>
                <w:szCs w:val="18"/>
                <w:lang w:eastAsia="en-GB"/>
              </w:rPr>
            </w:pPr>
            <w:r w:rsidRPr="00EF1A1D">
              <w:rPr>
                <w:color w:val="000000"/>
                <w:sz w:val="18"/>
                <w:szCs w:val="18"/>
                <w:lang w:eastAsia="en-GB"/>
              </w:rPr>
              <w:t>12 999</w:t>
            </w:r>
          </w:p>
        </w:tc>
        <w:tc>
          <w:tcPr>
            <w:tcW w:w="1127" w:type="dxa"/>
            <w:tcBorders>
              <w:top w:val="single" w:sz="4" w:space="0" w:color="auto"/>
              <w:left w:val="nil"/>
              <w:bottom w:val="single" w:sz="4" w:space="0" w:color="auto"/>
              <w:right w:val="single" w:sz="4" w:space="0" w:color="auto"/>
            </w:tcBorders>
            <w:shd w:val="clear" w:color="auto" w:fill="auto"/>
            <w:noWrap/>
            <w:vAlign w:val="center"/>
            <w:hideMark/>
          </w:tcPr>
          <w:p w14:paraId="73D04914" w14:textId="77777777" w:rsidR="00EF1A1D" w:rsidRPr="00EF1A1D" w:rsidRDefault="00EF1A1D" w:rsidP="00127006">
            <w:pPr>
              <w:spacing w:before="60" w:after="60" w:line="260" w:lineRule="exact"/>
              <w:jc w:val="center"/>
              <w:rPr>
                <w:color w:val="000000"/>
                <w:sz w:val="18"/>
                <w:szCs w:val="18"/>
                <w:lang w:eastAsia="en-GB"/>
              </w:rPr>
            </w:pPr>
            <w:r w:rsidRPr="00EF1A1D">
              <w:rPr>
                <w:color w:val="000000"/>
                <w:sz w:val="18"/>
                <w:szCs w:val="18"/>
                <w:lang w:eastAsia="en-GB"/>
              </w:rPr>
              <w:t>16 189</w:t>
            </w:r>
          </w:p>
        </w:tc>
      </w:tr>
      <w:tr w:rsidR="00EF1A1D" w:rsidRPr="00EF1A1D" w14:paraId="7724122C" w14:textId="77777777" w:rsidTr="00127006">
        <w:trPr>
          <w:trHeight w:val="290"/>
        </w:trPr>
        <w:tc>
          <w:tcPr>
            <w:tcW w:w="4003" w:type="dxa"/>
            <w:tcBorders>
              <w:top w:val="nil"/>
              <w:left w:val="single" w:sz="4" w:space="0" w:color="auto"/>
              <w:bottom w:val="single" w:sz="4" w:space="0" w:color="auto"/>
              <w:right w:val="single" w:sz="4" w:space="0" w:color="auto"/>
            </w:tcBorders>
            <w:shd w:val="clear" w:color="auto" w:fill="auto"/>
            <w:noWrap/>
            <w:vAlign w:val="center"/>
            <w:hideMark/>
          </w:tcPr>
          <w:p w14:paraId="7B1A02A1" w14:textId="2E6C69DD" w:rsidR="00EF1A1D" w:rsidRPr="00127006" w:rsidRDefault="00480C25" w:rsidP="00127006">
            <w:pPr>
              <w:spacing w:before="60" w:after="60" w:line="260" w:lineRule="exact"/>
              <w:rPr>
                <w:rFonts w:eastAsiaTheme="minorHAnsi"/>
                <w:color w:val="000000"/>
                <w:sz w:val="18"/>
                <w:szCs w:val="18"/>
              </w:rPr>
            </w:pPr>
            <w:r w:rsidRPr="00127006">
              <w:rPr>
                <w:rFonts w:eastAsiaTheme="minorHAnsi" w:hint="cs"/>
                <w:color w:val="000000"/>
                <w:sz w:val="18"/>
                <w:szCs w:val="18"/>
                <w:rtl/>
              </w:rPr>
              <w:t>النفقات الفعلية للترجمة والخدمات المرتبطة بها</w:t>
            </w:r>
          </w:p>
        </w:tc>
        <w:tc>
          <w:tcPr>
            <w:tcW w:w="1126" w:type="dxa"/>
            <w:tcBorders>
              <w:top w:val="nil"/>
              <w:left w:val="nil"/>
              <w:bottom w:val="single" w:sz="4" w:space="0" w:color="auto"/>
              <w:right w:val="single" w:sz="4" w:space="0" w:color="auto"/>
            </w:tcBorders>
            <w:shd w:val="clear" w:color="auto" w:fill="auto"/>
            <w:noWrap/>
            <w:vAlign w:val="center"/>
            <w:hideMark/>
          </w:tcPr>
          <w:p w14:paraId="2FE3E40F" w14:textId="77777777" w:rsidR="00EF1A1D" w:rsidRPr="00EF1A1D" w:rsidRDefault="00EF1A1D" w:rsidP="00127006">
            <w:pPr>
              <w:spacing w:before="60" w:after="60" w:line="260" w:lineRule="exact"/>
              <w:jc w:val="center"/>
              <w:rPr>
                <w:color w:val="000000"/>
                <w:sz w:val="18"/>
                <w:szCs w:val="18"/>
                <w:lang w:eastAsia="en-GB"/>
              </w:rPr>
            </w:pPr>
            <w:r w:rsidRPr="00EF1A1D">
              <w:rPr>
                <w:color w:val="000000"/>
                <w:sz w:val="18"/>
                <w:szCs w:val="18"/>
                <w:lang w:eastAsia="en-GB"/>
              </w:rPr>
              <w:t>12 098</w:t>
            </w:r>
          </w:p>
        </w:tc>
        <w:tc>
          <w:tcPr>
            <w:tcW w:w="1126" w:type="dxa"/>
            <w:tcBorders>
              <w:top w:val="nil"/>
              <w:left w:val="nil"/>
              <w:bottom w:val="single" w:sz="4" w:space="0" w:color="auto"/>
              <w:right w:val="single" w:sz="4" w:space="0" w:color="auto"/>
            </w:tcBorders>
            <w:shd w:val="clear" w:color="auto" w:fill="auto"/>
            <w:noWrap/>
            <w:vAlign w:val="center"/>
            <w:hideMark/>
          </w:tcPr>
          <w:p w14:paraId="54B0D9CE" w14:textId="77777777" w:rsidR="00EF1A1D" w:rsidRPr="00EF1A1D" w:rsidRDefault="00EF1A1D" w:rsidP="00127006">
            <w:pPr>
              <w:spacing w:before="60" w:after="60" w:line="260" w:lineRule="exact"/>
              <w:jc w:val="center"/>
              <w:rPr>
                <w:color w:val="000000"/>
                <w:sz w:val="18"/>
                <w:szCs w:val="18"/>
                <w:lang w:eastAsia="en-GB"/>
              </w:rPr>
            </w:pPr>
            <w:r w:rsidRPr="00EF1A1D">
              <w:rPr>
                <w:color w:val="000000"/>
                <w:sz w:val="18"/>
                <w:szCs w:val="18"/>
                <w:lang w:eastAsia="en-GB"/>
              </w:rPr>
              <w:t>13 223</w:t>
            </w:r>
          </w:p>
        </w:tc>
        <w:tc>
          <w:tcPr>
            <w:tcW w:w="1126" w:type="dxa"/>
            <w:tcBorders>
              <w:top w:val="nil"/>
              <w:left w:val="nil"/>
              <w:bottom w:val="single" w:sz="4" w:space="0" w:color="auto"/>
              <w:right w:val="single" w:sz="4" w:space="0" w:color="auto"/>
            </w:tcBorders>
            <w:shd w:val="clear" w:color="auto" w:fill="auto"/>
            <w:noWrap/>
            <w:vAlign w:val="center"/>
            <w:hideMark/>
          </w:tcPr>
          <w:p w14:paraId="1FA0A32F" w14:textId="77777777" w:rsidR="00EF1A1D" w:rsidRPr="00EF1A1D" w:rsidRDefault="00EF1A1D" w:rsidP="00127006">
            <w:pPr>
              <w:spacing w:before="60" w:after="60" w:line="260" w:lineRule="exact"/>
              <w:jc w:val="center"/>
              <w:rPr>
                <w:color w:val="000000"/>
                <w:sz w:val="18"/>
                <w:szCs w:val="18"/>
                <w:lang w:eastAsia="en-GB"/>
              </w:rPr>
            </w:pPr>
            <w:r w:rsidRPr="00EF1A1D">
              <w:rPr>
                <w:color w:val="000000"/>
                <w:sz w:val="18"/>
                <w:szCs w:val="18"/>
                <w:lang w:eastAsia="en-GB"/>
              </w:rPr>
              <w:t>12 252</w:t>
            </w:r>
          </w:p>
        </w:tc>
        <w:tc>
          <w:tcPr>
            <w:tcW w:w="1126" w:type="dxa"/>
            <w:tcBorders>
              <w:top w:val="nil"/>
              <w:left w:val="nil"/>
              <w:bottom w:val="single" w:sz="4" w:space="0" w:color="auto"/>
              <w:right w:val="single" w:sz="4" w:space="0" w:color="auto"/>
            </w:tcBorders>
            <w:shd w:val="clear" w:color="auto" w:fill="auto"/>
            <w:noWrap/>
            <w:vAlign w:val="center"/>
            <w:hideMark/>
          </w:tcPr>
          <w:p w14:paraId="70A0F266" w14:textId="77777777" w:rsidR="00EF1A1D" w:rsidRPr="00EF1A1D" w:rsidRDefault="00EF1A1D" w:rsidP="00127006">
            <w:pPr>
              <w:spacing w:before="60" w:after="60" w:line="260" w:lineRule="exact"/>
              <w:jc w:val="center"/>
              <w:rPr>
                <w:color w:val="000000"/>
                <w:sz w:val="18"/>
                <w:szCs w:val="18"/>
                <w:lang w:eastAsia="en-GB"/>
              </w:rPr>
            </w:pPr>
            <w:r w:rsidRPr="00EF1A1D">
              <w:rPr>
                <w:color w:val="000000"/>
                <w:sz w:val="18"/>
                <w:szCs w:val="18"/>
                <w:lang w:eastAsia="en-GB"/>
              </w:rPr>
              <w:t>12 541</w:t>
            </w:r>
          </w:p>
        </w:tc>
        <w:tc>
          <w:tcPr>
            <w:tcW w:w="1127" w:type="dxa"/>
            <w:tcBorders>
              <w:top w:val="nil"/>
              <w:left w:val="nil"/>
              <w:bottom w:val="single" w:sz="4" w:space="0" w:color="auto"/>
              <w:right w:val="single" w:sz="4" w:space="0" w:color="auto"/>
            </w:tcBorders>
            <w:shd w:val="clear" w:color="auto" w:fill="auto"/>
            <w:noWrap/>
            <w:vAlign w:val="center"/>
            <w:hideMark/>
          </w:tcPr>
          <w:p w14:paraId="69803953" w14:textId="77777777" w:rsidR="00EF1A1D" w:rsidRPr="00EF1A1D" w:rsidRDefault="00EF1A1D" w:rsidP="00127006">
            <w:pPr>
              <w:spacing w:before="60" w:after="60" w:line="260" w:lineRule="exact"/>
              <w:jc w:val="center"/>
              <w:rPr>
                <w:color w:val="000000"/>
                <w:sz w:val="18"/>
                <w:szCs w:val="18"/>
                <w:lang w:eastAsia="en-GB"/>
              </w:rPr>
            </w:pPr>
            <w:r w:rsidRPr="00EF1A1D">
              <w:rPr>
                <w:color w:val="000000"/>
                <w:sz w:val="18"/>
                <w:szCs w:val="18"/>
                <w:lang w:eastAsia="en-GB"/>
              </w:rPr>
              <w:t>14 706</w:t>
            </w:r>
          </w:p>
        </w:tc>
      </w:tr>
      <w:tr w:rsidR="00EF1A1D" w:rsidRPr="00EF1A1D" w14:paraId="0FA68CC7" w14:textId="77777777" w:rsidTr="00127006">
        <w:trPr>
          <w:trHeight w:val="140"/>
        </w:trPr>
        <w:tc>
          <w:tcPr>
            <w:tcW w:w="4003" w:type="dxa"/>
            <w:tcBorders>
              <w:top w:val="nil"/>
              <w:left w:val="nil"/>
              <w:bottom w:val="nil"/>
              <w:right w:val="nil"/>
            </w:tcBorders>
            <w:shd w:val="clear" w:color="auto" w:fill="auto"/>
            <w:noWrap/>
            <w:vAlign w:val="center"/>
            <w:hideMark/>
          </w:tcPr>
          <w:p w14:paraId="3DDA06D7" w14:textId="77777777" w:rsidR="00EF1A1D" w:rsidRPr="00127006" w:rsidRDefault="00EF1A1D" w:rsidP="00127006">
            <w:pPr>
              <w:spacing w:before="60" w:after="60" w:line="260" w:lineRule="exact"/>
              <w:rPr>
                <w:rFonts w:eastAsiaTheme="minorHAnsi"/>
                <w:color w:val="000000"/>
                <w:sz w:val="18"/>
                <w:szCs w:val="18"/>
              </w:rPr>
            </w:pPr>
          </w:p>
        </w:tc>
        <w:tc>
          <w:tcPr>
            <w:tcW w:w="1126" w:type="dxa"/>
            <w:tcBorders>
              <w:top w:val="nil"/>
              <w:left w:val="nil"/>
              <w:bottom w:val="nil"/>
              <w:right w:val="nil"/>
            </w:tcBorders>
            <w:shd w:val="clear" w:color="auto" w:fill="auto"/>
            <w:noWrap/>
            <w:vAlign w:val="center"/>
            <w:hideMark/>
          </w:tcPr>
          <w:p w14:paraId="70452C76" w14:textId="77777777" w:rsidR="00EF1A1D" w:rsidRPr="00EF1A1D" w:rsidRDefault="00EF1A1D" w:rsidP="00127006">
            <w:pPr>
              <w:spacing w:before="60" w:after="60" w:line="260" w:lineRule="exact"/>
              <w:jc w:val="center"/>
              <w:rPr>
                <w:sz w:val="18"/>
                <w:szCs w:val="18"/>
                <w:lang w:eastAsia="en-GB"/>
              </w:rPr>
            </w:pPr>
          </w:p>
        </w:tc>
        <w:tc>
          <w:tcPr>
            <w:tcW w:w="1126" w:type="dxa"/>
            <w:tcBorders>
              <w:top w:val="nil"/>
              <w:left w:val="nil"/>
              <w:bottom w:val="nil"/>
              <w:right w:val="nil"/>
            </w:tcBorders>
            <w:shd w:val="clear" w:color="auto" w:fill="auto"/>
            <w:noWrap/>
            <w:vAlign w:val="center"/>
            <w:hideMark/>
          </w:tcPr>
          <w:p w14:paraId="28C79A36" w14:textId="77777777" w:rsidR="00EF1A1D" w:rsidRPr="00EF1A1D" w:rsidRDefault="00EF1A1D" w:rsidP="00127006">
            <w:pPr>
              <w:spacing w:before="60" w:after="60" w:line="260" w:lineRule="exact"/>
              <w:jc w:val="center"/>
              <w:rPr>
                <w:sz w:val="18"/>
                <w:szCs w:val="18"/>
                <w:lang w:eastAsia="en-GB"/>
              </w:rPr>
            </w:pPr>
          </w:p>
        </w:tc>
        <w:tc>
          <w:tcPr>
            <w:tcW w:w="1126" w:type="dxa"/>
            <w:tcBorders>
              <w:top w:val="nil"/>
              <w:left w:val="nil"/>
              <w:bottom w:val="nil"/>
              <w:right w:val="nil"/>
            </w:tcBorders>
            <w:shd w:val="clear" w:color="auto" w:fill="auto"/>
            <w:noWrap/>
            <w:vAlign w:val="center"/>
            <w:hideMark/>
          </w:tcPr>
          <w:p w14:paraId="0C73E076" w14:textId="77777777" w:rsidR="00EF1A1D" w:rsidRPr="00EF1A1D" w:rsidRDefault="00EF1A1D" w:rsidP="00127006">
            <w:pPr>
              <w:spacing w:before="60" w:after="60" w:line="260" w:lineRule="exact"/>
              <w:jc w:val="center"/>
              <w:rPr>
                <w:sz w:val="18"/>
                <w:szCs w:val="18"/>
                <w:lang w:eastAsia="en-GB"/>
              </w:rPr>
            </w:pPr>
          </w:p>
        </w:tc>
        <w:tc>
          <w:tcPr>
            <w:tcW w:w="1126" w:type="dxa"/>
            <w:tcBorders>
              <w:top w:val="nil"/>
              <w:left w:val="nil"/>
              <w:bottom w:val="nil"/>
              <w:right w:val="nil"/>
            </w:tcBorders>
            <w:shd w:val="clear" w:color="auto" w:fill="auto"/>
            <w:noWrap/>
            <w:vAlign w:val="center"/>
            <w:hideMark/>
          </w:tcPr>
          <w:p w14:paraId="5476D659" w14:textId="77777777" w:rsidR="00EF1A1D" w:rsidRPr="00EF1A1D" w:rsidRDefault="00EF1A1D" w:rsidP="00127006">
            <w:pPr>
              <w:spacing w:before="60" w:after="60" w:line="260" w:lineRule="exact"/>
              <w:jc w:val="center"/>
              <w:rPr>
                <w:sz w:val="18"/>
                <w:szCs w:val="18"/>
                <w:lang w:eastAsia="en-GB"/>
              </w:rPr>
            </w:pPr>
          </w:p>
        </w:tc>
        <w:tc>
          <w:tcPr>
            <w:tcW w:w="1127" w:type="dxa"/>
            <w:tcBorders>
              <w:top w:val="nil"/>
              <w:left w:val="nil"/>
              <w:bottom w:val="nil"/>
              <w:right w:val="nil"/>
            </w:tcBorders>
            <w:shd w:val="clear" w:color="auto" w:fill="auto"/>
            <w:noWrap/>
            <w:vAlign w:val="center"/>
            <w:hideMark/>
          </w:tcPr>
          <w:p w14:paraId="6E09F91C" w14:textId="77777777" w:rsidR="00EF1A1D" w:rsidRPr="00EF1A1D" w:rsidRDefault="00EF1A1D" w:rsidP="00127006">
            <w:pPr>
              <w:spacing w:before="60" w:after="60" w:line="260" w:lineRule="exact"/>
              <w:jc w:val="center"/>
              <w:rPr>
                <w:sz w:val="18"/>
                <w:szCs w:val="18"/>
                <w:lang w:eastAsia="en-GB"/>
              </w:rPr>
            </w:pPr>
          </w:p>
        </w:tc>
      </w:tr>
      <w:tr w:rsidR="00EF1A1D" w:rsidRPr="00EF1A1D" w14:paraId="0CD20CDC" w14:textId="77777777" w:rsidTr="00127006">
        <w:trPr>
          <w:trHeight w:val="290"/>
        </w:trPr>
        <w:tc>
          <w:tcPr>
            <w:tcW w:w="40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736D76" w14:textId="3005AD35" w:rsidR="00EF1A1D" w:rsidRPr="00127006" w:rsidRDefault="00480C25" w:rsidP="00127006">
            <w:pPr>
              <w:spacing w:before="60" w:after="60" w:line="260" w:lineRule="exact"/>
              <w:rPr>
                <w:rFonts w:eastAsiaTheme="minorHAnsi"/>
                <w:color w:val="000000"/>
                <w:sz w:val="18"/>
                <w:szCs w:val="18"/>
              </w:rPr>
            </w:pPr>
            <w:r w:rsidRPr="00127006">
              <w:rPr>
                <w:rFonts w:eastAsiaTheme="minorHAnsi" w:hint="cs"/>
                <w:color w:val="000000"/>
                <w:sz w:val="18"/>
                <w:szCs w:val="18"/>
                <w:rtl/>
              </w:rPr>
              <w:t>ميزانية الترجمة الشفوية</w:t>
            </w:r>
          </w:p>
        </w:tc>
        <w:tc>
          <w:tcPr>
            <w:tcW w:w="1126" w:type="dxa"/>
            <w:tcBorders>
              <w:top w:val="single" w:sz="4" w:space="0" w:color="auto"/>
              <w:left w:val="nil"/>
              <w:bottom w:val="single" w:sz="4" w:space="0" w:color="auto"/>
              <w:right w:val="single" w:sz="4" w:space="0" w:color="auto"/>
            </w:tcBorders>
            <w:shd w:val="clear" w:color="auto" w:fill="auto"/>
            <w:noWrap/>
            <w:vAlign w:val="center"/>
            <w:hideMark/>
          </w:tcPr>
          <w:p w14:paraId="7E3B000F" w14:textId="77777777" w:rsidR="00EF1A1D" w:rsidRPr="00EF1A1D" w:rsidRDefault="00EF1A1D" w:rsidP="00127006">
            <w:pPr>
              <w:spacing w:before="60" w:after="60" w:line="260" w:lineRule="exact"/>
              <w:jc w:val="center"/>
              <w:rPr>
                <w:color w:val="000000"/>
                <w:sz w:val="18"/>
                <w:szCs w:val="18"/>
                <w:lang w:eastAsia="en-GB"/>
              </w:rPr>
            </w:pPr>
            <w:r w:rsidRPr="00EF1A1D">
              <w:rPr>
                <w:color w:val="000000"/>
                <w:sz w:val="18"/>
                <w:szCs w:val="18"/>
                <w:lang w:eastAsia="en-GB"/>
              </w:rPr>
              <w:t>2 435</w:t>
            </w:r>
          </w:p>
        </w:tc>
        <w:tc>
          <w:tcPr>
            <w:tcW w:w="1126" w:type="dxa"/>
            <w:tcBorders>
              <w:top w:val="single" w:sz="4" w:space="0" w:color="auto"/>
              <w:left w:val="nil"/>
              <w:bottom w:val="single" w:sz="4" w:space="0" w:color="auto"/>
              <w:right w:val="single" w:sz="4" w:space="0" w:color="auto"/>
            </w:tcBorders>
            <w:shd w:val="clear" w:color="auto" w:fill="auto"/>
            <w:noWrap/>
            <w:vAlign w:val="center"/>
            <w:hideMark/>
          </w:tcPr>
          <w:p w14:paraId="387E487E" w14:textId="77777777" w:rsidR="00EF1A1D" w:rsidRPr="00EF1A1D" w:rsidRDefault="00EF1A1D" w:rsidP="00127006">
            <w:pPr>
              <w:spacing w:before="60" w:after="60" w:line="260" w:lineRule="exact"/>
              <w:jc w:val="center"/>
              <w:rPr>
                <w:color w:val="000000"/>
                <w:sz w:val="18"/>
                <w:szCs w:val="18"/>
                <w:lang w:eastAsia="en-GB"/>
              </w:rPr>
            </w:pPr>
            <w:r w:rsidRPr="00EF1A1D">
              <w:rPr>
                <w:color w:val="000000"/>
                <w:sz w:val="18"/>
                <w:szCs w:val="18"/>
                <w:lang w:eastAsia="en-GB"/>
              </w:rPr>
              <w:t>3 457</w:t>
            </w:r>
          </w:p>
        </w:tc>
        <w:tc>
          <w:tcPr>
            <w:tcW w:w="1126" w:type="dxa"/>
            <w:tcBorders>
              <w:top w:val="single" w:sz="4" w:space="0" w:color="auto"/>
              <w:left w:val="nil"/>
              <w:bottom w:val="single" w:sz="4" w:space="0" w:color="auto"/>
              <w:right w:val="single" w:sz="4" w:space="0" w:color="auto"/>
            </w:tcBorders>
            <w:shd w:val="clear" w:color="auto" w:fill="auto"/>
            <w:noWrap/>
            <w:vAlign w:val="center"/>
            <w:hideMark/>
          </w:tcPr>
          <w:p w14:paraId="5FAFEC27" w14:textId="77777777" w:rsidR="00EF1A1D" w:rsidRPr="00EF1A1D" w:rsidRDefault="00EF1A1D" w:rsidP="00127006">
            <w:pPr>
              <w:spacing w:before="60" w:after="60" w:line="260" w:lineRule="exact"/>
              <w:jc w:val="center"/>
              <w:rPr>
                <w:color w:val="000000"/>
                <w:sz w:val="18"/>
                <w:szCs w:val="18"/>
                <w:lang w:eastAsia="en-GB"/>
              </w:rPr>
            </w:pPr>
            <w:r w:rsidRPr="00EF1A1D">
              <w:rPr>
                <w:color w:val="000000"/>
                <w:sz w:val="18"/>
                <w:szCs w:val="18"/>
                <w:lang w:eastAsia="en-GB"/>
              </w:rPr>
              <w:t>1 408</w:t>
            </w:r>
          </w:p>
        </w:tc>
        <w:tc>
          <w:tcPr>
            <w:tcW w:w="1126" w:type="dxa"/>
            <w:tcBorders>
              <w:top w:val="single" w:sz="4" w:space="0" w:color="auto"/>
              <w:left w:val="nil"/>
              <w:bottom w:val="single" w:sz="4" w:space="0" w:color="auto"/>
              <w:right w:val="single" w:sz="4" w:space="0" w:color="auto"/>
            </w:tcBorders>
            <w:shd w:val="clear" w:color="auto" w:fill="auto"/>
            <w:noWrap/>
            <w:vAlign w:val="center"/>
            <w:hideMark/>
          </w:tcPr>
          <w:p w14:paraId="7B0380F6" w14:textId="77777777" w:rsidR="00EF1A1D" w:rsidRPr="00EF1A1D" w:rsidRDefault="00EF1A1D" w:rsidP="00127006">
            <w:pPr>
              <w:spacing w:before="60" w:after="60" w:line="260" w:lineRule="exact"/>
              <w:jc w:val="center"/>
              <w:rPr>
                <w:color w:val="000000"/>
                <w:sz w:val="18"/>
                <w:szCs w:val="18"/>
                <w:lang w:eastAsia="en-GB"/>
              </w:rPr>
            </w:pPr>
            <w:r w:rsidRPr="00EF1A1D">
              <w:rPr>
                <w:color w:val="000000"/>
                <w:sz w:val="18"/>
                <w:szCs w:val="18"/>
                <w:lang w:eastAsia="en-GB"/>
              </w:rPr>
              <w:t>1 392</w:t>
            </w:r>
          </w:p>
        </w:tc>
        <w:tc>
          <w:tcPr>
            <w:tcW w:w="1127" w:type="dxa"/>
            <w:tcBorders>
              <w:top w:val="single" w:sz="4" w:space="0" w:color="auto"/>
              <w:left w:val="nil"/>
              <w:bottom w:val="single" w:sz="4" w:space="0" w:color="auto"/>
              <w:right w:val="single" w:sz="4" w:space="0" w:color="auto"/>
            </w:tcBorders>
            <w:shd w:val="clear" w:color="auto" w:fill="auto"/>
            <w:noWrap/>
            <w:vAlign w:val="center"/>
            <w:hideMark/>
          </w:tcPr>
          <w:p w14:paraId="507753AE" w14:textId="77777777" w:rsidR="00EF1A1D" w:rsidRPr="00EF1A1D" w:rsidRDefault="00EF1A1D" w:rsidP="00127006">
            <w:pPr>
              <w:spacing w:before="60" w:after="60" w:line="260" w:lineRule="exact"/>
              <w:jc w:val="center"/>
              <w:rPr>
                <w:color w:val="000000"/>
                <w:sz w:val="18"/>
                <w:szCs w:val="18"/>
                <w:lang w:eastAsia="en-GB"/>
              </w:rPr>
            </w:pPr>
            <w:r w:rsidRPr="00EF1A1D">
              <w:rPr>
                <w:color w:val="000000"/>
                <w:sz w:val="18"/>
                <w:szCs w:val="18"/>
                <w:lang w:eastAsia="en-GB"/>
              </w:rPr>
              <w:t>2 910</w:t>
            </w:r>
          </w:p>
        </w:tc>
      </w:tr>
      <w:tr w:rsidR="00EF1A1D" w:rsidRPr="00EF1A1D" w14:paraId="379BD439" w14:textId="77777777" w:rsidTr="00127006">
        <w:trPr>
          <w:trHeight w:val="290"/>
        </w:trPr>
        <w:tc>
          <w:tcPr>
            <w:tcW w:w="4003" w:type="dxa"/>
            <w:tcBorders>
              <w:top w:val="nil"/>
              <w:left w:val="single" w:sz="4" w:space="0" w:color="auto"/>
              <w:bottom w:val="single" w:sz="4" w:space="0" w:color="auto"/>
              <w:right w:val="single" w:sz="4" w:space="0" w:color="auto"/>
            </w:tcBorders>
            <w:shd w:val="clear" w:color="auto" w:fill="auto"/>
            <w:noWrap/>
            <w:vAlign w:val="center"/>
            <w:hideMark/>
          </w:tcPr>
          <w:p w14:paraId="714414CF" w14:textId="513138F0" w:rsidR="00EF1A1D" w:rsidRPr="00127006" w:rsidRDefault="00480C25" w:rsidP="00127006">
            <w:pPr>
              <w:spacing w:before="60" w:after="60" w:line="260" w:lineRule="exact"/>
              <w:rPr>
                <w:rFonts w:eastAsiaTheme="minorHAnsi"/>
                <w:color w:val="000000"/>
                <w:sz w:val="18"/>
                <w:szCs w:val="18"/>
              </w:rPr>
            </w:pPr>
            <w:r w:rsidRPr="00127006">
              <w:rPr>
                <w:rFonts w:eastAsiaTheme="minorHAnsi" w:hint="cs"/>
                <w:color w:val="000000"/>
                <w:sz w:val="18"/>
                <w:szCs w:val="18"/>
                <w:rtl/>
              </w:rPr>
              <w:t>النفقات الفعلية للترجمة الشفوية</w:t>
            </w:r>
          </w:p>
        </w:tc>
        <w:tc>
          <w:tcPr>
            <w:tcW w:w="1126" w:type="dxa"/>
            <w:tcBorders>
              <w:top w:val="nil"/>
              <w:left w:val="nil"/>
              <w:bottom w:val="single" w:sz="4" w:space="0" w:color="auto"/>
              <w:right w:val="single" w:sz="4" w:space="0" w:color="auto"/>
            </w:tcBorders>
            <w:shd w:val="clear" w:color="auto" w:fill="auto"/>
            <w:noWrap/>
            <w:vAlign w:val="center"/>
            <w:hideMark/>
          </w:tcPr>
          <w:p w14:paraId="5BDF2E93" w14:textId="77777777" w:rsidR="00EF1A1D" w:rsidRPr="00EF1A1D" w:rsidRDefault="00EF1A1D" w:rsidP="00127006">
            <w:pPr>
              <w:spacing w:before="60" w:after="60" w:line="260" w:lineRule="exact"/>
              <w:jc w:val="center"/>
              <w:rPr>
                <w:color w:val="000000"/>
                <w:sz w:val="18"/>
                <w:szCs w:val="18"/>
                <w:lang w:eastAsia="en-GB"/>
              </w:rPr>
            </w:pPr>
            <w:r w:rsidRPr="00EF1A1D">
              <w:rPr>
                <w:color w:val="000000"/>
                <w:sz w:val="18"/>
                <w:szCs w:val="18"/>
                <w:lang w:eastAsia="en-GB"/>
              </w:rPr>
              <w:t>1 852</w:t>
            </w:r>
          </w:p>
        </w:tc>
        <w:tc>
          <w:tcPr>
            <w:tcW w:w="1126" w:type="dxa"/>
            <w:tcBorders>
              <w:top w:val="nil"/>
              <w:left w:val="nil"/>
              <w:bottom w:val="single" w:sz="4" w:space="0" w:color="auto"/>
              <w:right w:val="single" w:sz="4" w:space="0" w:color="auto"/>
            </w:tcBorders>
            <w:shd w:val="clear" w:color="auto" w:fill="auto"/>
            <w:noWrap/>
            <w:vAlign w:val="center"/>
            <w:hideMark/>
          </w:tcPr>
          <w:p w14:paraId="1C0AB477" w14:textId="77777777" w:rsidR="00EF1A1D" w:rsidRPr="00EF1A1D" w:rsidRDefault="00EF1A1D" w:rsidP="00127006">
            <w:pPr>
              <w:spacing w:before="60" w:after="60" w:line="260" w:lineRule="exact"/>
              <w:jc w:val="center"/>
              <w:rPr>
                <w:color w:val="000000"/>
                <w:sz w:val="18"/>
                <w:szCs w:val="18"/>
                <w:lang w:eastAsia="en-GB"/>
              </w:rPr>
            </w:pPr>
            <w:r w:rsidRPr="00EF1A1D">
              <w:rPr>
                <w:color w:val="000000"/>
                <w:sz w:val="18"/>
                <w:szCs w:val="18"/>
                <w:lang w:eastAsia="en-GB"/>
              </w:rPr>
              <w:t>2 698</w:t>
            </w:r>
          </w:p>
        </w:tc>
        <w:tc>
          <w:tcPr>
            <w:tcW w:w="1126" w:type="dxa"/>
            <w:tcBorders>
              <w:top w:val="nil"/>
              <w:left w:val="nil"/>
              <w:bottom w:val="single" w:sz="4" w:space="0" w:color="auto"/>
              <w:right w:val="single" w:sz="4" w:space="0" w:color="auto"/>
            </w:tcBorders>
            <w:shd w:val="clear" w:color="auto" w:fill="auto"/>
            <w:noWrap/>
            <w:vAlign w:val="center"/>
            <w:hideMark/>
          </w:tcPr>
          <w:p w14:paraId="61BA04C2" w14:textId="77777777" w:rsidR="00EF1A1D" w:rsidRPr="00EF1A1D" w:rsidRDefault="00EF1A1D" w:rsidP="00127006">
            <w:pPr>
              <w:spacing w:before="60" w:after="60" w:line="260" w:lineRule="exact"/>
              <w:jc w:val="center"/>
              <w:rPr>
                <w:color w:val="000000"/>
                <w:sz w:val="18"/>
                <w:szCs w:val="18"/>
                <w:lang w:eastAsia="en-GB"/>
              </w:rPr>
            </w:pPr>
            <w:r w:rsidRPr="00EF1A1D">
              <w:rPr>
                <w:color w:val="000000"/>
                <w:sz w:val="18"/>
                <w:szCs w:val="18"/>
                <w:lang w:eastAsia="en-GB"/>
              </w:rPr>
              <w:t>1 338</w:t>
            </w:r>
          </w:p>
        </w:tc>
        <w:tc>
          <w:tcPr>
            <w:tcW w:w="1126" w:type="dxa"/>
            <w:tcBorders>
              <w:top w:val="nil"/>
              <w:left w:val="nil"/>
              <w:bottom w:val="single" w:sz="4" w:space="0" w:color="auto"/>
              <w:right w:val="single" w:sz="4" w:space="0" w:color="auto"/>
            </w:tcBorders>
            <w:shd w:val="clear" w:color="auto" w:fill="auto"/>
            <w:noWrap/>
            <w:vAlign w:val="center"/>
            <w:hideMark/>
          </w:tcPr>
          <w:p w14:paraId="385563EA" w14:textId="77777777" w:rsidR="00EF1A1D" w:rsidRPr="00EF1A1D" w:rsidRDefault="00EF1A1D" w:rsidP="00127006">
            <w:pPr>
              <w:spacing w:before="60" w:after="60" w:line="260" w:lineRule="exact"/>
              <w:jc w:val="center"/>
              <w:rPr>
                <w:color w:val="000000"/>
                <w:sz w:val="18"/>
                <w:szCs w:val="18"/>
                <w:lang w:eastAsia="en-GB"/>
              </w:rPr>
            </w:pPr>
            <w:r w:rsidRPr="00EF1A1D">
              <w:rPr>
                <w:color w:val="000000"/>
                <w:sz w:val="18"/>
                <w:szCs w:val="18"/>
                <w:lang w:eastAsia="en-GB"/>
              </w:rPr>
              <w:t>1 522</w:t>
            </w:r>
          </w:p>
        </w:tc>
        <w:tc>
          <w:tcPr>
            <w:tcW w:w="1127" w:type="dxa"/>
            <w:tcBorders>
              <w:top w:val="nil"/>
              <w:left w:val="nil"/>
              <w:bottom w:val="single" w:sz="4" w:space="0" w:color="auto"/>
              <w:right w:val="single" w:sz="4" w:space="0" w:color="auto"/>
            </w:tcBorders>
            <w:shd w:val="clear" w:color="auto" w:fill="auto"/>
            <w:noWrap/>
            <w:vAlign w:val="center"/>
            <w:hideMark/>
          </w:tcPr>
          <w:p w14:paraId="3EE6CEE4" w14:textId="77777777" w:rsidR="00EF1A1D" w:rsidRPr="00EF1A1D" w:rsidRDefault="00EF1A1D" w:rsidP="00127006">
            <w:pPr>
              <w:spacing w:before="60" w:after="60" w:line="260" w:lineRule="exact"/>
              <w:jc w:val="center"/>
              <w:rPr>
                <w:color w:val="000000"/>
                <w:sz w:val="18"/>
                <w:szCs w:val="18"/>
                <w:lang w:eastAsia="en-GB"/>
              </w:rPr>
            </w:pPr>
            <w:r w:rsidRPr="00EF1A1D">
              <w:rPr>
                <w:color w:val="000000"/>
                <w:sz w:val="18"/>
                <w:szCs w:val="18"/>
                <w:lang w:eastAsia="en-GB"/>
              </w:rPr>
              <w:t>1 957</w:t>
            </w:r>
          </w:p>
        </w:tc>
      </w:tr>
      <w:tr w:rsidR="00EF1A1D" w:rsidRPr="00EF1A1D" w14:paraId="7225EBC2" w14:textId="77777777" w:rsidTr="00127006">
        <w:trPr>
          <w:trHeight w:val="130"/>
        </w:trPr>
        <w:tc>
          <w:tcPr>
            <w:tcW w:w="4003" w:type="dxa"/>
            <w:tcBorders>
              <w:top w:val="nil"/>
              <w:left w:val="nil"/>
              <w:bottom w:val="nil"/>
              <w:right w:val="nil"/>
            </w:tcBorders>
            <w:shd w:val="clear" w:color="auto" w:fill="auto"/>
            <w:noWrap/>
            <w:vAlign w:val="center"/>
            <w:hideMark/>
          </w:tcPr>
          <w:p w14:paraId="70296EEA" w14:textId="77777777" w:rsidR="00EF1A1D" w:rsidRPr="00EF1A1D" w:rsidRDefault="00EF1A1D" w:rsidP="00127006">
            <w:pPr>
              <w:spacing w:before="60" w:after="60" w:line="260" w:lineRule="exact"/>
              <w:rPr>
                <w:rFonts w:eastAsiaTheme="minorHAnsi"/>
                <w:color w:val="000000"/>
                <w:sz w:val="18"/>
                <w:szCs w:val="18"/>
              </w:rPr>
            </w:pPr>
          </w:p>
        </w:tc>
        <w:tc>
          <w:tcPr>
            <w:tcW w:w="1126" w:type="dxa"/>
            <w:tcBorders>
              <w:top w:val="nil"/>
              <w:left w:val="nil"/>
              <w:bottom w:val="nil"/>
              <w:right w:val="nil"/>
            </w:tcBorders>
            <w:shd w:val="clear" w:color="auto" w:fill="auto"/>
            <w:noWrap/>
            <w:vAlign w:val="center"/>
            <w:hideMark/>
          </w:tcPr>
          <w:p w14:paraId="0090E98B" w14:textId="77777777" w:rsidR="00EF1A1D" w:rsidRPr="00EF1A1D" w:rsidRDefault="00EF1A1D" w:rsidP="00127006">
            <w:pPr>
              <w:spacing w:before="60" w:after="60" w:line="260" w:lineRule="exact"/>
              <w:jc w:val="center"/>
              <w:rPr>
                <w:sz w:val="18"/>
                <w:szCs w:val="18"/>
                <w:lang w:eastAsia="en-GB"/>
              </w:rPr>
            </w:pPr>
          </w:p>
        </w:tc>
        <w:tc>
          <w:tcPr>
            <w:tcW w:w="1126" w:type="dxa"/>
            <w:tcBorders>
              <w:top w:val="nil"/>
              <w:left w:val="nil"/>
              <w:bottom w:val="nil"/>
              <w:right w:val="nil"/>
            </w:tcBorders>
            <w:shd w:val="clear" w:color="auto" w:fill="auto"/>
            <w:noWrap/>
            <w:vAlign w:val="center"/>
            <w:hideMark/>
          </w:tcPr>
          <w:p w14:paraId="525C2794" w14:textId="77777777" w:rsidR="00EF1A1D" w:rsidRPr="00EF1A1D" w:rsidRDefault="00EF1A1D" w:rsidP="00127006">
            <w:pPr>
              <w:spacing w:before="60" w:after="60" w:line="260" w:lineRule="exact"/>
              <w:jc w:val="center"/>
              <w:rPr>
                <w:sz w:val="18"/>
                <w:szCs w:val="18"/>
                <w:lang w:eastAsia="en-GB"/>
              </w:rPr>
            </w:pPr>
          </w:p>
        </w:tc>
        <w:tc>
          <w:tcPr>
            <w:tcW w:w="1126" w:type="dxa"/>
            <w:tcBorders>
              <w:top w:val="nil"/>
              <w:left w:val="nil"/>
              <w:bottom w:val="nil"/>
              <w:right w:val="nil"/>
            </w:tcBorders>
            <w:shd w:val="clear" w:color="auto" w:fill="auto"/>
            <w:noWrap/>
            <w:vAlign w:val="center"/>
            <w:hideMark/>
          </w:tcPr>
          <w:p w14:paraId="34672771" w14:textId="77777777" w:rsidR="00EF1A1D" w:rsidRPr="00EF1A1D" w:rsidRDefault="00EF1A1D" w:rsidP="00127006">
            <w:pPr>
              <w:spacing w:before="60" w:after="60" w:line="260" w:lineRule="exact"/>
              <w:jc w:val="center"/>
              <w:rPr>
                <w:sz w:val="18"/>
                <w:szCs w:val="18"/>
                <w:lang w:eastAsia="en-GB"/>
              </w:rPr>
            </w:pPr>
          </w:p>
        </w:tc>
        <w:tc>
          <w:tcPr>
            <w:tcW w:w="1126" w:type="dxa"/>
            <w:tcBorders>
              <w:top w:val="nil"/>
              <w:left w:val="nil"/>
              <w:bottom w:val="nil"/>
              <w:right w:val="nil"/>
            </w:tcBorders>
            <w:shd w:val="clear" w:color="auto" w:fill="auto"/>
            <w:noWrap/>
            <w:vAlign w:val="center"/>
            <w:hideMark/>
          </w:tcPr>
          <w:p w14:paraId="7460F4B6" w14:textId="77777777" w:rsidR="00EF1A1D" w:rsidRPr="00EF1A1D" w:rsidRDefault="00EF1A1D" w:rsidP="00127006">
            <w:pPr>
              <w:spacing w:before="60" w:after="60" w:line="260" w:lineRule="exact"/>
              <w:jc w:val="center"/>
              <w:rPr>
                <w:sz w:val="18"/>
                <w:szCs w:val="18"/>
                <w:lang w:eastAsia="en-GB"/>
              </w:rPr>
            </w:pPr>
          </w:p>
        </w:tc>
        <w:tc>
          <w:tcPr>
            <w:tcW w:w="1127" w:type="dxa"/>
            <w:tcBorders>
              <w:top w:val="nil"/>
              <w:left w:val="nil"/>
              <w:bottom w:val="nil"/>
              <w:right w:val="nil"/>
            </w:tcBorders>
            <w:shd w:val="clear" w:color="auto" w:fill="auto"/>
            <w:noWrap/>
            <w:vAlign w:val="center"/>
            <w:hideMark/>
          </w:tcPr>
          <w:p w14:paraId="4698E214" w14:textId="77777777" w:rsidR="00EF1A1D" w:rsidRPr="00EF1A1D" w:rsidRDefault="00EF1A1D" w:rsidP="00127006">
            <w:pPr>
              <w:spacing w:before="60" w:after="60" w:line="260" w:lineRule="exact"/>
              <w:jc w:val="center"/>
              <w:rPr>
                <w:sz w:val="18"/>
                <w:szCs w:val="18"/>
                <w:lang w:eastAsia="en-GB"/>
              </w:rPr>
            </w:pPr>
          </w:p>
        </w:tc>
      </w:tr>
      <w:tr w:rsidR="00EF1A1D" w:rsidRPr="00EF1A1D" w14:paraId="11924129" w14:textId="77777777" w:rsidTr="00127006">
        <w:trPr>
          <w:trHeight w:val="290"/>
        </w:trPr>
        <w:tc>
          <w:tcPr>
            <w:tcW w:w="40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D27128" w14:textId="2C452FE0" w:rsidR="00EF1A1D" w:rsidRPr="00EF1A1D" w:rsidRDefault="00FB2D87" w:rsidP="00127006">
            <w:pPr>
              <w:spacing w:before="60" w:after="60" w:line="260" w:lineRule="exact"/>
              <w:rPr>
                <w:rFonts w:eastAsiaTheme="minorHAnsi"/>
                <w:color w:val="000000"/>
                <w:sz w:val="18"/>
                <w:szCs w:val="18"/>
              </w:rPr>
            </w:pPr>
            <w:r>
              <w:rPr>
                <w:rFonts w:eastAsiaTheme="minorHAnsi" w:hint="cs"/>
                <w:color w:val="000000"/>
                <w:sz w:val="18"/>
                <w:szCs w:val="18"/>
                <w:rtl/>
              </w:rPr>
              <w:t>إجمالي ميزانية الخدمات اللغوية</w:t>
            </w:r>
          </w:p>
        </w:tc>
        <w:tc>
          <w:tcPr>
            <w:tcW w:w="1126" w:type="dxa"/>
            <w:tcBorders>
              <w:top w:val="single" w:sz="4" w:space="0" w:color="auto"/>
              <w:left w:val="nil"/>
              <w:bottom w:val="single" w:sz="4" w:space="0" w:color="auto"/>
              <w:right w:val="single" w:sz="4" w:space="0" w:color="auto"/>
            </w:tcBorders>
            <w:shd w:val="clear" w:color="auto" w:fill="auto"/>
            <w:noWrap/>
            <w:vAlign w:val="center"/>
            <w:hideMark/>
          </w:tcPr>
          <w:p w14:paraId="2B4BD2CA" w14:textId="77777777" w:rsidR="00EF1A1D" w:rsidRPr="00EF1A1D" w:rsidRDefault="00EF1A1D" w:rsidP="00127006">
            <w:pPr>
              <w:spacing w:before="60" w:after="60" w:line="260" w:lineRule="exact"/>
              <w:jc w:val="center"/>
              <w:rPr>
                <w:color w:val="000000"/>
                <w:sz w:val="18"/>
                <w:szCs w:val="18"/>
                <w:lang w:eastAsia="en-GB"/>
              </w:rPr>
            </w:pPr>
            <w:r w:rsidRPr="00EF1A1D">
              <w:rPr>
                <w:color w:val="000000"/>
                <w:sz w:val="18"/>
                <w:szCs w:val="18"/>
                <w:lang w:eastAsia="en-GB"/>
              </w:rPr>
              <w:t>15 903</w:t>
            </w:r>
          </w:p>
        </w:tc>
        <w:tc>
          <w:tcPr>
            <w:tcW w:w="1126" w:type="dxa"/>
            <w:tcBorders>
              <w:top w:val="single" w:sz="4" w:space="0" w:color="auto"/>
              <w:left w:val="nil"/>
              <w:bottom w:val="single" w:sz="4" w:space="0" w:color="auto"/>
              <w:right w:val="single" w:sz="4" w:space="0" w:color="auto"/>
            </w:tcBorders>
            <w:shd w:val="clear" w:color="auto" w:fill="auto"/>
            <w:noWrap/>
            <w:vAlign w:val="center"/>
            <w:hideMark/>
          </w:tcPr>
          <w:p w14:paraId="16E25F42" w14:textId="77777777" w:rsidR="00EF1A1D" w:rsidRPr="00EF1A1D" w:rsidRDefault="00EF1A1D" w:rsidP="00127006">
            <w:pPr>
              <w:spacing w:before="60" w:after="60" w:line="260" w:lineRule="exact"/>
              <w:jc w:val="center"/>
              <w:rPr>
                <w:color w:val="000000"/>
                <w:sz w:val="18"/>
                <w:szCs w:val="18"/>
                <w:lang w:eastAsia="en-GB"/>
              </w:rPr>
            </w:pPr>
            <w:r w:rsidRPr="00EF1A1D">
              <w:rPr>
                <w:color w:val="000000"/>
                <w:sz w:val="18"/>
                <w:szCs w:val="18"/>
                <w:lang w:eastAsia="en-GB"/>
              </w:rPr>
              <w:t>17 944</w:t>
            </w:r>
          </w:p>
        </w:tc>
        <w:tc>
          <w:tcPr>
            <w:tcW w:w="1126" w:type="dxa"/>
            <w:tcBorders>
              <w:top w:val="single" w:sz="4" w:space="0" w:color="auto"/>
              <w:left w:val="nil"/>
              <w:bottom w:val="single" w:sz="4" w:space="0" w:color="auto"/>
              <w:right w:val="single" w:sz="4" w:space="0" w:color="auto"/>
            </w:tcBorders>
            <w:shd w:val="clear" w:color="auto" w:fill="auto"/>
            <w:noWrap/>
            <w:vAlign w:val="center"/>
            <w:hideMark/>
          </w:tcPr>
          <w:p w14:paraId="056D3295" w14:textId="77777777" w:rsidR="00EF1A1D" w:rsidRPr="00EF1A1D" w:rsidRDefault="00EF1A1D" w:rsidP="00127006">
            <w:pPr>
              <w:spacing w:before="60" w:after="60" w:line="260" w:lineRule="exact"/>
              <w:jc w:val="center"/>
              <w:rPr>
                <w:color w:val="000000"/>
                <w:sz w:val="18"/>
                <w:szCs w:val="18"/>
                <w:lang w:eastAsia="en-GB"/>
              </w:rPr>
            </w:pPr>
            <w:r w:rsidRPr="00EF1A1D">
              <w:rPr>
                <w:color w:val="000000"/>
                <w:sz w:val="18"/>
                <w:szCs w:val="18"/>
                <w:lang w:eastAsia="en-GB"/>
              </w:rPr>
              <w:t>14 455</w:t>
            </w:r>
          </w:p>
        </w:tc>
        <w:tc>
          <w:tcPr>
            <w:tcW w:w="1126" w:type="dxa"/>
            <w:tcBorders>
              <w:top w:val="single" w:sz="4" w:space="0" w:color="auto"/>
              <w:left w:val="nil"/>
              <w:bottom w:val="single" w:sz="4" w:space="0" w:color="auto"/>
              <w:right w:val="single" w:sz="4" w:space="0" w:color="auto"/>
            </w:tcBorders>
            <w:shd w:val="clear" w:color="auto" w:fill="auto"/>
            <w:noWrap/>
            <w:vAlign w:val="center"/>
            <w:hideMark/>
          </w:tcPr>
          <w:p w14:paraId="493A3C2B" w14:textId="77777777" w:rsidR="00EF1A1D" w:rsidRPr="00EF1A1D" w:rsidRDefault="00EF1A1D" w:rsidP="00127006">
            <w:pPr>
              <w:spacing w:before="60" w:after="60" w:line="260" w:lineRule="exact"/>
              <w:jc w:val="center"/>
              <w:rPr>
                <w:color w:val="000000"/>
                <w:sz w:val="18"/>
                <w:szCs w:val="18"/>
                <w:lang w:eastAsia="en-GB"/>
              </w:rPr>
            </w:pPr>
            <w:r w:rsidRPr="00EF1A1D">
              <w:rPr>
                <w:color w:val="000000"/>
                <w:sz w:val="18"/>
                <w:szCs w:val="18"/>
                <w:lang w:eastAsia="en-GB"/>
              </w:rPr>
              <w:t>14 390</w:t>
            </w:r>
          </w:p>
        </w:tc>
        <w:tc>
          <w:tcPr>
            <w:tcW w:w="1127" w:type="dxa"/>
            <w:tcBorders>
              <w:top w:val="single" w:sz="4" w:space="0" w:color="auto"/>
              <w:left w:val="nil"/>
              <w:bottom w:val="single" w:sz="4" w:space="0" w:color="auto"/>
              <w:right w:val="single" w:sz="4" w:space="0" w:color="auto"/>
            </w:tcBorders>
            <w:shd w:val="clear" w:color="auto" w:fill="auto"/>
            <w:noWrap/>
            <w:vAlign w:val="center"/>
            <w:hideMark/>
          </w:tcPr>
          <w:p w14:paraId="5A2326BF" w14:textId="77777777" w:rsidR="00EF1A1D" w:rsidRPr="00EF1A1D" w:rsidRDefault="00EF1A1D" w:rsidP="00127006">
            <w:pPr>
              <w:spacing w:before="60" w:after="60" w:line="260" w:lineRule="exact"/>
              <w:jc w:val="center"/>
              <w:rPr>
                <w:color w:val="000000"/>
                <w:sz w:val="18"/>
                <w:szCs w:val="18"/>
                <w:lang w:eastAsia="en-GB"/>
              </w:rPr>
            </w:pPr>
            <w:r w:rsidRPr="00EF1A1D">
              <w:rPr>
                <w:color w:val="000000"/>
                <w:sz w:val="18"/>
                <w:szCs w:val="18"/>
                <w:lang w:eastAsia="en-GB"/>
              </w:rPr>
              <w:t>19 099</w:t>
            </w:r>
          </w:p>
        </w:tc>
      </w:tr>
      <w:tr w:rsidR="00EF1A1D" w:rsidRPr="00EF1A1D" w14:paraId="546630D3" w14:textId="77777777" w:rsidTr="00127006">
        <w:trPr>
          <w:trHeight w:val="290"/>
        </w:trPr>
        <w:tc>
          <w:tcPr>
            <w:tcW w:w="4003" w:type="dxa"/>
            <w:tcBorders>
              <w:top w:val="nil"/>
              <w:left w:val="single" w:sz="4" w:space="0" w:color="auto"/>
              <w:bottom w:val="single" w:sz="4" w:space="0" w:color="auto"/>
              <w:right w:val="single" w:sz="4" w:space="0" w:color="auto"/>
            </w:tcBorders>
            <w:shd w:val="clear" w:color="auto" w:fill="auto"/>
            <w:noWrap/>
            <w:vAlign w:val="center"/>
            <w:hideMark/>
          </w:tcPr>
          <w:p w14:paraId="32DA7838" w14:textId="40DBE8B0" w:rsidR="00EF1A1D" w:rsidRPr="00EF1A1D" w:rsidRDefault="00DC6CE9" w:rsidP="00127006">
            <w:pPr>
              <w:spacing w:before="60" w:after="60" w:line="260" w:lineRule="exact"/>
              <w:rPr>
                <w:rFonts w:eastAsiaTheme="minorHAnsi"/>
                <w:color w:val="000000"/>
                <w:sz w:val="18"/>
                <w:szCs w:val="18"/>
              </w:rPr>
            </w:pPr>
            <w:r>
              <w:rPr>
                <w:rFonts w:eastAsiaTheme="minorHAnsi" w:hint="cs"/>
                <w:color w:val="000000"/>
                <w:sz w:val="18"/>
                <w:szCs w:val="18"/>
                <w:rtl/>
              </w:rPr>
              <w:t>إجمالي النفقات الفعلية للخدمات اللغوية</w:t>
            </w:r>
          </w:p>
        </w:tc>
        <w:tc>
          <w:tcPr>
            <w:tcW w:w="1126" w:type="dxa"/>
            <w:tcBorders>
              <w:top w:val="nil"/>
              <w:left w:val="nil"/>
              <w:bottom w:val="single" w:sz="4" w:space="0" w:color="auto"/>
              <w:right w:val="single" w:sz="4" w:space="0" w:color="auto"/>
            </w:tcBorders>
            <w:shd w:val="clear" w:color="auto" w:fill="auto"/>
            <w:noWrap/>
            <w:vAlign w:val="center"/>
            <w:hideMark/>
          </w:tcPr>
          <w:p w14:paraId="0242CA46" w14:textId="77777777" w:rsidR="00EF1A1D" w:rsidRPr="00EF1A1D" w:rsidRDefault="00EF1A1D" w:rsidP="00127006">
            <w:pPr>
              <w:spacing w:before="60" w:after="60" w:line="260" w:lineRule="exact"/>
              <w:jc w:val="center"/>
              <w:rPr>
                <w:color w:val="000000"/>
                <w:sz w:val="18"/>
                <w:szCs w:val="18"/>
                <w:lang w:eastAsia="en-GB"/>
              </w:rPr>
            </w:pPr>
            <w:r w:rsidRPr="00EF1A1D">
              <w:rPr>
                <w:color w:val="000000"/>
                <w:sz w:val="18"/>
                <w:szCs w:val="18"/>
                <w:lang w:eastAsia="en-GB"/>
              </w:rPr>
              <w:t>13 950</w:t>
            </w:r>
          </w:p>
        </w:tc>
        <w:tc>
          <w:tcPr>
            <w:tcW w:w="1126" w:type="dxa"/>
            <w:tcBorders>
              <w:top w:val="nil"/>
              <w:left w:val="nil"/>
              <w:bottom w:val="single" w:sz="4" w:space="0" w:color="auto"/>
              <w:right w:val="single" w:sz="4" w:space="0" w:color="auto"/>
            </w:tcBorders>
            <w:shd w:val="clear" w:color="auto" w:fill="auto"/>
            <w:noWrap/>
            <w:vAlign w:val="center"/>
            <w:hideMark/>
          </w:tcPr>
          <w:p w14:paraId="57568F4F" w14:textId="77777777" w:rsidR="00EF1A1D" w:rsidRPr="00EF1A1D" w:rsidRDefault="00EF1A1D" w:rsidP="00127006">
            <w:pPr>
              <w:spacing w:before="60" w:after="60" w:line="260" w:lineRule="exact"/>
              <w:jc w:val="center"/>
              <w:rPr>
                <w:color w:val="000000"/>
                <w:sz w:val="18"/>
                <w:szCs w:val="18"/>
                <w:lang w:eastAsia="en-GB"/>
              </w:rPr>
            </w:pPr>
            <w:r w:rsidRPr="00EF1A1D">
              <w:rPr>
                <w:color w:val="000000"/>
                <w:sz w:val="18"/>
                <w:szCs w:val="18"/>
                <w:lang w:eastAsia="en-GB"/>
              </w:rPr>
              <w:t>15 922</w:t>
            </w:r>
          </w:p>
        </w:tc>
        <w:tc>
          <w:tcPr>
            <w:tcW w:w="1126" w:type="dxa"/>
            <w:tcBorders>
              <w:top w:val="nil"/>
              <w:left w:val="nil"/>
              <w:bottom w:val="single" w:sz="4" w:space="0" w:color="auto"/>
              <w:right w:val="single" w:sz="4" w:space="0" w:color="auto"/>
            </w:tcBorders>
            <w:shd w:val="clear" w:color="auto" w:fill="auto"/>
            <w:noWrap/>
            <w:vAlign w:val="center"/>
            <w:hideMark/>
          </w:tcPr>
          <w:p w14:paraId="2EC4A62A" w14:textId="77777777" w:rsidR="00EF1A1D" w:rsidRPr="00EF1A1D" w:rsidRDefault="00EF1A1D" w:rsidP="00127006">
            <w:pPr>
              <w:spacing w:before="60" w:after="60" w:line="260" w:lineRule="exact"/>
              <w:jc w:val="center"/>
              <w:rPr>
                <w:color w:val="000000"/>
                <w:sz w:val="18"/>
                <w:szCs w:val="18"/>
                <w:lang w:eastAsia="en-GB"/>
              </w:rPr>
            </w:pPr>
            <w:r w:rsidRPr="00EF1A1D">
              <w:rPr>
                <w:color w:val="000000"/>
                <w:sz w:val="18"/>
                <w:szCs w:val="18"/>
                <w:lang w:eastAsia="en-GB"/>
              </w:rPr>
              <w:t>13 589</w:t>
            </w:r>
          </w:p>
        </w:tc>
        <w:tc>
          <w:tcPr>
            <w:tcW w:w="1126" w:type="dxa"/>
            <w:tcBorders>
              <w:top w:val="nil"/>
              <w:left w:val="nil"/>
              <w:bottom w:val="single" w:sz="4" w:space="0" w:color="auto"/>
              <w:right w:val="single" w:sz="4" w:space="0" w:color="auto"/>
            </w:tcBorders>
            <w:shd w:val="clear" w:color="auto" w:fill="auto"/>
            <w:noWrap/>
            <w:vAlign w:val="center"/>
            <w:hideMark/>
          </w:tcPr>
          <w:p w14:paraId="49276948" w14:textId="77777777" w:rsidR="00EF1A1D" w:rsidRPr="00EF1A1D" w:rsidRDefault="00EF1A1D" w:rsidP="00127006">
            <w:pPr>
              <w:spacing w:before="60" w:after="60" w:line="260" w:lineRule="exact"/>
              <w:jc w:val="center"/>
              <w:rPr>
                <w:color w:val="000000"/>
                <w:sz w:val="18"/>
                <w:szCs w:val="18"/>
                <w:lang w:eastAsia="en-GB"/>
              </w:rPr>
            </w:pPr>
            <w:r w:rsidRPr="00EF1A1D">
              <w:rPr>
                <w:color w:val="000000"/>
                <w:sz w:val="18"/>
                <w:szCs w:val="18"/>
                <w:lang w:eastAsia="en-GB"/>
              </w:rPr>
              <w:t>14 063</w:t>
            </w:r>
          </w:p>
        </w:tc>
        <w:tc>
          <w:tcPr>
            <w:tcW w:w="1127" w:type="dxa"/>
            <w:tcBorders>
              <w:top w:val="nil"/>
              <w:left w:val="nil"/>
              <w:bottom w:val="single" w:sz="4" w:space="0" w:color="auto"/>
              <w:right w:val="single" w:sz="4" w:space="0" w:color="auto"/>
            </w:tcBorders>
            <w:shd w:val="clear" w:color="auto" w:fill="auto"/>
            <w:noWrap/>
            <w:vAlign w:val="center"/>
            <w:hideMark/>
          </w:tcPr>
          <w:p w14:paraId="07FEC8B3" w14:textId="77777777" w:rsidR="00EF1A1D" w:rsidRPr="00EF1A1D" w:rsidRDefault="00EF1A1D" w:rsidP="00127006">
            <w:pPr>
              <w:spacing w:before="60" w:after="60" w:line="260" w:lineRule="exact"/>
              <w:jc w:val="center"/>
              <w:rPr>
                <w:color w:val="000000"/>
                <w:sz w:val="18"/>
                <w:szCs w:val="18"/>
                <w:lang w:eastAsia="en-GB"/>
              </w:rPr>
            </w:pPr>
            <w:r w:rsidRPr="00EF1A1D">
              <w:rPr>
                <w:color w:val="000000"/>
                <w:sz w:val="18"/>
                <w:szCs w:val="18"/>
                <w:lang w:eastAsia="en-GB"/>
              </w:rPr>
              <w:t>16 663</w:t>
            </w:r>
          </w:p>
        </w:tc>
      </w:tr>
      <w:tr w:rsidR="00EF1A1D" w:rsidRPr="00EF1A1D" w14:paraId="4F11BD9A" w14:textId="77777777" w:rsidTr="00127006">
        <w:trPr>
          <w:trHeight w:val="290"/>
        </w:trPr>
        <w:tc>
          <w:tcPr>
            <w:tcW w:w="4003" w:type="dxa"/>
            <w:tcBorders>
              <w:top w:val="nil"/>
              <w:left w:val="single" w:sz="4" w:space="0" w:color="auto"/>
              <w:bottom w:val="single" w:sz="4" w:space="0" w:color="auto"/>
              <w:right w:val="single" w:sz="4" w:space="0" w:color="auto"/>
            </w:tcBorders>
            <w:shd w:val="clear" w:color="auto" w:fill="auto"/>
            <w:noWrap/>
            <w:vAlign w:val="center"/>
            <w:hideMark/>
          </w:tcPr>
          <w:p w14:paraId="6F6BF886" w14:textId="256F4B54" w:rsidR="00EF1A1D" w:rsidRPr="00EF1A1D" w:rsidRDefault="000770B9" w:rsidP="00127006">
            <w:pPr>
              <w:spacing w:before="60" w:after="60" w:line="260" w:lineRule="exact"/>
              <w:rPr>
                <w:rFonts w:eastAsiaTheme="minorHAnsi"/>
                <w:i/>
                <w:iCs/>
                <w:color w:val="000000"/>
                <w:sz w:val="18"/>
                <w:szCs w:val="18"/>
              </w:rPr>
            </w:pPr>
            <w:r>
              <w:rPr>
                <w:rFonts w:eastAsiaTheme="minorHAnsi" w:hint="cs"/>
                <w:i/>
                <w:iCs/>
                <w:color w:val="000000"/>
                <w:sz w:val="18"/>
                <w:szCs w:val="18"/>
                <w:rtl/>
              </w:rPr>
              <w:t>الوفورات</w:t>
            </w:r>
          </w:p>
        </w:tc>
        <w:tc>
          <w:tcPr>
            <w:tcW w:w="1126" w:type="dxa"/>
            <w:tcBorders>
              <w:top w:val="nil"/>
              <w:left w:val="nil"/>
              <w:bottom w:val="single" w:sz="4" w:space="0" w:color="auto"/>
              <w:right w:val="single" w:sz="4" w:space="0" w:color="auto"/>
            </w:tcBorders>
            <w:shd w:val="clear" w:color="auto" w:fill="auto"/>
            <w:noWrap/>
            <w:vAlign w:val="center"/>
            <w:hideMark/>
          </w:tcPr>
          <w:p w14:paraId="1C2A1FC6" w14:textId="77777777" w:rsidR="00EF1A1D" w:rsidRPr="00EF1A1D" w:rsidRDefault="00EF1A1D" w:rsidP="00127006">
            <w:pPr>
              <w:spacing w:before="60" w:after="60" w:line="260" w:lineRule="exact"/>
              <w:jc w:val="center"/>
              <w:rPr>
                <w:i/>
                <w:iCs/>
                <w:color w:val="000000"/>
                <w:sz w:val="18"/>
                <w:szCs w:val="18"/>
                <w:lang w:eastAsia="en-GB"/>
              </w:rPr>
            </w:pPr>
            <w:r w:rsidRPr="00EF1A1D">
              <w:rPr>
                <w:i/>
                <w:iCs/>
                <w:color w:val="000000"/>
                <w:sz w:val="18"/>
                <w:szCs w:val="18"/>
                <w:lang w:eastAsia="en-GB"/>
              </w:rPr>
              <w:t>1 953</w:t>
            </w:r>
          </w:p>
        </w:tc>
        <w:tc>
          <w:tcPr>
            <w:tcW w:w="1126" w:type="dxa"/>
            <w:tcBorders>
              <w:top w:val="nil"/>
              <w:left w:val="nil"/>
              <w:bottom w:val="single" w:sz="4" w:space="0" w:color="auto"/>
              <w:right w:val="single" w:sz="4" w:space="0" w:color="auto"/>
            </w:tcBorders>
            <w:shd w:val="clear" w:color="auto" w:fill="auto"/>
            <w:noWrap/>
            <w:vAlign w:val="center"/>
            <w:hideMark/>
          </w:tcPr>
          <w:p w14:paraId="1711A269" w14:textId="77777777" w:rsidR="00EF1A1D" w:rsidRPr="00EF1A1D" w:rsidRDefault="00EF1A1D" w:rsidP="00127006">
            <w:pPr>
              <w:spacing w:before="60" w:after="60" w:line="260" w:lineRule="exact"/>
              <w:jc w:val="center"/>
              <w:rPr>
                <w:i/>
                <w:iCs/>
                <w:color w:val="000000"/>
                <w:sz w:val="18"/>
                <w:szCs w:val="18"/>
                <w:lang w:eastAsia="en-GB"/>
              </w:rPr>
            </w:pPr>
            <w:r w:rsidRPr="00EF1A1D">
              <w:rPr>
                <w:i/>
                <w:iCs/>
                <w:color w:val="000000"/>
                <w:sz w:val="18"/>
                <w:szCs w:val="18"/>
                <w:lang w:eastAsia="en-GB"/>
              </w:rPr>
              <w:t>2 023</w:t>
            </w:r>
          </w:p>
        </w:tc>
        <w:tc>
          <w:tcPr>
            <w:tcW w:w="1126" w:type="dxa"/>
            <w:tcBorders>
              <w:top w:val="nil"/>
              <w:left w:val="nil"/>
              <w:bottom w:val="single" w:sz="4" w:space="0" w:color="auto"/>
              <w:right w:val="single" w:sz="4" w:space="0" w:color="auto"/>
            </w:tcBorders>
            <w:shd w:val="clear" w:color="auto" w:fill="auto"/>
            <w:noWrap/>
            <w:vAlign w:val="center"/>
            <w:hideMark/>
          </w:tcPr>
          <w:p w14:paraId="1A904175" w14:textId="77777777" w:rsidR="00EF1A1D" w:rsidRPr="00EF1A1D" w:rsidRDefault="00EF1A1D" w:rsidP="00127006">
            <w:pPr>
              <w:spacing w:before="60" w:after="60" w:line="260" w:lineRule="exact"/>
              <w:jc w:val="center"/>
              <w:rPr>
                <w:i/>
                <w:iCs/>
                <w:color w:val="000000"/>
                <w:sz w:val="18"/>
                <w:szCs w:val="18"/>
                <w:lang w:eastAsia="en-GB"/>
              </w:rPr>
            </w:pPr>
            <w:r w:rsidRPr="00EF1A1D">
              <w:rPr>
                <w:i/>
                <w:iCs/>
                <w:color w:val="000000"/>
                <w:sz w:val="18"/>
                <w:szCs w:val="18"/>
                <w:lang w:eastAsia="en-GB"/>
              </w:rPr>
              <w:t>866</w:t>
            </w:r>
          </w:p>
        </w:tc>
        <w:tc>
          <w:tcPr>
            <w:tcW w:w="1126" w:type="dxa"/>
            <w:tcBorders>
              <w:top w:val="nil"/>
              <w:left w:val="nil"/>
              <w:bottom w:val="single" w:sz="4" w:space="0" w:color="auto"/>
              <w:right w:val="single" w:sz="4" w:space="0" w:color="auto"/>
            </w:tcBorders>
            <w:shd w:val="clear" w:color="auto" w:fill="auto"/>
            <w:noWrap/>
            <w:vAlign w:val="center"/>
            <w:hideMark/>
          </w:tcPr>
          <w:p w14:paraId="2B2BD888" w14:textId="77777777" w:rsidR="00EF1A1D" w:rsidRPr="00EF1A1D" w:rsidRDefault="00EF1A1D" w:rsidP="00127006">
            <w:pPr>
              <w:spacing w:before="60" w:after="60" w:line="260" w:lineRule="exact"/>
              <w:jc w:val="center"/>
              <w:rPr>
                <w:i/>
                <w:iCs/>
                <w:color w:val="000000"/>
                <w:sz w:val="18"/>
                <w:szCs w:val="18"/>
                <w:lang w:eastAsia="en-GB"/>
              </w:rPr>
            </w:pPr>
            <w:r w:rsidRPr="00EF1A1D">
              <w:rPr>
                <w:i/>
                <w:iCs/>
                <w:color w:val="000000"/>
                <w:sz w:val="18"/>
                <w:szCs w:val="18"/>
                <w:lang w:eastAsia="en-GB"/>
              </w:rPr>
              <w:t>328</w:t>
            </w:r>
          </w:p>
        </w:tc>
        <w:tc>
          <w:tcPr>
            <w:tcW w:w="1127" w:type="dxa"/>
            <w:tcBorders>
              <w:top w:val="nil"/>
              <w:left w:val="nil"/>
              <w:bottom w:val="single" w:sz="4" w:space="0" w:color="auto"/>
              <w:right w:val="single" w:sz="4" w:space="0" w:color="auto"/>
            </w:tcBorders>
            <w:shd w:val="clear" w:color="auto" w:fill="auto"/>
            <w:noWrap/>
            <w:vAlign w:val="center"/>
            <w:hideMark/>
          </w:tcPr>
          <w:p w14:paraId="4C1EA7A2" w14:textId="77777777" w:rsidR="00EF1A1D" w:rsidRPr="00EF1A1D" w:rsidRDefault="00EF1A1D" w:rsidP="00127006">
            <w:pPr>
              <w:spacing w:before="60" w:after="60" w:line="260" w:lineRule="exact"/>
              <w:jc w:val="center"/>
              <w:rPr>
                <w:i/>
                <w:iCs/>
                <w:color w:val="000000"/>
                <w:sz w:val="18"/>
                <w:szCs w:val="18"/>
                <w:lang w:eastAsia="en-GB"/>
              </w:rPr>
            </w:pPr>
            <w:r w:rsidRPr="00EF1A1D">
              <w:rPr>
                <w:i/>
                <w:iCs/>
                <w:color w:val="000000"/>
                <w:sz w:val="18"/>
                <w:szCs w:val="18"/>
                <w:lang w:eastAsia="en-GB"/>
              </w:rPr>
              <w:t>2 436</w:t>
            </w:r>
            <w:bookmarkEnd w:id="0"/>
          </w:p>
        </w:tc>
      </w:tr>
    </w:tbl>
    <w:p w14:paraId="5860F1B9" w14:textId="45A682DF" w:rsidR="000770B9" w:rsidRDefault="00EF1A1D" w:rsidP="00127006">
      <w:pPr>
        <w:pStyle w:val="Figuretitle"/>
        <w:rPr>
          <w:rtl/>
          <w:lang w:bidi="ar-EG"/>
        </w:rPr>
      </w:pPr>
      <w:r>
        <w:rPr>
          <w:rFonts w:hint="cs"/>
          <w:rtl/>
        </w:rPr>
        <w:t xml:space="preserve">الشكل 1. </w:t>
      </w:r>
      <w:r w:rsidR="000770B9" w:rsidRPr="003961CC">
        <w:rPr>
          <w:rtl/>
        </w:rPr>
        <w:t xml:space="preserve">تطوُّر ميزانية </w:t>
      </w:r>
      <w:r w:rsidR="000770B9">
        <w:rPr>
          <w:rFonts w:hint="cs"/>
          <w:rtl/>
        </w:rPr>
        <w:t>ونفقات الخدمات اللغوية (بـ</w:t>
      </w:r>
      <w:r w:rsidR="000E4415">
        <w:rPr>
          <w:rFonts w:hint="cs"/>
          <w:rtl/>
        </w:rPr>
        <w:t>آلاف الفرنكات السويسرية</w:t>
      </w:r>
      <w:r w:rsidR="000770B9" w:rsidRPr="003961CC">
        <w:rPr>
          <w:rFonts w:hint="cs"/>
          <w:rtl/>
        </w:rPr>
        <w:t>)، 2018-2022</w:t>
      </w:r>
    </w:p>
    <w:p w14:paraId="1FF781C6" w14:textId="0F386D33" w:rsidR="00127006" w:rsidRDefault="00127006" w:rsidP="00127006">
      <w:pPr>
        <w:spacing w:after="120" w:line="240" w:lineRule="auto"/>
        <w:jc w:val="center"/>
        <w:rPr>
          <w:rtl/>
          <w:lang w:bidi="ar-EG"/>
        </w:rPr>
      </w:pPr>
      <w:r>
        <w:rPr>
          <w:noProof/>
          <w:lang w:bidi="ar-EG"/>
        </w:rPr>
        <w:drawing>
          <wp:inline distT="0" distB="0" distL="0" distR="0" wp14:anchorId="11AA7DA5" wp14:editId="4CD129AB">
            <wp:extent cx="5871210" cy="20605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71210" cy="2060575"/>
                    </a:xfrm>
                    <a:prstGeom prst="rect">
                      <a:avLst/>
                    </a:prstGeom>
                    <a:noFill/>
                  </pic:spPr>
                </pic:pic>
              </a:graphicData>
            </a:graphic>
          </wp:inline>
        </w:drawing>
      </w:r>
    </w:p>
    <w:p w14:paraId="3A1A2868" w14:textId="48D5D12F" w:rsidR="000770B9" w:rsidRPr="000770B9" w:rsidRDefault="00EF1A1D" w:rsidP="00127006">
      <w:pPr>
        <w:pStyle w:val="Tabletitle"/>
        <w:rPr>
          <w:rFonts w:cstheme="minorHAnsi"/>
          <w:sz w:val="24"/>
          <w:szCs w:val="24"/>
          <w:rtl/>
          <w:lang w:bidi="ar-JO"/>
        </w:rPr>
      </w:pPr>
      <w:r w:rsidRPr="000770B9">
        <w:rPr>
          <w:rFonts w:hint="cs"/>
          <w:rtl/>
        </w:rPr>
        <w:t xml:space="preserve">الجدول 2. </w:t>
      </w:r>
      <w:r w:rsidR="000770B9" w:rsidRPr="000770B9">
        <w:rPr>
          <w:rtl/>
        </w:rPr>
        <w:t xml:space="preserve">تطوُّر </w:t>
      </w:r>
      <w:r w:rsidR="000770B9">
        <w:rPr>
          <w:rFonts w:hint="cs"/>
          <w:rtl/>
        </w:rPr>
        <w:t>حجم الترجمة التحريرية</w:t>
      </w:r>
      <w:r w:rsidR="000770B9" w:rsidRPr="000770B9">
        <w:rPr>
          <w:rtl/>
        </w:rPr>
        <w:t xml:space="preserve"> </w:t>
      </w:r>
      <w:r w:rsidR="000770B9">
        <w:rPr>
          <w:rFonts w:hint="cs"/>
          <w:rtl/>
        </w:rPr>
        <w:t>لكل</w:t>
      </w:r>
      <w:r w:rsidR="00DF17E5">
        <w:rPr>
          <w:rFonts w:hint="cs"/>
          <w:rtl/>
        </w:rPr>
        <w:t>ّ</w:t>
      </w:r>
      <w:r w:rsidR="000770B9">
        <w:rPr>
          <w:rFonts w:hint="cs"/>
          <w:rtl/>
        </w:rPr>
        <w:t xml:space="preserve"> لغة</w:t>
      </w:r>
      <w:r w:rsidR="000770B9" w:rsidRPr="000770B9">
        <w:rPr>
          <w:rFonts w:hint="cs"/>
          <w:rtl/>
        </w:rPr>
        <w:t xml:space="preserve"> (</w:t>
      </w:r>
      <w:r w:rsidR="000770B9">
        <w:rPr>
          <w:rFonts w:hint="cs"/>
          <w:rtl/>
        </w:rPr>
        <w:t>صفحات</w:t>
      </w:r>
      <w:r w:rsidR="000770B9" w:rsidRPr="000770B9">
        <w:rPr>
          <w:rFonts w:hint="cs"/>
          <w:rtl/>
        </w:rPr>
        <w:t>)</w:t>
      </w:r>
      <w:r w:rsidR="000770B9" w:rsidRPr="00127006">
        <w:rPr>
          <w:rStyle w:val="FootnoteReference"/>
        </w:rPr>
        <w:footnoteReference w:customMarkFollows="1" w:id="1"/>
        <w:t>[1]</w:t>
      </w:r>
      <w:r w:rsidR="000770B9" w:rsidRPr="000770B9">
        <w:rPr>
          <w:rFonts w:hint="cs"/>
          <w:rtl/>
        </w:rPr>
        <w:t>، 2018-2022</w:t>
      </w:r>
    </w:p>
    <w:tbl>
      <w:tblPr>
        <w:bidiVisual/>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86"/>
        <w:gridCol w:w="1193"/>
        <w:gridCol w:w="1194"/>
        <w:gridCol w:w="1194"/>
        <w:gridCol w:w="1194"/>
        <w:gridCol w:w="1194"/>
        <w:gridCol w:w="11"/>
      </w:tblGrid>
      <w:tr w:rsidR="00EF1A1D" w:rsidRPr="00EF1A1D" w14:paraId="135D5617" w14:textId="77777777" w:rsidTr="00127006">
        <w:trPr>
          <w:jc w:val="center"/>
        </w:trPr>
        <w:tc>
          <w:tcPr>
            <w:tcW w:w="2552" w:type="dxa"/>
            <w:vMerge w:val="restart"/>
            <w:tcMar>
              <w:top w:w="0" w:type="dxa"/>
              <w:left w:w="108" w:type="dxa"/>
              <w:bottom w:w="0" w:type="dxa"/>
              <w:right w:w="108" w:type="dxa"/>
            </w:tcMar>
            <w:vAlign w:val="center"/>
          </w:tcPr>
          <w:p w14:paraId="1C9F634E" w14:textId="46010481" w:rsidR="00EF1A1D" w:rsidRPr="00EF1A1D" w:rsidRDefault="00DF17E5" w:rsidP="00EF1A1D">
            <w:pPr>
              <w:spacing w:before="60" w:after="60" w:line="260" w:lineRule="exact"/>
              <w:jc w:val="center"/>
              <w:rPr>
                <w:b/>
                <w:bCs/>
                <w:sz w:val="18"/>
                <w:szCs w:val="18"/>
              </w:rPr>
            </w:pPr>
            <w:r>
              <w:rPr>
                <w:rFonts w:hint="cs"/>
                <w:b/>
                <w:bCs/>
                <w:sz w:val="18"/>
                <w:szCs w:val="18"/>
                <w:rtl/>
              </w:rPr>
              <w:t>اللغة</w:t>
            </w:r>
          </w:p>
        </w:tc>
        <w:tc>
          <w:tcPr>
            <w:tcW w:w="5680" w:type="dxa"/>
            <w:gridSpan w:val="6"/>
            <w:shd w:val="clear" w:color="auto" w:fill="D6DCE4"/>
            <w:tcMar>
              <w:top w:w="0" w:type="dxa"/>
              <w:left w:w="108" w:type="dxa"/>
              <w:bottom w:w="0" w:type="dxa"/>
              <w:right w:w="108" w:type="dxa"/>
            </w:tcMar>
            <w:vAlign w:val="center"/>
          </w:tcPr>
          <w:p w14:paraId="29B156D8" w14:textId="64C22680" w:rsidR="00EF1A1D" w:rsidRPr="00EF1A1D" w:rsidRDefault="00DF17E5" w:rsidP="00EF1A1D">
            <w:pPr>
              <w:spacing w:before="60" w:after="60" w:line="260" w:lineRule="exact"/>
              <w:jc w:val="center"/>
              <w:rPr>
                <w:b/>
                <w:bCs/>
                <w:color w:val="000000"/>
                <w:sz w:val="18"/>
                <w:szCs w:val="18"/>
              </w:rPr>
            </w:pPr>
            <w:r>
              <w:rPr>
                <w:rFonts w:hint="cs"/>
                <w:b/>
                <w:bCs/>
                <w:sz w:val="18"/>
                <w:szCs w:val="18"/>
                <w:rtl/>
              </w:rPr>
              <w:t>حجم الترجمة/سنة (صفحات)</w:t>
            </w:r>
          </w:p>
        </w:tc>
      </w:tr>
      <w:tr w:rsidR="00EF1A1D" w:rsidRPr="00EF1A1D" w14:paraId="08E9A553" w14:textId="77777777" w:rsidTr="00127006">
        <w:trPr>
          <w:gridAfter w:val="1"/>
          <w:wAfter w:w="10" w:type="dxa"/>
          <w:jc w:val="center"/>
        </w:trPr>
        <w:tc>
          <w:tcPr>
            <w:tcW w:w="2552" w:type="dxa"/>
            <w:vMerge/>
            <w:tcMar>
              <w:top w:w="0" w:type="dxa"/>
              <w:left w:w="108" w:type="dxa"/>
              <w:bottom w:w="0" w:type="dxa"/>
              <w:right w:w="108" w:type="dxa"/>
            </w:tcMar>
            <w:vAlign w:val="center"/>
          </w:tcPr>
          <w:p w14:paraId="7EBC7DFA" w14:textId="77777777" w:rsidR="00EF1A1D" w:rsidRPr="00EF1A1D" w:rsidRDefault="00EF1A1D" w:rsidP="00EF1A1D">
            <w:pPr>
              <w:spacing w:before="60" w:after="60" w:line="260" w:lineRule="exact"/>
              <w:rPr>
                <w:b/>
                <w:bCs/>
                <w:sz w:val="18"/>
                <w:szCs w:val="18"/>
              </w:rPr>
            </w:pPr>
          </w:p>
        </w:tc>
        <w:tc>
          <w:tcPr>
            <w:tcW w:w="1134" w:type="dxa"/>
            <w:shd w:val="clear" w:color="auto" w:fill="D6DCE4"/>
            <w:tcMar>
              <w:top w:w="0" w:type="dxa"/>
              <w:left w:w="108" w:type="dxa"/>
              <w:bottom w:w="0" w:type="dxa"/>
              <w:right w:w="108" w:type="dxa"/>
            </w:tcMar>
            <w:vAlign w:val="center"/>
          </w:tcPr>
          <w:p w14:paraId="2039E6EB" w14:textId="77777777" w:rsidR="00EF1A1D" w:rsidRPr="00EF1A1D" w:rsidRDefault="00EF1A1D" w:rsidP="00EF1A1D">
            <w:pPr>
              <w:spacing w:before="60" w:after="60" w:line="260" w:lineRule="exact"/>
              <w:jc w:val="center"/>
              <w:rPr>
                <w:b/>
                <w:bCs/>
                <w:color w:val="000000"/>
                <w:sz w:val="18"/>
                <w:szCs w:val="18"/>
              </w:rPr>
            </w:pPr>
            <w:r w:rsidRPr="00EF1A1D">
              <w:rPr>
                <w:b/>
                <w:bCs/>
                <w:color w:val="000000"/>
                <w:sz w:val="18"/>
                <w:szCs w:val="18"/>
              </w:rPr>
              <w:t>2018</w:t>
            </w:r>
          </w:p>
        </w:tc>
        <w:tc>
          <w:tcPr>
            <w:tcW w:w="1134" w:type="dxa"/>
            <w:shd w:val="clear" w:color="auto" w:fill="D6DCE4"/>
            <w:tcMar>
              <w:top w:w="0" w:type="dxa"/>
              <w:left w:w="108" w:type="dxa"/>
              <w:bottom w:w="0" w:type="dxa"/>
              <w:right w:w="108" w:type="dxa"/>
            </w:tcMar>
            <w:vAlign w:val="center"/>
          </w:tcPr>
          <w:p w14:paraId="685C8C07" w14:textId="77777777" w:rsidR="00EF1A1D" w:rsidRPr="00EF1A1D" w:rsidRDefault="00EF1A1D" w:rsidP="00EF1A1D">
            <w:pPr>
              <w:spacing w:before="60" w:after="60" w:line="260" w:lineRule="exact"/>
              <w:jc w:val="center"/>
              <w:rPr>
                <w:b/>
                <w:bCs/>
                <w:color w:val="000000"/>
                <w:sz w:val="18"/>
                <w:szCs w:val="18"/>
              </w:rPr>
            </w:pPr>
            <w:r w:rsidRPr="00EF1A1D">
              <w:rPr>
                <w:b/>
                <w:bCs/>
                <w:color w:val="000000"/>
                <w:sz w:val="18"/>
                <w:szCs w:val="18"/>
              </w:rPr>
              <w:t>2019</w:t>
            </w:r>
          </w:p>
        </w:tc>
        <w:tc>
          <w:tcPr>
            <w:tcW w:w="1134" w:type="dxa"/>
            <w:shd w:val="clear" w:color="auto" w:fill="D6DCE4"/>
            <w:tcMar>
              <w:top w:w="0" w:type="dxa"/>
              <w:left w:w="108" w:type="dxa"/>
              <w:bottom w:w="0" w:type="dxa"/>
              <w:right w:w="108" w:type="dxa"/>
            </w:tcMar>
            <w:vAlign w:val="center"/>
          </w:tcPr>
          <w:p w14:paraId="4174CD66" w14:textId="77777777" w:rsidR="00EF1A1D" w:rsidRPr="00EF1A1D" w:rsidRDefault="00EF1A1D" w:rsidP="00EF1A1D">
            <w:pPr>
              <w:spacing w:before="60" w:after="60" w:line="260" w:lineRule="exact"/>
              <w:jc w:val="center"/>
              <w:rPr>
                <w:b/>
                <w:bCs/>
                <w:color w:val="000000"/>
                <w:sz w:val="18"/>
                <w:szCs w:val="18"/>
              </w:rPr>
            </w:pPr>
            <w:r w:rsidRPr="00EF1A1D">
              <w:rPr>
                <w:b/>
                <w:bCs/>
                <w:color w:val="000000"/>
                <w:sz w:val="18"/>
                <w:szCs w:val="18"/>
              </w:rPr>
              <w:t>2020</w:t>
            </w:r>
          </w:p>
        </w:tc>
        <w:tc>
          <w:tcPr>
            <w:tcW w:w="1134" w:type="dxa"/>
            <w:shd w:val="clear" w:color="auto" w:fill="D6DCE4"/>
            <w:tcMar>
              <w:top w:w="0" w:type="dxa"/>
              <w:left w:w="108" w:type="dxa"/>
              <w:bottom w:w="0" w:type="dxa"/>
              <w:right w:w="108" w:type="dxa"/>
            </w:tcMar>
            <w:vAlign w:val="center"/>
          </w:tcPr>
          <w:p w14:paraId="38F88843" w14:textId="77777777" w:rsidR="00EF1A1D" w:rsidRPr="00EF1A1D" w:rsidRDefault="00EF1A1D" w:rsidP="00EF1A1D">
            <w:pPr>
              <w:spacing w:before="60" w:after="60" w:line="260" w:lineRule="exact"/>
              <w:jc w:val="center"/>
              <w:rPr>
                <w:b/>
                <w:bCs/>
                <w:color w:val="000000"/>
                <w:sz w:val="18"/>
                <w:szCs w:val="18"/>
              </w:rPr>
            </w:pPr>
            <w:r w:rsidRPr="00EF1A1D">
              <w:rPr>
                <w:b/>
                <w:bCs/>
                <w:color w:val="000000"/>
                <w:sz w:val="18"/>
                <w:szCs w:val="18"/>
              </w:rPr>
              <w:t>2021</w:t>
            </w:r>
          </w:p>
        </w:tc>
        <w:tc>
          <w:tcPr>
            <w:tcW w:w="1134" w:type="dxa"/>
            <w:shd w:val="clear" w:color="auto" w:fill="D6DCE4"/>
            <w:vAlign w:val="center"/>
          </w:tcPr>
          <w:p w14:paraId="319053BF" w14:textId="77777777" w:rsidR="00EF1A1D" w:rsidRPr="00EF1A1D" w:rsidRDefault="00EF1A1D" w:rsidP="00EF1A1D">
            <w:pPr>
              <w:spacing w:before="60" w:after="60" w:line="260" w:lineRule="exact"/>
              <w:jc w:val="center"/>
              <w:rPr>
                <w:b/>
                <w:bCs/>
                <w:color w:val="000000"/>
                <w:sz w:val="18"/>
                <w:szCs w:val="18"/>
              </w:rPr>
            </w:pPr>
            <w:r w:rsidRPr="00EF1A1D">
              <w:rPr>
                <w:b/>
                <w:bCs/>
                <w:color w:val="000000"/>
                <w:sz w:val="18"/>
                <w:szCs w:val="18"/>
              </w:rPr>
              <w:t>2022</w:t>
            </w:r>
          </w:p>
        </w:tc>
      </w:tr>
      <w:tr w:rsidR="00EF1A1D" w:rsidRPr="00EF1A1D" w14:paraId="04B626F0" w14:textId="77777777" w:rsidTr="00127006">
        <w:trPr>
          <w:jc w:val="center"/>
        </w:trPr>
        <w:tc>
          <w:tcPr>
            <w:tcW w:w="2552" w:type="dxa"/>
            <w:tcMar>
              <w:top w:w="0" w:type="dxa"/>
              <w:left w:w="108" w:type="dxa"/>
              <w:bottom w:w="0" w:type="dxa"/>
              <w:right w:w="108" w:type="dxa"/>
            </w:tcMar>
            <w:vAlign w:val="center"/>
            <w:hideMark/>
          </w:tcPr>
          <w:p w14:paraId="067819F4" w14:textId="5DCBADD1" w:rsidR="00EF1A1D" w:rsidRPr="00EF1A1D" w:rsidRDefault="00EF1A1D" w:rsidP="00EF1A1D">
            <w:pPr>
              <w:spacing w:before="60" w:after="60" w:line="260" w:lineRule="exact"/>
              <w:rPr>
                <w:sz w:val="18"/>
                <w:szCs w:val="18"/>
              </w:rPr>
            </w:pPr>
            <w:r>
              <w:rPr>
                <w:rFonts w:hint="cs"/>
                <w:color w:val="000000"/>
                <w:sz w:val="18"/>
                <w:szCs w:val="18"/>
                <w:rtl/>
              </w:rPr>
              <w:t>العربية</w:t>
            </w:r>
          </w:p>
        </w:tc>
        <w:tc>
          <w:tcPr>
            <w:tcW w:w="1134" w:type="dxa"/>
            <w:tcMar>
              <w:top w:w="0" w:type="dxa"/>
              <w:left w:w="108" w:type="dxa"/>
              <w:bottom w:w="0" w:type="dxa"/>
              <w:right w:w="108" w:type="dxa"/>
            </w:tcMar>
            <w:vAlign w:val="center"/>
            <w:hideMark/>
          </w:tcPr>
          <w:p w14:paraId="48884CFA" w14:textId="77777777" w:rsidR="00EF1A1D" w:rsidRPr="00EF1A1D" w:rsidRDefault="00EF1A1D" w:rsidP="00EF1A1D">
            <w:pPr>
              <w:spacing w:before="60" w:after="60" w:line="260" w:lineRule="exact"/>
              <w:jc w:val="center"/>
              <w:rPr>
                <w:sz w:val="18"/>
                <w:szCs w:val="18"/>
              </w:rPr>
            </w:pPr>
            <w:r w:rsidRPr="00EF1A1D">
              <w:rPr>
                <w:color w:val="000000"/>
                <w:sz w:val="18"/>
                <w:szCs w:val="18"/>
              </w:rPr>
              <w:t>8 083</w:t>
            </w:r>
          </w:p>
        </w:tc>
        <w:tc>
          <w:tcPr>
            <w:tcW w:w="1134" w:type="dxa"/>
            <w:tcMar>
              <w:top w:w="0" w:type="dxa"/>
              <w:left w:w="108" w:type="dxa"/>
              <w:bottom w:w="0" w:type="dxa"/>
              <w:right w:w="108" w:type="dxa"/>
            </w:tcMar>
            <w:vAlign w:val="center"/>
            <w:hideMark/>
          </w:tcPr>
          <w:p w14:paraId="2FFDFA86" w14:textId="77777777" w:rsidR="00EF1A1D" w:rsidRPr="00EF1A1D" w:rsidRDefault="00EF1A1D" w:rsidP="00EF1A1D">
            <w:pPr>
              <w:spacing w:before="60" w:after="60" w:line="260" w:lineRule="exact"/>
              <w:jc w:val="center"/>
              <w:rPr>
                <w:sz w:val="18"/>
                <w:szCs w:val="18"/>
              </w:rPr>
            </w:pPr>
            <w:r w:rsidRPr="00EF1A1D">
              <w:rPr>
                <w:color w:val="000000"/>
                <w:sz w:val="18"/>
                <w:szCs w:val="18"/>
              </w:rPr>
              <w:t>8 892</w:t>
            </w:r>
          </w:p>
        </w:tc>
        <w:tc>
          <w:tcPr>
            <w:tcW w:w="1134" w:type="dxa"/>
            <w:tcMar>
              <w:top w:w="0" w:type="dxa"/>
              <w:left w:w="108" w:type="dxa"/>
              <w:bottom w:w="0" w:type="dxa"/>
              <w:right w:w="108" w:type="dxa"/>
            </w:tcMar>
            <w:vAlign w:val="center"/>
            <w:hideMark/>
          </w:tcPr>
          <w:p w14:paraId="3D80A924" w14:textId="77777777" w:rsidR="00EF1A1D" w:rsidRPr="00EF1A1D" w:rsidRDefault="00EF1A1D" w:rsidP="00EF1A1D">
            <w:pPr>
              <w:spacing w:before="60" w:after="60" w:line="260" w:lineRule="exact"/>
              <w:jc w:val="center"/>
              <w:rPr>
                <w:sz w:val="18"/>
                <w:szCs w:val="18"/>
              </w:rPr>
            </w:pPr>
            <w:r w:rsidRPr="00EF1A1D">
              <w:rPr>
                <w:color w:val="000000"/>
                <w:sz w:val="18"/>
                <w:szCs w:val="18"/>
              </w:rPr>
              <w:t>8 400</w:t>
            </w:r>
          </w:p>
        </w:tc>
        <w:tc>
          <w:tcPr>
            <w:tcW w:w="1134" w:type="dxa"/>
            <w:tcMar>
              <w:top w:w="0" w:type="dxa"/>
              <w:left w:w="108" w:type="dxa"/>
              <w:bottom w:w="0" w:type="dxa"/>
              <w:right w:w="108" w:type="dxa"/>
            </w:tcMar>
            <w:vAlign w:val="center"/>
            <w:hideMark/>
          </w:tcPr>
          <w:p w14:paraId="0BE5A857" w14:textId="77777777" w:rsidR="00EF1A1D" w:rsidRPr="00EF1A1D" w:rsidRDefault="00EF1A1D" w:rsidP="00EF1A1D">
            <w:pPr>
              <w:spacing w:before="60" w:after="60" w:line="260" w:lineRule="exact"/>
              <w:jc w:val="center"/>
              <w:rPr>
                <w:sz w:val="18"/>
                <w:szCs w:val="18"/>
              </w:rPr>
            </w:pPr>
            <w:r w:rsidRPr="00EF1A1D">
              <w:rPr>
                <w:color w:val="000000"/>
                <w:sz w:val="18"/>
                <w:szCs w:val="18"/>
              </w:rPr>
              <w:t>7 843</w:t>
            </w:r>
          </w:p>
        </w:tc>
        <w:tc>
          <w:tcPr>
            <w:tcW w:w="1144" w:type="dxa"/>
            <w:gridSpan w:val="2"/>
            <w:vAlign w:val="center"/>
            <w:hideMark/>
          </w:tcPr>
          <w:p w14:paraId="0477D86B" w14:textId="77777777" w:rsidR="00EF1A1D" w:rsidRPr="00EF1A1D" w:rsidRDefault="00EF1A1D" w:rsidP="00EF1A1D">
            <w:pPr>
              <w:spacing w:before="60" w:after="60" w:line="260" w:lineRule="exact"/>
              <w:jc w:val="center"/>
              <w:rPr>
                <w:color w:val="000000"/>
                <w:sz w:val="18"/>
                <w:szCs w:val="18"/>
              </w:rPr>
            </w:pPr>
            <w:r w:rsidRPr="00EF1A1D">
              <w:rPr>
                <w:color w:val="000000"/>
                <w:sz w:val="18"/>
                <w:szCs w:val="18"/>
              </w:rPr>
              <w:t>8 962</w:t>
            </w:r>
          </w:p>
        </w:tc>
      </w:tr>
      <w:tr w:rsidR="00EF1A1D" w:rsidRPr="00EF1A1D" w14:paraId="68940678" w14:textId="77777777" w:rsidTr="00127006">
        <w:trPr>
          <w:jc w:val="center"/>
        </w:trPr>
        <w:tc>
          <w:tcPr>
            <w:tcW w:w="2552" w:type="dxa"/>
            <w:tcMar>
              <w:top w:w="0" w:type="dxa"/>
              <w:left w:w="108" w:type="dxa"/>
              <w:bottom w:w="0" w:type="dxa"/>
              <w:right w:w="108" w:type="dxa"/>
            </w:tcMar>
            <w:vAlign w:val="center"/>
            <w:hideMark/>
          </w:tcPr>
          <w:p w14:paraId="5B008327" w14:textId="13C5F90D" w:rsidR="00EF1A1D" w:rsidRPr="00EF1A1D" w:rsidRDefault="00EF1A1D" w:rsidP="00EF1A1D">
            <w:pPr>
              <w:spacing w:before="60" w:after="60" w:line="260" w:lineRule="exact"/>
              <w:rPr>
                <w:sz w:val="18"/>
                <w:szCs w:val="18"/>
              </w:rPr>
            </w:pPr>
            <w:r>
              <w:rPr>
                <w:rFonts w:hint="cs"/>
                <w:color w:val="000000"/>
                <w:sz w:val="18"/>
                <w:szCs w:val="18"/>
                <w:rtl/>
              </w:rPr>
              <w:t>الصينية</w:t>
            </w:r>
          </w:p>
        </w:tc>
        <w:tc>
          <w:tcPr>
            <w:tcW w:w="1134" w:type="dxa"/>
            <w:tcMar>
              <w:top w:w="0" w:type="dxa"/>
              <w:left w:w="108" w:type="dxa"/>
              <w:bottom w:w="0" w:type="dxa"/>
              <w:right w:w="108" w:type="dxa"/>
            </w:tcMar>
            <w:vAlign w:val="center"/>
            <w:hideMark/>
          </w:tcPr>
          <w:p w14:paraId="3DB45153" w14:textId="77777777" w:rsidR="00EF1A1D" w:rsidRPr="00EF1A1D" w:rsidRDefault="00EF1A1D" w:rsidP="00EF1A1D">
            <w:pPr>
              <w:spacing w:before="60" w:after="60" w:line="260" w:lineRule="exact"/>
              <w:jc w:val="center"/>
              <w:rPr>
                <w:sz w:val="18"/>
                <w:szCs w:val="18"/>
              </w:rPr>
            </w:pPr>
            <w:r w:rsidRPr="00EF1A1D">
              <w:rPr>
                <w:color w:val="000000"/>
                <w:sz w:val="18"/>
                <w:szCs w:val="18"/>
              </w:rPr>
              <w:t>8 732</w:t>
            </w:r>
          </w:p>
        </w:tc>
        <w:tc>
          <w:tcPr>
            <w:tcW w:w="1134" w:type="dxa"/>
            <w:tcMar>
              <w:top w:w="0" w:type="dxa"/>
              <w:left w:w="108" w:type="dxa"/>
              <w:bottom w:w="0" w:type="dxa"/>
              <w:right w:w="108" w:type="dxa"/>
            </w:tcMar>
            <w:vAlign w:val="center"/>
            <w:hideMark/>
          </w:tcPr>
          <w:p w14:paraId="49A0B50B" w14:textId="77777777" w:rsidR="00EF1A1D" w:rsidRPr="00EF1A1D" w:rsidRDefault="00EF1A1D" w:rsidP="00EF1A1D">
            <w:pPr>
              <w:spacing w:before="60" w:after="60" w:line="260" w:lineRule="exact"/>
              <w:jc w:val="center"/>
              <w:rPr>
                <w:sz w:val="18"/>
                <w:szCs w:val="18"/>
              </w:rPr>
            </w:pPr>
            <w:r w:rsidRPr="00EF1A1D">
              <w:rPr>
                <w:color w:val="000000"/>
                <w:sz w:val="18"/>
                <w:szCs w:val="18"/>
              </w:rPr>
              <w:t>9 030</w:t>
            </w:r>
          </w:p>
        </w:tc>
        <w:tc>
          <w:tcPr>
            <w:tcW w:w="1134" w:type="dxa"/>
            <w:tcMar>
              <w:top w:w="0" w:type="dxa"/>
              <w:left w:w="108" w:type="dxa"/>
              <w:bottom w:w="0" w:type="dxa"/>
              <w:right w:w="108" w:type="dxa"/>
            </w:tcMar>
            <w:vAlign w:val="center"/>
            <w:hideMark/>
          </w:tcPr>
          <w:p w14:paraId="354E434F" w14:textId="77777777" w:rsidR="00EF1A1D" w:rsidRPr="00EF1A1D" w:rsidRDefault="00EF1A1D" w:rsidP="00EF1A1D">
            <w:pPr>
              <w:spacing w:before="60" w:after="60" w:line="260" w:lineRule="exact"/>
              <w:jc w:val="center"/>
              <w:rPr>
                <w:sz w:val="18"/>
                <w:szCs w:val="18"/>
              </w:rPr>
            </w:pPr>
            <w:r w:rsidRPr="00EF1A1D">
              <w:rPr>
                <w:color w:val="000000"/>
                <w:sz w:val="18"/>
                <w:szCs w:val="18"/>
              </w:rPr>
              <w:t>8 818</w:t>
            </w:r>
          </w:p>
        </w:tc>
        <w:tc>
          <w:tcPr>
            <w:tcW w:w="1134" w:type="dxa"/>
            <w:tcMar>
              <w:top w:w="0" w:type="dxa"/>
              <w:left w:w="108" w:type="dxa"/>
              <w:bottom w:w="0" w:type="dxa"/>
              <w:right w:w="108" w:type="dxa"/>
            </w:tcMar>
            <w:vAlign w:val="center"/>
            <w:hideMark/>
          </w:tcPr>
          <w:p w14:paraId="1678FF26" w14:textId="77777777" w:rsidR="00EF1A1D" w:rsidRPr="00EF1A1D" w:rsidRDefault="00EF1A1D" w:rsidP="00EF1A1D">
            <w:pPr>
              <w:spacing w:before="60" w:after="60" w:line="260" w:lineRule="exact"/>
              <w:jc w:val="center"/>
              <w:rPr>
                <w:sz w:val="18"/>
                <w:szCs w:val="18"/>
              </w:rPr>
            </w:pPr>
            <w:r w:rsidRPr="00EF1A1D">
              <w:rPr>
                <w:color w:val="000000"/>
                <w:sz w:val="18"/>
                <w:szCs w:val="18"/>
              </w:rPr>
              <w:t>7 717</w:t>
            </w:r>
          </w:p>
        </w:tc>
        <w:tc>
          <w:tcPr>
            <w:tcW w:w="1144" w:type="dxa"/>
            <w:gridSpan w:val="2"/>
            <w:vAlign w:val="center"/>
            <w:hideMark/>
          </w:tcPr>
          <w:p w14:paraId="3AE1194A" w14:textId="77777777" w:rsidR="00EF1A1D" w:rsidRPr="00EF1A1D" w:rsidRDefault="00EF1A1D" w:rsidP="00EF1A1D">
            <w:pPr>
              <w:spacing w:before="60" w:after="60" w:line="260" w:lineRule="exact"/>
              <w:jc w:val="center"/>
              <w:rPr>
                <w:color w:val="000000"/>
                <w:sz w:val="18"/>
                <w:szCs w:val="18"/>
              </w:rPr>
            </w:pPr>
            <w:r w:rsidRPr="00EF1A1D">
              <w:rPr>
                <w:color w:val="000000"/>
                <w:sz w:val="18"/>
                <w:szCs w:val="18"/>
              </w:rPr>
              <w:t>9 240</w:t>
            </w:r>
          </w:p>
        </w:tc>
      </w:tr>
      <w:tr w:rsidR="00EF1A1D" w:rsidRPr="00EF1A1D" w14:paraId="0E8E1E39" w14:textId="77777777" w:rsidTr="00127006">
        <w:trPr>
          <w:jc w:val="center"/>
        </w:trPr>
        <w:tc>
          <w:tcPr>
            <w:tcW w:w="2552" w:type="dxa"/>
            <w:tcMar>
              <w:top w:w="0" w:type="dxa"/>
              <w:left w:w="108" w:type="dxa"/>
              <w:bottom w:w="0" w:type="dxa"/>
              <w:right w:w="108" w:type="dxa"/>
            </w:tcMar>
            <w:vAlign w:val="center"/>
            <w:hideMark/>
          </w:tcPr>
          <w:p w14:paraId="11C91A97" w14:textId="338218B7" w:rsidR="00EF1A1D" w:rsidRPr="00EF1A1D" w:rsidRDefault="00EF1A1D" w:rsidP="00EF1A1D">
            <w:pPr>
              <w:spacing w:before="60" w:after="60" w:line="260" w:lineRule="exact"/>
              <w:rPr>
                <w:sz w:val="18"/>
                <w:szCs w:val="18"/>
              </w:rPr>
            </w:pPr>
            <w:r>
              <w:rPr>
                <w:rFonts w:hint="cs"/>
                <w:color w:val="000000"/>
                <w:sz w:val="18"/>
                <w:szCs w:val="18"/>
                <w:rtl/>
              </w:rPr>
              <w:t>الإنكليزية</w:t>
            </w:r>
          </w:p>
        </w:tc>
        <w:tc>
          <w:tcPr>
            <w:tcW w:w="1134" w:type="dxa"/>
            <w:tcMar>
              <w:top w:w="0" w:type="dxa"/>
              <w:left w:w="108" w:type="dxa"/>
              <w:bottom w:w="0" w:type="dxa"/>
              <w:right w:w="108" w:type="dxa"/>
            </w:tcMar>
            <w:vAlign w:val="center"/>
            <w:hideMark/>
          </w:tcPr>
          <w:p w14:paraId="6B0DC308" w14:textId="77777777" w:rsidR="00EF1A1D" w:rsidRPr="00EF1A1D" w:rsidRDefault="00EF1A1D" w:rsidP="00EF1A1D">
            <w:pPr>
              <w:spacing w:before="60" w:after="60" w:line="260" w:lineRule="exact"/>
              <w:jc w:val="center"/>
              <w:rPr>
                <w:sz w:val="18"/>
                <w:szCs w:val="18"/>
              </w:rPr>
            </w:pPr>
            <w:r w:rsidRPr="00EF1A1D">
              <w:rPr>
                <w:color w:val="000000"/>
                <w:sz w:val="18"/>
                <w:szCs w:val="18"/>
              </w:rPr>
              <w:t>1 611</w:t>
            </w:r>
          </w:p>
        </w:tc>
        <w:tc>
          <w:tcPr>
            <w:tcW w:w="1134" w:type="dxa"/>
            <w:tcMar>
              <w:top w:w="0" w:type="dxa"/>
              <w:left w:w="108" w:type="dxa"/>
              <w:bottom w:w="0" w:type="dxa"/>
              <w:right w:w="108" w:type="dxa"/>
            </w:tcMar>
            <w:vAlign w:val="center"/>
            <w:hideMark/>
          </w:tcPr>
          <w:p w14:paraId="0A00023F" w14:textId="77777777" w:rsidR="00EF1A1D" w:rsidRPr="00EF1A1D" w:rsidRDefault="00EF1A1D" w:rsidP="00EF1A1D">
            <w:pPr>
              <w:spacing w:before="60" w:after="60" w:line="260" w:lineRule="exact"/>
              <w:jc w:val="center"/>
              <w:rPr>
                <w:sz w:val="18"/>
                <w:szCs w:val="18"/>
              </w:rPr>
            </w:pPr>
            <w:r w:rsidRPr="00EF1A1D">
              <w:rPr>
                <w:color w:val="000000"/>
                <w:sz w:val="18"/>
                <w:szCs w:val="18"/>
              </w:rPr>
              <w:t>2 044</w:t>
            </w:r>
          </w:p>
        </w:tc>
        <w:tc>
          <w:tcPr>
            <w:tcW w:w="1134" w:type="dxa"/>
            <w:tcMar>
              <w:top w:w="0" w:type="dxa"/>
              <w:left w:w="108" w:type="dxa"/>
              <w:bottom w:w="0" w:type="dxa"/>
              <w:right w:w="108" w:type="dxa"/>
            </w:tcMar>
            <w:vAlign w:val="center"/>
            <w:hideMark/>
          </w:tcPr>
          <w:p w14:paraId="3D62D393" w14:textId="77777777" w:rsidR="00EF1A1D" w:rsidRPr="00EF1A1D" w:rsidRDefault="00EF1A1D" w:rsidP="00EF1A1D">
            <w:pPr>
              <w:spacing w:before="60" w:after="60" w:line="260" w:lineRule="exact"/>
              <w:jc w:val="center"/>
              <w:rPr>
                <w:sz w:val="18"/>
                <w:szCs w:val="18"/>
              </w:rPr>
            </w:pPr>
            <w:r w:rsidRPr="00EF1A1D">
              <w:rPr>
                <w:color w:val="000000"/>
                <w:sz w:val="18"/>
                <w:szCs w:val="18"/>
              </w:rPr>
              <w:t>1 827</w:t>
            </w:r>
          </w:p>
        </w:tc>
        <w:tc>
          <w:tcPr>
            <w:tcW w:w="1134" w:type="dxa"/>
            <w:tcMar>
              <w:top w:w="0" w:type="dxa"/>
              <w:left w:w="108" w:type="dxa"/>
              <w:bottom w:w="0" w:type="dxa"/>
              <w:right w:w="108" w:type="dxa"/>
            </w:tcMar>
            <w:vAlign w:val="center"/>
            <w:hideMark/>
          </w:tcPr>
          <w:p w14:paraId="135B7A15" w14:textId="77777777" w:rsidR="00EF1A1D" w:rsidRPr="00EF1A1D" w:rsidRDefault="00EF1A1D" w:rsidP="00EF1A1D">
            <w:pPr>
              <w:spacing w:before="60" w:after="60" w:line="260" w:lineRule="exact"/>
              <w:jc w:val="center"/>
              <w:rPr>
                <w:sz w:val="18"/>
                <w:szCs w:val="18"/>
              </w:rPr>
            </w:pPr>
            <w:r w:rsidRPr="00EF1A1D">
              <w:rPr>
                <w:color w:val="000000"/>
                <w:sz w:val="18"/>
                <w:szCs w:val="18"/>
              </w:rPr>
              <w:t>1 608</w:t>
            </w:r>
          </w:p>
        </w:tc>
        <w:tc>
          <w:tcPr>
            <w:tcW w:w="1144" w:type="dxa"/>
            <w:gridSpan w:val="2"/>
            <w:vAlign w:val="center"/>
            <w:hideMark/>
          </w:tcPr>
          <w:p w14:paraId="37673CA4" w14:textId="77777777" w:rsidR="00EF1A1D" w:rsidRPr="00EF1A1D" w:rsidRDefault="00EF1A1D" w:rsidP="00EF1A1D">
            <w:pPr>
              <w:spacing w:before="60" w:after="60" w:line="260" w:lineRule="exact"/>
              <w:jc w:val="center"/>
              <w:rPr>
                <w:color w:val="000000"/>
                <w:sz w:val="18"/>
                <w:szCs w:val="18"/>
              </w:rPr>
            </w:pPr>
            <w:r w:rsidRPr="00EF1A1D">
              <w:rPr>
                <w:color w:val="000000"/>
                <w:sz w:val="18"/>
                <w:szCs w:val="18"/>
              </w:rPr>
              <w:t>1 339</w:t>
            </w:r>
          </w:p>
        </w:tc>
      </w:tr>
      <w:tr w:rsidR="00EF1A1D" w:rsidRPr="00EF1A1D" w14:paraId="65DA63D5" w14:textId="77777777" w:rsidTr="00127006">
        <w:trPr>
          <w:jc w:val="center"/>
        </w:trPr>
        <w:tc>
          <w:tcPr>
            <w:tcW w:w="2552" w:type="dxa"/>
            <w:tcMar>
              <w:top w:w="0" w:type="dxa"/>
              <w:left w:w="108" w:type="dxa"/>
              <w:bottom w:w="0" w:type="dxa"/>
              <w:right w:w="108" w:type="dxa"/>
            </w:tcMar>
            <w:vAlign w:val="center"/>
            <w:hideMark/>
          </w:tcPr>
          <w:p w14:paraId="7D2A1E7C" w14:textId="504BFD95" w:rsidR="00EF1A1D" w:rsidRPr="00EF1A1D" w:rsidRDefault="00EF1A1D" w:rsidP="00EF1A1D">
            <w:pPr>
              <w:spacing w:before="60" w:after="60" w:line="260" w:lineRule="exact"/>
              <w:rPr>
                <w:color w:val="000000"/>
                <w:sz w:val="18"/>
                <w:szCs w:val="18"/>
              </w:rPr>
            </w:pPr>
            <w:r>
              <w:rPr>
                <w:rFonts w:hint="cs"/>
                <w:color w:val="000000"/>
                <w:sz w:val="18"/>
                <w:szCs w:val="18"/>
                <w:rtl/>
              </w:rPr>
              <w:t>الفرنسية</w:t>
            </w:r>
          </w:p>
        </w:tc>
        <w:tc>
          <w:tcPr>
            <w:tcW w:w="1134" w:type="dxa"/>
            <w:tcMar>
              <w:top w:w="0" w:type="dxa"/>
              <w:left w:w="108" w:type="dxa"/>
              <w:bottom w:w="0" w:type="dxa"/>
              <w:right w:w="108" w:type="dxa"/>
            </w:tcMar>
            <w:vAlign w:val="center"/>
            <w:hideMark/>
          </w:tcPr>
          <w:p w14:paraId="53E07A93" w14:textId="77777777" w:rsidR="00EF1A1D" w:rsidRPr="00EF1A1D" w:rsidRDefault="00EF1A1D" w:rsidP="00EF1A1D">
            <w:pPr>
              <w:spacing w:before="60" w:after="60" w:line="260" w:lineRule="exact"/>
              <w:jc w:val="center"/>
              <w:rPr>
                <w:sz w:val="18"/>
                <w:szCs w:val="18"/>
              </w:rPr>
            </w:pPr>
            <w:r w:rsidRPr="00EF1A1D">
              <w:rPr>
                <w:color w:val="000000"/>
                <w:sz w:val="18"/>
                <w:szCs w:val="18"/>
              </w:rPr>
              <w:t>8 586</w:t>
            </w:r>
          </w:p>
        </w:tc>
        <w:tc>
          <w:tcPr>
            <w:tcW w:w="1134" w:type="dxa"/>
            <w:tcMar>
              <w:top w:w="0" w:type="dxa"/>
              <w:left w:w="108" w:type="dxa"/>
              <w:bottom w:w="0" w:type="dxa"/>
              <w:right w:w="108" w:type="dxa"/>
            </w:tcMar>
            <w:vAlign w:val="center"/>
            <w:hideMark/>
          </w:tcPr>
          <w:p w14:paraId="65CB393C" w14:textId="77777777" w:rsidR="00EF1A1D" w:rsidRPr="00EF1A1D" w:rsidRDefault="00EF1A1D" w:rsidP="00EF1A1D">
            <w:pPr>
              <w:spacing w:before="60" w:after="60" w:line="260" w:lineRule="exact"/>
              <w:jc w:val="center"/>
              <w:rPr>
                <w:sz w:val="18"/>
                <w:szCs w:val="18"/>
              </w:rPr>
            </w:pPr>
            <w:r w:rsidRPr="00EF1A1D">
              <w:rPr>
                <w:color w:val="000000"/>
                <w:sz w:val="18"/>
                <w:szCs w:val="18"/>
              </w:rPr>
              <w:t>10 173</w:t>
            </w:r>
          </w:p>
        </w:tc>
        <w:tc>
          <w:tcPr>
            <w:tcW w:w="1134" w:type="dxa"/>
            <w:tcMar>
              <w:top w:w="0" w:type="dxa"/>
              <w:left w:w="108" w:type="dxa"/>
              <w:bottom w:w="0" w:type="dxa"/>
              <w:right w:w="108" w:type="dxa"/>
            </w:tcMar>
            <w:vAlign w:val="center"/>
            <w:hideMark/>
          </w:tcPr>
          <w:p w14:paraId="405F98D9" w14:textId="77777777" w:rsidR="00EF1A1D" w:rsidRPr="00EF1A1D" w:rsidRDefault="00EF1A1D" w:rsidP="00EF1A1D">
            <w:pPr>
              <w:spacing w:before="60" w:after="60" w:line="260" w:lineRule="exact"/>
              <w:jc w:val="center"/>
              <w:rPr>
                <w:sz w:val="18"/>
                <w:szCs w:val="18"/>
              </w:rPr>
            </w:pPr>
            <w:r w:rsidRPr="00EF1A1D">
              <w:rPr>
                <w:color w:val="000000"/>
                <w:sz w:val="18"/>
                <w:szCs w:val="18"/>
              </w:rPr>
              <w:t>8 811</w:t>
            </w:r>
          </w:p>
        </w:tc>
        <w:tc>
          <w:tcPr>
            <w:tcW w:w="1134" w:type="dxa"/>
            <w:tcMar>
              <w:top w:w="0" w:type="dxa"/>
              <w:left w:w="108" w:type="dxa"/>
              <w:bottom w:w="0" w:type="dxa"/>
              <w:right w:w="108" w:type="dxa"/>
            </w:tcMar>
            <w:vAlign w:val="center"/>
            <w:hideMark/>
          </w:tcPr>
          <w:p w14:paraId="2E77A5CF" w14:textId="77777777" w:rsidR="00EF1A1D" w:rsidRPr="00EF1A1D" w:rsidRDefault="00EF1A1D" w:rsidP="00EF1A1D">
            <w:pPr>
              <w:spacing w:before="60" w:after="60" w:line="260" w:lineRule="exact"/>
              <w:jc w:val="center"/>
              <w:rPr>
                <w:sz w:val="18"/>
                <w:szCs w:val="18"/>
              </w:rPr>
            </w:pPr>
            <w:r w:rsidRPr="00EF1A1D">
              <w:rPr>
                <w:color w:val="000000"/>
                <w:sz w:val="18"/>
                <w:szCs w:val="18"/>
              </w:rPr>
              <w:t>8 531</w:t>
            </w:r>
          </w:p>
        </w:tc>
        <w:tc>
          <w:tcPr>
            <w:tcW w:w="1144" w:type="dxa"/>
            <w:gridSpan w:val="2"/>
            <w:vAlign w:val="center"/>
            <w:hideMark/>
          </w:tcPr>
          <w:p w14:paraId="3F20BC08" w14:textId="77777777" w:rsidR="00EF1A1D" w:rsidRPr="00EF1A1D" w:rsidRDefault="00EF1A1D" w:rsidP="00EF1A1D">
            <w:pPr>
              <w:spacing w:before="60" w:after="60" w:line="260" w:lineRule="exact"/>
              <w:jc w:val="center"/>
              <w:rPr>
                <w:color w:val="000000"/>
                <w:sz w:val="18"/>
                <w:szCs w:val="18"/>
              </w:rPr>
            </w:pPr>
            <w:r w:rsidRPr="00EF1A1D">
              <w:rPr>
                <w:color w:val="000000"/>
                <w:sz w:val="18"/>
                <w:szCs w:val="18"/>
              </w:rPr>
              <w:t>9 800</w:t>
            </w:r>
          </w:p>
        </w:tc>
      </w:tr>
      <w:tr w:rsidR="00EF1A1D" w:rsidRPr="00EF1A1D" w14:paraId="71CC5EB1" w14:textId="77777777" w:rsidTr="00127006">
        <w:trPr>
          <w:jc w:val="center"/>
        </w:trPr>
        <w:tc>
          <w:tcPr>
            <w:tcW w:w="2552" w:type="dxa"/>
            <w:tcMar>
              <w:top w:w="0" w:type="dxa"/>
              <w:left w:w="108" w:type="dxa"/>
              <w:bottom w:w="0" w:type="dxa"/>
              <w:right w:w="108" w:type="dxa"/>
            </w:tcMar>
            <w:vAlign w:val="center"/>
            <w:hideMark/>
          </w:tcPr>
          <w:p w14:paraId="0634D5EC" w14:textId="451FFE9C" w:rsidR="00EF1A1D" w:rsidRPr="00EF1A1D" w:rsidRDefault="00EF1A1D" w:rsidP="00EF1A1D">
            <w:pPr>
              <w:spacing w:before="60" w:after="60" w:line="260" w:lineRule="exact"/>
              <w:rPr>
                <w:sz w:val="18"/>
                <w:szCs w:val="18"/>
              </w:rPr>
            </w:pPr>
            <w:r>
              <w:rPr>
                <w:rFonts w:hint="cs"/>
                <w:color w:val="000000"/>
                <w:sz w:val="18"/>
                <w:szCs w:val="18"/>
                <w:rtl/>
              </w:rPr>
              <w:t>الروسية</w:t>
            </w:r>
          </w:p>
        </w:tc>
        <w:tc>
          <w:tcPr>
            <w:tcW w:w="1134" w:type="dxa"/>
            <w:tcMar>
              <w:top w:w="0" w:type="dxa"/>
              <w:left w:w="108" w:type="dxa"/>
              <w:bottom w:w="0" w:type="dxa"/>
              <w:right w:w="108" w:type="dxa"/>
            </w:tcMar>
            <w:vAlign w:val="center"/>
            <w:hideMark/>
          </w:tcPr>
          <w:p w14:paraId="33FF75A8" w14:textId="77777777" w:rsidR="00EF1A1D" w:rsidRPr="00EF1A1D" w:rsidRDefault="00EF1A1D" w:rsidP="00EF1A1D">
            <w:pPr>
              <w:spacing w:before="60" w:after="60" w:line="260" w:lineRule="exact"/>
              <w:jc w:val="center"/>
              <w:rPr>
                <w:sz w:val="18"/>
                <w:szCs w:val="18"/>
              </w:rPr>
            </w:pPr>
            <w:r w:rsidRPr="00EF1A1D">
              <w:rPr>
                <w:color w:val="000000"/>
                <w:sz w:val="18"/>
                <w:szCs w:val="18"/>
              </w:rPr>
              <w:t>8 050</w:t>
            </w:r>
          </w:p>
        </w:tc>
        <w:tc>
          <w:tcPr>
            <w:tcW w:w="1134" w:type="dxa"/>
            <w:tcMar>
              <w:top w:w="0" w:type="dxa"/>
              <w:left w:w="108" w:type="dxa"/>
              <w:bottom w:w="0" w:type="dxa"/>
              <w:right w:w="108" w:type="dxa"/>
            </w:tcMar>
            <w:vAlign w:val="center"/>
            <w:hideMark/>
          </w:tcPr>
          <w:p w14:paraId="6A518D56" w14:textId="77777777" w:rsidR="00EF1A1D" w:rsidRPr="00EF1A1D" w:rsidRDefault="00EF1A1D" w:rsidP="00EF1A1D">
            <w:pPr>
              <w:spacing w:before="60" w:after="60" w:line="260" w:lineRule="exact"/>
              <w:jc w:val="center"/>
              <w:rPr>
                <w:sz w:val="18"/>
                <w:szCs w:val="18"/>
              </w:rPr>
            </w:pPr>
            <w:r w:rsidRPr="00EF1A1D">
              <w:rPr>
                <w:color w:val="000000"/>
                <w:sz w:val="18"/>
                <w:szCs w:val="18"/>
              </w:rPr>
              <w:t>8 706</w:t>
            </w:r>
          </w:p>
        </w:tc>
        <w:tc>
          <w:tcPr>
            <w:tcW w:w="1134" w:type="dxa"/>
            <w:tcMar>
              <w:top w:w="0" w:type="dxa"/>
              <w:left w:w="108" w:type="dxa"/>
              <w:bottom w:w="0" w:type="dxa"/>
              <w:right w:w="108" w:type="dxa"/>
            </w:tcMar>
            <w:vAlign w:val="center"/>
            <w:hideMark/>
          </w:tcPr>
          <w:p w14:paraId="55A81E3E" w14:textId="77777777" w:rsidR="00EF1A1D" w:rsidRPr="00EF1A1D" w:rsidRDefault="00EF1A1D" w:rsidP="00EF1A1D">
            <w:pPr>
              <w:spacing w:before="60" w:after="60" w:line="260" w:lineRule="exact"/>
              <w:jc w:val="center"/>
              <w:rPr>
                <w:sz w:val="18"/>
                <w:szCs w:val="18"/>
              </w:rPr>
            </w:pPr>
            <w:r w:rsidRPr="00EF1A1D">
              <w:rPr>
                <w:color w:val="000000"/>
                <w:sz w:val="18"/>
                <w:szCs w:val="18"/>
              </w:rPr>
              <w:t>8 463</w:t>
            </w:r>
          </w:p>
        </w:tc>
        <w:tc>
          <w:tcPr>
            <w:tcW w:w="1134" w:type="dxa"/>
            <w:tcMar>
              <w:top w:w="0" w:type="dxa"/>
              <w:left w:w="108" w:type="dxa"/>
              <w:bottom w:w="0" w:type="dxa"/>
              <w:right w:w="108" w:type="dxa"/>
            </w:tcMar>
            <w:vAlign w:val="center"/>
            <w:hideMark/>
          </w:tcPr>
          <w:p w14:paraId="2D9D0FFC" w14:textId="77777777" w:rsidR="00EF1A1D" w:rsidRPr="00EF1A1D" w:rsidRDefault="00EF1A1D" w:rsidP="00EF1A1D">
            <w:pPr>
              <w:spacing w:before="60" w:after="60" w:line="260" w:lineRule="exact"/>
              <w:jc w:val="center"/>
              <w:rPr>
                <w:sz w:val="18"/>
                <w:szCs w:val="18"/>
              </w:rPr>
            </w:pPr>
            <w:r w:rsidRPr="00EF1A1D">
              <w:rPr>
                <w:color w:val="000000"/>
                <w:sz w:val="18"/>
                <w:szCs w:val="18"/>
              </w:rPr>
              <w:t>7 501</w:t>
            </w:r>
          </w:p>
        </w:tc>
        <w:tc>
          <w:tcPr>
            <w:tcW w:w="1144" w:type="dxa"/>
            <w:gridSpan w:val="2"/>
            <w:vAlign w:val="center"/>
            <w:hideMark/>
          </w:tcPr>
          <w:p w14:paraId="7D7AF9C1" w14:textId="77777777" w:rsidR="00EF1A1D" w:rsidRPr="00EF1A1D" w:rsidRDefault="00EF1A1D" w:rsidP="00EF1A1D">
            <w:pPr>
              <w:spacing w:before="60" w:after="60" w:line="260" w:lineRule="exact"/>
              <w:jc w:val="center"/>
              <w:rPr>
                <w:color w:val="000000"/>
                <w:sz w:val="18"/>
                <w:szCs w:val="18"/>
              </w:rPr>
            </w:pPr>
            <w:r w:rsidRPr="00EF1A1D">
              <w:rPr>
                <w:color w:val="000000"/>
                <w:sz w:val="18"/>
                <w:szCs w:val="18"/>
              </w:rPr>
              <w:t>8 202</w:t>
            </w:r>
          </w:p>
        </w:tc>
      </w:tr>
      <w:tr w:rsidR="00EF1A1D" w:rsidRPr="00EF1A1D" w14:paraId="687DC6A5" w14:textId="77777777" w:rsidTr="00127006">
        <w:trPr>
          <w:jc w:val="center"/>
        </w:trPr>
        <w:tc>
          <w:tcPr>
            <w:tcW w:w="2552" w:type="dxa"/>
            <w:tcMar>
              <w:top w:w="0" w:type="dxa"/>
              <w:left w:w="108" w:type="dxa"/>
              <w:bottom w:w="0" w:type="dxa"/>
              <w:right w:w="108" w:type="dxa"/>
            </w:tcMar>
            <w:vAlign w:val="center"/>
            <w:hideMark/>
          </w:tcPr>
          <w:p w14:paraId="485996A0" w14:textId="1CDFDDEE" w:rsidR="00EF1A1D" w:rsidRPr="00EF1A1D" w:rsidRDefault="00EF1A1D" w:rsidP="00EF1A1D">
            <w:pPr>
              <w:spacing w:before="60" w:after="60" w:line="260" w:lineRule="exact"/>
              <w:rPr>
                <w:color w:val="000000"/>
                <w:sz w:val="18"/>
                <w:szCs w:val="18"/>
              </w:rPr>
            </w:pPr>
            <w:r>
              <w:rPr>
                <w:rFonts w:hint="cs"/>
                <w:color w:val="000000"/>
                <w:sz w:val="18"/>
                <w:szCs w:val="18"/>
                <w:rtl/>
              </w:rPr>
              <w:t>الإسبانية</w:t>
            </w:r>
          </w:p>
        </w:tc>
        <w:tc>
          <w:tcPr>
            <w:tcW w:w="1134" w:type="dxa"/>
            <w:tcMar>
              <w:top w:w="0" w:type="dxa"/>
              <w:left w:w="108" w:type="dxa"/>
              <w:bottom w:w="0" w:type="dxa"/>
              <w:right w:w="108" w:type="dxa"/>
            </w:tcMar>
            <w:vAlign w:val="center"/>
            <w:hideMark/>
          </w:tcPr>
          <w:p w14:paraId="2FF44860" w14:textId="77777777" w:rsidR="00EF1A1D" w:rsidRPr="00EF1A1D" w:rsidRDefault="00EF1A1D" w:rsidP="00EF1A1D">
            <w:pPr>
              <w:spacing w:before="60" w:after="60" w:line="260" w:lineRule="exact"/>
              <w:jc w:val="center"/>
              <w:rPr>
                <w:sz w:val="18"/>
                <w:szCs w:val="18"/>
              </w:rPr>
            </w:pPr>
            <w:r w:rsidRPr="00EF1A1D">
              <w:rPr>
                <w:color w:val="000000"/>
                <w:sz w:val="18"/>
                <w:szCs w:val="18"/>
              </w:rPr>
              <w:t>8 135</w:t>
            </w:r>
          </w:p>
        </w:tc>
        <w:tc>
          <w:tcPr>
            <w:tcW w:w="1134" w:type="dxa"/>
            <w:tcMar>
              <w:top w:w="0" w:type="dxa"/>
              <w:left w:w="108" w:type="dxa"/>
              <w:bottom w:w="0" w:type="dxa"/>
              <w:right w:w="108" w:type="dxa"/>
            </w:tcMar>
            <w:vAlign w:val="center"/>
            <w:hideMark/>
          </w:tcPr>
          <w:p w14:paraId="498952F5" w14:textId="77777777" w:rsidR="00EF1A1D" w:rsidRPr="00EF1A1D" w:rsidRDefault="00EF1A1D" w:rsidP="00EF1A1D">
            <w:pPr>
              <w:spacing w:before="60" w:after="60" w:line="260" w:lineRule="exact"/>
              <w:jc w:val="center"/>
              <w:rPr>
                <w:sz w:val="18"/>
                <w:szCs w:val="18"/>
              </w:rPr>
            </w:pPr>
            <w:r w:rsidRPr="00EF1A1D">
              <w:rPr>
                <w:color w:val="000000"/>
                <w:sz w:val="18"/>
                <w:szCs w:val="18"/>
              </w:rPr>
              <w:t>8 928</w:t>
            </w:r>
          </w:p>
        </w:tc>
        <w:tc>
          <w:tcPr>
            <w:tcW w:w="1134" w:type="dxa"/>
            <w:tcMar>
              <w:top w:w="0" w:type="dxa"/>
              <w:left w:w="108" w:type="dxa"/>
              <w:bottom w:w="0" w:type="dxa"/>
              <w:right w:w="108" w:type="dxa"/>
            </w:tcMar>
            <w:vAlign w:val="center"/>
            <w:hideMark/>
          </w:tcPr>
          <w:p w14:paraId="344050CE" w14:textId="77777777" w:rsidR="00EF1A1D" w:rsidRPr="00EF1A1D" w:rsidRDefault="00EF1A1D" w:rsidP="00EF1A1D">
            <w:pPr>
              <w:spacing w:before="60" w:after="60" w:line="260" w:lineRule="exact"/>
              <w:jc w:val="center"/>
              <w:rPr>
                <w:sz w:val="18"/>
                <w:szCs w:val="18"/>
              </w:rPr>
            </w:pPr>
            <w:r w:rsidRPr="00EF1A1D">
              <w:rPr>
                <w:color w:val="000000"/>
                <w:sz w:val="18"/>
                <w:szCs w:val="18"/>
              </w:rPr>
              <w:t>8 215</w:t>
            </w:r>
          </w:p>
        </w:tc>
        <w:tc>
          <w:tcPr>
            <w:tcW w:w="1134" w:type="dxa"/>
            <w:tcMar>
              <w:top w:w="0" w:type="dxa"/>
              <w:left w:w="108" w:type="dxa"/>
              <w:bottom w:w="0" w:type="dxa"/>
              <w:right w:w="108" w:type="dxa"/>
            </w:tcMar>
            <w:vAlign w:val="center"/>
            <w:hideMark/>
          </w:tcPr>
          <w:p w14:paraId="2268B379" w14:textId="77777777" w:rsidR="00EF1A1D" w:rsidRPr="00EF1A1D" w:rsidRDefault="00EF1A1D" w:rsidP="00EF1A1D">
            <w:pPr>
              <w:spacing w:before="60" w:after="60" w:line="260" w:lineRule="exact"/>
              <w:jc w:val="center"/>
              <w:rPr>
                <w:sz w:val="18"/>
                <w:szCs w:val="18"/>
              </w:rPr>
            </w:pPr>
            <w:r w:rsidRPr="00EF1A1D">
              <w:rPr>
                <w:color w:val="000000"/>
                <w:sz w:val="18"/>
                <w:szCs w:val="18"/>
              </w:rPr>
              <w:t>8 072</w:t>
            </w:r>
          </w:p>
        </w:tc>
        <w:tc>
          <w:tcPr>
            <w:tcW w:w="1144" w:type="dxa"/>
            <w:gridSpan w:val="2"/>
            <w:vAlign w:val="center"/>
            <w:hideMark/>
          </w:tcPr>
          <w:p w14:paraId="25B9EB1F" w14:textId="77777777" w:rsidR="00EF1A1D" w:rsidRPr="00EF1A1D" w:rsidRDefault="00EF1A1D" w:rsidP="00EF1A1D">
            <w:pPr>
              <w:spacing w:before="60" w:after="60" w:line="260" w:lineRule="exact"/>
              <w:jc w:val="center"/>
              <w:rPr>
                <w:color w:val="000000"/>
                <w:sz w:val="18"/>
                <w:szCs w:val="18"/>
              </w:rPr>
            </w:pPr>
            <w:r w:rsidRPr="00EF1A1D">
              <w:rPr>
                <w:color w:val="000000"/>
                <w:sz w:val="18"/>
                <w:szCs w:val="18"/>
              </w:rPr>
              <w:t>9 174</w:t>
            </w:r>
          </w:p>
        </w:tc>
      </w:tr>
      <w:tr w:rsidR="00EF1A1D" w:rsidRPr="00EF1A1D" w14:paraId="112FD264" w14:textId="77777777" w:rsidTr="00127006">
        <w:trPr>
          <w:trHeight w:val="169"/>
          <w:jc w:val="center"/>
        </w:trPr>
        <w:tc>
          <w:tcPr>
            <w:tcW w:w="2552" w:type="dxa"/>
            <w:tcMar>
              <w:top w:w="0" w:type="dxa"/>
              <w:left w:w="108" w:type="dxa"/>
              <w:bottom w:w="0" w:type="dxa"/>
              <w:right w:w="108" w:type="dxa"/>
            </w:tcMar>
            <w:vAlign w:val="center"/>
            <w:hideMark/>
          </w:tcPr>
          <w:p w14:paraId="3C3AA599" w14:textId="79BBAB1D" w:rsidR="00EF1A1D" w:rsidRPr="00EF1A1D" w:rsidRDefault="00EF1A1D" w:rsidP="00EF1A1D">
            <w:pPr>
              <w:spacing w:before="60" w:after="60" w:line="260" w:lineRule="exact"/>
              <w:rPr>
                <w:b/>
                <w:bCs/>
                <w:sz w:val="18"/>
                <w:szCs w:val="18"/>
              </w:rPr>
            </w:pPr>
            <w:r>
              <w:rPr>
                <w:rFonts w:hint="cs"/>
                <w:b/>
                <w:bCs/>
                <w:color w:val="000000"/>
                <w:sz w:val="18"/>
                <w:szCs w:val="18"/>
                <w:rtl/>
              </w:rPr>
              <w:t>المجموع</w:t>
            </w:r>
          </w:p>
        </w:tc>
        <w:tc>
          <w:tcPr>
            <w:tcW w:w="1134" w:type="dxa"/>
            <w:tcMar>
              <w:top w:w="0" w:type="dxa"/>
              <w:left w:w="108" w:type="dxa"/>
              <w:bottom w:w="0" w:type="dxa"/>
              <w:right w:w="108" w:type="dxa"/>
            </w:tcMar>
            <w:vAlign w:val="center"/>
            <w:hideMark/>
          </w:tcPr>
          <w:p w14:paraId="30EFA983" w14:textId="77777777" w:rsidR="00EF1A1D" w:rsidRPr="00EF1A1D" w:rsidRDefault="00EF1A1D" w:rsidP="00EF1A1D">
            <w:pPr>
              <w:spacing w:before="60" w:after="60" w:line="260" w:lineRule="exact"/>
              <w:jc w:val="center"/>
              <w:rPr>
                <w:sz w:val="18"/>
                <w:szCs w:val="18"/>
              </w:rPr>
            </w:pPr>
            <w:r w:rsidRPr="00EF1A1D">
              <w:rPr>
                <w:color w:val="000000"/>
                <w:sz w:val="18"/>
                <w:szCs w:val="18"/>
              </w:rPr>
              <w:t>43 197</w:t>
            </w:r>
          </w:p>
        </w:tc>
        <w:tc>
          <w:tcPr>
            <w:tcW w:w="1134" w:type="dxa"/>
            <w:tcMar>
              <w:top w:w="0" w:type="dxa"/>
              <w:left w:w="108" w:type="dxa"/>
              <w:bottom w:w="0" w:type="dxa"/>
              <w:right w:w="108" w:type="dxa"/>
            </w:tcMar>
            <w:vAlign w:val="center"/>
            <w:hideMark/>
          </w:tcPr>
          <w:p w14:paraId="7546D2A4" w14:textId="77777777" w:rsidR="00EF1A1D" w:rsidRPr="00EF1A1D" w:rsidRDefault="00EF1A1D" w:rsidP="00EF1A1D">
            <w:pPr>
              <w:spacing w:before="60" w:after="60" w:line="260" w:lineRule="exact"/>
              <w:jc w:val="center"/>
              <w:rPr>
                <w:sz w:val="18"/>
                <w:szCs w:val="18"/>
              </w:rPr>
            </w:pPr>
            <w:r w:rsidRPr="00EF1A1D">
              <w:rPr>
                <w:color w:val="000000"/>
                <w:sz w:val="18"/>
                <w:szCs w:val="18"/>
              </w:rPr>
              <w:t>47 773</w:t>
            </w:r>
          </w:p>
        </w:tc>
        <w:tc>
          <w:tcPr>
            <w:tcW w:w="1134" w:type="dxa"/>
            <w:tcMar>
              <w:top w:w="0" w:type="dxa"/>
              <w:left w:w="108" w:type="dxa"/>
              <w:bottom w:w="0" w:type="dxa"/>
              <w:right w:w="108" w:type="dxa"/>
            </w:tcMar>
            <w:vAlign w:val="center"/>
            <w:hideMark/>
          </w:tcPr>
          <w:p w14:paraId="390BC56E" w14:textId="77777777" w:rsidR="00EF1A1D" w:rsidRPr="00EF1A1D" w:rsidRDefault="00EF1A1D" w:rsidP="00EF1A1D">
            <w:pPr>
              <w:spacing w:before="60" w:after="60" w:line="260" w:lineRule="exact"/>
              <w:jc w:val="center"/>
              <w:rPr>
                <w:sz w:val="18"/>
                <w:szCs w:val="18"/>
              </w:rPr>
            </w:pPr>
            <w:r w:rsidRPr="00EF1A1D">
              <w:rPr>
                <w:color w:val="000000"/>
                <w:sz w:val="18"/>
                <w:szCs w:val="18"/>
              </w:rPr>
              <w:t>44 534</w:t>
            </w:r>
          </w:p>
        </w:tc>
        <w:tc>
          <w:tcPr>
            <w:tcW w:w="1134" w:type="dxa"/>
            <w:tcMar>
              <w:top w:w="0" w:type="dxa"/>
              <w:left w:w="108" w:type="dxa"/>
              <w:bottom w:w="0" w:type="dxa"/>
              <w:right w:w="108" w:type="dxa"/>
            </w:tcMar>
            <w:vAlign w:val="center"/>
            <w:hideMark/>
          </w:tcPr>
          <w:p w14:paraId="13A1DD83" w14:textId="77777777" w:rsidR="00EF1A1D" w:rsidRPr="00EF1A1D" w:rsidRDefault="00EF1A1D" w:rsidP="00EF1A1D">
            <w:pPr>
              <w:spacing w:before="60" w:after="60" w:line="260" w:lineRule="exact"/>
              <w:jc w:val="center"/>
              <w:rPr>
                <w:sz w:val="18"/>
                <w:szCs w:val="18"/>
              </w:rPr>
            </w:pPr>
            <w:r w:rsidRPr="00EF1A1D">
              <w:rPr>
                <w:color w:val="000000"/>
                <w:sz w:val="18"/>
                <w:szCs w:val="18"/>
              </w:rPr>
              <w:t>41 272</w:t>
            </w:r>
          </w:p>
        </w:tc>
        <w:tc>
          <w:tcPr>
            <w:tcW w:w="1144" w:type="dxa"/>
            <w:gridSpan w:val="2"/>
            <w:vAlign w:val="center"/>
            <w:hideMark/>
          </w:tcPr>
          <w:p w14:paraId="43BBA82E" w14:textId="77777777" w:rsidR="00EF1A1D" w:rsidRPr="00EF1A1D" w:rsidRDefault="00EF1A1D" w:rsidP="00EF1A1D">
            <w:pPr>
              <w:spacing w:before="60" w:after="60" w:line="260" w:lineRule="exact"/>
              <w:jc w:val="center"/>
              <w:rPr>
                <w:color w:val="000000"/>
                <w:sz w:val="18"/>
                <w:szCs w:val="18"/>
              </w:rPr>
            </w:pPr>
            <w:r w:rsidRPr="00EF1A1D">
              <w:rPr>
                <w:color w:val="000000"/>
                <w:sz w:val="18"/>
                <w:szCs w:val="18"/>
              </w:rPr>
              <w:t>46 717</w:t>
            </w:r>
          </w:p>
        </w:tc>
      </w:tr>
    </w:tbl>
    <w:p w14:paraId="77A886CE" w14:textId="17646C61" w:rsidR="00DF17E5" w:rsidRPr="00DF17E5" w:rsidRDefault="00EF1A1D" w:rsidP="00127006">
      <w:pPr>
        <w:pStyle w:val="Figuretitle"/>
        <w:rPr>
          <w:rFonts w:cstheme="minorHAnsi"/>
          <w:sz w:val="24"/>
          <w:szCs w:val="24"/>
          <w:rtl/>
          <w:lang w:bidi="ar-JO"/>
        </w:rPr>
      </w:pPr>
      <w:r w:rsidRPr="00DF17E5">
        <w:rPr>
          <w:rFonts w:hint="cs"/>
          <w:rtl/>
        </w:rPr>
        <w:lastRenderedPageBreak/>
        <w:t xml:space="preserve">الشكل 2. </w:t>
      </w:r>
      <w:r w:rsidR="00DF17E5" w:rsidRPr="00DF17E5">
        <w:rPr>
          <w:rtl/>
        </w:rPr>
        <w:t xml:space="preserve">تطوُّر </w:t>
      </w:r>
      <w:r w:rsidR="00DF17E5" w:rsidRPr="00DF17E5">
        <w:rPr>
          <w:rFonts w:hint="cs"/>
          <w:rtl/>
        </w:rPr>
        <w:t>حجم الترجمة التحريرية</w:t>
      </w:r>
      <w:r w:rsidR="00DF17E5" w:rsidRPr="00DF17E5">
        <w:rPr>
          <w:rtl/>
        </w:rPr>
        <w:t xml:space="preserve"> </w:t>
      </w:r>
      <w:r w:rsidR="00DF17E5" w:rsidRPr="00DF17E5">
        <w:rPr>
          <w:rFonts w:hint="cs"/>
          <w:rtl/>
        </w:rPr>
        <w:t>لكل</w:t>
      </w:r>
      <w:r w:rsidR="00DF17E5">
        <w:rPr>
          <w:rFonts w:hint="cs"/>
          <w:rtl/>
        </w:rPr>
        <w:t>ّ</w:t>
      </w:r>
      <w:r w:rsidR="00DF17E5" w:rsidRPr="00DF17E5">
        <w:rPr>
          <w:rFonts w:hint="cs"/>
          <w:rtl/>
        </w:rPr>
        <w:t xml:space="preserve"> لغة (صفحات)، 2018-2022</w:t>
      </w:r>
    </w:p>
    <w:p w14:paraId="7D270926" w14:textId="055C6146" w:rsidR="00EF1A1D" w:rsidRDefault="00127006" w:rsidP="00B52A2E">
      <w:pPr>
        <w:spacing w:after="120" w:line="240" w:lineRule="auto"/>
        <w:jc w:val="center"/>
      </w:pPr>
      <w:r>
        <w:rPr>
          <w:noProof/>
        </w:rPr>
        <w:drawing>
          <wp:inline distT="0" distB="0" distL="0" distR="0" wp14:anchorId="34EA0BEC" wp14:editId="75B6EAD8">
            <wp:extent cx="3785870" cy="2444750"/>
            <wp:effectExtent l="0" t="0" r="508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85870" cy="2444750"/>
                    </a:xfrm>
                    <a:prstGeom prst="rect">
                      <a:avLst/>
                    </a:prstGeom>
                    <a:noFill/>
                  </pic:spPr>
                </pic:pic>
              </a:graphicData>
            </a:graphic>
          </wp:inline>
        </w:drawing>
      </w:r>
    </w:p>
    <w:p w14:paraId="36359699" w14:textId="0940A2F4" w:rsidR="00F50E3F" w:rsidRDefault="00D63735" w:rsidP="00D63735">
      <w:pPr>
        <w:spacing w:before="600"/>
        <w:jc w:val="center"/>
        <w:rPr>
          <w:rtl/>
          <w:lang w:bidi="ar-EG"/>
        </w:rPr>
      </w:pPr>
      <w:r>
        <w:rPr>
          <w:rFonts w:hint="cs"/>
          <w:rtl/>
          <w:lang w:bidi="ar-EG"/>
        </w:rPr>
        <w:t>ــــــــــــــــــــــــــــــــــــــــــــــــــــــــــــــــــــــــــــــــــــــــــــــــ</w:t>
      </w:r>
    </w:p>
    <w:sectPr w:rsidR="00F50E3F" w:rsidSect="006C3242">
      <w:headerReference w:type="even" r:id="rId13"/>
      <w:headerReference w:type="default" r:id="rId14"/>
      <w:footerReference w:type="even" r:id="rId15"/>
      <w:footerReference w:type="default" r:id="rId16"/>
      <w:headerReference w:type="first" r:id="rId17"/>
      <w:footerReference w:type="first" r:id="rId18"/>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F102EA" w14:textId="77777777" w:rsidR="00FD07D8" w:rsidRDefault="00FD07D8" w:rsidP="006C3242">
      <w:pPr>
        <w:spacing w:before="0" w:line="240" w:lineRule="auto"/>
      </w:pPr>
      <w:r>
        <w:separator/>
      </w:r>
    </w:p>
  </w:endnote>
  <w:endnote w:type="continuationSeparator" w:id="0">
    <w:p w14:paraId="15E10EB8" w14:textId="77777777" w:rsidR="00FD07D8" w:rsidRDefault="00FD07D8"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altName w:val="Times New Roman"/>
    <w:charset w:val="B2"/>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244AB" w14:textId="77777777" w:rsidR="00450606" w:rsidRDefault="004506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3"/>
      <w:gridCol w:w="7542"/>
      <w:gridCol w:w="424"/>
    </w:tblGrid>
    <w:tr w:rsidR="00F50E3F" w:rsidRPr="007B0AA0" w14:paraId="485CB538" w14:textId="77777777" w:rsidTr="00357086">
      <w:trPr>
        <w:jc w:val="center"/>
      </w:trPr>
      <w:tc>
        <w:tcPr>
          <w:tcW w:w="868" w:type="pct"/>
          <w:vAlign w:val="center"/>
        </w:tcPr>
        <w:p w14:paraId="1B50C0AB" w14:textId="5DE4AEA3" w:rsidR="00F50E3F" w:rsidRPr="007B0AA0" w:rsidRDefault="00F50E3F" w:rsidP="00750D58">
          <w:pPr>
            <w:tabs>
              <w:tab w:val="clear" w:pos="794"/>
            </w:tabs>
            <w:overflowPunct w:val="0"/>
            <w:autoSpaceDE w:val="0"/>
            <w:autoSpaceDN w:val="0"/>
            <w:bidi w:val="0"/>
            <w:adjustRightInd w:val="0"/>
            <w:spacing w:after="120" w:line="240" w:lineRule="auto"/>
            <w:jc w:val="right"/>
            <w:textAlignment w:val="baseline"/>
            <w:rPr>
              <w:rFonts w:ascii="Calibri" w:hAnsi="Calibri" w:cs="Arial"/>
              <w:noProof/>
              <w:sz w:val="18"/>
            </w:rPr>
          </w:pPr>
          <w:r w:rsidRPr="00F50E3F">
            <w:rPr>
              <w:rFonts w:ascii="Calibri" w:hAnsi="Calibri" w:cs="Arial"/>
              <w:sz w:val="18"/>
              <w:szCs w:val="14"/>
            </w:rPr>
            <w:t xml:space="preserve">DPS </w:t>
          </w:r>
          <w:r w:rsidR="00B52A2E">
            <w:rPr>
              <w:rFonts w:ascii="Calibri" w:hAnsi="Calibri" w:cs="Arial"/>
              <w:sz w:val="18"/>
              <w:szCs w:val="14"/>
            </w:rPr>
            <w:t>521081</w:t>
          </w:r>
        </w:p>
      </w:tc>
      <w:tc>
        <w:tcPr>
          <w:tcW w:w="3912" w:type="pct"/>
        </w:tcPr>
        <w:p w14:paraId="03FC2AC1" w14:textId="32C3C607" w:rsidR="00F50E3F" w:rsidRPr="007B0AA0" w:rsidRDefault="00F50E3F" w:rsidP="00750D58">
          <w:pPr>
            <w:tabs>
              <w:tab w:val="clear" w:pos="794"/>
              <w:tab w:val="left" w:pos="862"/>
              <w:tab w:val="right" w:pos="8505"/>
              <w:tab w:val="right" w:pos="9639"/>
            </w:tabs>
            <w:overflowPunct w:val="0"/>
            <w:autoSpaceDE w:val="0"/>
            <w:autoSpaceDN w:val="0"/>
            <w:adjustRightInd w:val="0"/>
            <w:spacing w:after="120" w:line="240" w:lineRule="auto"/>
            <w:jc w:val="right"/>
            <w:textAlignment w:val="baseline"/>
            <w:rPr>
              <w:rFonts w:ascii="Arial" w:hAnsi="Arial" w:cs="Arial"/>
              <w:b/>
              <w:bCs/>
              <w:color w:val="7F7F7F"/>
              <w:sz w:val="18"/>
              <w:szCs w:val="18"/>
            </w:rPr>
          </w:pPr>
          <w:r w:rsidRPr="007B0AA0">
            <w:rPr>
              <w:rFonts w:ascii="Calibri" w:hAnsi="Calibri" w:cs="Arial"/>
              <w:bCs/>
              <w:color w:val="7F7F7F"/>
              <w:sz w:val="18"/>
            </w:rPr>
            <w:t>C23/</w:t>
          </w:r>
          <w:r w:rsidR="00B52A2E">
            <w:rPr>
              <w:rFonts w:ascii="Calibri" w:hAnsi="Calibri" w:cs="Arial"/>
              <w:bCs/>
              <w:color w:val="7F7F7F"/>
              <w:sz w:val="18"/>
            </w:rPr>
            <w:t>47</w:t>
          </w:r>
          <w:r w:rsidRPr="007B0AA0">
            <w:rPr>
              <w:rFonts w:ascii="Calibri" w:hAnsi="Calibri" w:cs="Arial"/>
              <w:bCs/>
              <w:color w:val="7F7F7F"/>
              <w:sz w:val="18"/>
            </w:rPr>
            <w:t>-</w:t>
          </w:r>
          <w:r>
            <w:rPr>
              <w:rFonts w:ascii="Calibri" w:hAnsi="Calibri" w:cs="Arial"/>
              <w:bCs/>
              <w:color w:val="7F7F7F"/>
              <w:sz w:val="18"/>
            </w:rPr>
            <w:t>A</w:t>
          </w:r>
        </w:p>
      </w:tc>
      <w:tc>
        <w:tcPr>
          <w:tcW w:w="220" w:type="pct"/>
        </w:tcPr>
        <w:p w14:paraId="7C00DE4A" w14:textId="77777777" w:rsidR="00F50E3F" w:rsidRPr="007B0AA0" w:rsidRDefault="00F50E3F" w:rsidP="00750D58">
          <w:pPr>
            <w:tabs>
              <w:tab w:val="clear" w:pos="794"/>
              <w:tab w:val="left" w:pos="862"/>
              <w:tab w:val="right" w:pos="8505"/>
              <w:tab w:val="right" w:pos="9639"/>
            </w:tabs>
            <w:overflowPunct w:val="0"/>
            <w:autoSpaceDE w:val="0"/>
            <w:autoSpaceDN w:val="0"/>
            <w:adjustRightInd w:val="0"/>
            <w:spacing w:after="120" w:line="240" w:lineRule="auto"/>
            <w:jc w:val="right"/>
            <w:textAlignment w:val="baseline"/>
            <w:rPr>
              <w:rFonts w:ascii="Calibri" w:hAnsi="Calibri" w:cs="Arial"/>
              <w:bCs/>
              <w:color w:val="7F7F7F"/>
              <w:sz w:val="18"/>
            </w:rPr>
          </w:pPr>
          <w:r w:rsidRPr="007B0AA0">
            <w:rPr>
              <w:rFonts w:ascii="Calibri" w:hAnsi="Calibri" w:cs="Arial"/>
              <w:color w:val="7F7F7F"/>
              <w:sz w:val="18"/>
            </w:rPr>
            <w:fldChar w:fldCharType="begin"/>
          </w:r>
          <w:r w:rsidRPr="007B0AA0">
            <w:rPr>
              <w:rFonts w:ascii="Calibri" w:hAnsi="Calibri" w:cs="Arial"/>
              <w:color w:val="7F7F7F"/>
              <w:sz w:val="18"/>
            </w:rPr>
            <w:instrText>PAGE</w:instrText>
          </w:r>
          <w:r w:rsidRPr="007B0AA0">
            <w:rPr>
              <w:rFonts w:ascii="Calibri" w:hAnsi="Calibri" w:cs="Arial"/>
              <w:color w:val="7F7F7F"/>
              <w:sz w:val="18"/>
            </w:rPr>
            <w:fldChar w:fldCharType="separate"/>
          </w:r>
          <w:r>
            <w:rPr>
              <w:rFonts w:cs="Arial"/>
              <w:color w:val="7F7F7F"/>
              <w:sz w:val="18"/>
            </w:rPr>
            <w:t>1</w:t>
          </w:r>
          <w:r w:rsidRPr="007B0AA0">
            <w:rPr>
              <w:rFonts w:ascii="Calibri" w:hAnsi="Calibri" w:cs="Arial"/>
              <w:noProof/>
              <w:color w:val="7F7F7F"/>
              <w:sz w:val="18"/>
            </w:rPr>
            <w:fldChar w:fldCharType="end"/>
          </w:r>
        </w:p>
      </w:tc>
    </w:tr>
  </w:tbl>
  <w:p w14:paraId="27A0F465" w14:textId="126D010F" w:rsidR="006C3242" w:rsidRPr="0026373E" w:rsidRDefault="006C3242" w:rsidP="00FE5872">
    <w:pPr>
      <w:pStyle w:val="Footer"/>
      <w:tabs>
        <w:tab w:val="clear" w:pos="4153"/>
        <w:tab w:val="clear" w:pos="8306"/>
        <w:tab w:val="center" w:pos="5103"/>
        <w:tab w:val="right" w:pos="9639"/>
      </w:tabs>
      <w:spacing w:before="120"/>
      <w:rPr>
        <w:sz w:val="16"/>
        <w:szCs w:val="16"/>
        <w:lang w:val="fr-FR"/>
      </w:rPr>
    </w:pPr>
    <w:r w:rsidRPr="00273BB3">
      <w:rPr>
        <w:color w:val="F2F2F2" w:themeColor="background1" w:themeShade="F2"/>
        <w:sz w:val="16"/>
        <w:szCs w:val="16"/>
        <w:lang w:val="fr-FR"/>
      </w:rPr>
      <w:fldChar w:fldCharType="begin"/>
    </w:r>
    <w:r w:rsidRPr="00273BB3">
      <w:rPr>
        <w:color w:val="F2F2F2" w:themeColor="background1" w:themeShade="F2"/>
        <w:sz w:val="16"/>
        <w:szCs w:val="16"/>
        <w:lang w:val="fr-FR"/>
      </w:rPr>
      <w:instrText xml:space="preserve"> FILENAME \p \* MERGEFORMAT </w:instrText>
    </w:r>
    <w:r w:rsidRPr="00273BB3">
      <w:rPr>
        <w:color w:val="F2F2F2" w:themeColor="background1" w:themeShade="F2"/>
        <w:sz w:val="16"/>
        <w:szCs w:val="16"/>
        <w:lang w:val="fr-FR"/>
      </w:rPr>
      <w:fldChar w:fldCharType="separate"/>
    </w:r>
    <w:r w:rsidR="006120A5" w:rsidRPr="00273BB3">
      <w:rPr>
        <w:noProof/>
        <w:color w:val="F2F2F2" w:themeColor="background1" w:themeShade="F2"/>
        <w:sz w:val="16"/>
        <w:szCs w:val="16"/>
        <w:lang w:val="fr-FR"/>
      </w:rPr>
      <w:t>P:\ARA\SG\CONSEIL\C23\000\047A.docx</w:t>
    </w:r>
    <w:r w:rsidRPr="00273BB3">
      <w:rPr>
        <w:color w:val="F2F2F2" w:themeColor="background1" w:themeShade="F2"/>
        <w:sz w:val="16"/>
        <w:szCs w:val="16"/>
      </w:rPr>
      <w:fldChar w:fldCharType="end"/>
    </w:r>
    <w:r w:rsidRPr="00273BB3">
      <w:rPr>
        <w:color w:val="F2F2F2" w:themeColor="background1" w:themeShade="F2"/>
        <w:sz w:val="16"/>
        <w:szCs w:val="16"/>
        <w:lang w:val="fr-CH"/>
      </w:rPr>
      <w:t xml:space="preserve">  </w:t>
    </w:r>
    <w:r w:rsidRPr="00273BB3">
      <w:rPr>
        <w:color w:val="F2F2F2" w:themeColor="background1" w:themeShade="F2"/>
        <w:sz w:val="16"/>
        <w:szCs w:val="16"/>
        <w:lang w:val="fr-FR"/>
      </w:rPr>
      <w:t xml:space="preserve"> (</w:t>
    </w:r>
    <w:r w:rsidR="00DE762B" w:rsidRPr="00273BB3">
      <w:rPr>
        <w:color w:val="F2F2F2" w:themeColor="background1" w:themeShade="F2"/>
        <w:sz w:val="16"/>
        <w:szCs w:val="16"/>
        <w:lang w:val="fr-FR"/>
      </w:rPr>
      <w:t>521081</w:t>
    </w:r>
    <w:r w:rsidRPr="00273BB3">
      <w:rPr>
        <w:color w:val="F2F2F2" w:themeColor="background1" w:themeShade="F2"/>
        <w:sz w:val="16"/>
        <w:szCs w:val="16"/>
        <w:lang w:val="fr-FR"/>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4"/>
      <w:gridCol w:w="7541"/>
      <w:gridCol w:w="424"/>
    </w:tblGrid>
    <w:tr w:rsidR="007B0AA0" w:rsidRPr="007B0AA0" w14:paraId="2E991827" w14:textId="77777777" w:rsidTr="00F50E3F">
      <w:trPr>
        <w:jc w:val="center"/>
      </w:trPr>
      <w:tc>
        <w:tcPr>
          <w:tcW w:w="868" w:type="pct"/>
          <w:vAlign w:val="center"/>
        </w:tcPr>
        <w:p w14:paraId="6C5767EE" w14:textId="77777777" w:rsidR="007B0AA0" w:rsidRPr="007B0AA0" w:rsidRDefault="00D95FB1" w:rsidP="00750D58">
          <w:pPr>
            <w:tabs>
              <w:tab w:val="clear" w:pos="794"/>
            </w:tabs>
            <w:overflowPunct w:val="0"/>
            <w:autoSpaceDE w:val="0"/>
            <w:autoSpaceDN w:val="0"/>
            <w:bidi w:val="0"/>
            <w:adjustRightInd w:val="0"/>
            <w:spacing w:after="120" w:line="240" w:lineRule="auto"/>
            <w:jc w:val="left"/>
            <w:textAlignment w:val="baseline"/>
            <w:rPr>
              <w:rFonts w:ascii="Calibri" w:hAnsi="Calibri" w:cs="Arial"/>
              <w:noProof/>
              <w:color w:val="7F7F7F"/>
              <w:sz w:val="18"/>
            </w:rPr>
          </w:pPr>
          <w:hyperlink r:id="rId1" w:history="1">
            <w:r w:rsidR="007B0AA0" w:rsidRPr="007B0AA0">
              <w:rPr>
                <w:rFonts w:ascii="Calibri" w:hAnsi="Calibri" w:cs="Arial"/>
                <w:color w:val="0563C1"/>
                <w:sz w:val="18"/>
                <w:szCs w:val="14"/>
              </w:rPr>
              <w:t>www.itu.int/council</w:t>
            </w:r>
          </w:hyperlink>
        </w:p>
      </w:tc>
      <w:tc>
        <w:tcPr>
          <w:tcW w:w="3912" w:type="pct"/>
        </w:tcPr>
        <w:p w14:paraId="703B14FC" w14:textId="083D0661" w:rsidR="007B0AA0" w:rsidRPr="007B0AA0" w:rsidRDefault="007B0AA0" w:rsidP="00750D58">
          <w:pPr>
            <w:tabs>
              <w:tab w:val="clear" w:pos="794"/>
              <w:tab w:val="left" w:pos="862"/>
              <w:tab w:val="right" w:pos="8505"/>
              <w:tab w:val="right" w:pos="9639"/>
            </w:tabs>
            <w:overflowPunct w:val="0"/>
            <w:autoSpaceDE w:val="0"/>
            <w:autoSpaceDN w:val="0"/>
            <w:adjustRightInd w:val="0"/>
            <w:spacing w:after="120" w:line="240" w:lineRule="auto"/>
            <w:jc w:val="right"/>
            <w:textAlignment w:val="baseline"/>
            <w:rPr>
              <w:rFonts w:ascii="Arial" w:hAnsi="Arial" w:cs="Arial"/>
              <w:b/>
              <w:bCs/>
              <w:color w:val="7F7F7F"/>
              <w:sz w:val="18"/>
              <w:szCs w:val="18"/>
            </w:rPr>
          </w:pPr>
          <w:r w:rsidRPr="007B0AA0">
            <w:rPr>
              <w:rFonts w:ascii="Calibri" w:hAnsi="Calibri" w:cs="Arial"/>
              <w:bCs/>
              <w:color w:val="7F7F7F"/>
              <w:sz w:val="18"/>
            </w:rPr>
            <w:t>C23/</w:t>
          </w:r>
          <w:r w:rsidR="00EF1A1D">
            <w:rPr>
              <w:rFonts w:ascii="Calibri" w:hAnsi="Calibri" w:cs="Arial"/>
              <w:bCs/>
              <w:color w:val="7F7F7F"/>
              <w:sz w:val="18"/>
            </w:rPr>
            <w:t>47</w:t>
          </w:r>
          <w:r w:rsidRPr="007B0AA0">
            <w:rPr>
              <w:rFonts w:ascii="Calibri" w:hAnsi="Calibri" w:cs="Arial"/>
              <w:bCs/>
              <w:color w:val="7F7F7F"/>
              <w:sz w:val="18"/>
            </w:rPr>
            <w:t>-</w:t>
          </w:r>
          <w:r>
            <w:rPr>
              <w:rFonts w:ascii="Calibri" w:hAnsi="Calibri" w:cs="Arial"/>
              <w:bCs/>
              <w:color w:val="7F7F7F"/>
              <w:sz w:val="18"/>
            </w:rPr>
            <w:t>A</w:t>
          </w:r>
        </w:p>
      </w:tc>
      <w:tc>
        <w:tcPr>
          <w:tcW w:w="220" w:type="pct"/>
        </w:tcPr>
        <w:p w14:paraId="25A10DBF" w14:textId="77777777" w:rsidR="007B0AA0" w:rsidRPr="007B0AA0" w:rsidRDefault="00F50E3F" w:rsidP="00750D58">
          <w:pPr>
            <w:tabs>
              <w:tab w:val="clear" w:pos="794"/>
              <w:tab w:val="left" w:pos="862"/>
              <w:tab w:val="right" w:pos="8505"/>
              <w:tab w:val="right" w:pos="9639"/>
            </w:tabs>
            <w:overflowPunct w:val="0"/>
            <w:autoSpaceDE w:val="0"/>
            <w:autoSpaceDN w:val="0"/>
            <w:adjustRightInd w:val="0"/>
            <w:spacing w:after="120" w:line="240" w:lineRule="auto"/>
            <w:jc w:val="right"/>
            <w:textAlignment w:val="baseline"/>
            <w:rPr>
              <w:rFonts w:ascii="Calibri" w:hAnsi="Calibri" w:cs="Arial"/>
              <w:bCs/>
              <w:color w:val="7F7F7F"/>
              <w:sz w:val="18"/>
            </w:rPr>
          </w:pPr>
          <w:r w:rsidRPr="007B0AA0">
            <w:rPr>
              <w:rFonts w:ascii="Calibri" w:hAnsi="Calibri" w:cs="Arial"/>
              <w:color w:val="7F7F7F"/>
              <w:sz w:val="18"/>
            </w:rPr>
            <w:fldChar w:fldCharType="begin"/>
          </w:r>
          <w:r w:rsidRPr="007B0AA0">
            <w:rPr>
              <w:rFonts w:ascii="Calibri" w:hAnsi="Calibri" w:cs="Arial"/>
              <w:color w:val="7F7F7F"/>
              <w:sz w:val="18"/>
            </w:rPr>
            <w:instrText>PAGE</w:instrText>
          </w:r>
          <w:r w:rsidRPr="007B0AA0">
            <w:rPr>
              <w:rFonts w:ascii="Calibri" w:hAnsi="Calibri" w:cs="Arial"/>
              <w:color w:val="7F7F7F"/>
              <w:sz w:val="18"/>
            </w:rPr>
            <w:fldChar w:fldCharType="separate"/>
          </w:r>
          <w:r>
            <w:rPr>
              <w:rFonts w:cs="Arial"/>
              <w:color w:val="7F7F7F"/>
              <w:sz w:val="18"/>
            </w:rPr>
            <w:t>1</w:t>
          </w:r>
          <w:r w:rsidRPr="007B0AA0">
            <w:rPr>
              <w:rFonts w:ascii="Calibri" w:hAnsi="Calibri" w:cs="Arial"/>
              <w:noProof/>
              <w:color w:val="7F7F7F"/>
              <w:sz w:val="18"/>
            </w:rPr>
            <w:fldChar w:fldCharType="end"/>
          </w:r>
        </w:p>
      </w:tc>
    </w:tr>
  </w:tbl>
  <w:p w14:paraId="424059BF" w14:textId="0933A5A1" w:rsidR="0006468A" w:rsidRPr="00DE762B" w:rsidRDefault="00DE762B" w:rsidP="00DE762B">
    <w:pPr>
      <w:pStyle w:val="Footer"/>
      <w:tabs>
        <w:tab w:val="clear" w:pos="4153"/>
        <w:tab w:val="clear" w:pos="8306"/>
        <w:tab w:val="center" w:pos="5103"/>
        <w:tab w:val="right" w:pos="9639"/>
      </w:tabs>
      <w:spacing w:before="120"/>
      <w:rPr>
        <w:sz w:val="16"/>
        <w:szCs w:val="16"/>
        <w:lang w:val="fr-FR"/>
      </w:rPr>
    </w:pPr>
    <w:r w:rsidRPr="00273BB3">
      <w:rPr>
        <w:color w:val="F2F2F2" w:themeColor="background1" w:themeShade="F2"/>
        <w:sz w:val="16"/>
        <w:szCs w:val="16"/>
        <w:lang w:val="fr-FR"/>
      </w:rPr>
      <w:fldChar w:fldCharType="begin"/>
    </w:r>
    <w:r w:rsidRPr="00273BB3">
      <w:rPr>
        <w:color w:val="F2F2F2" w:themeColor="background1" w:themeShade="F2"/>
        <w:sz w:val="16"/>
        <w:szCs w:val="16"/>
        <w:lang w:val="fr-FR"/>
      </w:rPr>
      <w:instrText xml:space="preserve"> FILENAME \p \* MERGEFORMAT </w:instrText>
    </w:r>
    <w:r w:rsidRPr="00273BB3">
      <w:rPr>
        <w:color w:val="F2F2F2" w:themeColor="background1" w:themeShade="F2"/>
        <w:sz w:val="16"/>
        <w:szCs w:val="16"/>
        <w:lang w:val="fr-FR"/>
      </w:rPr>
      <w:fldChar w:fldCharType="separate"/>
    </w:r>
    <w:r w:rsidR="006120A5" w:rsidRPr="00273BB3">
      <w:rPr>
        <w:noProof/>
        <w:color w:val="F2F2F2" w:themeColor="background1" w:themeShade="F2"/>
        <w:sz w:val="16"/>
        <w:szCs w:val="16"/>
        <w:lang w:val="fr-FR"/>
      </w:rPr>
      <w:t>P:\ARA\SG\CONSEIL\C23\000\047A.docx</w:t>
    </w:r>
    <w:r w:rsidRPr="00273BB3">
      <w:rPr>
        <w:color w:val="F2F2F2" w:themeColor="background1" w:themeShade="F2"/>
        <w:sz w:val="16"/>
        <w:szCs w:val="16"/>
      </w:rPr>
      <w:fldChar w:fldCharType="end"/>
    </w:r>
    <w:r w:rsidRPr="00273BB3">
      <w:rPr>
        <w:color w:val="F2F2F2" w:themeColor="background1" w:themeShade="F2"/>
        <w:sz w:val="16"/>
        <w:szCs w:val="16"/>
        <w:lang w:val="fr-CH"/>
      </w:rPr>
      <w:t xml:space="preserve">  </w:t>
    </w:r>
    <w:r w:rsidRPr="00273BB3">
      <w:rPr>
        <w:color w:val="F2F2F2" w:themeColor="background1" w:themeShade="F2"/>
        <w:sz w:val="16"/>
        <w:szCs w:val="16"/>
        <w:lang w:val="fr-FR"/>
      </w:rPr>
      <w:t xml:space="preserve"> (521081)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F8C7F7" w14:textId="77777777" w:rsidR="00FD07D8" w:rsidRDefault="00FD07D8" w:rsidP="006C3242">
      <w:pPr>
        <w:spacing w:before="0" w:line="240" w:lineRule="auto"/>
      </w:pPr>
      <w:r>
        <w:separator/>
      </w:r>
    </w:p>
  </w:footnote>
  <w:footnote w:type="continuationSeparator" w:id="0">
    <w:p w14:paraId="1EACEFFF" w14:textId="77777777" w:rsidR="00FD07D8" w:rsidRDefault="00FD07D8" w:rsidP="006C3242">
      <w:pPr>
        <w:spacing w:before="0" w:line="240" w:lineRule="auto"/>
      </w:pPr>
      <w:r>
        <w:continuationSeparator/>
      </w:r>
    </w:p>
  </w:footnote>
  <w:footnote w:id="1">
    <w:p w14:paraId="3054ECE1" w14:textId="62EE6A78" w:rsidR="000770B9" w:rsidRDefault="000770B9" w:rsidP="00127006">
      <w:pPr>
        <w:pStyle w:val="FootnoteText"/>
        <w:ind w:left="425" w:hanging="425"/>
        <w:rPr>
          <w:rFonts w:eastAsiaTheme="minorHAnsi" w:cs="Calibri"/>
          <w:rtl/>
          <w:lang w:bidi="ar-JO"/>
          <w14:ligatures w14:val="standardContextual"/>
        </w:rPr>
      </w:pPr>
      <w:r w:rsidRPr="00127006">
        <w:rPr>
          <w:rStyle w:val="FootnoteReference"/>
        </w:rPr>
        <w:t>[1]</w:t>
      </w:r>
      <w:r w:rsidR="00127006">
        <w:rPr>
          <w:sz w:val="16"/>
          <w:szCs w:val="16"/>
          <w:lang w:bidi="ar-JO"/>
        </w:rPr>
        <w:tab/>
      </w:r>
      <w:r w:rsidR="00DF17E5" w:rsidRPr="00127006">
        <w:rPr>
          <w:rFonts w:hint="cs"/>
          <w:rtl/>
          <w:lang w:bidi="ar-JO"/>
        </w:rPr>
        <w:t>الصفحة الواحدة تعادل 330 كلمة.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C8033" w14:textId="77777777" w:rsidR="00450606" w:rsidRDefault="004506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582D4" w14:textId="77777777" w:rsidR="00450606" w:rsidRDefault="0045060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80B86" w14:textId="77777777" w:rsidR="007B0AA0" w:rsidRDefault="00D13941" w:rsidP="007B0AA0">
    <w:pPr>
      <w:pStyle w:val="Header"/>
      <w:spacing w:before="120" w:after="240"/>
    </w:pPr>
    <w:r>
      <w:rPr>
        <w:noProof/>
      </w:rPr>
      <w:drawing>
        <wp:inline distT="0" distB="0" distL="0" distR="0" wp14:anchorId="2036E1A4" wp14:editId="747B1941">
          <wp:extent cx="1908000" cy="536400"/>
          <wp:effectExtent l="0" t="0" r="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8000" cy="536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A24599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ED0E53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28A6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3489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C5A7CE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2C202B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C48B6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0FAD9D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9600A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74879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B036A4"/>
    <w:multiLevelType w:val="hybridMultilevel"/>
    <w:tmpl w:val="EA94C7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5DA83300"/>
    <w:multiLevelType w:val="hybridMultilevel"/>
    <w:tmpl w:val="67383494"/>
    <w:lvl w:ilvl="0" w:tplc="BB02CF3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838345589">
    <w:abstractNumId w:val="9"/>
  </w:num>
  <w:num w:numId="2" w16cid:durableId="1774472849">
    <w:abstractNumId w:val="7"/>
  </w:num>
  <w:num w:numId="3" w16cid:durableId="923494626">
    <w:abstractNumId w:val="6"/>
  </w:num>
  <w:num w:numId="4" w16cid:durableId="442574474">
    <w:abstractNumId w:val="5"/>
  </w:num>
  <w:num w:numId="5" w16cid:durableId="1628318554">
    <w:abstractNumId w:val="4"/>
  </w:num>
  <w:num w:numId="6" w16cid:durableId="2075542342">
    <w:abstractNumId w:val="8"/>
  </w:num>
  <w:num w:numId="7" w16cid:durableId="1174762821">
    <w:abstractNumId w:val="3"/>
  </w:num>
  <w:num w:numId="8" w16cid:durableId="201795547">
    <w:abstractNumId w:val="2"/>
  </w:num>
  <w:num w:numId="9" w16cid:durableId="355010693">
    <w:abstractNumId w:val="1"/>
  </w:num>
  <w:num w:numId="10" w16cid:durableId="844200481">
    <w:abstractNumId w:val="0"/>
  </w:num>
  <w:num w:numId="11" w16cid:durableId="1104838316">
    <w:abstractNumId w:val="11"/>
  </w:num>
  <w:num w:numId="12" w16cid:durableId="330835855">
    <w:abstractNumId w:val="12"/>
  </w:num>
  <w:num w:numId="13" w16cid:durableId="9889033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A1D"/>
    <w:rsid w:val="0006468A"/>
    <w:rsid w:val="000770B9"/>
    <w:rsid w:val="00090574"/>
    <w:rsid w:val="000933EF"/>
    <w:rsid w:val="000C1C0E"/>
    <w:rsid w:val="000C548A"/>
    <w:rsid w:val="000E4415"/>
    <w:rsid w:val="000E455E"/>
    <w:rsid w:val="00127006"/>
    <w:rsid w:val="001942A1"/>
    <w:rsid w:val="001C0169"/>
    <w:rsid w:val="001D1D50"/>
    <w:rsid w:val="001D6745"/>
    <w:rsid w:val="001E446E"/>
    <w:rsid w:val="002154EE"/>
    <w:rsid w:val="002276D2"/>
    <w:rsid w:val="0023283D"/>
    <w:rsid w:val="0026373E"/>
    <w:rsid w:val="00271C43"/>
    <w:rsid w:val="00273BB3"/>
    <w:rsid w:val="002830B7"/>
    <w:rsid w:val="00290728"/>
    <w:rsid w:val="002978F4"/>
    <w:rsid w:val="002B028D"/>
    <w:rsid w:val="002E6541"/>
    <w:rsid w:val="00334924"/>
    <w:rsid w:val="003409BC"/>
    <w:rsid w:val="00357185"/>
    <w:rsid w:val="00372D7A"/>
    <w:rsid w:val="00383829"/>
    <w:rsid w:val="003961CC"/>
    <w:rsid w:val="003F4B29"/>
    <w:rsid w:val="00412FCA"/>
    <w:rsid w:val="0042686F"/>
    <w:rsid w:val="004317D8"/>
    <w:rsid w:val="00434183"/>
    <w:rsid w:val="00443869"/>
    <w:rsid w:val="00447F32"/>
    <w:rsid w:val="00450606"/>
    <w:rsid w:val="00480C25"/>
    <w:rsid w:val="004B7334"/>
    <w:rsid w:val="004E11DC"/>
    <w:rsid w:val="00525DDD"/>
    <w:rsid w:val="005409AC"/>
    <w:rsid w:val="00551EDC"/>
    <w:rsid w:val="0055516A"/>
    <w:rsid w:val="0058491B"/>
    <w:rsid w:val="00592EA5"/>
    <w:rsid w:val="005A3170"/>
    <w:rsid w:val="006120A5"/>
    <w:rsid w:val="00672366"/>
    <w:rsid w:val="00677396"/>
    <w:rsid w:val="0069200F"/>
    <w:rsid w:val="006A65CB"/>
    <w:rsid w:val="006C3242"/>
    <w:rsid w:val="006C7CC0"/>
    <w:rsid w:val="006F1ED1"/>
    <w:rsid w:val="006F63F7"/>
    <w:rsid w:val="007025C7"/>
    <w:rsid w:val="00706D7A"/>
    <w:rsid w:val="007149B6"/>
    <w:rsid w:val="00722F0D"/>
    <w:rsid w:val="0074420E"/>
    <w:rsid w:val="00750D58"/>
    <w:rsid w:val="00756CA2"/>
    <w:rsid w:val="00783E26"/>
    <w:rsid w:val="00793B88"/>
    <w:rsid w:val="007B0AA0"/>
    <w:rsid w:val="007C3BC7"/>
    <w:rsid w:val="007C3BCD"/>
    <w:rsid w:val="007D4ACF"/>
    <w:rsid w:val="007F0787"/>
    <w:rsid w:val="00810B7B"/>
    <w:rsid w:val="0082358A"/>
    <w:rsid w:val="008235CD"/>
    <w:rsid w:val="00824294"/>
    <w:rsid w:val="008247DE"/>
    <w:rsid w:val="008304A2"/>
    <w:rsid w:val="008339C0"/>
    <w:rsid w:val="0083429E"/>
    <w:rsid w:val="00840B10"/>
    <w:rsid w:val="008513CB"/>
    <w:rsid w:val="008A7F84"/>
    <w:rsid w:val="0091702E"/>
    <w:rsid w:val="00923B0C"/>
    <w:rsid w:val="0094021C"/>
    <w:rsid w:val="00952F86"/>
    <w:rsid w:val="00971D43"/>
    <w:rsid w:val="00982B28"/>
    <w:rsid w:val="009A276F"/>
    <w:rsid w:val="009D313F"/>
    <w:rsid w:val="00A03188"/>
    <w:rsid w:val="00A46FBD"/>
    <w:rsid w:val="00A47A5A"/>
    <w:rsid w:val="00A65D98"/>
    <w:rsid w:val="00A6683B"/>
    <w:rsid w:val="00A750CC"/>
    <w:rsid w:val="00A97F94"/>
    <w:rsid w:val="00AA7EA2"/>
    <w:rsid w:val="00B03099"/>
    <w:rsid w:val="00B05BC8"/>
    <w:rsid w:val="00B27955"/>
    <w:rsid w:val="00B52A2E"/>
    <w:rsid w:val="00B64B47"/>
    <w:rsid w:val="00B92414"/>
    <w:rsid w:val="00B95654"/>
    <w:rsid w:val="00BA1ECD"/>
    <w:rsid w:val="00BA4B4E"/>
    <w:rsid w:val="00BB5FAC"/>
    <w:rsid w:val="00BC4633"/>
    <w:rsid w:val="00C002DE"/>
    <w:rsid w:val="00C11259"/>
    <w:rsid w:val="00C13AC2"/>
    <w:rsid w:val="00C53BF8"/>
    <w:rsid w:val="00C66157"/>
    <w:rsid w:val="00C674FE"/>
    <w:rsid w:val="00C67501"/>
    <w:rsid w:val="00C75633"/>
    <w:rsid w:val="00C757BB"/>
    <w:rsid w:val="00C97582"/>
    <w:rsid w:val="00CE2EE1"/>
    <w:rsid w:val="00CE3349"/>
    <w:rsid w:val="00CE36E5"/>
    <w:rsid w:val="00CF27F5"/>
    <w:rsid w:val="00CF3FFD"/>
    <w:rsid w:val="00D10CCF"/>
    <w:rsid w:val="00D13941"/>
    <w:rsid w:val="00D1635A"/>
    <w:rsid w:val="00D63735"/>
    <w:rsid w:val="00D67085"/>
    <w:rsid w:val="00D77D0F"/>
    <w:rsid w:val="00D95FB1"/>
    <w:rsid w:val="00DA1CF0"/>
    <w:rsid w:val="00DC1E02"/>
    <w:rsid w:val="00DC24B4"/>
    <w:rsid w:val="00DC5FB0"/>
    <w:rsid w:val="00DC6CE9"/>
    <w:rsid w:val="00DE762B"/>
    <w:rsid w:val="00DF16DC"/>
    <w:rsid w:val="00DF17E5"/>
    <w:rsid w:val="00E45211"/>
    <w:rsid w:val="00E473C5"/>
    <w:rsid w:val="00E61BE8"/>
    <w:rsid w:val="00E8209A"/>
    <w:rsid w:val="00E91D20"/>
    <w:rsid w:val="00E92863"/>
    <w:rsid w:val="00EB5F29"/>
    <w:rsid w:val="00EB796D"/>
    <w:rsid w:val="00EF1A1D"/>
    <w:rsid w:val="00F058DC"/>
    <w:rsid w:val="00F24FC4"/>
    <w:rsid w:val="00F2676C"/>
    <w:rsid w:val="00F363FE"/>
    <w:rsid w:val="00F50E3F"/>
    <w:rsid w:val="00F72DB9"/>
    <w:rsid w:val="00F84366"/>
    <w:rsid w:val="00F85089"/>
    <w:rsid w:val="00F974C5"/>
    <w:rsid w:val="00FA6F46"/>
    <w:rsid w:val="00FA7CFD"/>
    <w:rsid w:val="00FB2D87"/>
    <w:rsid w:val="00FC4592"/>
    <w:rsid w:val="00FD07D8"/>
    <w:rsid w:val="00FD527F"/>
    <w:rsid w:val="00FE5872"/>
    <w:rsid w:val="00FE7542"/>
    <w:rsid w:val="00FE7FCA"/>
    <w:rsid w:val="00FF300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B220FF"/>
  <w15:chartTrackingRefBased/>
  <w15:docId w15:val="{39BA9054-5A41-4EF6-93B7-2D8C88280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aliases w:val="ALTS FOOTNOTE,Schriftart: 9 pt,Schriftart: 10 pt,Schriftart: 8 pt,WB-Fuكnotentext,Footnote text,Footnote Text Char Char Char Char,Footnote Text Char Char,Footnote Text Char Char Char Char Char,Char,WB-Fußnotentext,MTFootnote,fn,Fußn"/>
    <w:basedOn w:val="Normal"/>
    <w:link w:val="FootnoteTextChar"/>
    <w:uiPriority w:val="99"/>
    <w:unhideWhenUsed/>
    <w:qFormat/>
    <w:rsid w:val="00127006"/>
    <w:pPr>
      <w:spacing w:before="60" w:line="168" w:lineRule="auto"/>
    </w:pPr>
    <w:rPr>
      <w:sz w:val="18"/>
      <w:szCs w:val="18"/>
    </w:rPr>
  </w:style>
  <w:style w:type="character" w:styleId="FootnoteReference">
    <w:name w:val="footnote reference"/>
    <w:aliases w:val="Appel note de bas de p,Footnote,Style 12,(NECG) Footnote Reference,FR,Style 13,Style 124,o,fr,Style 3,Footnote symbol,Voetnootverwijzing,Times 10 Point,Exposant 3 Point,footnote ref,Fuكnotenzeichen diss neu,Odwołanie przypisu,Ref"/>
    <w:basedOn w:val="DefaultParagraphFont"/>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aliases w:val="ALTS FOOTNOTE Char,Schriftart: 9 pt Char,Schriftart: 10 pt Char,Schriftart: 8 pt Char,WB-Fuكnotentext Char,Footnote text Char,Footnote Text Char Char Char Char Char1,Footnote Text Char Char Char,Char Char,WB-Fußnotentext Char,fn Char"/>
    <w:basedOn w:val="DefaultParagraphFont"/>
    <w:link w:val="FootnoteText"/>
    <w:uiPriority w:val="99"/>
    <w:rsid w:val="00127006"/>
    <w:rPr>
      <w:rFonts w:ascii="Dubai" w:hAnsi="Dubai" w:cs="Dubai"/>
      <w:sz w:val="18"/>
      <w:szCs w:val="18"/>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EF1A1D"/>
    <w:pPr>
      <w:keepNext/>
      <w:spacing w:before="240" w:after="12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EF1A1D"/>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aliases w:val="List Paragraph1,Recommendation,List Paragraph11,Citation List,List Paragraph Char Char,Bullets,list1,b1,Number_1,Normal Sentence,Colorful List - Accent 11,ListPar1,new,SGLText List Paragraph,List Paragraph2,Bullet 1,b1 + Justified,O5,Pl"/>
    <w:basedOn w:val="Normal"/>
    <w:link w:val="ListParagraphChar"/>
    <w:uiPriority w:val="34"/>
    <w:qFormat/>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8339C0"/>
    <w:pPr>
      <w:keepNext/>
      <w:spacing w:before="240"/>
      <w:ind w:left="1134" w:hanging="1134"/>
    </w:pPr>
    <w:rPr>
      <w:b/>
      <w:bCs/>
      <w:sz w:val="24"/>
      <w:szCs w:val="24"/>
    </w:rPr>
  </w:style>
  <w:style w:type="table" w:styleId="GridTable5Dark-Accent1">
    <w:name w:val="Grid Table 5 Dark Accent 1"/>
    <w:basedOn w:val="TableNormal"/>
    <w:uiPriority w:val="50"/>
    <w:rsid w:val="00E61BE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Subtitle0">
    <w:name w:val="Sub_title"/>
    <w:basedOn w:val="Normal"/>
    <w:qFormat/>
    <w:rsid w:val="007B0AA0"/>
    <w:pPr>
      <w:spacing w:after="120"/>
    </w:pPr>
    <w:rPr>
      <w:sz w:val="30"/>
      <w:szCs w:val="30"/>
      <w:lang w:bidi="ar-EG"/>
    </w:rPr>
  </w:style>
  <w:style w:type="table" w:customStyle="1" w:styleId="TableGrid1">
    <w:name w:val="Table Grid1"/>
    <w:basedOn w:val="TableNormal"/>
    <w:next w:val="TableGrid"/>
    <w:uiPriority w:val="39"/>
    <w:rsid w:val="007B0AA0"/>
    <w:pPr>
      <w:spacing w:after="0" w:line="240" w:lineRule="auto"/>
    </w:pPr>
    <w:rPr>
      <w:rFonts w:eastAsia="Calibr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F1A1D"/>
    <w:rPr>
      <w:color w:val="605E5C"/>
      <w:shd w:val="clear" w:color="auto" w:fill="E1DFDD"/>
    </w:rPr>
  </w:style>
  <w:style w:type="character" w:customStyle="1" w:styleId="ListParagraphChar">
    <w:name w:val="List Paragraph Char"/>
    <w:aliases w:val="List Paragraph1 Char,Recommendation Char,List Paragraph11 Char,Citation List Char,List Paragraph Char Char Char,Bullets Char,list1 Char,b1 Char,Number_1 Char,Normal Sentence Char,Colorful List - Accent 11 Char,ListPar1 Char,new Char"/>
    <w:basedOn w:val="DefaultParagraphFont"/>
    <w:link w:val="ListParagraph"/>
    <w:uiPriority w:val="34"/>
    <w:locked/>
    <w:rsid w:val="00412FCA"/>
    <w:rPr>
      <w:rFonts w:ascii="Dubai" w:hAnsi="Dubai" w:cs="Dubai"/>
    </w:rPr>
  </w:style>
  <w:style w:type="character" w:customStyle="1" w:styleId="normaltextrun">
    <w:name w:val="normaltextrun"/>
    <w:basedOn w:val="DefaultParagraphFont"/>
    <w:rsid w:val="00412FCA"/>
  </w:style>
  <w:style w:type="character" w:customStyle="1" w:styleId="ui-provider">
    <w:name w:val="ui-provider"/>
    <w:basedOn w:val="DefaultParagraphFont"/>
    <w:rsid w:val="00412FCA"/>
  </w:style>
  <w:style w:type="character" w:styleId="FollowedHyperlink">
    <w:name w:val="FollowedHyperlink"/>
    <w:basedOn w:val="DefaultParagraphFont"/>
    <w:uiPriority w:val="99"/>
    <w:semiHidden/>
    <w:unhideWhenUsed/>
    <w:rsid w:val="00BA1ECD"/>
    <w:rPr>
      <w:color w:val="954F72" w:themeColor="followedHyperlink"/>
      <w:u w:val="single"/>
    </w:rPr>
  </w:style>
  <w:style w:type="character" w:styleId="CommentReference">
    <w:name w:val="annotation reference"/>
    <w:basedOn w:val="DefaultParagraphFont"/>
    <w:uiPriority w:val="99"/>
    <w:semiHidden/>
    <w:unhideWhenUsed/>
    <w:rsid w:val="00B92414"/>
    <w:rPr>
      <w:sz w:val="16"/>
      <w:szCs w:val="16"/>
    </w:rPr>
  </w:style>
  <w:style w:type="paragraph" w:styleId="CommentText">
    <w:name w:val="annotation text"/>
    <w:basedOn w:val="Normal"/>
    <w:link w:val="CommentTextChar"/>
    <w:uiPriority w:val="99"/>
    <w:unhideWhenUsed/>
    <w:rsid w:val="00B92414"/>
    <w:pPr>
      <w:spacing w:line="240" w:lineRule="auto"/>
    </w:pPr>
    <w:rPr>
      <w:sz w:val="20"/>
      <w:szCs w:val="20"/>
    </w:rPr>
  </w:style>
  <w:style w:type="character" w:customStyle="1" w:styleId="CommentTextChar">
    <w:name w:val="Comment Text Char"/>
    <w:basedOn w:val="DefaultParagraphFont"/>
    <w:link w:val="CommentText"/>
    <w:uiPriority w:val="99"/>
    <w:rsid w:val="00B92414"/>
    <w:rPr>
      <w:rFonts w:ascii="Dubai" w:hAnsi="Dubai" w:cs="Dubai"/>
      <w:sz w:val="20"/>
      <w:szCs w:val="20"/>
    </w:rPr>
  </w:style>
  <w:style w:type="paragraph" w:styleId="CommentSubject">
    <w:name w:val="annotation subject"/>
    <w:basedOn w:val="CommentText"/>
    <w:next w:val="CommentText"/>
    <w:link w:val="CommentSubjectChar"/>
    <w:uiPriority w:val="99"/>
    <w:semiHidden/>
    <w:unhideWhenUsed/>
    <w:rsid w:val="00B92414"/>
    <w:rPr>
      <w:b/>
      <w:bCs/>
    </w:rPr>
  </w:style>
  <w:style w:type="character" w:customStyle="1" w:styleId="CommentSubjectChar">
    <w:name w:val="Comment Subject Char"/>
    <w:basedOn w:val="CommentTextChar"/>
    <w:link w:val="CommentSubject"/>
    <w:uiPriority w:val="99"/>
    <w:semiHidden/>
    <w:rsid w:val="00B92414"/>
    <w:rPr>
      <w:rFonts w:ascii="Dubai" w:hAnsi="Dubai" w:cs="Duba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641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u.int/en/council/Documents/basic-texts-2023/RES-154-A.pdf"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itu.int/md/S22-CL-INF-0007/e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eb.itu.int/md/S19-CL-C-0138/en" TargetMode="Externa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428108-4966-4581-8805-B68FC0355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1754</Words>
  <Characters>10002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11733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Council 2023</dc:subject>
  <dc:creator>Arabic_GE</dc:creator>
  <cp:keywords>C2023, C23, Council-23</cp:keywords>
  <dc:description/>
  <cp:lastModifiedBy>Xue, Kun</cp:lastModifiedBy>
  <cp:revision>4</cp:revision>
  <dcterms:created xsi:type="dcterms:W3CDTF">2023-07-02T20:42:00Z</dcterms:created>
  <dcterms:modified xsi:type="dcterms:W3CDTF">2023-07-02T20:43:00Z</dcterms:modified>
</cp:coreProperties>
</file>