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F3D02" w14:paraId="5C1F37D1" w14:textId="77777777" w:rsidTr="00C538FC">
        <w:trPr>
          <w:cantSplit/>
          <w:trHeight w:val="23"/>
        </w:trPr>
        <w:tc>
          <w:tcPr>
            <w:tcW w:w="3969" w:type="dxa"/>
            <w:vMerge w:val="restart"/>
            <w:tcMar>
              <w:left w:w="0" w:type="dxa"/>
            </w:tcMar>
          </w:tcPr>
          <w:p w14:paraId="2A844A22" w14:textId="57F933E1" w:rsidR="00FE57F6" w:rsidRPr="00BF3D02" w:rsidRDefault="00AA2F1F" w:rsidP="00C538FC">
            <w:pPr>
              <w:tabs>
                <w:tab w:val="left" w:pos="851"/>
              </w:tabs>
              <w:spacing w:before="0" w:line="240" w:lineRule="atLeast"/>
              <w:rPr>
                <w:b/>
              </w:rPr>
            </w:pPr>
            <w:bookmarkStart w:id="0" w:name="_Hlk133421839"/>
            <w:r w:rsidRPr="00BF3D02">
              <w:rPr>
                <w:b/>
              </w:rPr>
              <w:t>Punto del orden del día: PL 2</w:t>
            </w:r>
          </w:p>
        </w:tc>
        <w:tc>
          <w:tcPr>
            <w:tcW w:w="5245" w:type="dxa"/>
          </w:tcPr>
          <w:p w14:paraId="301CCE33" w14:textId="29997586" w:rsidR="00FE57F6" w:rsidRPr="00BF3D02" w:rsidRDefault="00FE57F6" w:rsidP="00C538FC">
            <w:pPr>
              <w:tabs>
                <w:tab w:val="left" w:pos="851"/>
              </w:tabs>
              <w:spacing w:before="0" w:line="240" w:lineRule="atLeast"/>
              <w:jc w:val="right"/>
              <w:rPr>
                <w:b/>
              </w:rPr>
            </w:pPr>
            <w:r w:rsidRPr="00BF3D02">
              <w:rPr>
                <w:b/>
              </w:rPr>
              <w:t>Document</w:t>
            </w:r>
            <w:r w:rsidR="00F24B71" w:rsidRPr="00BF3D02">
              <w:rPr>
                <w:b/>
              </w:rPr>
              <w:t>o</w:t>
            </w:r>
            <w:r w:rsidRPr="00BF3D02">
              <w:rPr>
                <w:b/>
              </w:rPr>
              <w:t xml:space="preserve"> C23/</w:t>
            </w:r>
            <w:r w:rsidR="00AA2F1F" w:rsidRPr="00BF3D02">
              <w:rPr>
                <w:b/>
              </w:rPr>
              <w:t>47</w:t>
            </w:r>
            <w:r w:rsidRPr="00BF3D02">
              <w:rPr>
                <w:b/>
              </w:rPr>
              <w:t>-</w:t>
            </w:r>
            <w:r w:rsidR="00F24B71" w:rsidRPr="00BF3D02">
              <w:rPr>
                <w:b/>
              </w:rPr>
              <w:t>S</w:t>
            </w:r>
          </w:p>
        </w:tc>
      </w:tr>
      <w:tr w:rsidR="00FE57F6" w:rsidRPr="00BF3D02" w14:paraId="2599F42F" w14:textId="77777777" w:rsidTr="00C538FC">
        <w:trPr>
          <w:cantSplit/>
        </w:trPr>
        <w:tc>
          <w:tcPr>
            <w:tcW w:w="3969" w:type="dxa"/>
            <w:vMerge/>
          </w:tcPr>
          <w:p w14:paraId="34AD3D18" w14:textId="77777777" w:rsidR="00FE57F6" w:rsidRPr="00BF3D02" w:rsidRDefault="00FE57F6" w:rsidP="00C538FC">
            <w:pPr>
              <w:tabs>
                <w:tab w:val="left" w:pos="851"/>
              </w:tabs>
              <w:spacing w:line="240" w:lineRule="atLeast"/>
              <w:rPr>
                <w:b/>
              </w:rPr>
            </w:pPr>
          </w:p>
        </w:tc>
        <w:tc>
          <w:tcPr>
            <w:tcW w:w="5245" w:type="dxa"/>
          </w:tcPr>
          <w:p w14:paraId="750D9855" w14:textId="063168DE" w:rsidR="00FE57F6" w:rsidRPr="00BF3D02" w:rsidRDefault="00AA2F1F" w:rsidP="00C538FC">
            <w:pPr>
              <w:tabs>
                <w:tab w:val="left" w:pos="851"/>
              </w:tabs>
              <w:spacing w:before="0"/>
              <w:jc w:val="right"/>
              <w:rPr>
                <w:b/>
              </w:rPr>
            </w:pPr>
            <w:r w:rsidRPr="00BF3D02">
              <w:rPr>
                <w:b/>
              </w:rPr>
              <w:t>25 de mayo de</w:t>
            </w:r>
            <w:r w:rsidR="00FE57F6" w:rsidRPr="00BF3D02">
              <w:rPr>
                <w:b/>
              </w:rPr>
              <w:t xml:space="preserve"> 2023</w:t>
            </w:r>
          </w:p>
        </w:tc>
      </w:tr>
      <w:tr w:rsidR="00FE57F6" w:rsidRPr="00BF3D02" w14:paraId="1CA91478" w14:textId="77777777" w:rsidTr="00C538FC">
        <w:trPr>
          <w:cantSplit/>
          <w:trHeight w:val="23"/>
        </w:trPr>
        <w:tc>
          <w:tcPr>
            <w:tcW w:w="3969" w:type="dxa"/>
            <w:vMerge/>
          </w:tcPr>
          <w:p w14:paraId="1E3979EE" w14:textId="77777777" w:rsidR="00FE57F6" w:rsidRPr="00BF3D02" w:rsidRDefault="00FE57F6" w:rsidP="00C538FC">
            <w:pPr>
              <w:tabs>
                <w:tab w:val="left" w:pos="851"/>
              </w:tabs>
              <w:spacing w:line="240" w:lineRule="atLeast"/>
              <w:rPr>
                <w:b/>
              </w:rPr>
            </w:pPr>
          </w:p>
        </w:tc>
        <w:tc>
          <w:tcPr>
            <w:tcW w:w="5245" w:type="dxa"/>
          </w:tcPr>
          <w:p w14:paraId="1E07648C" w14:textId="41F3445B" w:rsidR="00FE57F6" w:rsidRPr="00BF3D02" w:rsidRDefault="00AA2F1F" w:rsidP="00C538FC">
            <w:pPr>
              <w:tabs>
                <w:tab w:val="left" w:pos="851"/>
              </w:tabs>
              <w:spacing w:before="0" w:line="240" w:lineRule="atLeast"/>
              <w:jc w:val="right"/>
              <w:rPr>
                <w:b/>
                <w:bCs/>
              </w:rPr>
            </w:pPr>
            <w:r w:rsidRPr="00BF3D02">
              <w:rPr>
                <w:b/>
              </w:rPr>
              <w:t>Original: inglés</w:t>
            </w:r>
          </w:p>
        </w:tc>
      </w:tr>
      <w:tr w:rsidR="00FE57F6" w:rsidRPr="00BF3D02" w14:paraId="0253485A" w14:textId="77777777" w:rsidTr="00C538FC">
        <w:trPr>
          <w:cantSplit/>
          <w:trHeight w:val="23"/>
        </w:trPr>
        <w:tc>
          <w:tcPr>
            <w:tcW w:w="3969" w:type="dxa"/>
          </w:tcPr>
          <w:p w14:paraId="1D830F9F" w14:textId="77777777" w:rsidR="00FE57F6" w:rsidRPr="00BF3D02" w:rsidRDefault="00FE57F6" w:rsidP="00C538FC">
            <w:pPr>
              <w:tabs>
                <w:tab w:val="left" w:pos="851"/>
              </w:tabs>
              <w:spacing w:line="240" w:lineRule="atLeast"/>
              <w:rPr>
                <w:b/>
              </w:rPr>
            </w:pPr>
          </w:p>
        </w:tc>
        <w:tc>
          <w:tcPr>
            <w:tcW w:w="5245" w:type="dxa"/>
          </w:tcPr>
          <w:p w14:paraId="47FAF9F0" w14:textId="77777777" w:rsidR="00FE57F6" w:rsidRPr="00BF3D02" w:rsidRDefault="00FE57F6" w:rsidP="00C538FC">
            <w:pPr>
              <w:tabs>
                <w:tab w:val="left" w:pos="851"/>
              </w:tabs>
              <w:spacing w:before="0" w:line="240" w:lineRule="atLeast"/>
              <w:jc w:val="right"/>
              <w:rPr>
                <w:b/>
              </w:rPr>
            </w:pPr>
          </w:p>
        </w:tc>
      </w:tr>
      <w:tr w:rsidR="00FE57F6" w:rsidRPr="00BF3D02" w14:paraId="60A985FB" w14:textId="77777777" w:rsidTr="00C538FC">
        <w:trPr>
          <w:cantSplit/>
        </w:trPr>
        <w:tc>
          <w:tcPr>
            <w:tcW w:w="9214" w:type="dxa"/>
            <w:gridSpan w:val="2"/>
            <w:tcMar>
              <w:left w:w="0" w:type="dxa"/>
            </w:tcMar>
          </w:tcPr>
          <w:p w14:paraId="500B6834" w14:textId="77777777" w:rsidR="00FE57F6" w:rsidRPr="00BF3D02" w:rsidRDefault="00F24B71" w:rsidP="00C538FC">
            <w:pPr>
              <w:pStyle w:val="Source"/>
              <w:jc w:val="left"/>
              <w:rPr>
                <w:sz w:val="34"/>
                <w:szCs w:val="34"/>
              </w:rPr>
            </w:pPr>
            <w:r w:rsidRPr="00BF3D02">
              <w:rPr>
                <w:rFonts w:cstheme="minorHAnsi"/>
                <w:sz w:val="34"/>
                <w:szCs w:val="34"/>
              </w:rPr>
              <w:t>Informe de</w:t>
            </w:r>
            <w:r w:rsidR="004B5D49" w:rsidRPr="00BF3D02">
              <w:rPr>
                <w:rFonts w:cstheme="minorHAnsi"/>
                <w:sz w:val="34"/>
                <w:szCs w:val="34"/>
              </w:rPr>
              <w:t xml:space="preserve"> </w:t>
            </w:r>
            <w:r w:rsidRPr="00BF3D02">
              <w:rPr>
                <w:rFonts w:cstheme="minorHAnsi"/>
                <w:sz w:val="34"/>
                <w:szCs w:val="34"/>
              </w:rPr>
              <w:t>l</w:t>
            </w:r>
            <w:r w:rsidR="004B5D49" w:rsidRPr="00BF3D02">
              <w:rPr>
                <w:rFonts w:cstheme="minorHAnsi"/>
                <w:sz w:val="34"/>
                <w:szCs w:val="34"/>
              </w:rPr>
              <w:t>a</w:t>
            </w:r>
            <w:r w:rsidRPr="00BF3D02">
              <w:rPr>
                <w:rFonts w:cstheme="minorHAnsi"/>
                <w:sz w:val="34"/>
                <w:szCs w:val="34"/>
              </w:rPr>
              <w:t xml:space="preserve"> </w:t>
            </w:r>
            <w:proofErr w:type="gramStart"/>
            <w:r w:rsidRPr="00BF3D02">
              <w:rPr>
                <w:rFonts w:cstheme="minorHAnsi"/>
                <w:sz w:val="34"/>
                <w:szCs w:val="34"/>
              </w:rPr>
              <w:t>Secretari</w:t>
            </w:r>
            <w:r w:rsidR="004B5D49" w:rsidRPr="00BF3D02">
              <w:rPr>
                <w:rFonts w:cstheme="minorHAnsi"/>
                <w:sz w:val="34"/>
                <w:szCs w:val="34"/>
              </w:rPr>
              <w:t>a</w:t>
            </w:r>
            <w:r w:rsidRPr="00BF3D02">
              <w:rPr>
                <w:rFonts w:cstheme="minorHAnsi"/>
                <w:sz w:val="34"/>
                <w:szCs w:val="34"/>
              </w:rPr>
              <w:t xml:space="preserve"> General</w:t>
            </w:r>
            <w:proofErr w:type="gramEnd"/>
          </w:p>
        </w:tc>
      </w:tr>
      <w:tr w:rsidR="00FE57F6" w:rsidRPr="00BF3D02" w14:paraId="44C9D826" w14:textId="77777777" w:rsidTr="00C538FC">
        <w:trPr>
          <w:cantSplit/>
        </w:trPr>
        <w:tc>
          <w:tcPr>
            <w:tcW w:w="9214" w:type="dxa"/>
            <w:gridSpan w:val="2"/>
            <w:tcMar>
              <w:left w:w="0" w:type="dxa"/>
            </w:tcMar>
          </w:tcPr>
          <w:p w14:paraId="6285DF06" w14:textId="1F382E83" w:rsidR="00FE57F6" w:rsidRPr="00BF3D02" w:rsidRDefault="00AA2F1F" w:rsidP="00C538FC">
            <w:pPr>
              <w:pStyle w:val="Subtitle"/>
              <w:framePr w:hSpace="0" w:wrap="auto" w:hAnchor="text" w:xAlign="left" w:yAlign="inline"/>
              <w:rPr>
                <w:lang w:val="es-ES_tradnl"/>
              </w:rPr>
            </w:pPr>
            <w:bookmarkStart w:id="1" w:name="_Hlk137797921"/>
            <w:r w:rsidRPr="00BF3D02">
              <w:rPr>
                <w:szCs w:val="34"/>
                <w:lang w:val="es-ES_tradnl"/>
              </w:rPr>
              <w:t>INFORME SOBRE LA UTILIZACIÓN DE LOS SEIS IDIOMAS DE LA UNIÓN EN IGUALDAD DE CONDICIONES</w:t>
            </w:r>
            <w:bookmarkEnd w:id="1"/>
          </w:p>
        </w:tc>
      </w:tr>
      <w:tr w:rsidR="00FE57F6" w:rsidRPr="00BF3D02" w14:paraId="3179258B" w14:textId="77777777" w:rsidTr="00C538FC">
        <w:trPr>
          <w:cantSplit/>
        </w:trPr>
        <w:tc>
          <w:tcPr>
            <w:tcW w:w="9214" w:type="dxa"/>
            <w:gridSpan w:val="2"/>
            <w:tcBorders>
              <w:top w:val="single" w:sz="4" w:space="0" w:color="auto"/>
              <w:bottom w:val="single" w:sz="4" w:space="0" w:color="auto"/>
            </w:tcBorders>
            <w:tcMar>
              <w:left w:w="0" w:type="dxa"/>
            </w:tcMar>
          </w:tcPr>
          <w:p w14:paraId="5760B740" w14:textId="03AE3C38" w:rsidR="00AA2F1F" w:rsidRPr="00BF3D02" w:rsidRDefault="00AA2F1F" w:rsidP="00AA2F1F">
            <w:pPr>
              <w:spacing w:before="160"/>
              <w:rPr>
                <w:b/>
                <w:bCs/>
                <w:sz w:val="26"/>
                <w:szCs w:val="26"/>
              </w:rPr>
            </w:pPr>
            <w:r w:rsidRPr="00BF3D02">
              <w:rPr>
                <w:b/>
                <w:bCs/>
                <w:sz w:val="26"/>
                <w:szCs w:val="26"/>
              </w:rPr>
              <w:t>Objeto</w:t>
            </w:r>
          </w:p>
          <w:p w14:paraId="34630531" w14:textId="77777777" w:rsidR="00AA2F1F" w:rsidRPr="00BF3D02" w:rsidRDefault="00AA2F1F" w:rsidP="00AA2F1F">
            <w:r w:rsidRPr="00BF3D02">
              <w:t>En este Informe se presenta al Consejo de la UIT información actualizada sobre la aplicación de la Resolución 154 (Rev. Bucarest, 2022) de la Conferencia de Plenipotenciarios, Utilización de los seis idiomas oficiales de la Unión en igualdad de condiciones, de conformidad con la Resolución 1372 (C15, modificada por última vez C19) del Consejo.</w:t>
            </w:r>
          </w:p>
          <w:p w14:paraId="55CAF4B4" w14:textId="77777777" w:rsidR="00AA2F1F" w:rsidRPr="00BF3D02" w:rsidRDefault="00AA2F1F" w:rsidP="00AA2F1F">
            <w:pPr>
              <w:spacing w:before="160"/>
              <w:rPr>
                <w:b/>
                <w:bCs/>
                <w:sz w:val="26"/>
                <w:szCs w:val="26"/>
              </w:rPr>
            </w:pPr>
            <w:r w:rsidRPr="00BF3D02">
              <w:rPr>
                <w:b/>
                <w:bCs/>
                <w:sz w:val="26"/>
                <w:szCs w:val="26"/>
              </w:rPr>
              <w:t>Acción solicitada al Consejo</w:t>
            </w:r>
          </w:p>
          <w:p w14:paraId="661A774D" w14:textId="77777777" w:rsidR="00AA2F1F" w:rsidRPr="00BF3D02" w:rsidRDefault="00AA2F1F" w:rsidP="00AA2F1F">
            <w:r w:rsidRPr="00BF3D02">
              <w:t xml:space="preserve">Se invita al Consejo a </w:t>
            </w:r>
            <w:r w:rsidRPr="00BF3D02">
              <w:rPr>
                <w:b/>
                <w:bCs/>
              </w:rPr>
              <w:t xml:space="preserve">tomar nota </w:t>
            </w:r>
            <w:r w:rsidRPr="00BF3D02">
              <w:t>del Informe.</w:t>
            </w:r>
          </w:p>
          <w:p w14:paraId="205FC3FA" w14:textId="77777777" w:rsidR="00AA2F1F" w:rsidRPr="00BF3D02" w:rsidRDefault="00AA2F1F" w:rsidP="00AA2F1F">
            <w:pPr>
              <w:spacing w:before="160"/>
              <w:rPr>
                <w:b/>
                <w:bCs/>
                <w:sz w:val="26"/>
                <w:szCs w:val="26"/>
              </w:rPr>
            </w:pPr>
            <w:r w:rsidRPr="00BF3D02">
              <w:rPr>
                <w:b/>
                <w:bCs/>
                <w:sz w:val="26"/>
                <w:szCs w:val="26"/>
              </w:rPr>
              <w:t>Vínculo(s) pertinente(s) con el Plan Estratégico</w:t>
            </w:r>
          </w:p>
          <w:p w14:paraId="14EE2317" w14:textId="77777777" w:rsidR="00AA2F1F" w:rsidRPr="00BF3D02" w:rsidRDefault="00AA2F1F" w:rsidP="00AA2F1F">
            <w:pPr>
              <w:rPr>
                <w:szCs w:val="24"/>
              </w:rPr>
            </w:pPr>
            <w:r w:rsidRPr="00BF3D02">
              <w:rPr>
                <w:szCs w:val="24"/>
              </w:rPr>
              <w:t>Excelencia en los recursos humanos e innovación institucional.</w:t>
            </w:r>
          </w:p>
          <w:p w14:paraId="0EC4F7F5" w14:textId="77777777" w:rsidR="00AA2F1F" w:rsidRPr="00BF3D02" w:rsidRDefault="00AA2F1F" w:rsidP="00AA2F1F">
            <w:pPr>
              <w:spacing w:before="160"/>
              <w:rPr>
                <w:b/>
                <w:bCs/>
                <w:sz w:val="26"/>
                <w:szCs w:val="26"/>
              </w:rPr>
            </w:pPr>
            <w:r w:rsidRPr="00BF3D02">
              <w:rPr>
                <w:b/>
                <w:bCs/>
                <w:sz w:val="26"/>
                <w:szCs w:val="26"/>
              </w:rPr>
              <w:t>Consecuencias financieras</w:t>
            </w:r>
          </w:p>
          <w:p w14:paraId="35693A3C" w14:textId="77777777" w:rsidR="00AA2F1F" w:rsidRPr="00BF3D02" w:rsidRDefault="00AA2F1F" w:rsidP="00AA2F1F">
            <w:pPr>
              <w:spacing w:before="160"/>
              <w:rPr>
                <w:b/>
                <w:bCs/>
                <w:sz w:val="26"/>
                <w:szCs w:val="26"/>
              </w:rPr>
            </w:pPr>
            <w:r w:rsidRPr="00BF3D02">
              <w:rPr>
                <w:sz w:val="26"/>
                <w:szCs w:val="26"/>
              </w:rPr>
              <w:t>Ninguna.</w:t>
            </w:r>
          </w:p>
          <w:p w14:paraId="2B8CC58F" w14:textId="77777777" w:rsidR="00FE57F6" w:rsidRPr="00BF3D02" w:rsidRDefault="00FE57F6" w:rsidP="00C538FC">
            <w:pPr>
              <w:spacing w:before="160"/>
              <w:rPr>
                <w:caps/>
                <w:sz w:val="22"/>
              </w:rPr>
            </w:pPr>
            <w:r w:rsidRPr="00BF3D02">
              <w:rPr>
                <w:sz w:val="22"/>
              </w:rPr>
              <w:t>__________________</w:t>
            </w:r>
          </w:p>
          <w:p w14:paraId="5283C42F" w14:textId="3240D974" w:rsidR="00FE57F6" w:rsidRPr="00BF3D02" w:rsidRDefault="00F24B71" w:rsidP="00C538FC">
            <w:pPr>
              <w:spacing w:before="160"/>
              <w:rPr>
                <w:b/>
                <w:bCs/>
                <w:sz w:val="26"/>
                <w:szCs w:val="26"/>
              </w:rPr>
            </w:pPr>
            <w:r w:rsidRPr="00BF3D02">
              <w:rPr>
                <w:b/>
                <w:bCs/>
                <w:sz w:val="26"/>
                <w:szCs w:val="26"/>
              </w:rPr>
              <w:t>Referencia</w:t>
            </w:r>
            <w:r w:rsidR="00950821" w:rsidRPr="00BF3D02">
              <w:rPr>
                <w:b/>
                <w:bCs/>
                <w:sz w:val="26"/>
                <w:szCs w:val="26"/>
              </w:rPr>
              <w:t>s</w:t>
            </w:r>
          </w:p>
          <w:p w14:paraId="240A129F" w14:textId="48FFC567" w:rsidR="00FE57F6" w:rsidRPr="00BF3D02" w:rsidRDefault="001E436E" w:rsidP="001612D3">
            <w:pPr>
              <w:spacing w:after="160"/>
            </w:pPr>
            <w:hyperlink r:id="rId7" w:history="1">
              <w:r w:rsidR="001612D3" w:rsidRPr="00BF3D02">
                <w:rPr>
                  <w:rStyle w:val="Hyperlink"/>
                  <w:i/>
                  <w:iCs/>
                </w:rPr>
                <w:t>Resolución 154 (Rev. Bucarest, 2022) de la Conferencia de Plenipotenciarios</w:t>
              </w:r>
            </w:hyperlink>
            <w:r w:rsidR="001612D3" w:rsidRPr="00BF3D02">
              <w:rPr>
                <w:i/>
                <w:iCs/>
              </w:rPr>
              <w:t xml:space="preserve">; </w:t>
            </w:r>
            <w:hyperlink r:id="rId8" w:history="1">
              <w:r w:rsidR="00AA2F1F" w:rsidRPr="00BF3D02">
                <w:rPr>
                  <w:rStyle w:val="Hyperlink"/>
                  <w:i/>
                  <w:iCs/>
                  <w:szCs w:val="24"/>
                </w:rPr>
                <w:t>Resolución 1372 (C15, modificada por última vez 2019</w:t>
              </w:r>
              <w:r w:rsidR="001612D3" w:rsidRPr="00BF3D02">
                <w:rPr>
                  <w:rStyle w:val="Hyperlink"/>
                  <w:i/>
                  <w:iCs/>
                  <w:szCs w:val="24"/>
                </w:rPr>
                <w:t>) del Consejo</w:t>
              </w:r>
            </w:hyperlink>
          </w:p>
        </w:tc>
      </w:tr>
      <w:bookmarkEnd w:id="0"/>
    </w:tbl>
    <w:p w14:paraId="59AA3723" w14:textId="77777777" w:rsidR="001559F5" w:rsidRPr="00BF3D02" w:rsidRDefault="001559F5">
      <w:pPr>
        <w:tabs>
          <w:tab w:val="clear" w:pos="567"/>
          <w:tab w:val="clear" w:pos="1134"/>
          <w:tab w:val="clear" w:pos="1701"/>
          <w:tab w:val="clear" w:pos="2268"/>
          <w:tab w:val="clear" w:pos="2835"/>
        </w:tabs>
        <w:overflowPunct/>
        <w:autoSpaceDE/>
        <w:autoSpaceDN/>
        <w:adjustRightInd/>
        <w:spacing w:before="0"/>
        <w:textAlignment w:val="auto"/>
      </w:pPr>
      <w:r w:rsidRPr="00BF3D02">
        <w:br w:type="page"/>
      </w:r>
    </w:p>
    <w:p w14:paraId="716417F1" w14:textId="668FC9E1" w:rsidR="00AA2F1F" w:rsidRPr="00BF3D02" w:rsidRDefault="00AA2F1F" w:rsidP="00AA2F1F">
      <w:pPr>
        <w:pStyle w:val="Heading1"/>
        <w:rPr>
          <w:rFonts w:eastAsiaTheme="minorHAnsi"/>
          <w:lang w:eastAsia="en-GB"/>
        </w:rPr>
      </w:pPr>
      <w:r w:rsidRPr="00BF3D02">
        <w:rPr>
          <w:rFonts w:eastAsiaTheme="minorHAnsi"/>
          <w:lang w:eastAsia="en-GB"/>
        </w:rPr>
        <w:lastRenderedPageBreak/>
        <w:t>1</w:t>
      </w:r>
      <w:r w:rsidRPr="00BF3D02">
        <w:rPr>
          <w:rFonts w:eastAsiaTheme="minorHAnsi"/>
          <w:lang w:eastAsia="en-GB"/>
        </w:rPr>
        <w:tab/>
      </w:r>
      <w:proofErr w:type="gramStart"/>
      <w:r w:rsidRPr="00BF3D02">
        <w:rPr>
          <w:rFonts w:eastAsiaTheme="minorHAnsi"/>
          <w:lang w:eastAsia="en-GB"/>
        </w:rPr>
        <w:t>Evolución</w:t>
      </w:r>
      <w:proofErr w:type="gramEnd"/>
      <w:r w:rsidRPr="00BF3D02">
        <w:rPr>
          <w:rFonts w:eastAsiaTheme="minorHAnsi"/>
          <w:lang w:eastAsia="en-GB"/>
        </w:rPr>
        <w:t xml:space="preserve"> del presupuesto para la traducción de documentos a los seis idiomas oficiales desde la Conferencia de Plenipotenciarios de 2018</w:t>
      </w:r>
    </w:p>
    <w:p w14:paraId="27F7644D" w14:textId="56F8713B" w:rsidR="00AA2F1F" w:rsidRPr="00BF3D02" w:rsidRDefault="00AA2F1F" w:rsidP="002B32BD">
      <w:r w:rsidRPr="00BF3D02">
        <w:t xml:space="preserve">En respuesta a la solicitud de la Conferencia de Plenipotenciarios, a </w:t>
      </w:r>
      <w:r w:rsidR="00A931C3" w:rsidRPr="00BF3D02">
        <w:t>continuación,</w:t>
      </w:r>
      <w:r w:rsidRPr="00BF3D02">
        <w:t xml:space="preserve"> se presentan las cifras del presupuesto correspondiente a los servicios de traducción e interpretación (Anexo 1, Cuadro 1) desglosadas en tres categorías: presupuesto y gastos de traducción y servicios conexos; presupuesto y gastos de interpretación, y presupuesto y gastos totales de servicios lingüísticos. Tal y como solicitó el Grupo de Trabajo del Consejo de la UIT sobre los idiomas (GTC-Idiomas), en el Cuadro 2 del Anexo 1 se incluye información sobre los volúmenes de traducción, por idiomas, para este mismo periodo. Los volúmenes de traducción dan cuenta de la igualdad de condiciones otorgada a los seis idiomas oficiales de la UIT, así como de la celebración excepcional de tres conferencias y asambleas mundiales en 2022.</w:t>
      </w:r>
    </w:p>
    <w:p w14:paraId="58CF993D" w14:textId="67ACBD5E" w:rsidR="00AA2F1F" w:rsidRPr="00BF3D02" w:rsidRDefault="00AA2F1F" w:rsidP="00AA2F1F">
      <w:pPr>
        <w:pStyle w:val="Heading1"/>
        <w:rPr>
          <w:rFonts w:eastAsiaTheme="minorHAnsi" w:cstheme="minorHAnsi"/>
          <w:bCs/>
          <w:szCs w:val="24"/>
          <w:lang w:eastAsia="en-GB"/>
        </w:rPr>
      </w:pPr>
      <w:r w:rsidRPr="00BF3D02">
        <w:rPr>
          <w:rFonts w:eastAsiaTheme="minorHAnsi" w:cstheme="minorHAnsi"/>
          <w:bCs/>
          <w:szCs w:val="24"/>
          <w:lang w:eastAsia="en-GB"/>
        </w:rPr>
        <w:t>2</w:t>
      </w:r>
      <w:r w:rsidRPr="00BF3D02">
        <w:rPr>
          <w:rFonts w:eastAsiaTheme="minorHAnsi" w:cstheme="minorHAnsi"/>
          <w:bCs/>
          <w:szCs w:val="24"/>
          <w:lang w:eastAsia="en-GB"/>
        </w:rPr>
        <w:tab/>
      </w:r>
      <w:proofErr w:type="gramStart"/>
      <w:r w:rsidRPr="00BF3D02">
        <w:rPr>
          <w:rFonts w:eastAsiaTheme="minorHAnsi" w:cstheme="minorHAnsi"/>
          <w:bCs/>
          <w:szCs w:val="24"/>
          <w:lang w:eastAsia="en-GB"/>
        </w:rPr>
        <w:t>Procedimientos</w:t>
      </w:r>
      <w:proofErr w:type="gramEnd"/>
      <w:r w:rsidRPr="00BF3D02">
        <w:rPr>
          <w:rFonts w:eastAsiaTheme="minorHAnsi" w:cstheme="minorHAnsi"/>
          <w:bCs/>
          <w:szCs w:val="24"/>
          <w:lang w:eastAsia="en-GB"/>
        </w:rPr>
        <w:t xml:space="preserve"> adoptados por otras organizaciones internacionales dentro y fuera del sistema de las Naciones Unidas</w:t>
      </w:r>
    </w:p>
    <w:p w14:paraId="2F36AD00" w14:textId="6A4AC5D8" w:rsidR="00AA2F1F" w:rsidRPr="00BF3D02" w:rsidRDefault="00AA2F1F" w:rsidP="002B32BD">
      <w:r w:rsidRPr="00BF3D02">
        <w:t xml:space="preserve">La UIT participa activamente en la Reunión Anual Internacional sobre Disposiciones en materia de Idiomas, Documentación y Publicaciones (IAMLADP), así como en sus grupos de trabajo y grupos especiales, y también en la Reunión Internacional Anual sobre Terminología y Traducción Asistidas por Ordenador (JIAMCATT). Las principales conclusiones de la IAMLADP y la JIAMCATT en 2022 se centraron en la necesidad: de incrementar el soporte a las reuniones plenamente virtuales y las reuniones presenciales con participación distancia; de reflejar el cambio de los métodos de trabajo, incluidos el trabajo a distancia y la utilización de nuevas tecnologías, en la gestión flexible del personal, la adaptación de los contratos y los nuevos perfiles laborales; de integrar más profundamente la traducción automática en los procesos de traducción, preservando al mismo tiempo la función esencial que desempeñan los traductores profesionales para la utilización efectiva de las herramientas automáticas; de desarrollar las competencias en revisión y </w:t>
      </w:r>
      <w:proofErr w:type="spellStart"/>
      <w:r w:rsidRPr="00BF3D02">
        <w:t>postedición</w:t>
      </w:r>
      <w:proofErr w:type="spellEnd"/>
      <w:r w:rsidRPr="00BF3D02">
        <w:t xml:space="preserve"> de los traductores, y de dar a conocer y adecuar las plataformas técnicas para la interpretación simultánea a distancia.</w:t>
      </w:r>
    </w:p>
    <w:p w14:paraId="5F97ABCB" w14:textId="77777777" w:rsidR="00AA2F1F" w:rsidRPr="00BF3D02" w:rsidRDefault="00AA2F1F" w:rsidP="002B32BD">
      <w:r w:rsidRPr="00BF3D02">
        <w:t>La UIT participa activamente en el grupo especial de IAMLADP sobre la creación y el análisis de una base de datos de perfiles laborales de todas las organizaciones miembros a fin de obtener una mejor comprensión de la evolución de los requisitos en materia de profesionales lingüísticos.</w:t>
      </w:r>
    </w:p>
    <w:p w14:paraId="58A67FEF" w14:textId="4FEC40D4" w:rsidR="00AA2F1F" w:rsidRPr="00BF3D02" w:rsidRDefault="00AA2F1F" w:rsidP="00AA2F1F">
      <w:pPr>
        <w:pStyle w:val="Heading1"/>
        <w:rPr>
          <w:rFonts w:eastAsiaTheme="minorHAnsi" w:cstheme="minorHAnsi"/>
          <w:bCs/>
          <w:szCs w:val="24"/>
          <w:lang w:eastAsia="en-GB"/>
        </w:rPr>
      </w:pPr>
      <w:r w:rsidRPr="00BF3D02">
        <w:rPr>
          <w:rFonts w:eastAsiaTheme="minorHAnsi" w:cstheme="minorHAnsi"/>
          <w:bCs/>
          <w:szCs w:val="24"/>
          <w:lang w:eastAsia="en-GB"/>
        </w:rPr>
        <w:t>3</w:t>
      </w:r>
      <w:r w:rsidRPr="00BF3D02">
        <w:rPr>
          <w:rFonts w:eastAsiaTheme="minorHAnsi" w:cstheme="minorHAnsi"/>
          <w:bCs/>
          <w:szCs w:val="24"/>
          <w:lang w:eastAsia="en-GB"/>
        </w:rPr>
        <w:tab/>
      </w:r>
      <w:proofErr w:type="gramStart"/>
      <w:r w:rsidRPr="00BF3D02">
        <w:rPr>
          <w:rFonts w:eastAsiaTheme="minorHAnsi" w:cstheme="minorHAnsi"/>
          <w:bCs/>
          <w:szCs w:val="24"/>
          <w:lang w:eastAsia="en-GB"/>
        </w:rPr>
        <w:t>Iniciativas</w:t>
      </w:r>
      <w:proofErr w:type="gramEnd"/>
      <w:r w:rsidRPr="00BF3D02">
        <w:rPr>
          <w:rFonts w:eastAsiaTheme="minorHAnsi" w:cstheme="minorHAnsi"/>
          <w:bCs/>
          <w:szCs w:val="24"/>
          <w:lang w:eastAsia="en-GB"/>
        </w:rPr>
        <w:t xml:space="preserve"> emprendidas por la Secretaría General y las tres Oficinas para aumentar la eficacia y el ahorro en la implementación de la Resolución</w:t>
      </w:r>
      <w:r w:rsidR="002923F2">
        <w:rPr>
          <w:rFonts w:eastAsiaTheme="minorHAnsi" w:cstheme="minorHAnsi"/>
          <w:bCs/>
          <w:szCs w:val="24"/>
          <w:lang w:eastAsia="en-GB"/>
        </w:rPr>
        <w:t> </w:t>
      </w:r>
      <w:r w:rsidRPr="00BF3D02">
        <w:rPr>
          <w:rFonts w:eastAsiaTheme="minorHAnsi" w:cstheme="minorHAnsi"/>
          <w:bCs/>
          <w:szCs w:val="24"/>
          <w:lang w:eastAsia="en-GB"/>
        </w:rPr>
        <w:t>154 (Rev. Bucarest, 2022) de la Conferencia de Plenipotenciarios y la Resolución 1372 (C15, modificada por última vez</w:t>
      </w:r>
      <w:r w:rsidR="002923F2">
        <w:rPr>
          <w:rFonts w:eastAsiaTheme="minorHAnsi" w:cstheme="minorHAnsi"/>
          <w:bCs/>
          <w:szCs w:val="24"/>
          <w:lang w:eastAsia="en-GB"/>
        </w:rPr>
        <w:t> </w:t>
      </w:r>
      <w:r w:rsidRPr="00BF3D02">
        <w:rPr>
          <w:rFonts w:eastAsiaTheme="minorHAnsi" w:cstheme="minorHAnsi"/>
          <w:bCs/>
          <w:szCs w:val="24"/>
          <w:lang w:eastAsia="en-GB"/>
        </w:rPr>
        <w:t>C19) del Consejo</w:t>
      </w:r>
    </w:p>
    <w:p w14:paraId="0686D0F7" w14:textId="2BECF4DF" w:rsidR="00AA2F1F" w:rsidRPr="00BF3D02" w:rsidRDefault="00AA2F1F" w:rsidP="002B32BD">
      <w:pPr>
        <w:pStyle w:val="Heading2"/>
      </w:pPr>
      <w:r w:rsidRPr="00BF3D02">
        <w:rPr>
          <w:rFonts w:cs="Calibri"/>
          <w:color w:val="000000"/>
          <w:shd w:val="clear" w:color="auto" w:fill="FFFFFF"/>
        </w:rPr>
        <w:t>3.1</w:t>
      </w:r>
      <w:r w:rsidR="002B32BD" w:rsidRPr="00BF3D02">
        <w:rPr>
          <w:rFonts w:cs="Calibri"/>
          <w:color w:val="000000"/>
          <w:shd w:val="clear" w:color="auto" w:fill="FFFFFF"/>
        </w:rPr>
        <w:tab/>
      </w:r>
      <w:r w:rsidRPr="00BF3D02">
        <w:t>Implementación de medidas y principios para la traducción y la interpretación</w:t>
      </w:r>
    </w:p>
    <w:p w14:paraId="7D0B3EBC" w14:textId="57140169" w:rsidR="00AA2F1F" w:rsidRPr="00BF3D02" w:rsidRDefault="00AA2F1F" w:rsidP="00D71D2E">
      <w:pPr>
        <w:rPr>
          <w:rFonts w:eastAsiaTheme="minorHAnsi"/>
          <w:lang w:eastAsia="en-GB"/>
        </w:rPr>
      </w:pPr>
      <w:r w:rsidRPr="00BF3D02">
        <w:rPr>
          <w:rFonts w:eastAsiaTheme="minorHAnsi"/>
          <w:lang w:eastAsia="en-GB"/>
        </w:rPr>
        <w:t xml:space="preserve">La Secretaría ha estado ateniéndose sistemáticamente a lo dispuesto en el </w:t>
      </w:r>
      <w:hyperlink r:id="rId9" w:history="1">
        <w:r w:rsidRPr="00BF3D02">
          <w:rPr>
            <w:rFonts w:eastAsiaTheme="minorHAnsi"/>
            <w:color w:val="0563C1"/>
            <w:u w:val="single"/>
            <w:lang w:eastAsia="en-GB"/>
          </w:rPr>
          <w:t>document</w:t>
        </w:r>
      </w:hyperlink>
      <w:r w:rsidRPr="00BF3D02">
        <w:rPr>
          <w:rFonts w:eastAsiaTheme="minorHAnsi"/>
          <w:color w:val="0563C1"/>
          <w:u w:val="single"/>
          <w:lang w:eastAsia="en-GB"/>
        </w:rPr>
        <w:t>o</w:t>
      </w:r>
      <w:r w:rsidRPr="00BF3D02">
        <w:rPr>
          <w:rFonts w:eastAsiaTheme="minorHAnsi"/>
          <w:lang w:eastAsia="en-GB"/>
        </w:rPr>
        <w:t xml:space="preserve"> sobre las medidas y principios para la traducción y la interpretación en la UIT, revisado por los </w:t>
      </w:r>
      <w:r w:rsidRPr="00BF3D02">
        <w:rPr>
          <w:rFonts w:eastAsiaTheme="minorHAnsi"/>
          <w:lang w:eastAsia="en-GB"/>
        </w:rPr>
        <w:lastRenderedPageBreak/>
        <w:t xml:space="preserve">Grupos Asesores de los Sectores y la Secretaría General, que el Consejo actualizó y refrendó en su reunión de 2022, como referencia para la prestación de servicios de traducción e interpretación de las conferencias, asambleas, reuniones, documentos páginas web y publicaciones de la UIT. Ese documento se revisará y actualizará según sea necesario, en coordinación con los Grupos Asesores de los Sectores, para </w:t>
      </w:r>
      <w:r w:rsidR="00C0373C" w:rsidRPr="00BF3D02">
        <w:rPr>
          <w:rFonts w:eastAsiaTheme="minorHAnsi"/>
          <w:lang w:eastAsia="en-GB"/>
        </w:rPr>
        <w:t>garantizar</w:t>
      </w:r>
      <w:r w:rsidRPr="00BF3D02">
        <w:rPr>
          <w:rFonts w:eastAsiaTheme="minorHAnsi"/>
          <w:lang w:eastAsia="en-GB"/>
        </w:rPr>
        <w:t xml:space="preserve"> la utilización de todos los idiomas oficiales de la Unión en las publicaciones, sitios web y documentos.</w:t>
      </w:r>
    </w:p>
    <w:p w14:paraId="3372BC8A" w14:textId="2EF1FD05" w:rsidR="00AA2F1F" w:rsidRPr="00BF3D02" w:rsidRDefault="00AA2F1F" w:rsidP="002B32BD">
      <w:pPr>
        <w:pStyle w:val="Heading2"/>
        <w:rPr>
          <w:rFonts w:eastAsiaTheme="minorHAnsi" w:cstheme="minorHAnsi"/>
          <w:bCs/>
          <w:szCs w:val="24"/>
          <w:lang w:eastAsia="en-GB"/>
        </w:rPr>
      </w:pPr>
      <w:r w:rsidRPr="00BF3D02">
        <w:rPr>
          <w:rFonts w:eastAsiaTheme="minorHAnsi" w:cstheme="minorHAnsi"/>
          <w:bCs/>
          <w:szCs w:val="24"/>
          <w:lang w:eastAsia="en-GB"/>
        </w:rPr>
        <w:t>3.2</w:t>
      </w:r>
      <w:r w:rsidR="002B32BD" w:rsidRPr="00BF3D02">
        <w:rPr>
          <w:rFonts w:eastAsiaTheme="minorHAnsi" w:cstheme="minorHAnsi"/>
          <w:bCs/>
          <w:szCs w:val="24"/>
          <w:lang w:eastAsia="en-GB"/>
        </w:rPr>
        <w:tab/>
      </w:r>
      <w:r w:rsidRPr="00BF3D02">
        <w:rPr>
          <w:rFonts w:eastAsiaTheme="minorHAnsi" w:cstheme="minorHAnsi"/>
          <w:bCs/>
          <w:szCs w:val="24"/>
          <w:lang w:eastAsia="en-GB"/>
        </w:rPr>
        <w:t>Implementación del objetivo de multilingüismo del sistema de las Naciones Unidas y del Marco político sobre multilingüismo</w:t>
      </w:r>
    </w:p>
    <w:p w14:paraId="53B7D8EB" w14:textId="77777777" w:rsidR="00AA2F1F" w:rsidRPr="00BF3D02" w:rsidRDefault="00AA2F1F" w:rsidP="002B32BD">
      <w:pPr>
        <w:rPr>
          <w:rFonts w:cs="Calibri"/>
          <w:shd w:val="clear" w:color="auto" w:fill="FFFFFF"/>
        </w:rPr>
      </w:pPr>
      <w:r w:rsidRPr="00BF3D02">
        <w:rPr>
          <w:shd w:val="clear" w:color="auto" w:fill="FFFFFF"/>
        </w:rPr>
        <w:t>Tras la aprobación por el Consejo en su reunión de 2022 del Marco político sobre multilingüismo de la UIT, la Secretaría está elaborando unas directrices administrativas y operacionales para la implementación de la política de conformidad con las recomendaciones formuladas en el Informe de la Dependencia Común de Inspección del Sistema de las Naciones Unidas sobre el multilingüismo en el sistema de las Naciones Unidas</w:t>
      </w:r>
      <w:r w:rsidRPr="00BF3D02">
        <w:rPr>
          <w:rFonts w:cs="Calibri"/>
          <w:shd w:val="clear" w:color="auto" w:fill="FFFFFF"/>
        </w:rPr>
        <w:t xml:space="preserve"> (JIU/REP/2020/6), que se presentarán a la próxima reunión del GTC-Idiomas. En esas directrices se hace un recuento de todos los órganos, las funciones, las responsabilidades y los documentos relacionados con el multilingüismo en la UIT; se presentan una hoja de ruta y un calendario de aplicación de las futuras iniciativas, incluidas las nuevas estrategias lingüísticas para la interpretación y la traducción; se propone una matriz de métodos de traducción de páginas web y publicaciones en función del público objetivo, el grado de precisión y la naturaleza técnica del texto de base, y se formulan nuevas propuestas sobre la interpretación presencial y la interpretación simultánea a distancia, así como sobre la sensibilización a la importancia del multilingüismo y su implementación en toda la UIT.</w:t>
      </w:r>
    </w:p>
    <w:p w14:paraId="4F098098" w14:textId="44E0C0A9" w:rsidR="00AA2F1F" w:rsidRPr="00BF3D02" w:rsidRDefault="00AA2F1F" w:rsidP="002B32BD">
      <w:pPr>
        <w:pStyle w:val="Heading2"/>
        <w:rPr>
          <w:rFonts w:cstheme="minorHAnsi"/>
          <w:bCs/>
          <w:szCs w:val="24"/>
        </w:rPr>
      </w:pPr>
      <w:r w:rsidRPr="00BF3D02">
        <w:rPr>
          <w:rFonts w:cstheme="minorHAnsi"/>
          <w:bCs/>
          <w:szCs w:val="24"/>
        </w:rPr>
        <w:t>3.3</w:t>
      </w:r>
      <w:r w:rsidR="002B32BD" w:rsidRPr="00BF3D02">
        <w:rPr>
          <w:rFonts w:cstheme="minorHAnsi"/>
          <w:bCs/>
          <w:szCs w:val="24"/>
        </w:rPr>
        <w:tab/>
      </w:r>
      <w:bookmarkStart w:id="2" w:name="_Hlk129877008"/>
      <w:r w:rsidRPr="00BF3D02">
        <w:rPr>
          <w:rFonts w:cstheme="minorHAnsi"/>
          <w:bCs/>
          <w:szCs w:val="24"/>
        </w:rPr>
        <w:t>Utilización de nuevas tecnologías en los servicios de traducción</w:t>
      </w:r>
    </w:p>
    <w:p w14:paraId="3A971D2A" w14:textId="77777777" w:rsidR="00AA2F1F" w:rsidRPr="00BF3D02" w:rsidRDefault="00AA2F1F" w:rsidP="002B32BD">
      <w:pPr>
        <w:rPr>
          <w:rFonts w:eastAsiaTheme="minorHAnsi"/>
          <w:lang w:eastAsia="en-GB"/>
        </w:rPr>
      </w:pPr>
      <w:r w:rsidRPr="00BF3D02">
        <w:rPr>
          <w:rFonts w:eastAsiaTheme="minorHAnsi"/>
          <w:lang w:eastAsia="en-GB"/>
        </w:rPr>
        <w:t xml:space="preserve">La Secretaría General sigue desarrollando y mejorando la herramienta de traducción automática neuronal ITU </w:t>
      </w:r>
      <w:proofErr w:type="spellStart"/>
      <w:r w:rsidRPr="00BF3D02">
        <w:rPr>
          <w:rFonts w:eastAsiaTheme="minorHAnsi"/>
          <w:lang w:eastAsia="en-GB"/>
        </w:rPr>
        <w:t>Translate</w:t>
      </w:r>
      <w:proofErr w:type="spellEnd"/>
      <w:r w:rsidRPr="00BF3D02">
        <w:rPr>
          <w:rFonts w:eastAsiaTheme="minorHAnsi"/>
          <w:lang w:eastAsia="en-GB"/>
        </w:rPr>
        <w:t xml:space="preserve">, explorando también otros motores de traducción comerciales, alimentando el motor con datos de la UIT, estableciendo flujos de trabajo para las distintas aplicaciones y evaluando la calidad, los costes y la satisfacción de los usuarios. Se utiliza para determinadas páginas web de la Secretaría General y las Oficinas, tanto en las plataformas SharePoint como </w:t>
      </w:r>
      <w:proofErr w:type="spellStart"/>
      <w:r w:rsidRPr="00BF3D02">
        <w:rPr>
          <w:rFonts w:eastAsiaTheme="minorHAnsi"/>
          <w:lang w:eastAsia="en-GB"/>
        </w:rPr>
        <w:t>Wordpresss</w:t>
      </w:r>
      <w:proofErr w:type="spellEnd"/>
      <w:r w:rsidRPr="00BF3D02">
        <w:rPr>
          <w:rFonts w:eastAsiaTheme="minorHAnsi"/>
          <w:lang w:eastAsia="en-GB"/>
        </w:rPr>
        <w:t xml:space="preserve">, una versión actualizada de la herramienta con una interfaz sólida de fácil acceso y utilización, que ofrece además funcionalidades de descargo de responsabilidad y formulación de observaciones. La Secretaría General pretende integrar la herramienta ITU </w:t>
      </w:r>
      <w:proofErr w:type="spellStart"/>
      <w:r w:rsidRPr="00BF3D02">
        <w:rPr>
          <w:rFonts w:eastAsiaTheme="minorHAnsi"/>
          <w:lang w:eastAsia="en-GB"/>
        </w:rPr>
        <w:t>Translate</w:t>
      </w:r>
      <w:proofErr w:type="spellEnd"/>
      <w:r w:rsidRPr="00BF3D02">
        <w:rPr>
          <w:rFonts w:eastAsiaTheme="minorHAnsi"/>
          <w:lang w:eastAsia="en-GB"/>
        </w:rPr>
        <w:t xml:space="preserve"> en la plantilla maestra de ambas plataformas para poder utilizar por defecto la traducción automática en todas las futuras páginas web. Siempre que sea necesario, y dentro de los recursos disponibles, algunas páginas web seguirán siendo traducidas por los equipos de traductores profesionales.</w:t>
      </w:r>
    </w:p>
    <w:p w14:paraId="524694D8" w14:textId="429FB4F3" w:rsidR="00AA2F1F" w:rsidRPr="00BF3D02" w:rsidRDefault="00AA2F1F" w:rsidP="002B32BD">
      <w:pPr>
        <w:rPr>
          <w:rFonts w:eastAsiaTheme="minorHAnsi"/>
          <w:lang w:eastAsia="en-GB"/>
        </w:rPr>
      </w:pPr>
      <w:r w:rsidRPr="00BF3D02">
        <w:rPr>
          <w:rFonts w:eastAsiaTheme="minorHAnsi"/>
          <w:lang w:eastAsia="en-GB"/>
        </w:rPr>
        <w:t xml:space="preserve">Los traductores de la UIT utilizan ITU para la traducción de segmentos, documentos y sitios web, así como herramientas de traducción asistida por ordenador, incluidas </w:t>
      </w:r>
      <w:proofErr w:type="spellStart"/>
      <w:r w:rsidRPr="00BF3D02">
        <w:rPr>
          <w:rFonts w:eastAsiaTheme="minorHAnsi"/>
          <w:lang w:eastAsia="en-GB"/>
        </w:rPr>
        <w:t>eLUNa</w:t>
      </w:r>
      <w:proofErr w:type="spellEnd"/>
      <w:r w:rsidRPr="00BF3D02">
        <w:rPr>
          <w:rFonts w:eastAsiaTheme="minorHAnsi"/>
          <w:lang w:eastAsia="en-GB"/>
        </w:rPr>
        <w:t xml:space="preserve"> y UNTERM, la base de datos terminológica de referencia del sistema de las Naciones Unidas. En abril de 2023 se dotó a ITU </w:t>
      </w:r>
      <w:proofErr w:type="spellStart"/>
      <w:r w:rsidRPr="00BF3D02">
        <w:rPr>
          <w:rFonts w:eastAsiaTheme="minorHAnsi"/>
          <w:lang w:eastAsia="en-GB"/>
        </w:rPr>
        <w:t>Translate</w:t>
      </w:r>
      <w:proofErr w:type="spellEnd"/>
      <w:r w:rsidRPr="00BF3D02">
        <w:rPr>
          <w:rFonts w:eastAsiaTheme="minorHAnsi"/>
          <w:lang w:eastAsia="en-GB"/>
        </w:rPr>
        <w:t xml:space="preserve"> de una función de </w:t>
      </w:r>
      <w:proofErr w:type="spellStart"/>
      <w:r w:rsidRPr="00BF3D02">
        <w:rPr>
          <w:rFonts w:eastAsiaTheme="minorHAnsi"/>
          <w:lang w:eastAsia="en-GB"/>
        </w:rPr>
        <w:t>postedición</w:t>
      </w:r>
      <w:proofErr w:type="spellEnd"/>
      <w:r w:rsidRPr="00BF3D02">
        <w:rPr>
          <w:rFonts w:eastAsiaTheme="minorHAnsi"/>
          <w:lang w:eastAsia="en-GB"/>
        </w:rPr>
        <w:t xml:space="preserve"> automática. En junio de 2023 se implementará asimismo la aplicación de gestión del flujo de documentos</w:t>
      </w:r>
      <w:r w:rsidR="002B32BD" w:rsidRPr="00BF3D02">
        <w:rPr>
          <w:rFonts w:eastAsiaTheme="minorHAnsi"/>
          <w:shd w:val="clear" w:color="auto" w:fill="FFFFFF"/>
          <w:lang w:eastAsia="en-GB"/>
        </w:rPr>
        <w:t> </w:t>
      </w:r>
      <w:proofErr w:type="spellStart"/>
      <w:r w:rsidRPr="00BF3D02">
        <w:rPr>
          <w:rFonts w:eastAsiaTheme="minorHAnsi"/>
          <w:shd w:val="clear" w:color="auto" w:fill="FFFFFF"/>
          <w:lang w:eastAsia="en-GB"/>
        </w:rPr>
        <w:t>gDoc</w:t>
      </w:r>
      <w:proofErr w:type="spellEnd"/>
      <w:r w:rsidR="002B32BD" w:rsidRPr="00BF3D02">
        <w:rPr>
          <w:rFonts w:eastAsiaTheme="minorHAnsi"/>
          <w:shd w:val="clear" w:color="auto" w:fill="FFFFFF"/>
          <w:lang w:eastAsia="en-GB"/>
        </w:rPr>
        <w:t> </w:t>
      </w:r>
      <w:r w:rsidRPr="00BF3D02">
        <w:rPr>
          <w:rFonts w:eastAsiaTheme="minorHAnsi"/>
          <w:shd w:val="clear" w:color="auto" w:fill="FFFFFF"/>
          <w:lang w:eastAsia="en-GB"/>
        </w:rPr>
        <w:t>2.0, desarrollada por el Departamento de la Asamblea General y de Gestión de Conferencias de las Naciones Unidas, como parte de los esfuerzos invertidos por la UIT para armonizar sus métodos de trabajo con los de otros organismos de las Naciones Unidas y organizaciones internacionales</w:t>
      </w:r>
      <w:r w:rsidRPr="00BF3D02">
        <w:rPr>
          <w:rFonts w:eastAsiaTheme="minorHAnsi"/>
          <w:lang w:eastAsia="en-GB"/>
        </w:rPr>
        <w:t>.</w:t>
      </w:r>
    </w:p>
    <w:p w14:paraId="78C91255" w14:textId="340EC221" w:rsidR="00AA2F1F" w:rsidRPr="00BF3D02" w:rsidRDefault="00AA2F1F" w:rsidP="002B32BD">
      <w:pPr>
        <w:pStyle w:val="Heading2"/>
        <w:rPr>
          <w:rFonts w:eastAsiaTheme="minorHAnsi" w:cstheme="minorHAnsi"/>
          <w:szCs w:val="24"/>
          <w:lang w:eastAsia="en-GB"/>
        </w:rPr>
      </w:pPr>
      <w:r w:rsidRPr="00BF3D02">
        <w:rPr>
          <w:rFonts w:eastAsiaTheme="minorHAnsi" w:cstheme="minorHAnsi"/>
          <w:bCs/>
          <w:szCs w:val="24"/>
          <w:lang w:eastAsia="en-GB"/>
        </w:rPr>
        <w:lastRenderedPageBreak/>
        <w:t>3.4</w:t>
      </w:r>
      <w:r w:rsidR="002B32BD" w:rsidRPr="00BF3D02">
        <w:rPr>
          <w:rFonts w:eastAsiaTheme="minorHAnsi" w:cstheme="minorHAnsi"/>
          <w:bCs/>
          <w:szCs w:val="24"/>
          <w:lang w:eastAsia="en-GB"/>
        </w:rPr>
        <w:tab/>
      </w:r>
      <w:r w:rsidRPr="00BF3D02">
        <w:rPr>
          <w:rFonts w:eastAsiaTheme="minorHAnsi" w:cstheme="minorHAnsi"/>
          <w:bCs/>
          <w:szCs w:val="24"/>
          <w:lang w:eastAsia="en-GB"/>
        </w:rPr>
        <w:t>Utilización de nuevas tecnologías en los servicios de interpretación</w:t>
      </w:r>
    </w:p>
    <w:p w14:paraId="54D14E59" w14:textId="5F781FBE" w:rsidR="00AA2F1F" w:rsidRPr="00BF3D02" w:rsidRDefault="00AA2F1F" w:rsidP="002B32BD">
      <w:r w:rsidRPr="00BF3D02">
        <w:t>Para algunas reuniones de la UIT con participación a distancia se ha estado utilizando la interpretación simultánea a distancia. También se han probado soluciones de interpretación por inteligencia artificial (IA) en la nube, cuya calidad y adecuación a los eventos y reuniones de la UIT se están evaluando. El Servicio de Interpretación sigue evaluando la viabilidad de ofrecer nuevos modos de interpretación, identificando las soluciones más rentables y que ofrecen la mejor calidad de interpretación posible. Una de posibles estrategias que se están preparando comprende la clasificación de eventos y reuniones con distintas necesidades en materia de interpretación.</w:t>
      </w:r>
    </w:p>
    <w:p w14:paraId="7CB795C1" w14:textId="49007974" w:rsidR="00AA2F1F" w:rsidRPr="00BF3D02" w:rsidRDefault="00AA2F1F" w:rsidP="002B32BD">
      <w:pPr>
        <w:pStyle w:val="Heading2"/>
        <w:rPr>
          <w:rFonts w:cs="Calibri"/>
          <w:bCs/>
          <w:szCs w:val="24"/>
          <w:shd w:val="clear" w:color="auto" w:fill="FFFFFF"/>
        </w:rPr>
      </w:pPr>
      <w:r w:rsidRPr="00BF3D02">
        <w:rPr>
          <w:rFonts w:cs="Calibri"/>
          <w:bCs/>
          <w:szCs w:val="24"/>
          <w:shd w:val="clear" w:color="auto" w:fill="FFFFFF"/>
        </w:rPr>
        <w:t>3.5</w:t>
      </w:r>
      <w:r w:rsidR="002B32BD" w:rsidRPr="00BF3D02">
        <w:rPr>
          <w:rFonts w:cs="Calibri"/>
          <w:bCs/>
          <w:szCs w:val="24"/>
          <w:shd w:val="clear" w:color="auto" w:fill="FFFFFF"/>
        </w:rPr>
        <w:tab/>
      </w:r>
      <w:r w:rsidRPr="00BF3D02">
        <w:rPr>
          <w:rFonts w:cs="Calibri"/>
          <w:bCs/>
          <w:szCs w:val="24"/>
          <w:shd w:val="clear" w:color="auto" w:fill="FFFFFF"/>
        </w:rPr>
        <w:t>Trabajos del CCT y UNTERM</w:t>
      </w:r>
    </w:p>
    <w:p w14:paraId="29F8FCC2" w14:textId="77777777" w:rsidR="00AA2F1F" w:rsidRPr="00BF3D02" w:rsidRDefault="00AA2F1F" w:rsidP="002B32BD">
      <w:pPr>
        <w:rPr>
          <w:rFonts w:cstheme="minorBidi"/>
        </w:rPr>
      </w:pPr>
      <w:r w:rsidRPr="00BF3D02">
        <w:rPr>
          <w:shd w:val="clear" w:color="auto" w:fill="FFFFFF"/>
        </w:rPr>
        <w:t>El Comité de Coordinación de la Terminología (CCT) de la UIT prosigue su labor de normalización de la terminología y las definiciones en la UIT sobre la base de las propuestas presentadas por las Comisiones de Estudio de la UIT en inglés. Se ha establecido un flujo de trabajo para mejorar la eficacia y garantizar que la Secretaría General traduce los términos y definiciones considerados durante las reuniones del CCT para que éste los valide. Todos los términos y definiciones aprobados por el CDT se integran en la base de datos de términos y definiciones de la UIT, así como en UNTERM, siendo la UIT la organización responsable de los dominios de TIC y telecomunicaciones. El nuevo sitio web del CCT permite acceder fácilmente a todos los documentos pertinentes. Además, se está estudiando un eventual procedimiento de cooperación con los Estados Miembros interesados para perfeccionar la traducción de los términos y definiciones en los seis idiomas oficiales</w:t>
      </w:r>
      <w:r w:rsidRPr="00BF3D02">
        <w:rPr>
          <w:rFonts w:cstheme="minorBidi"/>
        </w:rPr>
        <w:t>.</w:t>
      </w:r>
    </w:p>
    <w:p w14:paraId="50056AD4" w14:textId="2A372AC0" w:rsidR="00AA2F1F" w:rsidRPr="00BF3D02" w:rsidRDefault="00AA2F1F" w:rsidP="002B32BD">
      <w:pPr>
        <w:pStyle w:val="Heading2"/>
        <w:rPr>
          <w:rFonts w:cstheme="minorHAnsi"/>
          <w:bCs/>
          <w:szCs w:val="24"/>
        </w:rPr>
      </w:pPr>
      <w:r w:rsidRPr="00BF3D02">
        <w:rPr>
          <w:rFonts w:cstheme="minorHAnsi"/>
          <w:bCs/>
          <w:szCs w:val="24"/>
        </w:rPr>
        <w:t>3.6</w:t>
      </w:r>
      <w:r w:rsidR="002B32BD" w:rsidRPr="00BF3D02">
        <w:rPr>
          <w:rFonts w:cstheme="minorHAnsi"/>
          <w:bCs/>
          <w:szCs w:val="24"/>
        </w:rPr>
        <w:tab/>
      </w:r>
      <w:r w:rsidRPr="00BF3D02">
        <w:rPr>
          <w:rFonts w:cstheme="minorHAnsi"/>
          <w:bCs/>
          <w:szCs w:val="24"/>
        </w:rPr>
        <w:t>Armonización de los sitios web de la UIT en los seis idiomas oficiales, integrando el multilingüismo en las comunicaciones, el intercambio de conocimientos y los medios sociales</w:t>
      </w:r>
    </w:p>
    <w:p w14:paraId="7AE0245F" w14:textId="13CD0387" w:rsidR="00AA2F1F" w:rsidRPr="00BF3D02" w:rsidRDefault="00AA2F1F" w:rsidP="002B32BD">
      <w:pPr>
        <w:rPr>
          <w:shd w:val="clear" w:color="auto" w:fill="FFFFFF"/>
        </w:rPr>
      </w:pPr>
      <w:r w:rsidRPr="00BF3D02">
        <w:rPr>
          <w:shd w:val="clear" w:color="auto" w:fill="FFFFFF"/>
        </w:rPr>
        <w:t xml:space="preserve">Se prosiguen los esfuerzos de armonización un una infraestructura de información y un diseño comunes para todos los sitios web de eventos y conferencias en la plataforma WordPress, incluido el sitio web de la reunión de 2023 del Consejo de la UIT. Se ha desarrollado la página de presentación de todos los eventos con el nuevo estilo </w:t>
      </w:r>
      <w:r w:rsidR="00C0373C" w:rsidRPr="00BF3D02">
        <w:rPr>
          <w:shd w:val="clear" w:color="auto" w:fill="FFFFFF"/>
        </w:rPr>
        <w:t>"</w:t>
      </w:r>
      <w:r w:rsidRPr="00BF3D02">
        <w:rPr>
          <w:shd w:val="clear" w:color="auto" w:fill="FFFFFF"/>
        </w:rPr>
        <w:t>Una UIT</w:t>
      </w:r>
      <w:r w:rsidR="00C0373C" w:rsidRPr="00BF3D02">
        <w:rPr>
          <w:shd w:val="clear" w:color="auto" w:fill="FFFFFF"/>
        </w:rPr>
        <w:t>"</w:t>
      </w:r>
      <w:r w:rsidRPr="00BF3D02">
        <w:rPr>
          <w:shd w:val="clear" w:color="auto" w:fill="FFFFFF"/>
        </w:rPr>
        <w:t xml:space="preserve"> en la plataforma WordPress. Se han creado plantillas, componentes y elementos de marca armonizados, que ya están disponibles para la migración a WordPress y la creación de contenido, así como unas directrices para el usuario a fin de garantizar la coherencia del estilo </w:t>
      </w:r>
      <w:r w:rsidR="00C0373C" w:rsidRPr="00BF3D02">
        <w:rPr>
          <w:shd w:val="clear" w:color="auto" w:fill="FFFFFF"/>
        </w:rPr>
        <w:t>"</w:t>
      </w:r>
      <w:r w:rsidRPr="00BF3D02">
        <w:rPr>
          <w:shd w:val="clear" w:color="auto" w:fill="FFFFFF"/>
        </w:rPr>
        <w:t>Una UIT</w:t>
      </w:r>
      <w:r w:rsidR="00C0373C" w:rsidRPr="00BF3D02">
        <w:rPr>
          <w:shd w:val="clear" w:color="auto" w:fill="FFFFFF"/>
        </w:rPr>
        <w:t>"</w:t>
      </w:r>
      <w:r w:rsidRPr="00BF3D02">
        <w:rPr>
          <w:shd w:val="clear" w:color="auto" w:fill="FFFFFF"/>
        </w:rPr>
        <w:t xml:space="preserve">. Actualidades de la UIT, otras páginas relacionadas con los medios y los discursos están disponibles en los seis idiomas gracias a ITU </w:t>
      </w:r>
      <w:proofErr w:type="spellStart"/>
      <w:r w:rsidRPr="00BF3D02">
        <w:rPr>
          <w:shd w:val="clear" w:color="auto" w:fill="FFFFFF"/>
        </w:rPr>
        <w:t>Translate</w:t>
      </w:r>
      <w:proofErr w:type="spellEnd"/>
      <w:r w:rsidRPr="00BF3D02">
        <w:rPr>
          <w:shd w:val="clear" w:color="auto" w:fill="FFFFFF"/>
        </w:rPr>
        <w:t xml:space="preserve">; los comunicados de prensa y los avisos a la prensa siguen traduciéndose por medios tradicionales. La integración de ITU </w:t>
      </w:r>
      <w:proofErr w:type="spellStart"/>
      <w:r w:rsidRPr="00BF3D02">
        <w:rPr>
          <w:shd w:val="clear" w:color="auto" w:fill="FFFFFF"/>
        </w:rPr>
        <w:t>Translate</w:t>
      </w:r>
      <w:proofErr w:type="spellEnd"/>
      <w:r w:rsidRPr="00BF3D02">
        <w:rPr>
          <w:shd w:val="clear" w:color="auto" w:fill="FFFFFF"/>
        </w:rPr>
        <w:t xml:space="preserve"> en la plantilla de todas las páginas WordPress nuevas permitirá que todo el contenido esté inmediata y simultáneamente disponible en los seis idiomas por defecto, conservando la opción de la traducción tradicional cuando sea necesario.</w:t>
      </w:r>
    </w:p>
    <w:p w14:paraId="03E05D28" w14:textId="7D40AA9C" w:rsidR="00AA2F1F" w:rsidRPr="00BF3D02" w:rsidRDefault="00AA2F1F" w:rsidP="00AA2F1F">
      <w:pPr>
        <w:pStyle w:val="Heading1"/>
        <w:rPr>
          <w:rFonts w:cstheme="minorHAnsi"/>
          <w:bCs/>
          <w:szCs w:val="24"/>
        </w:rPr>
      </w:pPr>
      <w:r w:rsidRPr="00BF3D02">
        <w:rPr>
          <w:rFonts w:cstheme="minorHAnsi"/>
          <w:bCs/>
          <w:szCs w:val="24"/>
        </w:rPr>
        <w:lastRenderedPageBreak/>
        <w:t>4</w:t>
      </w:r>
      <w:r w:rsidRPr="00BF3D02">
        <w:rPr>
          <w:rFonts w:cstheme="minorHAnsi"/>
          <w:bCs/>
          <w:szCs w:val="24"/>
        </w:rPr>
        <w:tab/>
      </w:r>
      <w:proofErr w:type="gramStart"/>
      <w:r w:rsidRPr="00BF3D02">
        <w:rPr>
          <w:rFonts w:cstheme="minorHAnsi"/>
          <w:bCs/>
          <w:szCs w:val="24"/>
        </w:rPr>
        <w:t>Medidas</w:t>
      </w:r>
      <w:proofErr w:type="gramEnd"/>
      <w:r w:rsidRPr="00BF3D02">
        <w:rPr>
          <w:rFonts w:cstheme="minorHAnsi"/>
          <w:bCs/>
          <w:szCs w:val="24"/>
        </w:rPr>
        <w:t xml:space="preserve"> adicionales tras la revisión de la Resolución 154 (Rev.</w:t>
      </w:r>
      <w:r w:rsidR="00024371">
        <w:rPr>
          <w:rFonts w:cstheme="minorHAnsi"/>
          <w:bCs/>
          <w:szCs w:val="24"/>
        </w:rPr>
        <w:t> </w:t>
      </w:r>
      <w:r w:rsidRPr="00BF3D02">
        <w:rPr>
          <w:rFonts w:cstheme="minorHAnsi"/>
          <w:bCs/>
          <w:szCs w:val="24"/>
        </w:rPr>
        <w:t>Bucarest,</w:t>
      </w:r>
      <w:r w:rsidR="00024371">
        <w:rPr>
          <w:rFonts w:cstheme="minorHAnsi"/>
          <w:bCs/>
          <w:szCs w:val="24"/>
        </w:rPr>
        <w:t> </w:t>
      </w:r>
      <w:r w:rsidRPr="00BF3D02">
        <w:rPr>
          <w:rFonts w:cstheme="minorHAnsi"/>
          <w:bCs/>
          <w:szCs w:val="24"/>
        </w:rPr>
        <w:t>2022)</w:t>
      </w:r>
    </w:p>
    <w:bookmarkEnd w:id="2"/>
    <w:p w14:paraId="516278C2" w14:textId="77777777" w:rsidR="00AA2F1F" w:rsidRPr="00BF3D02" w:rsidRDefault="00AA2F1F" w:rsidP="00D71D2E">
      <w:pPr>
        <w:keepLines/>
      </w:pPr>
      <w:r w:rsidRPr="00BF3D02">
        <w:t>La Secretaría General y las Oficinas están colaborando para establecer un mecanismo común a toda la UIT para la publicación de las contribuciones a los eventos de la UIT en su idioma original a más tardar tres días después de su recepción. Se anima a los Estados Miembros a utilizar la Interfaz de Propuestas a la Conferencia (CPI) y sus directrices a fin de acelerar la publicación de los documentos en los seis idiomas de la Unión y garantizar la correcta utilización de las plantillas oficiales.</w:t>
      </w:r>
    </w:p>
    <w:p w14:paraId="49BF9147" w14:textId="45D08105" w:rsidR="00AA2F1F" w:rsidRPr="00BF3D02" w:rsidRDefault="00AA2F1F" w:rsidP="002B32BD">
      <w:bookmarkStart w:id="3" w:name="_Hlk126741153"/>
      <w:r w:rsidRPr="00BF3D02">
        <w:t>Se sigue haciendo todo lo posible por garantizar que todos los documentos políticos de la</w:t>
      </w:r>
      <w:r w:rsidR="00024371">
        <w:t> </w:t>
      </w:r>
      <w:r w:rsidRPr="00BF3D02">
        <w:t>UIT, así como otros documentos con información sobre los derechos de propiedad intelectual en la UIT, estén disponibles en los seis idiomas. La Secretaría General supervisa la calidad de los servicios de traducción e interpretación, incluso mediante encuestas a los delegados tras las principales conferencias y eventos de la UIT. Los niveles de satisfacción con respecto a la traducción y la interpretación en todos los idiomas se mantienen elevados.</w:t>
      </w:r>
    </w:p>
    <w:p w14:paraId="553532B9" w14:textId="77777777" w:rsidR="00AA2F1F" w:rsidRPr="00BF3D02" w:rsidRDefault="00AA2F1F" w:rsidP="002B32BD">
      <w:r w:rsidRPr="00BF3D02">
        <w:t>La Secretaría otorga una gran importancia a la ecologización de las reuniones. Se ha revisado la Orden de Servicio 22/07, sobre el funcionamiento de la UIT sin papel, a fin de aumentar la sostenibilidad medioambiental, aumentar la eficacia y reducir los costes operativos de la UIT gracias a la celebración de conferencias y reuniones sin hacer uso del papel y minimizando la impresión y distribución física de las publicaciones de la UIT.</w:t>
      </w:r>
    </w:p>
    <w:p w14:paraId="74E7CC8E" w14:textId="46F6D105" w:rsidR="00AA2F1F" w:rsidRDefault="00AA2F1F" w:rsidP="002B32BD">
      <w:r w:rsidRPr="00BF3D02">
        <w:t>Se ha preparado una serie de plantillas optimizadas para generar publicaciones en formato accesible e independiente de la plataforma utilizada, lo que incluye una interfaz de programación de aplicaciones que da acceso a publicaciones en HTML a fin de aumentar el alcance y la disponibilidad de los contenidos. La Secretaría sigue supervisando la utilización de las publicaciones mediante estadísticas de descarga y adquisición de las publicaciones en los distintos idiomas a fin de sustentar sus futuras decisiones sobre la utilización de la traducción automática.</w:t>
      </w:r>
    </w:p>
    <w:p w14:paraId="21EFEFD5" w14:textId="3770CEF4" w:rsidR="00D242A1" w:rsidRDefault="00D242A1">
      <w:pPr>
        <w:tabs>
          <w:tab w:val="clear" w:pos="567"/>
          <w:tab w:val="clear" w:pos="1134"/>
          <w:tab w:val="clear" w:pos="1701"/>
          <w:tab w:val="clear" w:pos="2268"/>
          <w:tab w:val="clear" w:pos="2835"/>
        </w:tabs>
        <w:overflowPunct/>
        <w:autoSpaceDE/>
        <w:autoSpaceDN/>
        <w:adjustRightInd/>
        <w:spacing w:before="0"/>
        <w:textAlignment w:val="auto"/>
      </w:pPr>
      <w:r>
        <w:br w:type="page"/>
      </w:r>
    </w:p>
    <w:p w14:paraId="738CE027" w14:textId="77777777" w:rsidR="00D242A1" w:rsidRPr="00D242A1" w:rsidRDefault="00D242A1" w:rsidP="00CE777D">
      <w:pPr>
        <w:pStyle w:val="AnnexNo"/>
        <w:spacing w:before="480"/>
        <w:rPr>
          <w:lang w:val="ru-RU"/>
        </w:rPr>
      </w:pPr>
      <w:r w:rsidRPr="00CE777D">
        <w:lastRenderedPageBreak/>
        <w:t>Anexo 1</w:t>
      </w:r>
    </w:p>
    <w:p w14:paraId="159841F0" w14:textId="566E5E88" w:rsidR="00D242A1" w:rsidRPr="00D242A1" w:rsidRDefault="00D242A1" w:rsidP="00CE777D">
      <w:pPr>
        <w:pStyle w:val="Tabletitle"/>
        <w:spacing w:before="240"/>
      </w:pPr>
      <w:r w:rsidRPr="00D242A1">
        <w:t>Cuadro 1</w:t>
      </w:r>
      <w:r w:rsidR="00CE777D">
        <w:br/>
      </w:r>
      <w:r w:rsidRPr="00D242A1">
        <w:t xml:space="preserve">Evolución del presupuesto y los gastos de los servicios lingüísticos </w:t>
      </w:r>
      <w:r w:rsidR="003F12B9">
        <w:br/>
      </w:r>
      <w:r w:rsidRPr="00D242A1">
        <w:t>(en miles CHF), 2018-2022</w:t>
      </w:r>
    </w:p>
    <w:tbl>
      <w:tblPr>
        <w:tblpPr w:leftFromText="180" w:rightFromText="180" w:vertAnchor="page" w:horzAnchor="margin" w:tblpY="2956"/>
        <w:tblW w:w="9214" w:type="dxa"/>
        <w:tblLayout w:type="fixed"/>
        <w:tblLook w:val="04A0" w:firstRow="1" w:lastRow="0" w:firstColumn="1" w:lastColumn="0" w:noHBand="0" w:noVBand="1"/>
      </w:tblPr>
      <w:tblGrid>
        <w:gridCol w:w="3828"/>
        <w:gridCol w:w="1077"/>
        <w:gridCol w:w="1077"/>
        <w:gridCol w:w="1077"/>
        <w:gridCol w:w="1077"/>
        <w:gridCol w:w="1078"/>
      </w:tblGrid>
      <w:tr w:rsidR="00D242A1" w:rsidRPr="00D242A1" w14:paraId="2EC1B484" w14:textId="77777777" w:rsidTr="00CE13DD">
        <w:trPr>
          <w:trHeight w:val="290"/>
        </w:trPr>
        <w:tc>
          <w:tcPr>
            <w:tcW w:w="3828" w:type="dxa"/>
            <w:tcBorders>
              <w:top w:val="nil"/>
              <w:left w:val="nil"/>
              <w:bottom w:val="nil"/>
              <w:right w:val="nil"/>
            </w:tcBorders>
            <w:shd w:val="clear" w:color="auto" w:fill="auto"/>
            <w:noWrap/>
            <w:vAlign w:val="bottom"/>
            <w:hideMark/>
          </w:tcPr>
          <w:p w14:paraId="0D264DD0"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rPr>
            </w:pP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83CBD4"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lang w:val="ru-RU"/>
              </w:rPr>
            </w:pPr>
            <w:r w:rsidRPr="00D242A1">
              <w:rPr>
                <w:rFonts w:asciiTheme="minorHAnsi" w:hAnsiTheme="minorHAnsi"/>
                <w:b/>
                <w:sz w:val="22"/>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2F3E63"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lang w:val="ru-RU"/>
              </w:rPr>
            </w:pPr>
            <w:r w:rsidRPr="00D242A1">
              <w:rPr>
                <w:rFonts w:asciiTheme="minorHAnsi" w:hAnsiTheme="minorHAnsi"/>
                <w:b/>
                <w:sz w:val="22"/>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779228D"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lang w:val="ru-RU"/>
              </w:rPr>
            </w:pPr>
            <w:r w:rsidRPr="00D242A1">
              <w:rPr>
                <w:rFonts w:asciiTheme="minorHAnsi" w:hAnsiTheme="minorHAnsi"/>
                <w:b/>
                <w:sz w:val="22"/>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2F32BF"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lang w:val="ru-RU"/>
              </w:rPr>
            </w:pPr>
            <w:r w:rsidRPr="00D242A1">
              <w:rPr>
                <w:rFonts w:asciiTheme="minorHAnsi" w:hAnsiTheme="minorHAnsi"/>
                <w:b/>
                <w:sz w:val="22"/>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6BA93B7" w14:textId="77777777" w:rsidR="00D242A1" w:rsidRPr="00D242A1" w:rsidRDefault="00D242A1" w:rsidP="00D242A1">
            <w:pPr>
              <w:keepNext/>
              <w:tabs>
                <w:tab w:val="left" w:pos="284"/>
                <w:tab w:val="left" w:pos="851"/>
                <w:tab w:val="left" w:pos="1418"/>
                <w:tab w:val="left" w:pos="2552"/>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b/>
                <w:sz w:val="22"/>
                <w:lang w:val="ru-RU"/>
              </w:rPr>
            </w:pPr>
            <w:r w:rsidRPr="00D242A1">
              <w:rPr>
                <w:rFonts w:asciiTheme="minorHAnsi" w:hAnsiTheme="minorHAnsi"/>
                <w:b/>
                <w:sz w:val="22"/>
              </w:rPr>
              <w:t>2022</w:t>
            </w:r>
          </w:p>
        </w:tc>
      </w:tr>
      <w:tr w:rsidR="00D242A1" w:rsidRPr="00D242A1" w14:paraId="5376F5A4" w14:textId="77777777" w:rsidTr="00CE13DD">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E80B"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Presupuesto de traducción y servicios conexos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70E1C3"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13 468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E91C1A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14 488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8BF9011"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13 048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806B904"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12 999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24F483F4"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16 189</w:t>
            </w:r>
          </w:p>
        </w:tc>
      </w:tr>
      <w:tr w:rsidR="00D242A1" w:rsidRPr="00D242A1" w14:paraId="08FB87A6" w14:textId="77777777" w:rsidTr="00CE13DD">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BA71CB"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Gastos reales de traducción y servicios conexos</w:t>
            </w:r>
          </w:p>
        </w:tc>
        <w:tc>
          <w:tcPr>
            <w:tcW w:w="1077" w:type="dxa"/>
            <w:tcBorders>
              <w:top w:val="nil"/>
              <w:left w:val="nil"/>
              <w:bottom w:val="single" w:sz="4" w:space="0" w:color="auto"/>
              <w:right w:val="single" w:sz="4" w:space="0" w:color="auto"/>
            </w:tcBorders>
            <w:shd w:val="clear" w:color="auto" w:fill="auto"/>
            <w:noWrap/>
            <w:vAlign w:val="center"/>
            <w:hideMark/>
          </w:tcPr>
          <w:p w14:paraId="2CAC2AB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12 098</w:t>
            </w:r>
          </w:p>
        </w:tc>
        <w:tc>
          <w:tcPr>
            <w:tcW w:w="1077" w:type="dxa"/>
            <w:tcBorders>
              <w:top w:val="nil"/>
              <w:left w:val="nil"/>
              <w:bottom w:val="single" w:sz="4" w:space="0" w:color="auto"/>
              <w:right w:val="single" w:sz="4" w:space="0" w:color="auto"/>
            </w:tcBorders>
            <w:shd w:val="clear" w:color="auto" w:fill="auto"/>
            <w:noWrap/>
            <w:vAlign w:val="center"/>
            <w:hideMark/>
          </w:tcPr>
          <w:p w14:paraId="63EFDAF7"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13 223</w:t>
            </w:r>
          </w:p>
        </w:tc>
        <w:tc>
          <w:tcPr>
            <w:tcW w:w="1077" w:type="dxa"/>
            <w:tcBorders>
              <w:top w:val="nil"/>
              <w:left w:val="nil"/>
              <w:bottom w:val="single" w:sz="4" w:space="0" w:color="auto"/>
              <w:right w:val="single" w:sz="4" w:space="0" w:color="auto"/>
            </w:tcBorders>
            <w:shd w:val="clear" w:color="auto" w:fill="auto"/>
            <w:noWrap/>
            <w:vAlign w:val="center"/>
            <w:hideMark/>
          </w:tcPr>
          <w:p w14:paraId="03B014D2"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12 252</w:t>
            </w:r>
          </w:p>
        </w:tc>
        <w:tc>
          <w:tcPr>
            <w:tcW w:w="1077" w:type="dxa"/>
            <w:tcBorders>
              <w:top w:val="nil"/>
              <w:left w:val="nil"/>
              <w:bottom w:val="single" w:sz="4" w:space="0" w:color="auto"/>
              <w:right w:val="single" w:sz="4" w:space="0" w:color="auto"/>
            </w:tcBorders>
            <w:shd w:val="clear" w:color="auto" w:fill="auto"/>
            <w:noWrap/>
            <w:vAlign w:val="center"/>
            <w:hideMark/>
          </w:tcPr>
          <w:p w14:paraId="151B5CA9"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12 541</w:t>
            </w:r>
          </w:p>
        </w:tc>
        <w:tc>
          <w:tcPr>
            <w:tcW w:w="1078" w:type="dxa"/>
            <w:tcBorders>
              <w:top w:val="nil"/>
              <w:left w:val="nil"/>
              <w:bottom w:val="single" w:sz="4" w:space="0" w:color="auto"/>
              <w:right w:val="single" w:sz="4" w:space="0" w:color="auto"/>
            </w:tcBorders>
            <w:shd w:val="clear" w:color="auto" w:fill="auto"/>
            <w:noWrap/>
            <w:vAlign w:val="center"/>
            <w:hideMark/>
          </w:tcPr>
          <w:p w14:paraId="55BE84D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14 706</w:t>
            </w:r>
          </w:p>
        </w:tc>
      </w:tr>
      <w:tr w:rsidR="00D242A1" w:rsidRPr="00D242A1" w14:paraId="535B9A26" w14:textId="77777777" w:rsidTr="00CE13DD">
        <w:trPr>
          <w:trHeight w:val="140"/>
        </w:trPr>
        <w:tc>
          <w:tcPr>
            <w:tcW w:w="3828" w:type="dxa"/>
            <w:tcBorders>
              <w:top w:val="nil"/>
              <w:left w:val="nil"/>
              <w:bottom w:val="nil"/>
              <w:right w:val="nil"/>
            </w:tcBorders>
            <w:shd w:val="clear" w:color="auto" w:fill="auto"/>
            <w:noWrap/>
            <w:vAlign w:val="center"/>
            <w:hideMark/>
          </w:tcPr>
          <w:p w14:paraId="348FA6B9"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05FBE2A0"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2B31B851"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2D78CB00"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0E109519"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8" w:type="dxa"/>
            <w:tcBorders>
              <w:top w:val="nil"/>
              <w:left w:val="nil"/>
              <w:bottom w:val="nil"/>
              <w:right w:val="nil"/>
            </w:tcBorders>
            <w:shd w:val="clear" w:color="auto" w:fill="auto"/>
            <w:noWrap/>
            <w:vAlign w:val="center"/>
            <w:hideMark/>
          </w:tcPr>
          <w:p w14:paraId="2D34883F"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r>
      <w:tr w:rsidR="00D242A1" w:rsidRPr="00D242A1" w14:paraId="7E288540" w14:textId="77777777" w:rsidTr="00CE13DD">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85A8"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Presupuesto de interpretación</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C5586C7"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2 435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682046CC"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3 457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948FD64"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02DB3C7"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3456B9F4"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2 910</w:t>
            </w:r>
          </w:p>
        </w:tc>
      </w:tr>
      <w:tr w:rsidR="00D242A1" w:rsidRPr="00D242A1" w14:paraId="7C43ED0C" w14:textId="77777777" w:rsidTr="00CE13DD">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8CF09E"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Gastos reales de interpretación</w:t>
            </w:r>
          </w:p>
        </w:tc>
        <w:tc>
          <w:tcPr>
            <w:tcW w:w="1077" w:type="dxa"/>
            <w:tcBorders>
              <w:top w:val="nil"/>
              <w:left w:val="nil"/>
              <w:bottom w:val="single" w:sz="4" w:space="0" w:color="auto"/>
              <w:right w:val="single" w:sz="4" w:space="0" w:color="auto"/>
            </w:tcBorders>
            <w:shd w:val="clear" w:color="auto" w:fill="auto"/>
            <w:noWrap/>
            <w:vAlign w:val="center"/>
            <w:hideMark/>
          </w:tcPr>
          <w:p w14:paraId="00F7CDB8"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1 852</w:t>
            </w:r>
          </w:p>
        </w:tc>
        <w:tc>
          <w:tcPr>
            <w:tcW w:w="1077" w:type="dxa"/>
            <w:tcBorders>
              <w:top w:val="nil"/>
              <w:left w:val="nil"/>
              <w:bottom w:val="single" w:sz="4" w:space="0" w:color="auto"/>
              <w:right w:val="single" w:sz="4" w:space="0" w:color="auto"/>
            </w:tcBorders>
            <w:shd w:val="clear" w:color="auto" w:fill="auto"/>
            <w:noWrap/>
            <w:vAlign w:val="center"/>
            <w:hideMark/>
          </w:tcPr>
          <w:p w14:paraId="3D9BCA1C"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2 698</w:t>
            </w:r>
          </w:p>
        </w:tc>
        <w:tc>
          <w:tcPr>
            <w:tcW w:w="1077" w:type="dxa"/>
            <w:tcBorders>
              <w:top w:val="nil"/>
              <w:left w:val="nil"/>
              <w:bottom w:val="single" w:sz="4" w:space="0" w:color="auto"/>
              <w:right w:val="single" w:sz="4" w:space="0" w:color="auto"/>
            </w:tcBorders>
            <w:shd w:val="clear" w:color="auto" w:fill="auto"/>
            <w:noWrap/>
            <w:vAlign w:val="center"/>
            <w:hideMark/>
          </w:tcPr>
          <w:p w14:paraId="1CA56BD7"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1 338</w:t>
            </w:r>
          </w:p>
        </w:tc>
        <w:tc>
          <w:tcPr>
            <w:tcW w:w="1077" w:type="dxa"/>
            <w:tcBorders>
              <w:top w:val="nil"/>
              <w:left w:val="nil"/>
              <w:bottom w:val="single" w:sz="4" w:space="0" w:color="auto"/>
              <w:right w:val="single" w:sz="4" w:space="0" w:color="auto"/>
            </w:tcBorders>
            <w:shd w:val="clear" w:color="auto" w:fill="auto"/>
            <w:noWrap/>
            <w:vAlign w:val="center"/>
            <w:hideMark/>
          </w:tcPr>
          <w:p w14:paraId="1126E9FB"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1 522</w:t>
            </w:r>
          </w:p>
        </w:tc>
        <w:tc>
          <w:tcPr>
            <w:tcW w:w="1078" w:type="dxa"/>
            <w:tcBorders>
              <w:top w:val="nil"/>
              <w:left w:val="nil"/>
              <w:bottom w:val="single" w:sz="4" w:space="0" w:color="auto"/>
              <w:right w:val="single" w:sz="4" w:space="0" w:color="auto"/>
            </w:tcBorders>
            <w:shd w:val="clear" w:color="auto" w:fill="auto"/>
            <w:noWrap/>
            <w:vAlign w:val="center"/>
            <w:hideMark/>
          </w:tcPr>
          <w:p w14:paraId="1CEAF19E"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1 957</w:t>
            </w:r>
          </w:p>
        </w:tc>
      </w:tr>
      <w:tr w:rsidR="00D242A1" w:rsidRPr="00D242A1" w14:paraId="60A4A588" w14:textId="77777777" w:rsidTr="00CE13DD">
        <w:trPr>
          <w:trHeight w:val="130"/>
        </w:trPr>
        <w:tc>
          <w:tcPr>
            <w:tcW w:w="3828" w:type="dxa"/>
            <w:tcBorders>
              <w:top w:val="nil"/>
              <w:left w:val="nil"/>
              <w:bottom w:val="nil"/>
              <w:right w:val="nil"/>
            </w:tcBorders>
            <w:shd w:val="clear" w:color="auto" w:fill="auto"/>
            <w:noWrap/>
            <w:vAlign w:val="center"/>
            <w:hideMark/>
          </w:tcPr>
          <w:p w14:paraId="54E9DD78"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2AE22507"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40B34E9E"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39DBCB68"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7" w:type="dxa"/>
            <w:tcBorders>
              <w:top w:val="nil"/>
              <w:left w:val="nil"/>
              <w:bottom w:val="nil"/>
              <w:right w:val="nil"/>
            </w:tcBorders>
            <w:shd w:val="clear" w:color="auto" w:fill="auto"/>
            <w:noWrap/>
            <w:vAlign w:val="center"/>
            <w:hideMark/>
          </w:tcPr>
          <w:p w14:paraId="40171D9D"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c>
          <w:tcPr>
            <w:tcW w:w="1078" w:type="dxa"/>
            <w:tcBorders>
              <w:top w:val="nil"/>
              <w:left w:val="nil"/>
              <w:bottom w:val="nil"/>
              <w:right w:val="nil"/>
            </w:tcBorders>
            <w:shd w:val="clear" w:color="auto" w:fill="auto"/>
            <w:noWrap/>
            <w:vAlign w:val="center"/>
            <w:hideMark/>
          </w:tcPr>
          <w:p w14:paraId="51D7D8C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p>
        </w:tc>
      </w:tr>
      <w:tr w:rsidR="00D242A1" w:rsidRPr="00D242A1" w14:paraId="539980AC" w14:textId="77777777" w:rsidTr="00CE13DD">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3EAE"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Presupuesto total de servicios lingüísticos</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1C45EBE"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15 903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15738E72"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17 944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D2C62C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14 455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AD69BC6"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14 390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1622E435"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19 099</w:t>
            </w:r>
          </w:p>
        </w:tc>
      </w:tr>
      <w:tr w:rsidR="00D242A1" w:rsidRPr="00D242A1" w14:paraId="7A38DC0A" w14:textId="77777777" w:rsidTr="00CE13DD">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2EA21E6"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sz w:val="22"/>
                <w:lang w:val="ru-RU"/>
              </w:rPr>
            </w:pPr>
            <w:r w:rsidRPr="00D242A1">
              <w:rPr>
                <w:rFonts w:asciiTheme="minorHAnsi" w:eastAsiaTheme="minorHAnsi" w:hAnsiTheme="minorHAnsi"/>
                <w:sz w:val="22"/>
              </w:rPr>
              <w:t>Gastos totales reales de servicios lingüísticos</w:t>
            </w:r>
          </w:p>
        </w:tc>
        <w:tc>
          <w:tcPr>
            <w:tcW w:w="1077" w:type="dxa"/>
            <w:tcBorders>
              <w:top w:val="nil"/>
              <w:left w:val="nil"/>
              <w:bottom w:val="single" w:sz="4" w:space="0" w:color="auto"/>
              <w:right w:val="single" w:sz="4" w:space="0" w:color="auto"/>
            </w:tcBorders>
            <w:shd w:val="clear" w:color="auto" w:fill="auto"/>
            <w:noWrap/>
            <w:vAlign w:val="center"/>
            <w:hideMark/>
          </w:tcPr>
          <w:p w14:paraId="2B233F1C"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13 950</w:t>
            </w:r>
          </w:p>
        </w:tc>
        <w:tc>
          <w:tcPr>
            <w:tcW w:w="1077" w:type="dxa"/>
            <w:tcBorders>
              <w:top w:val="nil"/>
              <w:left w:val="nil"/>
              <w:bottom w:val="single" w:sz="4" w:space="0" w:color="auto"/>
              <w:right w:val="single" w:sz="4" w:space="0" w:color="auto"/>
            </w:tcBorders>
            <w:shd w:val="clear" w:color="auto" w:fill="auto"/>
            <w:noWrap/>
            <w:vAlign w:val="center"/>
            <w:hideMark/>
          </w:tcPr>
          <w:p w14:paraId="0238E4C0"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15 922</w:t>
            </w:r>
          </w:p>
        </w:tc>
        <w:tc>
          <w:tcPr>
            <w:tcW w:w="1077" w:type="dxa"/>
            <w:tcBorders>
              <w:top w:val="nil"/>
              <w:left w:val="nil"/>
              <w:bottom w:val="single" w:sz="4" w:space="0" w:color="auto"/>
              <w:right w:val="single" w:sz="4" w:space="0" w:color="auto"/>
            </w:tcBorders>
            <w:shd w:val="clear" w:color="auto" w:fill="auto"/>
            <w:noWrap/>
            <w:vAlign w:val="center"/>
            <w:hideMark/>
          </w:tcPr>
          <w:p w14:paraId="5BAC497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13 589</w:t>
            </w:r>
          </w:p>
        </w:tc>
        <w:tc>
          <w:tcPr>
            <w:tcW w:w="1077" w:type="dxa"/>
            <w:tcBorders>
              <w:top w:val="nil"/>
              <w:left w:val="nil"/>
              <w:bottom w:val="single" w:sz="4" w:space="0" w:color="auto"/>
              <w:right w:val="single" w:sz="4" w:space="0" w:color="auto"/>
            </w:tcBorders>
            <w:shd w:val="clear" w:color="auto" w:fill="auto"/>
            <w:noWrap/>
            <w:vAlign w:val="center"/>
            <w:hideMark/>
          </w:tcPr>
          <w:p w14:paraId="7B8BC235"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14 063</w:t>
            </w:r>
          </w:p>
        </w:tc>
        <w:tc>
          <w:tcPr>
            <w:tcW w:w="1078" w:type="dxa"/>
            <w:tcBorders>
              <w:top w:val="nil"/>
              <w:left w:val="nil"/>
              <w:bottom w:val="single" w:sz="4" w:space="0" w:color="auto"/>
              <w:right w:val="single" w:sz="4" w:space="0" w:color="auto"/>
            </w:tcBorders>
            <w:shd w:val="clear" w:color="auto" w:fill="auto"/>
            <w:noWrap/>
            <w:vAlign w:val="center"/>
            <w:hideMark/>
          </w:tcPr>
          <w:p w14:paraId="3BA669E2"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sz w:val="22"/>
                <w:lang w:val="ru-RU"/>
              </w:rPr>
            </w:pPr>
            <w:r w:rsidRPr="00D242A1">
              <w:rPr>
                <w:rFonts w:asciiTheme="minorHAnsi" w:hAnsiTheme="minorHAnsi" w:cstheme="minorHAnsi"/>
                <w:sz w:val="22"/>
                <w:lang w:eastAsia="en-GB"/>
              </w:rPr>
              <w:t>16 663</w:t>
            </w:r>
          </w:p>
        </w:tc>
      </w:tr>
      <w:tr w:rsidR="00D242A1" w:rsidRPr="00D242A1" w14:paraId="10F9EE49" w14:textId="77777777" w:rsidTr="00CE13DD">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25E5CC6" w14:textId="77777777" w:rsidR="00D242A1" w:rsidRPr="00D242A1" w:rsidRDefault="00D242A1" w:rsidP="00D242A1">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textAlignment w:val="auto"/>
              <w:rPr>
                <w:rFonts w:asciiTheme="minorHAnsi" w:hAnsiTheme="minorHAnsi"/>
                <w:i/>
                <w:iCs/>
                <w:sz w:val="22"/>
                <w:lang w:val="ru-RU"/>
              </w:rPr>
            </w:pPr>
            <w:r w:rsidRPr="00D242A1">
              <w:rPr>
                <w:rFonts w:asciiTheme="minorHAnsi" w:eastAsiaTheme="minorHAnsi" w:hAnsiTheme="minorHAnsi"/>
                <w:i/>
                <w:iCs/>
                <w:sz w:val="22"/>
              </w:rPr>
              <w:t>Ahorros</w:t>
            </w:r>
          </w:p>
        </w:tc>
        <w:tc>
          <w:tcPr>
            <w:tcW w:w="1077" w:type="dxa"/>
            <w:tcBorders>
              <w:top w:val="nil"/>
              <w:left w:val="nil"/>
              <w:bottom w:val="single" w:sz="4" w:space="0" w:color="auto"/>
              <w:right w:val="single" w:sz="4" w:space="0" w:color="auto"/>
            </w:tcBorders>
            <w:shd w:val="clear" w:color="auto" w:fill="auto"/>
            <w:noWrap/>
            <w:vAlign w:val="center"/>
            <w:hideMark/>
          </w:tcPr>
          <w:p w14:paraId="2919FC8F"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i/>
                <w:iCs/>
                <w:sz w:val="22"/>
                <w:lang w:val="ru-RU"/>
              </w:rPr>
            </w:pPr>
            <w:r w:rsidRPr="00D242A1">
              <w:rPr>
                <w:rFonts w:asciiTheme="minorHAnsi" w:hAnsiTheme="minorHAnsi" w:cstheme="minorHAnsi"/>
                <w:i/>
                <w:iCs/>
                <w:sz w:val="22"/>
                <w:lang w:eastAsia="en-GB"/>
              </w:rPr>
              <w:t>1 953</w:t>
            </w:r>
          </w:p>
        </w:tc>
        <w:tc>
          <w:tcPr>
            <w:tcW w:w="1077" w:type="dxa"/>
            <w:tcBorders>
              <w:top w:val="nil"/>
              <w:left w:val="nil"/>
              <w:bottom w:val="single" w:sz="4" w:space="0" w:color="auto"/>
              <w:right w:val="single" w:sz="4" w:space="0" w:color="auto"/>
            </w:tcBorders>
            <w:shd w:val="clear" w:color="auto" w:fill="auto"/>
            <w:noWrap/>
            <w:vAlign w:val="center"/>
            <w:hideMark/>
          </w:tcPr>
          <w:p w14:paraId="64FAD1B0"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i/>
                <w:iCs/>
                <w:sz w:val="22"/>
                <w:lang w:val="ru-RU"/>
              </w:rPr>
            </w:pPr>
            <w:r w:rsidRPr="00D242A1">
              <w:rPr>
                <w:rFonts w:asciiTheme="minorHAnsi" w:hAnsiTheme="minorHAnsi" w:cstheme="minorHAnsi"/>
                <w:i/>
                <w:iCs/>
                <w:sz w:val="22"/>
                <w:lang w:eastAsia="en-GB"/>
              </w:rPr>
              <w:t>2 023</w:t>
            </w:r>
          </w:p>
        </w:tc>
        <w:tc>
          <w:tcPr>
            <w:tcW w:w="1077" w:type="dxa"/>
            <w:tcBorders>
              <w:top w:val="nil"/>
              <w:left w:val="nil"/>
              <w:bottom w:val="single" w:sz="4" w:space="0" w:color="auto"/>
              <w:right w:val="single" w:sz="4" w:space="0" w:color="auto"/>
            </w:tcBorders>
            <w:shd w:val="clear" w:color="auto" w:fill="auto"/>
            <w:noWrap/>
            <w:vAlign w:val="center"/>
            <w:hideMark/>
          </w:tcPr>
          <w:p w14:paraId="054B41AE"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i/>
                <w:iCs/>
                <w:sz w:val="22"/>
                <w:lang w:val="ru-RU"/>
              </w:rPr>
            </w:pPr>
            <w:r w:rsidRPr="00D242A1">
              <w:rPr>
                <w:rFonts w:asciiTheme="minorHAnsi" w:hAnsiTheme="minorHAnsi" w:cstheme="minorHAnsi"/>
                <w:i/>
                <w:iCs/>
                <w:sz w:val="22"/>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3323638A"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i/>
                <w:iCs/>
                <w:sz w:val="22"/>
                <w:lang w:val="ru-RU"/>
              </w:rPr>
            </w:pPr>
            <w:r w:rsidRPr="00D242A1">
              <w:rPr>
                <w:rFonts w:asciiTheme="minorHAnsi" w:hAnsiTheme="minorHAnsi" w:cstheme="minorHAnsi"/>
                <w:i/>
                <w:iCs/>
                <w:sz w:val="22"/>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6FAE68DE" w14:textId="77777777" w:rsidR="00D242A1" w:rsidRPr="00D242A1" w:rsidRDefault="00D242A1" w:rsidP="00CB76F6">
            <w:pPr>
              <w:tabs>
                <w:tab w:val="left" w:pos="284"/>
                <w:tab w:val="left" w:pos="851"/>
                <w:tab w:val="left" w:pos="1418"/>
                <w:tab w:val="left" w:pos="2552"/>
                <w:tab w:val="left" w:pos="3119"/>
                <w:tab w:val="left" w:pos="3402"/>
                <w:tab w:val="left" w:pos="3686"/>
                <w:tab w:val="left" w:pos="3969"/>
              </w:tabs>
              <w:overflowPunct/>
              <w:autoSpaceDE/>
              <w:autoSpaceDN/>
              <w:adjustRightInd/>
              <w:spacing w:before="40" w:after="40"/>
              <w:jc w:val="center"/>
              <w:textAlignment w:val="auto"/>
              <w:rPr>
                <w:rFonts w:asciiTheme="minorHAnsi" w:hAnsiTheme="minorHAnsi"/>
                <w:i/>
                <w:iCs/>
                <w:sz w:val="22"/>
                <w:lang w:val="ru-RU"/>
              </w:rPr>
            </w:pPr>
            <w:r w:rsidRPr="00D242A1">
              <w:rPr>
                <w:rFonts w:asciiTheme="minorHAnsi" w:hAnsiTheme="minorHAnsi" w:cstheme="minorHAnsi"/>
                <w:i/>
                <w:iCs/>
                <w:sz w:val="22"/>
                <w:lang w:eastAsia="en-GB"/>
              </w:rPr>
              <w:t>2 436</w:t>
            </w:r>
          </w:p>
        </w:tc>
      </w:tr>
    </w:tbl>
    <w:p w14:paraId="2B5ED641" w14:textId="75560826" w:rsidR="00AA2F1F" w:rsidRPr="00BF3D02" w:rsidRDefault="00AA2F1F" w:rsidP="003F12B9">
      <w:pPr>
        <w:pStyle w:val="Figuretitle"/>
        <w:spacing w:before="480" w:after="120"/>
      </w:pPr>
      <w:bookmarkStart w:id="4" w:name="_Hlk134084190"/>
      <w:bookmarkEnd w:id="3"/>
      <w:r w:rsidRPr="00BF3D02">
        <w:t>Figura 1</w:t>
      </w:r>
      <w:r w:rsidR="00CE777D">
        <w:br/>
      </w:r>
      <w:r w:rsidRPr="00BF3D02">
        <w:t xml:space="preserve">Evolución del presupuesto y los gastos de los servicios lingüísticos </w:t>
      </w:r>
      <w:r w:rsidR="002B32BD" w:rsidRPr="00BF3D02">
        <w:br/>
      </w:r>
      <w:r w:rsidRPr="00BF3D02">
        <w:t>(en miles CHF), 2018-2022</w:t>
      </w:r>
    </w:p>
    <w:p w14:paraId="79366287" w14:textId="6BF4650D" w:rsidR="00024371" w:rsidRPr="00024371" w:rsidRDefault="00DE0D0A" w:rsidP="00024371">
      <w:r w:rsidRPr="00DE0D0A">
        <w:rPr>
          <w:noProof/>
        </w:rPr>
        <w:drawing>
          <wp:inline distT="0" distB="0" distL="0" distR="0" wp14:anchorId="5B411034" wp14:editId="7BB716E4">
            <wp:extent cx="5758644" cy="2091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42" b="8322"/>
                    <a:stretch/>
                  </pic:blipFill>
                  <pic:spPr bwMode="auto">
                    <a:xfrm>
                      <a:off x="0" y="0"/>
                      <a:ext cx="5760085" cy="2091716"/>
                    </a:xfrm>
                    <a:prstGeom prst="rect">
                      <a:avLst/>
                    </a:prstGeom>
                    <a:noFill/>
                    <a:ln>
                      <a:noFill/>
                    </a:ln>
                    <a:extLst>
                      <a:ext uri="{53640926-AAD7-44D8-BBD7-CCE9431645EC}">
                        <a14:shadowObscured xmlns:a14="http://schemas.microsoft.com/office/drawing/2010/main"/>
                      </a:ext>
                    </a:extLst>
                  </pic:spPr>
                </pic:pic>
              </a:graphicData>
            </a:graphic>
          </wp:inline>
        </w:drawing>
      </w:r>
    </w:p>
    <w:p w14:paraId="70322400" w14:textId="77777777" w:rsidR="009E55DF" w:rsidRPr="00BF3D02" w:rsidRDefault="009E55DF">
      <w:pPr>
        <w:tabs>
          <w:tab w:val="clear" w:pos="567"/>
          <w:tab w:val="clear" w:pos="1134"/>
          <w:tab w:val="clear" w:pos="1701"/>
          <w:tab w:val="clear" w:pos="2268"/>
          <w:tab w:val="clear" w:pos="2835"/>
        </w:tabs>
        <w:overflowPunct/>
        <w:autoSpaceDE/>
        <w:autoSpaceDN/>
        <w:adjustRightInd/>
        <w:spacing w:before="0"/>
        <w:textAlignment w:val="auto"/>
        <w:rPr>
          <w:b/>
          <w:bCs/>
          <w:sz w:val="22"/>
          <w:szCs w:val="22"/>
        </w:rPr>
      </w:pPr>
      <w:bookmarkStart w:id="5" w:name="_Hlk134084314"/>
      <w:bookmarkEnd w:id="4"/>
      <w:r w:rsidRPr="00BF3D02">
        <w:rPr>
          <w:b/>
          <w:bCs/>
          <w:sz w:val="22"/>
          <w:szCs w:val="22"/>
        </w:rPr>
        <w:br w:type="page"/>
      </w:r>
    </w:p>
    <w:p w14:paraId="4E0C7DEF" w14:textId="331DC7E1" w:rsidR="00AA2F1F" w:rsidRPr="00BF3D02" w:rsidRDefault="00AA2F1F" w:rsidP="00CE777D">
      <w:pPr>
        <w:pStyle w:val="Figuretitle"/>
        <w:spacing w:before="720" w:after="120"/>
      </w:pPr>
      <w:r w:rsidRPr="00BF3D02">
        <w:lastRenderedPageBreak/>
        <w:t>Cuadro 2</w:t>
      </w:r>
      <w:r w:rsidR="00CE777D">
        <w:br/>
      </w:r>
      <w:r w:rsidRPr="00BF3D02">
        <w:t>Evolución del volumen de traducción, por idioma (páginas)</w:t>
      </w:r>
      <w:r w:rsidR="00F72391" w:rsidRPr="00CE777D">
        <w:t xml:space="preserve"> </w:t>
      </w:r>
      <w:r w:rsidR="00F72391" w:rsidRPr="00CE777D">
        <w:footnoteReference w:customMarkFollows="1" w:id="1"/>
        <w:t>[1]</w:t>
      </w:r>
      <w:r w:rsidRPr="00BF3D02">
        <w:t>,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AA2F1F" w:rsidRPr="00BF3D02" w14:paraId="1E8D2F0F" w14:textId="77777777" w:rsidTr="007F716E">
        <w:trPr>
          <w:jc w:val="center"/>
        </w:trPr>
        <w:tc>
          <w:tcPr>
            <w:tcW w:w="2552" w:type="dxa"/>
            <w:vMerge w:val="restart"/>
            <w:tcMar>
              <w:top w:w="0" w:type="dxa"/>
              <w:left w:w="108" w:type="dxa"/>
              <w:bottom w:w="0" w:type="dxa"/>
              <w:right w:w="108" w:type="dxa"/>
            </w:tcMar>
            <w:vAlign w:val="center"/>
          </w:tcPr>
          <w:p w14:paraId="5048153C" w14:textId="77777777" w:rsidR="00AA2F1F" w:rsidRPr="00BF3D02" w:rsidRDefault="00AA2F1F" w:rsidP="00D95C74">
            <w:pPr>
              <w:pStyle w:val="Tablehead"/>
            </w:pPr>
            <w:r w:rsidRPr="00BF3D02">
              <w:t>Idioma</w:t>
            </w:r>
          </w:p>
        </w:tc>
        <w:tc>
          <w:tcPr>
            <w:tcW w:w="5680" w:type="dxa"/>
            <w:gridSpan w:val="6"/>
            <w:shd w:val="clear" w:color="auto" w:fill="D6DCE4"/>
            <w:tcMar>
              <w:top w:w="0" w:type="dxa"/>
              <w:left w:w="108" w:type="dxa"/>
              <w:bottom w:w="0" w:type="dxa"/>
              <w:right w:w="108" w:type="dxa"/>
            </w:tcMar>
            <w:vAlign w:val="center"/>
          </w:tcPr>
          <w:p w14:paraId="78638FB6" w14:textId="77777777" w:rsidR="00AA2F1F" w:rsidRPr="00BF3D02" w:rsidRDefault="00AA2F1F" w:rsidP="00D95C74">
            <w:pPr>
              <w:pStyle w:val="Tablehead"/>
              <w:rPr>
                <w:color w:val="000000"/>
              </w:rPr>
            </w:pPr>
            <w:r w:rsidRPr="00BF3D02">
              <w:t>Volumen de traducción/año (páginas)</w:t>
            </w:r>
          </w:p>
        </w:tc>
      </w:tr>
      <w:tr w:rsidR="00AA2F1F" w:rsidRPr="00BF3D02" w14:paraId="778EDF11" w14:textId="77777777" w:rsidTr="007F716E">
        <w:trPr>
          <w:gridAfter w:val="1"/>
          <w:wAfter w:w="10" w:type="dxa"/>
          <w:jc w:val="center"/>
        </w:trPr>
        <w:tc>
          <w:tcPr>
            <w:tcW w:w="2552" w:type="dxa"/>
            <w:vMerge/>
            <w:tcMar>
              <w:top w:w="0" w:type="dxa"/>
              <w:left w:w="108" w:type="dxa"/>
              <w:bottom w:w="0" w:type="dxa"/>
              <w:right w:w="108" w:type="dxa"/>
            </w:tcMar>
            <w:vAlign w:val="center"/>
          </w:tcPr>
          <w:p w14:paraId="29530255" w14:textId="77777777" w:rsidR="00AA2F1F" w:rsidRPr="00BF3D02" w:rsidRDefault="00AA2F1F" w:rsidP="00D95C74">
            <w:pPr>
              <w:pStyle w:val="Tablehead"/>
            </w:pPr>
          </w:p>
        </w:tc>
        <w:tc>
          <w:tcPr>
            <w:tcW w:w="1134" w:type="dxa"/>
            <w:shd w:val="clear" w:color="auto" w:fill="D6DCE4"/>
            <w:tcMar>
              <w:top w:w="0" w:type="dxa"/>
              <w:left w:w="108" w:type="dxa"/>
              <w:bottom w:w="0" w:type="dxa"/>
              <w:right w:w="108" w:type="dxa"/>
            </w:tcMar>
            <w:vAlign w:val="center"/>
          </w:tcPr>
          <w:p w14:paraId="708D2CF9" w14:textId="77777777" w:rsidR="00AA2F1F" w:rsidRPr="00BF3D02" w:rsidRDefault="00AA2F1F" w:rsidP="00D95C74">
            <w:pPr>
              <w:pStyle w:val="Tablehead"/>
              <w:rPr>
                <w:color w:val="000000"/>
              </w:rPr>
            </w:pPr>
            <w:r w:rsidRPr="00BF3D02">
              <w:rPr>
                <w:color w:val="000000"/>
              </w:rPr>
              <w:t>2018</w:t>
            </w:r>
          </w:p>
        </w:tc>
        <w:tc>
          <w:tcPr>
            <w:tcW w:w="1134" w:type="dxa"/>
            <w:shd w:val="clear" w:color="auto" w:fill="D6DCE4"/>
            <w:tcMar>
              <w:top w:w="0" w:type="dxa"/>
              <w:left w:w="108" w:type="dxa"/>
              <w:bottom w:w="0" w:type="dxa"/>
              <w:right w:w="108" w:type="dxa"/>
            </w:tcMar>
            <w:vAlign w:val="center"/>
          </w:tcPr>
          <w:p w14:paraId="73035234" w14:textId="77777777" w:rsidR="00AA2F1F" w:rsidRPr="00BF3D02" w:rsidRDefault="00AA2F1F" w:rsidP="00D95C74">
            <w:pPr>
              <w:pStyle w:val="Tablehead"/>
              <w:rPr>
                <w:color w:val="000000"/>
              </w:rPr>
            </w:pPr>
            <w:r w:rsidRPr="00BF3D02">
              <w:rPr>
                <w:color w:val="000000"/>
              </w:rPr>
              <w:t>2019</w:t>
            </w:r>
          </w:p>
        </w:tc>
        <w:tc>
          <w:tcPr>
            <w:tcW w:w="1134" w:type="dxa"/>
            <w:shd w:val="clear" w:color="auto" w:fill="D6DCE4"/>
            <w:tcMar>
              <w:top w:w="0" w:type="dxa"/>
              <w:left w:w="108" w:type="dxa"/>
              <w:bottom w:w="0" w:type="dxa"/>
              <w:right w:w="108" w:type="dxa"/>
            </w:tcMar>
            <w:vAlign w:val="center"/>
          </w:tcPr>
          <w:p w14:paraId="61757792" w14:textId="77777777" w:rsidR="00AA2F1F" w:rsidRPr="00BF3D02" w:rsidRDefault="00AA2F1F" w:rsidP="00D95C74">
            <w:pPr>
              <w:pStyle w:val="Tablehead"/>
              <w:rPr>
                <w:color w:val="000000"/>
              </w:rPr>
            </w:pPr>
            <w:r w:rsidRPr="00BF3D02">
              <w:rPr>
                <w:color w:val="000000"/>
              </w:rPr>
              <w:t>2020</w:t>
            </w:r>
          </w:p>
        </w:tc>
        <w:tc>
          <w:tcPr>
            <w:tcW w:w="1134" w:type="dxa"/>
            <w:shd w:val="clear" w:color="auto" w:fill="D6DCE4"/>
            <w:tcMar>
              <w:top w:w="0" w:type="dxa"/>
              <w:left w:w="108" w:type="dxa"/>
              <w:bottom w:w="0" w:type="dxa"/>
              <w:right w:w="108" w:type="dxa"/>
            </w:tcMar>
            <w:vAlign w:val="center"/>
          </w:tcPr>
          <w:p w14:paraId="7278FE6B" w14:textId="77777777" w:rsidR="00AA2F1F" w:rsidRPr="00BF3D02" w:rsidRDefault="00AA2F1F" w:rsidP="00D95C74">
            <w:pPr>
              <w:pStyle w:val="Tablehead"/>
              <w:rPr>
                <w:color w:val="000000"/>
              </w:rPr>
            </w:pPr>
            <w:r w:rsidRPr="00BF3D02">
              <w:rPr>
                <w:color w:val="000000"/>
              </w:rPr>
              <w:t>2021</w:t>
            </w:r>
          </w:p>
        </w:tc>
        <w:tc>
          <w:tcPr>
            <w:tcW w:w="1134" w:type="dxa"/>
            <w:shd w:val="clear" w:color="auto" w:fill="D6DCE4"/>
            <w:vAlign w:val="center"/>
          </w:tcPr>
          <w:p w14:paraId="26C53BAB" w14:textId="77777777" w:rsidR="00AA2F1F" w:rsidRPr="00BF3D02" w:rsidRDefault="00AA2F1F" w:rsidP="00D95C74">
            <w:pPr>
              <w:pStyle w:val="Tablehead"/>
              <w:rPr>
                <w:color w:val="000000"/>
              </w:rPr>
            </w:pPr>
            <w:r w:rsidRPr="00BF3D02">
              <w:rPr>
                <w:color w:val="000000"/>
              </w:rPr>
              <w:t>2022</w:t>
            </w:r>
          </w:p>
        </w:tc>
      </w:tr>
      <w:tr w:rsidR="00AA2F1F" w:rsidRPr="00BF3D02" w14:paraId="06DD3008" w14:textId="77777777" w:rsidTr="007F716E">
        <w:trPr>
          <w:jc w:val="center"/>
        </w:trPr>
        <w:tc>
          <w:tcPr>
            <w:tcW w:w="2552" w:type="dxa"/>
            <w:tcMar>
              <w:top w:w="0" w:type="dxa"/>
              <w:left w:w="108" w:type="dxa"/>
              <w:bottom w:w="0" w:type="dxa"/>
              <w:right w:w="108" w:type="dxa"/>
            </w:tcMar>
            <w:vAlign w:val="center"/>
            <w:hideMark/>
          </w:tcPr>
          <w:p w14:paraId="3F10881C" w14:textId="77777777" w:rsidR="00AA2F1F" w:rsidRPr="00BF3D02" w:rsidRDefault="00AA2F1F" w:rsidP="00D95C74">
            <w:pPr>
              <w:pStyle w:val="Tabletext"/>
            </w:pPr>
            <w:r w:rsidRPr="00BF3D02">
              <w:t>Árabe</w:t>
            </w:r>
          </w:p>
        </w:tc>
        <w:tc>
          <w:tcPr>
            <w:tcW w:w="1134" w:type="dxa"/>
            <w:tcMar>
              <w:top w:w="0" w:type="dxa"/>
              <w:left w:w="108" w:type="dxa"/>
              <w:bottom w:w="0" w:type="dxa"/>
              <w:right w:w="108" w:type="dxa"/>
            </w:tcMar>
            <w:vAlign w:val="center"/>
            <w:hideMark/>
          </w:tcPr>
          <w:p w14:paraId="78427A9A" w14:textId="77777777" w:rsidR="00AA2F1F" w:rsidRPr="00BF3D02" w:rsidRDefault="00AA2F1F" w:rsidP="00CB76F6">
            <w:pPr>
              <w:pStyle w:val="Tabletext"/>
              <w:jc w:val="center"/>
            </w:pPr>
            <w:r w:rsidRPr="00BF3D02">
              <w:t>8 083</w:t>
            </w:r>
          </w:p>
        </w:tc>
        <w:tc>
          <w:tcPr>
            <w:tcW w:w="1134" w:type="dxa"/>
            <w:tcMar>
              <w:top w:w="0" w:type="dxa"/>
              <w:left w:w="108" w:type="dxa"/>
              <w:bottom w:w="0" w:type="dxa"/>
              <w:right w:w="108" w:type="dxa"/>
            </w:tcMar>
            <w:vAlign w:val="center"/>
            <w:hideMark/>
          </w:tcPr>
          <w:p w14:paraId="29665D62" w14:textId="77777777" w:rsidR="00AA2F1F" w:rsidRPr="00BF3D02" w:rsidRDefault="00AA2F1F" w:rsidP="00CB76F6">
            <w:pPr>
              <w:pStyle w:val="Tabletext"/>
              <w:jc w:val="center"/>
            </w:pPr>
            <w:r w:rsidRPr="00BF3D02">
              <w:t>8 892</w:t>
            </w:r>
          </w:p>
        </w:tc>
        <w:tc>
          <w:tcPr>
            <w:tcW w:w="1134" w:type="dxa"/>
            <w:tcMar>
              <w:top w:w="0" w:type="dxa"/>
              <w:left w:w="108" w:type="dxa"/>
              <w:bottom w:w="0" w:type="dxa"/>
              <w:right w:w="108" w:type="dxa"/>
            </w:tcMar>
            <w:vAlign w:val="center"/>
            <w:hideMark/>
          </w:tcPr>
          <w:p w14:paraId="571940C2" w14:textId="77777777" w:rsidR="00AA2F1F" w:rsidRPr="00BF3D02" w:rsidRDefault="00AA2F1F" w:rsidP="00CB76F6">
            <w:pPr>
              <w:pStyle w:val="Tabletext"/>
              <w:jc w:val="center"/>
            </w:pPr>
            <w:r w:rsidRPr="00BF3D02">
              <w:t>8 400</w:t>
            </w:r>
          </w:p>
        </w:tc>
        <w:tc>
          <w:tcPr>
            <w:tcW w:w="1134" w:type="dxa"/>
            <w:tcMar>
              <w:top w:w="0" w:type="dxa"/>
              <w:left w:w="108" w:type="dxa"/>
              <w:bottom w:w="0" w:type="dxa"/>
              <w:right w:w="108" w:type="dxa"/>
            </w:tcMar>
            <w:vAlign w:val="center"/>
            <w:hideMark/>
          </w:tcPr>
          <w:p w14:paraId="7ED6293D" w14:textId="77777777" w:rsidR="00AA2F1F" w:rsidRPr="00BF3D02" w:rsidRDefault="00AA2F1F" w:rsidP="00CB76F6">
            <w:pPr>
              <w:pStyle w:val="Tabletext"/>
              <w:jc w:val="center"/>
            </w:pPr>
            <w:r w:rsidRPr="00BF3D02">
              <w:t>7 843</w:t>
            </w:r>
          </w:p>
        </w:tc>
        <w:tc>
          <w:tcPr>
            <w:tcW w:w="1144" w:type="dxa"/>
            <w:gridSpan w:val="2"/>
            <w:vAlign w:val="center"/>
            <w:hideMark/>
          </w:tcPr>
          <w:p w14:paraId="78F91666" w14:textId="77777777" w:rsidR="00AA2F1F" w:rsidRPr="00BF3D02" w:rsidRDefault="00AA2F1F" w:rsidP="00CB76F6">
            <w:pPr>
              <w:pStyle w:val="Tabletext"/>
              <w:jc w:val="center"/>
            </w:pPr>
            <w:r w:rsidRPr="00BF3D02">
              <w:t>8 962</w:t>
            </w:r>
          </w:p>
        </w:tc>
      </w:tr>
      <w:tr w:rsidR="00AA2F1F" w:rsidRPr="00BF3D02" w14:paraId="3A9EBA3F" w14:textId="77777777" w:rsidTr="007F716E">
        <w:trPr>
          <w:jc w:val="center"/>
        </w:trPr>
        <w:tc>
          <w:tcPr>
            <w:tcW w:w="2552" w:type="dxa"/>
            <w:tcMar>
              <w:top w:w="0" w:type="dxa"/>
              <w:left w:w="108" w:type="dxa"/>
              <w:bottom w:w="0" w:type="dxa"/>
              <w:right w:w="108" w:type="dxa"/>
            </w:tcMar>
            <w:vAlign w:val="center"/>
            <w:hideMark/>
          </w:tcPr>
          <w:p w14:paraId="6E8868D0" w14:textId="77777777" w:rsidR="00AA2F1F" w:rsidRPr="00BF3D02" w:rsidRDefault="00AA2F1F" w:rsidP="00D95C74">
            <w:pPr>
              <w:pStyle w:val="Tabletext"/>
            </w:pPr>
            <w:r w:rsidRPr="00BF3D02">
              <w:t>Chino</w:t>
            </w:r>
          </w:p>
        </w:tc>
        <w:tc>
          <w:tcPr>
            <w:tcW w:w="1134" w:type="dxa"/>
            <w:tcMar>
              <w:top w:w="0" w:type="dxa"/>
              <w:left w:w="108" w:type="dxa"/>
              <w:bottom w:w="0" w:type="dxa"/>
              <w:right w:w="108" w:type="dxa"/>
            </w:tcMar>
            <w:vAlign w:val="center"/>
            <w:hideMark/>
          </w:tcPr>
          <w:p w14:paraId="0229DF77" w14:textId="77777777" w:rsidR="00AA2F1F" w:rsidRPr="00BF3D02" w:rsidRDefault="00AA2F1F" w:rsidP="00CB76F6">
            <w:pPr>
              <w:pStyle w:val="Tabletext"/>
              <w:jc w:val="center"/>
            </w:pPr>
            <w:r w:rsidRPr="00BF3D02">
              <w:t>8 732</w:t>
            </w:r>
          </w:p>
        </w:tc>
        <w:tc>
          <w:tcPr>
            <w:tcW w:w="1134" w:type="dxa"/>
            <w:tcMar>
              <w:top w:w="0" w:type="dxa"/>
              <w:left w:w="108" w:type="dxa"/>
              <w:bottom w:w="0" w:type="dxa"/>
              <w:right w:w="108" w:type="dxa"/>
            </w:tcMar>
            <w:vAlign w:val="center"/>
            <w:hideMark/>
          </w:tcPr>
          <w:p w14:paraId="1B6E7AED" w14:textId="77777777" w:rsidR="00AA2F1F" w:rsidRPr="00BF3D02" w:rsidRDefault="00AA2F1F" w:rsidP="00CB76F6">
            <w:pPr>
              <w:pStyle w:val="Tabletext"/>
              <w:jc w:val="center"/>
            </w:pPr>
            <w:r w:rsidRPr="00BF3D02">
              <w:t>9 030</w:t>
            </w:r>
          </w:p>
        </w:tc>
        <w:tc>
          <w:tcPr>
            <w:tcW w:w="1134" w:type="dxa"/>
            <w:tcMar>
              <w:top w:w="0" w:type="dxa"/>
              <w:left w:w="108" w:type="dxa"/>
              <w:bottom w:w="0" w:type="dxa"/>
              <w:right w:w="108" w:type="dxa"/>
            </w:tcMar>
            <w:vAlign w:val="center"/>
            <w:hideMark/>
          </w:tcPr>
          <w:p w14:paraId="786E8D65" w14:textId="77777777" w:rsidR="00AA2F1F" w:rsidRPr="00BF3D02" w:rsidRDefault="00AA2F1F" w:rsidP="00CB76F6">
            <w:pPr>
              <w:pStyle w:val="Tabletext"/>
              <w:jc w:val="center"/>
            </w:pPr>
            <w:r w:rsidRPr="00BF3D02">
              <w:t>8 818</w:t>
            </w:r>
          </w:p>
        </w:tc>
        <w:tc>
          <w:tcPr>
            <w:tcW w:w="1134" w:type="dxa"/>
            <w:tcMar>
              <w:top w:w="0" w:type="dxa"/>
              <w:left w:w="108" w:type="dxa"/>
              <w:bottom w:w="0" w:type="dxa"/>
              <w:right w:w="108" w:type="dxa"/>
            </w:tcMar>
            <w:vAlign w:val="center"/>
            <w:hideMark/>
          </w:tcPr>
          <w:p w14:paraId="44334E7B" w14:textId="77777777" w:rsidR="00AA2F1F" w:rsidRPr="00BF3D02" w:rsidRDefault="00AA2F1F" w:rsidP="00CB76F6">
            <w:pPr>
              <w:pStyle w:val="Tabletext"/>
              <w:jc w:val="center"/>
            </w:pPr>
            <w:r w:rsidRPr="00BF3D02">
              <w:t>7 717</w:t>
            </w:r>
          </w:p>
        </w:tc>
        <w:tc>
          <w:tcPr>
            <w:tcW w:w="1144" w:type="dxa"/>
            <w:gridSpan w:val="2"/>
            <w:vAlign w:val="center"/>
            <w:hideMark/>
          </w:tcPr>
          <w:p w14:paraId="7F56A902" w14:textId="77777777" w:rsidR="00AA2F1F" w:rsidRPr="00BF3D02" w:rsidRDefault="00AA2F1F" w:rsidP="00CB76F6">
            <w:pPr>
              <w:pStyle w:val="Tabletext"/>
              <w:jc w:val="center"/>
            </w:pPr>
            <w:r w:rsidRPr="00BF3D02">
              <w:t>9 240</w:t>
            </w:r>
          </w:p>
        </w:tc>
      </w:tr>
      <w:tr w:rsidR="00AA2F1F" w:rsidRPr="00BF3D02" w14:paraId="46146171" w14:textId="77777777" w:rsidTr="007F716E">
        <w:trPr>
          <w:jc w:val="center"/>
        </w:trPr>
        <w:tc>
          <w:tcPr>
            <w:tcW w:w="2552" w:type="dxa"/>
            <w:tcMar>
              <w:top w:w="0" w:type="dxa"/>
              <w:left w:w="108" w:type="dxa"/>
              <w:bottom w:w="0" w:type="dxa"/>
              <w:right w:w="108" w:type="dxa"/>
            </w:tcMar>
            <w:vAlign w:val="center"/>
            <w:hideMark/>
          </w:tcPr>
          <w:p w14:paraId="765BDAED" w14:textId="77777777" w:rsidR="00AA2F1F" w:rsidRPr="00BF3D02" w:rsidRDefault="00AA2F1F" w:rsidP="00D95C74">
            <w:pPr>
              <w:pStyle w:val="Tabletext"/>
            </w:pPr>
            <w:r w:rsidRPr="00BF3D02">
              <w:t>Inglés</w:t>
            </w:r>
          </w:p>
        </w:tc>
        <w:tc>
          <w:tcPr>
            <w:tcW w:w="1134" w:type="dxa"/>
            <w:tcMar>
              <w:top w:w="0" w:type="dxa"/>
              <w:left w:w="108" w:type="dxa"/>
              <w:bottom w:w="0" w:type="dxa"/>
              <w:right w:w="108" w:type="dxa"/>
            </w:tcMar>
            <w:vAlign w:val="center"/>
            <w:hideMark/>
          </w:tcPr>
          <w:p w14:paraId="3CEAA059" w14:textId="77777777" w:rsidR="00AA2F1F" w:rsidRPr="00BF3D02" w:rsidRDefault="00AA2F1F" w:rsidP="00CB76F6">
            <w:pPr>
              <w:pStyle w:val="Tabletext"/>
              <w:jc w:val="center"/>
            </w:pPr>
            <w:r w:rsidRPr="00BF3D02">
              <w:t>1 611</w:t>
            </w:r>
          </w:p>
        </w:tc>
        <w:tc>
          <w:tcPr>
            <w:tcW w:w="1134" w:type="dxa"/>
            <w:tcMar>
              <w:top w:w="0" w:type="dxa"/>
              <w:left w:w="108" w:type="dxa"/>
              <w:bottom w:w="0" w:type="dxa"/>
              <w:right w:w="108" w:type="dxa"/>
            </w:tcMar>
            <w:vAlign w:val="center"/>
            <w:hideMark/>
          </w:tcPr>
          <w:p w14:paraId="10163FB1" w14:textId="77777777" w:rsidR="00AA2F1F" w:rsidRPr="00BF3D02" w:rsidRDefault="00AA2F1F" w:rsidP="00CB76F6">
            <w:pPr>
              <w:pStyle w:val="Tabletext"/>
              <w:jc w:val="center"/>
            </w:pPr>
            <w:r w:rsidRPr="00BF3D02">
              <w:t>2 044</w:t>
            </w:r>
          </w:p>
        </w:tc>
        <w:tc>
          <w:tcPr>
            <w:tcW w:w="1134" w:type="dxa"/>
            <w:tcMar>
              <w:top w:w="0" w:type="dxa"/>
              <w:left w:w="108" w:type="dxa"/>
              <w:bottom w:w="0" w:type="dxa"/>
              <w:right w:w="108" w:type="dxa"/>
            </w:tcMar>
            <w:vAlign w:val="center"/>
            <w:hideMark/>
          </w:tcPr>
          <w:p w14:paraId="4096161C" w14:textId="77777777" w:rsidR="00AA2F1F" w:rsidRPr="00BF3D02" w:rsidRDefault="00AA2F1F" w:rsidP="00CB76F6">
            <w:pPr>
              <w:pStyle w:val="Tabletext"/>
              <w:jc w:val="center"/>
            </w:pPr>
            <w:r w:rsidRPr="00BF3D02">
              <w:t>1 827</w:t>
            </w:r>
          </w:p>
        </w:tc>
        <w:tc>
          <w:tcPr>
            <w:tcW w:w="1134" w:type="dxa"/>
            <w:tcMar>
              <w:top w:w="0" w:type="dxa"/>
              <w:left w:w="108" w:type="dxa"/>
              <w:bottom w:w="0" w:type="dxa"/>
              <w:right w:w="108" w:type="dxa"/>
            </w:tcMar>
            <w:vAlign w:val="center"/>
            <w:hideMark/>
          </w:tcPr>
          <w:p w14:paraId="58DAFB79" w14:textId="77777777" w:rsidR="00AA2F1F" w:rsidRPr="00BF3D02" w:rsidRDefault="00AA2F1F" w:rsidP="00CB76F6">
            <w:pPr>
              <w:pStyle w:val="Tabletext"/>
              <w:jc w:val="center"/>
            </w:pPr>
            <w:r w:rsidRPr="00BF3D02">
              <w:t>1 608</w:t>
            </w:r>
          </w:p>
        </w:tc>
        <w:tc>
          <w:tcPr>
            <w:tcW w:w="1144" w:type="dxa"/>
            <w:gridSpan w:val="2"/>
            <w:vAlign w:val="center"/>
            <w:hideMark/>
          </w:tcPr>
          <w:p w14:paraId="63EE3FD9" w14:textId="77777777" w:rsidR="00AA2F1F" w:rsidRPr="00BF3D02" w:rsidRDefault="00AA2F1F" w:rsidP="00CB76F6">
            <w:pPr>
              <w:pStyle w:val="Tabletext"/>
              <w:jc w:val="center"/>
            </w:pPr>
            <w:r w:rsidRPr="00BF3D02">
              <w:t>1 339</w:t>
            </w:r>
          </w:p>
        </w:tc>
      </w:tr>
      <w:tr w:rsidR="00AA2F1F" w:rsidRPr="00BF3D02" w14:paraId="0DD40BEA" w14:textId="77777777" w:rsidTr="007F716E">
        <w:trPr>
          <w:jc w:val="center"/>
        </w:trPr>
        <w:tc>
          <w:tcPr>
            <w:tcW w:w="2552" w:type="dxa"/>
            <w:tcMar>
              <w:top w:w="0" w:type="dxa"/>
              <w:left w:w="108" w:type="dxa"/>
              <w:bottom w:w="0" w:type="dxa"/>
              <w:right w:w="108" w:type="dxa"/>
            </w:tcMar>
            <w:vAlign w:val="center"/>
            <w:hideMark/>
          </w:tcPr>
          <w:p w14:paraId="16EAFE53" w14:textId="77777777" w:rsidR="00AA2F1F" w:rsidRPr="00BF3D02" w:rsidRDefault="00AA2F1F" w:rsidP="00D95C74">
            <w:pPr>
              <w:pStyle w:val="Tabletext"/>
            </w:pPr>
            <w:r w:rsidRPr="00BF3D02">
              <w:t>Francés</w:t>
            </w:r>
          </w:p>
        </w:tc>
        <w:tc>
          <w:tcPr>
            <w:tcW w:w="1134" w:type="dxa"/>
            <w:tcMar>
              <w:top w:w="0" w:type="dxa"/>
              <w:left w:w="108" w:type="dxa"/>
              <w:bottom w:w="0" w:type="dxa"/>
              <w:right w:w="108" w:type="dxa"/>
            </w:tcMar>
            <w:vAlign w:val="center"/>
            <w:hideMark/>
          </w:tcPr>
          <w:p w14:paraId="502B7A90" w14:textId="77777777" w:rsidR="00AA2F1F" w:rsidRPr="00BF3D02" w:rsidRDefault="00AA2F1F" w:rsidP="00CB76F6">
            <w:pPr>
              <w:pStyle w:val="Tabletext"/>
              <w:jc w:val="center"/>
            </w:pPr>
            <w:r w:rsidRPr="00BF3D02">
              <w:t>8 586</w:t>
            </w:r>
          </w:p>
        </w:tc>
        <w:tc>
          <w:tcPr>
            <w:tcW w:w="1134" w:type="dxa"/>
            <w:tcMar>
              <w:top w:w="0" w:type="dxa"/>
              <w:left w:w="108" w:type="dxa"/>
              <w:bottom w:w="0" w:type="dxa"/>
              <w:right w:w="108" w:type="dxa"/>
            </w:tcMar>
            <w:vAlign w:val="center"/>
            <w:hideMark/>
          </w:tcPr>
          <w:p w14:paraId="2F09B9EF" w14:textId="77777777" w:rsidR="00AA2F1F" w:rsidRPr="00BF3D02" w:rsidRDefault="00AA2F1F" w:rsidP="00CB76F6">
            <w:pPr>
              <w:pStyle w:val="Tabletext"/>
              <w:jc w:val="center"/>
            </w:pPr>
            <w:r w:rsidRPr="00BF3D02">
              <w:t>10 173</w:t>
            </w:r>
          </w:p>
        </w:tc>
        <w:tc>
          <w:tcPr>
            <w:tcW w:w="1134" w:type="dxa"/>
            <w:tcMar>
              <w:top w:w="0" w:type="dxa"/>
              <w:left w:w="108" w:type="dxa"/>
              <w:bottom w:w="0" w:type="dxa"/>
              <w:right w:w="108" w:type="dxa"/>
            </w:tcMar>
            <w:vAlign w:val="center"/>
            <w:hideMark/>
          </w:tcPr>
          <w:p w14:paraId="232ED493" w14:textId="77777777" w:rsidR="00AA2F1F" w:rsidRPr="00BF3D02" w:rsidRDefault="00AA2F1F" w:rsidP="00CB76F6">
            <w:pPr>
              <w:pStyle w:val="Tabletext"/>
              <w:jc w:val="center"/>
            </w:pPr>
            <w:r w:rsidRPr="00BF3D02">
              <w:t>8 811</w:t>
            </w:r>
          </w:p>
        </w:tc>
        <w:tc>
          <w:tcPr>
            <w:tcW w:w="1134" w:type="dxa"/>
            <w:tcMar>
              <w:top w:w="0" w:type="dxa"/>
              <w:left w:w="108" w:type="dxa"/>
              <w:bottom w:w="0" w:type="dxa"/>
              <w:right w:w="108" w:type="dxa"/>
            </w:tcMar>
            <w:vAlign w:val="center"/>
            <w:hideMark/>
          </w:tcPr>
          <w:p w14:paraId="569DE192" w14:textId="77777777" w:rsidR="00AA2F1F" w:rsidRPr="00BF3D02" w:rsidRDefault="00AA2F1F" w:rsidP="00CB76F6">
            <w:pPr>
              <w:pStyle w:val="Tabletext"/>
              <w:jc w:val="center"/>
            </w:pPr>
            <w:r w:rsidRPr="00BF3D02">
              <w:t>8 531</w:t>
            </w:r>
          </w:p>
        </w:tc>
        <w:tc>
          <w:tcPr>
            <w:tcW w:w="1144" w:type="dxa"/>
            <w:gridSpan w:val="2"/>
            <w:vAlign w:val="center"/>
            <w:hideMark/>
          </w:tcPr>
          <w:p w14:paraId="01E37389" w14:textId="77777777" w:rsidR="00AA2F1F" w:rsidRPr="00BF3D02" w:rsidRDefault="00AA2F1F" w:rsidP="00CB76F6">
            <w:pPr>
              <w:pStyle w:val="Tabletext"/>
              <w:jc w:val="center"/>
            </w:pPr>
            <w:r w:rsidRPr="00BF3D02">
              <w:t>9 800</w:t>
            </w:r>
          </w:p>
        </w:tc>
      </w:tr>
      <w:tr w:rsidR="00AA2F1F" w:rsidRPr="00BF3D02" w14:paraId="450E2CEE" w14:textId="77777777" w:rsidTr="007F716E">
        <w:trPr>
          <w:jc w:val="center"/>
        </w:trPr>
        <w:tc>
          <w:tcPr>
            <w:tcW w:w="2552" w:type="dxa"/>
            <w:tcMar>
              <w:top w:w="0" w:type="dxa"/>
              <w:left w:w="108" w:type="dxa"/>
              <w:bottom w:w="0" w:type="dxa"/>
              <w:right w:w="108" w:type="dxa"/>
            </w:tcMar>
            <w:vAlign w:val="center"/>
            <w:hideMark/>
          </w:tcPr>
          <w:p w14:paraId="1AD9CBE1" w14:textId="77777777" w:rsidR="00AA2F1F" w:rsidRPr="00BF3D02" w:rsidRDefault="00AA2F1F" w:rsidP="00D95C74">
            <w:pPr>
              <w:pStyle w:val="Tabletext"/>
            </w:pPr>
            <w:r w:rsidRPr="00BF3D02">
              <w:t>Ruso</w:t>
            </w:r>
          </w:p>
        </w:tc>
        <w:tc>
          <w:tcPr>
            <w:tcW w:w="1134" w:type="dxa"/>
            <w:tcMar>
              <w:top w:w="0" w:type="dxa"/>
              <w:left w:w="108" w:type="dxa"/>
              <w:bottom w:w="0" w:type="dxa"/>
              <w:right w:w="108" w:type="dxa"/>
            </w:tcMar>
            <w:vAlign w:val="center"/>
            <w:hideMark/>
          </w:tcPr>
          <w:p w14:paraId="306F463D" w14:textId="77777777" w:rsidR="00AA2F1F" w:rsidRPr="00BF3D02" w:rsidRDefault="00AA2F1F" w:rsidP="00CB76F6">
            <w:pPr>
              <w:pStyle w:val="Tabletext"/>
              <w:jc w:val="center"/>
            </w:pPr>
            <w:r w:rsidRPr="00BF3D02">
              <w:t>8 050</w:t>
            </w:r>
          </w:p>
        </w:tc>
        <w:tc>
          <w:tcPr>
            <w:tcW w:w="1134" w:type="dxa"/>
            <w:tcMar>
              <w:top w:w="0" w:type="dxa"/>
              <w:left w:w="108" w:type="dxa"/>
              <w:bottom w:w="0" w:type="dxa"/>
              <w:right w:w="108" w:type="dxa"/>
            </w:tcMar>
            <w:vAlign w:val="center"/>
            <w:hideMark/>
          </w:tcPr>
          <w:p w14:paraId="37E66149" w14:textId="77777777" w:rsidR="00AA2F1F" w:rsidRPr="00BF3D02" w:rsidRDefault="00AA2F1F" w:rsidP="00CB76F6">
            <w:pPr>
              <w:pStyle w:val="Tabletext"/>
              <w:jc w:val="center"/>
            </w:pPr>
            <w:r w:rsidRPr="00BF3D02">
              <w:t>8 706</w:t>
            </w:r>
          </w:p>
        </w:tc>
        <w:tc>
          <w:tcPr>
            <w:tcW w:w="1134" w:type="dxa"/>
            <w:tcMar>
              <w:top w:w="0" w:type="dxa"/>
              <w:left w:w="108" w:type="dxa"/>
              <w:bottom w:w="0" w:type="dxa"/>
              <w:right w:w="108" w:type="dxa"/>
            </w:tcMar>
            <w:vAlign w:val="center"/>
            <w:hideMark/>
          </w:tcPr>
          <w:p w14:paraId="1C2F002B" w14:textId="77777777" w:rsidR="00AA2F1F" w:rsidRPr="00BF3D02" w:rsidRDefault="00AA2F1F" w:rsidP="00CB76F6">
            <w:pPr>
              <w:pStyle w:val="Tabletext"/>
              <w:jc w:val="center"/>
            </w:pPr>
            <w:r w:rsidRPr="00BF3D02">
              <w:t>8 463</w:t>
            </w:r>
          </w:p>
        </w:tc>
        <w:tc>
          <w:tcPr>
            <w:tcW w:w="1134" w:type="dxa"/>
            <w:tcMar>
              <w:top w:w="0" w:type="dxa"/>
              <w:left w:w="108" w:type="dxa"/>
              <w:bottom w:w="0" w:type="dxa"/>
              <w:right w:w="108" w:type="dxa"/>
            </w:tcMar>
            <w:vAlign w:val="center"/>
            <w:hideMark/>
          </w:tcPr>
          <w:p w14:paraId="52263282" w14:textId="77777777" w:rsidR="00AA2F1F" w:rsidRPr="00BF3D02" w:rsidRDefault="00AA2F1F" w:rsidP="00CB76F6">
            <w:pPr>
              <w:pStyle w:val="Tabletext"/>
              <w:jc w:val="center"/>
            </w:pPr>
            <w:r w:rsidRPr="00BF3D02">
              <w:t>7 501</w:t>
            </w:r>
          </w:p>
        </w:tc>
        <w:tc>
          <w:tcPr>
            <w:tcW w:w="1144" w:type="dxa"/>
            <w:gridSpan w:val="2"/>
            <w:vAlign w:val="center"/>
            <w:hideMark/>
          </w:tcPr>
          <w:p w14:paraId="1E6C8A9B" w14:textId="77777777" w:rsidR="00AA2F1F" w:rsidRPr="00BF3D02" w:rsidRDefault="00AA2F1F" w:rsidP="00CB76F6">
            <w:pPr>
              <w:pStyle w:val="Tabletext"/>
              <w:jc w:val="center"/>
            </w:pPr>
            <w:r w:rsidRPr="00BF3D02">
              <w:t>8 202</w:t>
            </w:r>
          </w:p>
        </w:tc>
      </w:tr>
      <w:tr w:rsidR="00AA2F1F" w:rsidRPr="00BF3D02" w14:paraId="7F4B22D9" w14:textId="77777777" w:rsidTr="007F716E">
        <w:trPr>
          <w:jc w:val="center"/>
        </w:trPr>
        <w:tc>
          <w:tcPr>
            <w:tcW w:w="2552" w:type="dxa"/>
            <w:tcMar>
              <w:top w:w="0" w:type="dxa"/>
              <w:left w:w="108" w:type="dxa"/>
              <w:bottom w:w="0" w:type="dxa"/>
              <w:right w:w="108" w:type="dxa"/>
            </w:tcMar>
            <w:vAlign w:val="center"/>
            <w:hideMark/>
          </w:tcPr>
          <w:p w14:paraId="4BDE9162" w14:textId="77777777" w:rsidR="00AA2F1F" w:rsidRPr="00BF3D02" w:rsidRDefault="00AA2F1F" w:rsidP="00D95C74">
            <w:pPr>
              <w:pStyle w:val="Tabletext"/>
            </w:pPr>
            <w:r w:rsidRPr="00BF3D02">
              <w:t>Español</w:t>
            </w:r>
          </w:p>
        </w:tc>
        <w:tc>
          <w:tcPr>
            <w:tcW w:w="1134" w:type="dxa"/>
            <w:tcMar>
              <w:top w:w="0" w:type="dxa"/>
              <w:left w:w="108" w:type="dxa"/>
              <w:bottom w:w="0" w:type="dxa"/>
              <w:right w:w="108" w:type="dxa"/>
            </w:tcMar>
            <w:vAlign w:val="center"/>
            <w:hideMark/>
          </w:tcPr>
          <w:p w14:paraId="347C3E29" w14:textId="77777777" w:rsidR="00AA2F1F" w:rsidRPr="00BF3D02" w:rsidRDefault="00AA2F1F" w:rsidP="00CB76F6">
            <w:pPr>
              <w:pStyle w:val="Tabletext"/>
              <w:jc w:val="center"/>
            </w:pPr>
            <w:r w:rsidRPr="00BF3D02">
              <w:t>8 135</w:t>
            </w:r>
          </w:p>
        </w:tc>
        <w:tc>
          <w:tcPr>
            <w:tcW w:w="1134" w:type="dxa"/>
            <w:tcMar>
              <w:top w:w="0" w:type="dxa"/>
              <w:left w:w="108" w:type="dxa"/>
              <w:bottom w:w="0" w:type="dxa"/>
              <w:right w:w="108" w:type="dxa"/>
            </w:tcMar>
            <w:vAlign w:val="center"/>
            <w:hideMark/>
          </w:tcPr>
          <w:p w14:paraId="1D697168" w14:textId="77777777" w:rsidR="00AA2F1F" w:rsidRPr="00BF3D02" w:rsidRDefault="00AA2F1F" w:rsidP="00CB76F6">
            <w:pPr>
              <w:pStyle w:val="Tabletext"/>
              <w:jc w:val="center"/>
            </w:pPr>
            <w:r w:rsidRPr="00BF3D02">
              <w:t>8 928</w:t>
            </w:r>
          </w:p>
        </w:tc>
        <w:tc>
          <w:tcPr>
            <w:tcW w:w="1134" w:type="dxa"/>
            <w:tcMar>
              <w:top w:w="0" w:type="dxa"/>
              <w:left w:w="108" w:type="dxa"/>
              <w:bottom w:w="0" w:type="dxa"/>
              <w:right w:w="108" w:type="dxa"/>
            </w:tcMar>
            <w:vAlign w:val="center"/>
            <w:hideMark/>
          </w:tcPr>
          <w:p w14:paraId="71305355" w14:textId="77777777" w:rsidR="00AA2F1F" w:rsidRPr="00BF3D02" w:rsidRDefault="00AA2F1F" w:rsidP="00CB76F6">
            <w:pPr>
              <w:pStyle w:val="Tabletext"/>
              <w:jc w:val="center"/>
            </w:pPr>
            <w:r w:rsidRPr="00BF3D02">
              <w:t>8 215</w:t>
            </w:r>
          </w:p>
        </w:tc>
        <w:tc>
          <w:tcPr>
            <w:tcW w:w="1134" w:type="dxa"/>
            <w:tcMar>
              <w:top w:w="0" w:type="dxa"/>
              <w:left w:w="108" w:type="dxa"/>
              <w:bottom w:w="0" w:type="dxa"/>
              <w:right w:w="108" w:type="dxa"/>
            </w:tcMar>
            <w:vAlign w:val="center"/>
            <w:hideMark/>
          </w:tcPr>
          <w:p w14:paraId="65F9D8B1" w14:textId="77777777" w:rsidR="00AA2F1F" w:rsidRPr="00BF3D02" w:rsidRDefault="00AA2F1F" w:rsidP="00CB76F6">
            <w:pPr>
              <w:pStyle w:val="Tabletext"/>
              <w:jc w:val="center"/>
            </w:pPr>
            <w:r w:rsidRPr="00BF3D02">
              <w:t>8 072</w:t>
            </w:r>
          </w:p>
        </w:tc>
        <w:tc>
          <w:tcPr>
            <w:tcW w:w="1144" w:type="dxa"/>
            <w:gridSpan w:val="2"/>
            <w:vAlign w:val="center"/>
            <w:hideMark/>
          </w:tcPr>
          <w:p w14:paraId="3CFADF09" w14:textId="77777777" w:rsidR="00AA2F1F" w:rsidRPr="00BF3D02" w:rsidRDefault="00AA2F1F" w:rsidP="00CB76F6">
            <w:pPr>
              <w:pStyle w:val="Tabletext"/>
              <w:jc w:val="center"/>
            </w:pPr>
            <w:r w:rsidRPr="00BF3D02">
              <w:t>9 174</w:t>
            </w:r>
          </w:p>
        </w:tc>
      </w:tr>
      <w:tr w:rsidR="00AA2F1F" w:rsidRPr="00BF3D02" w14:paraId="35D809A1" w14:textId="77777777" w:rsidTr="007F716E">
        <w:trPr>
          <w:trHeight w:val="169"/>
          <w:jc w:val="center"/>
        </w:trPr>
        <w:tc>
          <w:tcPr>
            <w:tcW w:w="2552" w:type="dxa"/>
            <w:tcMar>
              <w:top w:w="0" w:type="dxa"/>
              <w:left w:w="108" w:type="dxa"/>
              <w:bottom w:w="0" w:type="dxa"/>
              <w:right w:w="108" w:type="dxa"/>
            </w:tcMar>
            <w:vAlign w:val="center"/>
            <w:hideMark/>
          </w:tcPr>
          <w:p w14:paraId="0084E316" w14:textId="77777777" w:rsidR="00AA2F1F" w:rsidRPr="00BF3D02" w:rsidRDefault="00AA2F1F" w:rsidP="00D95C74">
            <w:pPr>
              <w:pStyle w:val="Tabletext"/>
              <w:rPr>
                <w:b/>
                <w:bCs/>
              </w:rPr>
            </w:pPr>
            <w:r w:rsidRPr="00BF3D02">
              <w:rPr>
                <w:b/>
                <w:bCs/>
              </w:rPr>
              <w:t>TOTAL</w:t>
            </w:r>
          </w:p>
        </w:tc>
        <w:tc>
          <w:tcPr>
            <w:tcW w:w="1134" w:type="dxa"/>
            <w:tcMar>
              <w:top w:w="0" w:type="dxa"/>
              <w:left w:w="108" w:type="dxa"/>
              <w:bottom w:w="0" w:type="dxa"/>
              <w:right w:w="108" w:type="dxa"/>
            </w:tcMar>
            <w:vAlign w:val="center"/>
            <w:hideMark/>
          </w:tcPr>
          <w:p w14:paraId="05086709" w14:textId="77777777" w:rsidR="00AA2F1F" w:rsidRPr="00BF3D02" w:rsidRDefault="00AA2F1F" w:rsidP="00CB76F6">
            <w:pPr>
              <w:pStyle w:val="Tabletext"/>
              <w:jc w:val="center"/>
            </w:pPr>
            <w:r w:rsidRPr="00BF3D02">
              <w:t>43 197</w:t>
            </w:r>
          </w:p>
        </w:tc>
        <w:tc>
          <w:tcPr>
            <w:tcW w:w="1134" w:type="dxa"/>
            <w:tcMar>
              <w:top w:w="0" w:type="dxa"/>
              <w:left w:w="108" w:type="dxa"/>
              <w:bottom w:w="0" w:type="dxa"/>
              <w:right w:w="108" w:type="dxa"/>
            </w:tcMar>
            <w:vAlign w:val="center"/>
            <w:hideMark/>
          </w:tcPr>
          <w:p w14:paraId="2E6585E9" w14:textId="77777777" w:rsidR="00AA2F1F" w:rsidRPr="00BF3D02" w:rsidRDefault="00AA2F1F" w:rsidP="00CB76F6">
            <w:pPr>
              <w:pStyle w:val="Tabletext"/>
              <w:jc w:val="center"/>
            </w:pPr>
            <w:r w:rsidRPr="00BF3D02">
              <w:t>47 773</w:t>
            </w:r>
          </w:p>
        </w:tc>
        <w:tc>
          <w:tcPr>
            <w:tcW w:w="1134" w:type="dxa"/>
            <w:tcMar>
              <w:top w:w="0" w:type="dxa"/>
              <w:left w:w="108" w:type="dxa"/>
              <w:bottom w:w="0" w:type="dxa"/>
              <w:right w:w="108" w:type="dxa"/>
            </w:tcMar>
            <w:vAlign w:val="center"/>
            <w:hideMark/>
          </w:tcPr>
          <w:p w14:paraId="07CEFF1E" w14:textId="77777777" w:rsidR="00AA2F1F" w:rsidRPr="00BF3D02" w:rsidRDefault="00AA2F1F" w:rsidP="00CB76F6">
            <w:pPr>
              <w:pStyle w:val="Tabletext"/>
              <w:jc w:val="center"/>
            </w:pPr>
            <w:r w:rsidRPr="00BF3D02">
              <w:t>44 534</w:t>
            </w:r>
          </w:p>
        </w:tc>
        <w:tc>
          <w:tcPr>
            <w:tcW w:w="1134" w:type="dxa"/>
            <w:tcMar>
              <w:top w:w="0" w:type="dxa"/>
              <w:left w:w="108" w:type="dxa"/>
              <w:bottom w:w="0" w:type="dxa"/>
              <w:right w:w="108" w:type="dxa"/>
            </w:tcMar>
            <w:vAlign w:val="center"/>
            <w:hideMark/>
          </w:tcPr>
          <w:p w14:paraId="2B1DD051" w14:textId="77777777" w:rsidR="00AA2F1F" w:rsidRPr="00BF3D02" w:rsidRDefault="00AA2F1F" w:rsidP="00CB76F6">
            <w:pPr>
              <w:pStyle w:val="Tabletext"/>
              <w:jc w:val="center"/>
            </w:pPr>
            <w:r w:rsidRPr="00BF3D02">
              <w:t>41 272</w:t>
            </w:r>
          </w:p>
        </w:tc>
        <w:tc>
          <w:tcPr>
            <w:tcW w:w="1144" w:type="dxa"/>
            <w:gridSpan w:val="2"/>
            <w:vAlign w:val="center"/>
            <w:hideMark/>
          </w:tcPr>
          <w:p w14:paraId="31CD8E47" w14:textId="77777777" w:rsidR="00AA2F1F" w:rsidRPr="00BF3D02" w:rsidRDefault="00AA2F1F" w:rsidP="00CB76F6">
            <w:pPr>
              <w:pStyle w:val="Tabletext"/>
              <w:jc w:val="center"/>
            </w:pPr>
            <w:r w:rsidRPr="00BF3D02">
              <w:t>46 717</w:t>
            </w:r>
          </w:p>
        </w:tc>
      </w:tr>
    </w:tbl>
    <w:p w14:paraId="3871D41B" w14:textId="18C8352C" w:rsidR="00DE0D0A" w:rsidRDefault="00AA2F1F" w:rsidP="00CE777D">
      <w:pPr>
        <w:pStyle w:val="Figuretitle"/>
        <w:spacing w:before="720" w:after="120"/>
      </w:pPr>
      <w:r w:rsidRPr="00CE777D">
        <w:t>Figura</w:t>
      </w:r>
      <w:r w:rsidRPr="00BF3D02">
        <w:t xml:space="preserve"> 2</w:t>
      </w:r>
      <w:r w:rsidR="00CE777D">
        <w:br/>
      </w:r>
      <w:r w:rsidRPr="00BF3D02">
        <w:t>Evolución del volumen de traducción, por idioma (páginas), 2018-2022</w:t>
      </w:r>
    </w:p>
    <w:p w14:paraId="79E52E91" w14:textId="6838711A" w:rsidR="00DE0D0A" w:rsidRPr="00BF3D02" w:rsidRDefault="00DE0D0A" w:rsidP="00DE0D0A">
      <w:pPr>
        <w:pStyle w:val="Reasons"/>
        <w:jc w:val="center"/>
      </w:pPr>
      <w:r w:rsidRPr="00AC6980">
        <w:rPr>
          <w:noProof/>
        </w:rPr>
        <w:drawing>
          <wp:inline distT="0" distB="0" distL="0" distR="0" wp14:anchorId="5857F019" wp14:editId="40A2E060">
            <wp:extent cx="3752127" cy="205867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851" t="3974" r="9822" b="10246"/>
                    <a:stretch/>
                  </pic:blipFill>
                  <pic:spPr bwMode="auto">
                    <a:xfrm>
                      <a:off x="0" y="0"/>
                      <a:ext cx="3753439" cy="2059390"/>
                    </a:xfrm>
                    <a:prstGeom prst="rect">
                      <a:avLst/>
                    </a:prstGeom>
                    <a:noFill/>
                    <a:ln>
                      <a:noFill/>
                    </a:ln>
                    <a:extLst>
                      <a:ext uri="{53640926-AAD7-44D8-BBD7-CCE9431645EC}">
                        <a14:shadowObscured xmlns:a14="http://schemas.microsoft.com/office/drawing/2010/main"/>
                      </a:ext>
                    </a:extLst>
                  </pic:spPr>
                </pic:pic>
              </a:graphicData>
            </a:graphic>
          </wp:inline>
        </w:drawing>
      </w:r>
    </w:p>
    <w:p w14:paraId="562FD1DD" w14:textId="77777777" w:rsidR="00F72391" w:rsidRPr="00BF3D02" w:rsidRDefault="00F72391">
      <w:pPr>
        <w:jc w:val="center"/>
      </w:pPr>
      <w:r w:rsidRPr="00BF3D02">
        <w:t>______________</w:t>
      </w:r>
      <w:bookmarkEnd w:id="5"/>
    </w:p>
    <w:sectPr w:rsidR="00F72391" w:rsidRPr="00BF3D02" w:rsidSect="00C538FC">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B725" w14:textId="77777777" w:rsidR="00AA2F1F" w:rsidRDefault="00AA2F1F">
      <w:r>
        <w:separator/>
      </w:r>
    </w:p>
  </w:endnote>
  <w:endnote w:type="continuationSeparator" w:id="0">
    <w:p w14:paraId="00A6627C" w14:textId="77777777" w:rsidR="00AA2F1F" w:rsidRDefault="00AA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7BEED79" w14:textId="77777777" w:rsidTr="00E31DCE">
      <w:trPr>
        <w:jc w:val="center"/>
      </w:trPr>
      <w:tc>
        <w:tcPr>
          <w:tcW w:w="1803" w:type="dxa"/>
          <w:vAlign w:val="center"/>
        </w:tcPr>
        <w:p w14:paraId="10C944C1" w14:textId="788F00A6" w:rsidR="003273A4" w:rsidRDefault="003273A4" w:rsidP="003273A4">
          <w:pPr>
            <w:pStyle w:val="Header"/>
            <w:jc w:val="left"/>
            <w:rPr>
              <w:noProof/>
            </w:rPr>
          </w:pPr>
          <w:r>
            <w:rPr>
              <w:noProof/>
            </w:rPr>
            <w:t xml:space="preserve">DPS </w:t>
          </w:r>
          <w:r w:rsidR="00950821">
            <w:rPr>
              <w:noProof/>
            </w:rPr>
            <w:t>521081</w:t>
          </w:r>
        </w:p>
      </w:tc>
      <w:tc>
        <w:tcPr>
          <w:tcW w:w="8261" w:type="dxa"/>
        </w:tcPr>
        <w:p w14:paraId="145F514F" w14:textId="2CE11AB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0821">
            <w:rPr>
              <w:bCs/>
            </w:rPr>
            <w:t>47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2A90BC4" w14:textId="65A884AC" w:rsidR="00760F1C" w:rsidRPr="00950821" w:rsidRDefault="00950821" w:rsidP="00950821">
    <w:pPr>
      <w:pStyle w:val="Footer"/>
      <w:spacing w:before="120"/>
      <w:rPr>
        <w:lang w:val="fr-FR"/>
      </w:rPr>
    </w:pPr>
    <w:r w:rsidRPr="001E436E">
      <w:rPr>
        <w:color w:val="D9D9D9" w:themeColor="background1" w:themeShade="D9"/>
      </w:rPr>
      <w:fldChar w:fldCharType="begin"/>
    </w:r>
    <w:r w:rsidRPr="001E436E">
      <w:rPr>
        <w:color w:val="D9D9D9" w:themeColor="background1" w:themeShade="D9"/>
        <w:lang w:val="fr-FR"/>
      </w:rPr>
      <w:instrText xml:space="preserve"> FILENAME \p  \* MERGEFORMAT </w:instrText>
    </w:r>
    <w:r w:rsidRPr="001E436E">
      <w:rPr>
        <w:color w:val="D9D9D9" w:themeColor="background1" w:themeShade="D9"/>
      </w:rPr>
      <w:fldChar w:fldCharType="separate"/>
    </w:r>
    <w:r w:rsidR="00CB76F6" w:rsidRPr="001E436E">
      <w:rPr>
        <w:color w:val="D9D9D9" w:themeColor="background1" w:themeShade="D9"/>
        <w:lang w:val="fr-FR"/>
      </w:rPr>
      <w:t>P:\ESP\SG\CONSEIL\C23\000\047S.docx</w:t>
    </w:r>
    <w:r w:rsidRPr="001E436E">
      <w:rPr>
        <w:color w:val="D9D9D9" w:themeColor="background1" w:themeShade="D9"/>
      </w:rPr>
      <w:fldChar w:fldCharType="end"/>
    </w:r>
    <w:r w:rsidRPr="001E436E">
      <w:rPr>
        <w:color w:val="D9D9D9" w:themeColor="background1" w:themeShade="D9"/>
        <w:lang w:val="fr-FR"/>
      </w:rPr>
      <w:t xml:space="preserve"> (521081)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1CF8625" w14:textId="77777777" w:rsidTr="00E31DCE">
      <w:trPr>
        <w:jc w:val="center"/>
      </w:trPr>
      <w:tc>
        <w:tcPr>
          <w:tcW w:w="1803" w:type="dxa"/>
          <w:vAlign w:val="center"/>
        </w:tcPr>
        <w:p w14:paraId="13DFC0A2" w14:textId="77777777" w:rsidR="00F24B71" w:rsidRDefault="001E436E" w:rsidP="00F24B71">
          <w:pPr>
            <w:pStyle w:val="Header"/>
            <w:jc w:val="left"/>
            <w:rPr>
              <w:noProof/>
            </w:rPr>
          </w:pPr>
          <w:hyperlink r:id="rId1" w:history="1">
            <w:r w:rsidR="00F24B71" w:rsidRPr="00A514A4">
              <w:rPr>
                <w:rStyle w:val="Hyperlink"/>
                <w:szCs w:val="14"/>
              </w:rPr>
              <w:t>www.itu.int/council</w:t>
            </w:r>
          </w:hyperlink>
        </w:p>
      </w:tc>
      <w:tc>
        <w:tcPr>
          <w:tcW w:w="8261" w:type="dxa"/>
        </w:tcPr>
        <w:p w14:paraId="09EDC5F2" w14:textId="325DCD78"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126F9">
            <w:rPr>
              <w:bCs/>
            </w:rPr>
            <w:t>47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159F9E2" w14:textId="77777777" w:rsidR="00760F1C" w:rsidRPr="00F24B71" w:rsidRDefault="00760F1C" w:rsidP="00D014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E97F" w14:textId="77777777" w:rsidR="00AA2F1F" w:rsidRDefault="00AA2F1F">
      <w:r>
        <w:t>____________________</w:t>
      </w:r>
    </w:p>
  </w:footnote>
  <w:footnote w:type="continuationSeparator" w:id="0">
    <w:p w14:paraId="3A5570CD" w14:textId="77777777" w:rsidR="00AA2F1F" w:rsidRDefault="00AA2F1F">
      <w:r>
        <w:continuationSeparator/>
      </w:r>
    </w:p>
  </w:footnote>
  <w:footnote w:id="1">
    <w:p w14:paraId="423CAC2A" w14:textId="2DF686F5" w:rsidR="00F72391" w:rsidRDefault="00F72391" w:rsidP="00F72391">
      <w:pPr>
        <w:pStyle w:val="FootnoteText"/>
        <w:rPr>
          <w:rFonts w:eastAsiaTheme="minorHAnsi" w:cs="Calibri"/>
          <w:sz w:val="20"/>
          <w14:ligatures w14:val="standardContextual"/>
        </w:rPr>
      </w:pPr>
      <w:bookmarkStart w:id="6" w:name="lt_pId184"/>
      <w:r>
        <w:rPr>
          <w:rStyle w:val="FootnoteReference"/>
          <w:szCs w:val="16"/>
        </w:rPr>
        <w:t>[1]</w:t>
      </w:r>
      <w:r>
        <w:rPr>
          <w:rStyle w:val="FootnoteReference"/>
          <w:szCs w:val="16"/>
        </w:rPr>
        <w:tab/>
      </w:r>
      <w:r w:rsidRPr="00D67459">
        <w:rPr>
          <w:sz w:val="16"/>
          <w:szCs w:val="16"/>
          <w:lang w:val="es-ES"/>
        </w:rPr>
        <w:t>Una página equivale a 330 palabras</w:t>
      </w:r>
      <w:r w:rsidRPr="001F078C">
        <w:rPr>
          <w:sz w:val="16"/>
          <w:szCs w:val="16"/>
        </w:rPr>
        <w:t>.</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AA2F1F3" w14:textId="77777777" w:rsidTr="00E31DCE">
      <w:trPr>
        <w:trHeight w:val="1104"/>
        <w:jc w:val="center"/>
      </w:trPr>
      <w:tc>
        <w:tcPr>
          <w:tcW w:w="4390" w:type="dxa"/>
          <w:vAlign w:val="center"/>
        </w:tcPr>
        <w:p w14:paraId="38FFA52F" w14:textId="77777777" w:rsidR="001559F5" w:rsidRPr="009621F8" w:rsidRDefault="001559F5" w:rsidP="001559F5">
          <w:pPr>
            <w:pStyle w:val="Header"/>
            <w:jc w:val="left"/>
            <w:rPr>
              <w:rFonts w:ascii="Arial" w:hAnsi="Arial" w:cs="Arial"/>
              <w:b/>
              <w:bCs/>
              <w:color w:val="009CD6"/>
              <w:sz w:val="36"/>
              <w:szCs w:val="36"/>
            </w:rPr>
          </w:pPr>
          <w:bookmarkStart w:id="7" w:name="_Hlk133422111"/>
          <w:r>
            <w:rPr>
              <w:noProof/>
            </w:rPr>
            <w:drawing>
              <wp:inline distT="0" distB="0" distL="0" distR="0" wp14:anchorId="75BC1F90" wp14:editId="4D13CED3">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4270D337" w14:textId="77777777" w:rsidR="001559F5" w:rsidRDefault="001559F5" w:rsidP="001559F5">
          <w:pPr>
            <w:pStyle w:val="Header"/>
            <w:jc w:val="right"/>
            <w:rPr>
              <w:rFonts w:ascii="Arial" w:hAnsi="Arial" w:cs="Arial"/>
              <w:b/>
              <w:bCs/>
              <w:color w:val="009CD6"/>
              <w:szCs w:val="18"/>
            </w:rPr>
          </w:pPr>
        </w:p>
        <w:p w14:paraId="7D63C855" w14:textId="77777777" w:rsidR="001559F5" w:rsidRDefault="001559F5" w:rsidP="001559F5">
          <w:pPr>
            <w:pStyle w:val="Header"/>
            <w:jc w:val="right"/>
            <w:rPr>
              <w:rFonts w:ascii="Arial" w:hAnsi="Arial" w:cs="Arial"/>
              <w:b/>
              <w:bCs/>
              <w:color w:val="009CD6"/>
              <w:szCs w:val="18"/>
            </w:rPr>
          </w:pPr>
        </w:p>
        <w:p w14:paraId="78095F8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7828AF65"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F243B5" wp14:editId="681C1C11">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5FD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995"/>
    <w:multiLevelType w:val="hybridMultilevel"/>
    <w:tmpl w:val="52C2644A"/>
    <w:lvl w:ilvl="0" w:tplc="DC5432E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47F34"/>
    <w:multiLevelType w:val="hybridMultilevel"/>
    <w:tmpl w:val="A0FA34CC"/>
    <w:lvl w:ilvl="0" w:tplc="58C84C1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997B80"/>
    <w:multiLevelType w:val="hybridMultilevel"/>
    <w:tmpl w:val="B3D69926"/>
    <w:lvl w:ilvl="0" w:tplc="45EAA4F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5072687">
    <w:abstractNumId w:val="3"/>
  </w:num>
  <w:num w:numId="2" w16cid:durableId="1860050197">
    <w:abstractNumId w:val="2"/>
  </w:num>
  <w:num w:numId="3" w16cid:durableId="1918587174">
    <w:abstractNumId w:val="1"/>
  </w:num>
  <w:num w:numId="4" w16cid:durableId="159948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1F"/>
    <w:rsid w:val="000007D1"/>
    <w:rsid w:val="00024371"/>
    <w:rsid w:val="00093EEB"/>
    <w:rsid w:val="000B0D00"/>
    <w:rsid w:val="000B7C15"/>
    <w:rsid w:val="000D1D0F"/>
    <w:rsid w:val="000F5290"/>
    <w:rsid w:val="0010165C"/>
    <w:rsid w:val="001126F9"/>
    <w:rsid w:val="00146BFB"/>
    <w:rsid w:val="001559F5"/>
    <w:rsid w:val="001612D3"/>
    <w:rsid w:val="001E436E"/>
    <w:rsid w:val="001F14A2"/>
    <w:rsid w:val="00225346"/>
    <w:rsid w:val="002801AA"/>
    <w:rsid w:val="002923F2"/>
    <w:rsid w:val="002B32BD"/>
    <w:rsid w:val="002C4676"/>
    <w:rsid w:val="002C70B0"/>
    <w:rsid w:val="002F3CC4"/>
    <w:rsid w:val="003273A4"/>
    <w:rsid w:val="00373EC5"/>
    <w:rsid w:val="003F12B9"/>
    <w:rsid w:val="003F48F6"/>
    <w:rsid w:val="0042646D"/>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131B9"/>
    <w:rsid w:val="00726872"/>
    <w:rsid w:val="00760F1C"/>
    <w:rsid w:val="007657F0"/>
    <w:rsid w:val="0077252D"/>
    <w:rsid w:val="007955DA"/>
    <w:rsid w:val="007E5DD3"/>
    <w:rsid w:val="007F350B"/>
    <w:rsid w:val="00820BE4"/>
    <w:rsid w:val="008451E8"/>
    <w:rsid w:val="008F544A"/>
    <w:rsid w:val="00913B9C"/>
    <w:rsid w:val="00927F93"/>
    <w:rsid w:val="00950821"/>
    <w:rsid w:val="00956E77"/>
    <w:rsid w:val="009E55DF"/>
    <w:rsid w:val="009F4811"/>
    <w:rsid w:val="00A931C3"/>
    <w:rsid w:val="00AA1845"/>
    <w:rsid w:val="00AA2F1F"/>
    <w:rsid w:val="00AA390C"/>
    <w:rsid w:val="00B0200A"/>
    <w:rsid w:val="00B574DB"/>
    <w:rsid w:val="00B826C2"/>
    <w:rsid w:val="00B8298E"/>
    <w:rsid w:val="00BD0723"/>
    <w:rsid w:val="00BD2518"/>
    <w:rsid w:val="00BF1D1C"/>
    <w:rsid w:val="00BF3D02"/>
    <w:rsid w:val="00C0373C"/>
    <w:rsid w:val="00C163BC"/>
    <w:rsid w:val="00C20C59"/>
    <w:rsid w:val="00C2727F"/>
    <w:rsid w:val="00C35B77"/>
    <w:rsid w:val="00C538FC"/>
    <w:rsid w:val="00C55B1F"/>
    <w:rsid w:val="00CB1EA9"/>
    <w:rsid w:val="00CB76F6"/>
    <w:rsid w:val="00CE777D"/>
    <w:rsid w:val="00CF1A67"/>
    <w:rsid w:val="00D0141A"/>
    <w:rsid w:val="00D242A1"/>
    <w:rsid w:val="00D2750E"/>
    <w:rsid w:val="00D50A36"/>
    <w:rsid w:val="00D62446"/>
    <w:rsid w:val="00D71D2E"/>
    <w:rsid w:val="00D95C74"/>
    <w:rsid w:val="00DA4EA2"/>
    <w:rsid w:val="00DC3D3E"/>
    <w:rsid w:val="00DE0D0A"/>
    <w:rsid w:val="00DE2C90"/>
    <w:rsid w:val="00DE3B24"/>
    <w:rsid w:val="00E06947"/>
    <w:rsid w:val="00E34072"/>
    <w:rsid w:val="00E3592D"/>
    <w:rsid w:val="00E50D76"/>
    <w:rsid w:val="00E92DE8"/>
    <w:rsid w:val="00EB1212"/>
    <w:rsid w:val="00ED65AB"/>
    <w:rsid w:val="00F12850"/>
    <w:rsid w:val="00F24B71"/>
    <w:rsid w:val="00F33BF4"/>
    <w:rsid w:val="00F45925"/>
    <w:rsid w:val="00F7105E"/>
    <w:rsid w:val="00F72391"/>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816DD"/>
  <w15:docId w15:val="{6586F1C4-DB51-49EE-8574-71F744E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Exposant 3 Point,FR,Footnote,Footnote symbol,Fuكnotenzeichen diss neu,Odwołanie przypisu,Ref,Style 12,Style 124,Style 13,Style 3,Times 10 Point,Voetnootverwijzing,footnote ref,fr,o"/>
    <w:basedOn w:val="DefaultParagraphFont"/>
    <w:rsid w:val="000B0D00"/>
    <w:rPr>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AA2F1F"/>
    <w:rPr>
      <w:rFonts w:ascii="Calibri" w:hAnsi="Calibri"/>
      <w:sz w:val="24"/>
      <w:lang w:val="es-ES_tradnl" w:eastAsia="en-US"/>
    </w:rPr>
  </w:style>
  <w:style w:type="character" w:styleId="UnresolvedMention">
    <w:name w:val="Unresolved Mention"/>
    <w:basedOn w:val="DefaultParagraphFont"/>
    <w:uiPriority w:val="99"/>
    <w:semiHidden/>
    <w:unhideWhenUsed/>
    <w:rsid w:val="0016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S19-CL-C-0138/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en/council/Documents/basic-texts-2023/RES-154-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itu.int/md/S22-CL-INF-0007/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7</Pages>
  <Words>2244</Words>
  <Characters>12191</Characters>
  <Application>Microsoft Office Word</Application>
  <DocSecurity>4</DocSecurity>
  <Lines>101</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14407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utilización de los seis idiomas de la Unión en igualdad de condiciones</dc:title>
  <dc:subject>Council 2023</dc:subject>
  <dc:creator>Spanish8</dc:creator>
  <cp:keywords>C2023, C23, Council-23</cp:keywords>
  <dc:description/>
  <cp:lastModifiedBy>Xue, Kun</cp:lastModifiedBy>
  <cp:revision>2</cp:revision>
  <cp:lastPrinted>2006-03-24T09:51:00Z</cp:lastPrinted>
  <dcterms:created xsi:type="dcterms:W3CDTF">2023-06-16T06:52:00Z</dcterms:created>
  <dcterms:modified xsi:type="dcterms:W3CDTF">2023-06-16T06:52:00Z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