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963" w:tblpY="2314"/>
        <w:tblW w:w="9072" w:type="dxa"/>
        <w:tblLayout w:type="fixed"/>
        <w:tblLook w:val="0000" w:firstRow="0" w:lastRow="0" w:firstColumn="0" w:lastColumn="0" w:noHBand="0" w:noVBand="0"/>
      </w:tblPr>
      <w:tblGrid>
        <w:gridCol w:w="3827"/>
        <w:gridCol w:w="5245"/>
      </w:tblGrid>
      <w:tr w:rsidR="00D72F49" w:rsidRPr="00D36460" w14:paraId="2592CC74" w14:textId="77777777" w:rsidTr="00993AA9">
        <w:trPr>
          <w:cantSplit/>
          <w:trHeight w:val="23"/>
        </w:trPr>
        <w:tc>
          <w:tcPr>
            <w:tcW w:w="3827" w:type="dxa"/>
            <w:vMerge w:val="restart"/>
            <w:tcMar>
              <w:left w:w="0" w:type="dxa"/>
            </w:tcMar>
          </w:tcPr>
          <w:p w14:paraId="27E56DEB" w14:textId="4B5FB728" w:rsidR="00D72F49" w:rsidRPr="00D36460" w:rsidRDefault="00D72F49" w:rsidP="003A0830">
            <w:pPr>
              <w:tabs>
                <w:tab w:val="left" w:pos="851"/>
              </w:tabs>
              <w:spacing w:before="0"/>
              <w:rPr>
                <w:b/>
              </w:rPr>
            </w:pPr>
            <w:r w:rsidRPr="00D36460">
              <w:rPr>
                <w:b/>
              </w:rPr>
              <w:t xml:space="preserve">Point de l'ordre du jour: </w:t>
            </w:r>
            <w:r w:rsidR="00BA257D" w:rsidRPr="00D36460">
              <w:rPr>
                <w:b/>
              </w:rPr>
              <w:t xml:space="preserve">ADM </w:t>
            </w:r>
            <w:r w:rsidR="00AB2C72" w:rsidRPr="00D36460">
              <w:rPr>
                <w:b/>
              </w:rPr>
              <w:t>1</w:t>
            </w:r>
          </w:p>
        </w:tc>
        <w:tc>
          <w:tcPr>
            <w:tcW w:w="5245" w:type="dxa"/>
          </w:tcPr>
          <w:p w14:paraId="27B6A98A" w14:textId="7DDF4104" w:rsidR="00D72F49" w:rsidRPr="00D36460" w:rsidRDefault="00D72F49" w:rsidP="003A0830">
            <w:pPr>
              <w:tabs>
                <w:tab w:val="left" w:pos="851"/>
              </w:tabs>
              <w:spacing w:before="0"/>
              <w:jc w:val="right"/>
              <w:rPr>
                <w:b/>
              </w:rPr>
            </w:pPr>
            <w:r w:rsidRPr="00D36460">
              <w:rPr>
                <w:b/>
              </w:rPr>
              <w:t>Document C23/</w:t>
            </w:r>
            <w:r w:rsidR="00AB2C72" w:rsidRPr="00D36460">
              <w:rPr>
                <w:b/>
              </w:rPr>
              <w:t>51</w:t>
            </w:r>
            <w:r w:rsidRPr="00D36460">
              <w:rPr>
                <w:b/>
              </w:rPr>
              <w:t>-F</w:t>
            </w:r>
          </w:p>
        </w:tc>
      </w:tr>
      <w:tr w:rsidR="00D72F49" w:rsidRPr="00D36460" w14:paraId="41096C77" w14:textId="77777777" w:rsidTr="00993AA9">
        <w:trPr>
          <w:cantSplit/>
        </w:trPr>
        <w:tc>
          <w:tcPr>
            <w:tcW w:w="3827" w:type="dxa"/>
            <w:vMerge/>
          </w:tcPr>
          <w:p w14:paraId="0BBA5643" w14:textId="77777777" w:rsidR="00D72F49" w:rsidRPr="00D36460" w:rsidRDefault="00D72F49" w:rsidP="003A0830">
            <w:pPr>
              <w:tabs>
                <w:tab w:val="left" w:pos="851"/>
              </w:tabs>
              <w:rPr>
                <w:b/>
              </w:rPr>
            </w:pPr>
          </w:p>
        </w:tc>
        <w:tc>
          <w:tcPr>
            <w:tcW w:w="5245" w:type="dxa"/>
          </w:tcPr>
          <w:p w14:paraId="068BECD5" w14:textId="585182B7" w:rsidR="00D72F49" w:rsidRPr="00D36460" w:rsidRDefault="00AB2C72" w:rsidP="003A0830">
            <w:pPr>
              <w:tabs>
                <w:tab w:val="left" w:pos="851"/>
              </w:tabs>
              <w:spacing w:before="0"/>
              <w:jc w:val="right"/>
              <w:rPr>
                <w:b/>
              </w:rPr>
            </w:pPr>
            <w:r w:rsidRPr="00D36460">
              <w:rPr>
                <w:b/>
              </w:rPr>
              <w:t>9 juin</w:t>
            </w:r>
            <w:r w:rsidR="00D72F49" w:rsidRPr="00D36460">
              <w:rPr>
                <w:b/>
              </w:rPr>
              <w:t xml:space="preserve"> 2023</w:t>
            </w:r>
          </w:p>
        </w:tc>
      </w:tr>
      <w:tr w:rsidR="00D72F49" w:rsidRPr="00D36460" w14:paraId="17E5B988" w14:textId="77777777" w:rsidTr="00993AA9">
        <w:trPr>
          <w:cantSplit/>
          <w:trHeight w:val="23"/>
        </w:trPr>
        <w:tc>
          <w:tcPr>
            <w:tcW w:w="3827" w:type="dxa"/>
            <w:vMerge/>
          </w:tcPr>
          <w:p w14:paraId="2192D6D7" w14:textId="77777777" w:rsidR="00D72F49" w:rsidRPr="00D36460" w:rsidRDefault="00D72F49" w:rsidP="003A0830">
            <w:pPr>
              <w:tabs>
                <w:tab w:val="left" w:pos="851"/>
              </w:tabs>
              <w:rPr>
                <w:b/>
              </w:rPr>
            </w:pPr>
          </w:p>
        </w:tc>
        <w:tc>
          <w:tcPr>
            <w:tcW w:w="5245" w:type="dxa"/>
          </w:tcPr>
          <w:p w14:paraId="1948C622" w14:textId="77777777" w:rsidR="00D72F49" w:rsidRPr="00D36460" w:rsidRDefault="00D72F49" w:rsidP="003A0830">
            <w:pPr>
              <w:tabs>
                <w:tab w:val="left" w:pos="851"/>
              </w:tabs>
              <w:spacing w:before="0"/>
              <w:jc w:val="right"/>
              <w:rPr>
                <w:b/>
              </w:rPr>
            </w:pPr>
            <w:r w:rsidRPr="00D36460">
              <w:rPr>
                <w:b/>
              </w:rPr>
              <w:t>Original: anglais</w:t>
            </w:r>
          </w:p>
        </w:tc>
      </w:tr>
      <w:tr w:rsidR="00D72F49" w:rsidRPr="00D36460" w14:paraId="53623BEE" w14:textId="77777777" w:rsidTr="00993AA9">
        <w:trPr>
          <w:cantSplit/>
          <w:trHeight w:val="23"/>
        </w:trPr>
        <w:tc>
          <w:tcPr>
            <w:tcW w:w="3827" w:type="dxa"/>
          </w:tcPr>
          <w:p w14:paraId="630B4C34" w14:textId="77777777" w:rsidR="00D72F49" w:rsidRPr="00D36460" w:rsidRDefault="00D72F49" w:rsidP="003A0830">
            <w:pPr>
              <w:tabs>
                <w:tab w:val="left" w:pos="851"/>
              </w:tabs>
              <w:rPr>
                <w:b/>
              </w:rPr>
            </w:pPr>
          </w:p>
        </w:tc>
        <w:tc>
          <w:tcPr>
            <w:tcW w:w="5245" w:type="dxa"/>
          </w:tcPr>
          <w:p w14:paraId="437750C4" w14:textId="77777777" w:rsidR="00D72F49" w:rsidRPr="00D36460" w:rsidRDefault="00D72F49" w:rsidP="003A0830">
            <w:pPr>
              <w:tabs>
                <w:tab w:val="left" w:pos="851"/>
              </w:tabs>
              <w:spacing w:before="0"/>
              <w:jc w:val="right"/>
              <w:rPr>
                <w:b/>
              </w:rPr>
            </w:pPr>
          </w:p>
        </w:tc>
      </w:tr>
      <w:tr w:rsidR="00D72F49" w:rsidRPr="00D36460" w14:paraId="31FFA2A5" w14:textId="77777777" w:rsidTr="00993AA9">
        <w:trPr>
          <w:cantSplit/>
        </w:trPr>
        <w:tc>
          <w:tcPr>
            <w:tcW w:w="9072" w:type="dxa"/>
            <w:gridSpan w:val="2"/>
            <w:tcMar>
              <w:left w:w="0" w:type="dxa"/>
            </w:tcMar>
          </w:tcPr>
          <w:p w14:paraId="7AA1F34C" w14:textId="58D79719" w:rsidR="00D72F49" w:rsidRPr="00D36460" w:rsidRDefault="00D72F49" w:rsidP="003A0830">
            <w:pPr>
              <w:pStyle w:val="Source"/>
              <w:jc w:val="left"/>
              <w:rPr>
                <w:sz w:val="34"/>
                <w:szCs w:val="34"/>
              </w:rPr>
            </w:pPr>
            <w:r w:rsidRPr="00D36460">
              <w:rPr>
                <w:rFonts w:cstheme="minorHAnsi"/>
                <w:color w:val="000000"/>
                <w:sz w:val="34"/>
                <w:szCs w:val="34"/>
              </w:rPr>
              <w:t xml:space="preserve">Rapport </w:t>
            </w:r>
            <w:r w:rsidR="00E95647" w:rsidRPr="00D36460">
              <w:rPr>
                <w:rFonts w:cstheme="minorHAnsi"/>
                <w:color w:val="000000"/>
                <w:sz w:val="34"/>
                <w:szCs w:val="34"/>
              </w:rPr>
              <w:t xml:space="preserve">de la </w:t>
            </w:r>
            <w:r w:rsidRPr="00D36460">
              <w:rPr>
                <w:rFonts w:cstheme="minorHAnsi"/>
                <w:color w:val="000000"/>
                <w:sz w:val="34"/>
                <w:szCs w:val="34"/>
              </w:rPr>
              <w:t>Secrétaire général</w:t>
            </w:r>
            <w:r w:rsidR="00E95647" w:rsidRPr="00D36460">
              <w:rPr>
                <w:rFonts w:cstheme="minorHAnsi"/>
                <w:color w:val="000000"/>
                <w:sz w:val="34"/>
                <w:szCs w:val="34"/>
              </w:rPr>
              <w:t>e</w:t>
            </w:r>
          </w:p>
        </w:tc>
      </w:tr>
      <w:tr w:rsidR="00D72F49" w:rsidRPr="00D36460" w14:paraId="65E7E3D8" w14:textId="77777777" w:rsidTr="00993AA9">
        <w:trPr>
          <w:cantSplit/>
        </w:trPr>
        <w:tc>
          <w:tcPr>
            <w:tcW w:w="9072" w:type="dxa"/>
            <w:gridSpan w:val="2"/>
            <w:tcMar>
              <w:left w:w="0" w:type="dxa"/>
            </w:tcMar>
          </w:tcPr>
          <w:p w14:paraId="370F6D7B" w14:textId="7465DE9D" w:rsidR="00D72F49" w:rsidRPr="00D36460" w:rsidRDefault="00AB2C72" w:rsidP="003A0830">
            <w:pPr>
              <w:pStyle w:val="Subtitle"/>
              <w:framePr w:hSpace="0" w:wrap="auto" w:hAnchor="text" w:xAlign="left" w:yAlign="inline"/>
              <w:rPr>
                <w:lang w:val="fr-FR"/>
              </w:rPr>
            </w:pPr>
            <w:bookmarkStart w:id="0" w:name="_Hlk138164072"/>
            <w:r w:rsidRPr="00D36460">
              <w:rPr>
                <w:rFonts w:cstheme="minorHAnsi"/>
                <w:lang w:val="fr-FR"/>
              </w:rPr>
              <w:t>MISE EN ŒUVRE DU PROGRAMME DE DÉPART VOLONTAIRE</w:t>
            </w:r>
            <w:bookmarkEnd w:id="0"/>
          </w:p>
        </w:tc>
      </w:tr>
      <w:tr w:rsidR="00D72F49" w:rsidRPr="00D36460" w14:paraId="2C09D976" w14:textId="77777777" w:rsidTr="00993AA9">
        <w:trPr>
          <w:cantSplit/>
        </w:trPr>
        <w:tc>
          <w:tcPr>
            <w:tcW w:w="9072" w:type="dxa"/>
            <w:gridSpan w:val="2"/>
            <w:tcBorders>
              <w:top w:val="single" w:sz="4" w:space="0" w:color="auto"/>
              <w:bottom w:val="single" w:sz="4" w:space="0" w:color="auto"/>
            </w:tcBorders>
            <w:tcMar>
              <w:left w:w="0" w:type="dxa"/>
            </w:tcMar>
          </w:tcPr>
          <w:p w14:paraId="0C1CBF59" w14:textId="4BC16149" w:rsidR="00D72F49" w:rsidRPr="00D36460" w:rsidRDefault="00F37FE5" w:rsidP="003A0830">
            <w:pPr>
              <w:spacing w:before="160"/>
              <w:rPr>
                <w:b/>
                <w:bCs/>
                <w:sz w:val="26"/>
                <w:szCs w:val="26"/>
              </w:rPr>
            </w:pPr>
            <w:r w:rsidRPr="00D36460">
              <w:rPr>
                <w:b/>
                <w:bCs/>
                <w:sz w:val="26"/>
                <w:szCs w:val="26"/>
              </w:rPr>
              <w:t>Objet</w:t>
            </w:r>
          </w:p>
          <w:p w14:paraId="45E55FB2" w14:textId="49C8173D" w:rsidR="00D72F49" w:rsidRPr="00D36460" w:rsidRDefault="00AB2C72" w:rsidP="003A0830">
            <w:r w:rsidRPr="00D36460">
              <w:t xml:space="preserve">Le présent document vise à rendre compte de la mise en œuvre du programme de départ volontaire, conformément au point </w:t>
            </w:r>
            <w:r w:rsidR="00FB75D4" w:rsidRPr="00D36460">
              <w:t xml:space="preserve">6 du </w:t>
            </w:r>
            <w:r w:rsidR="00FB75D4" w:rsidRPr="00D36460">
              <w:rPr>
                <w:i/>
                <w:iCs/>
              </w:rPr>
              <w:t>charge le Conseil de l'UIT</w:t>
            </w:r>
            <w:r w:rsidR="00FB75D4" w:rsidRPr="00D36460">
              <w:t xml:space="preserve"> de la Décision</w:t>
            </w:r>
            <w:r w:rsidR="00E4045F" w:rsidRPr="00D36460">
              <w:t> </w:t>
            </w:r>
            <w:r w:rsidR="00FB75D4" w:rsidRPr="00D36460">
              <w:t>5 (Rév.</w:t>
            </w:r>
            <w:r w:rsidR="003A0830" w:rsidRPr="00D36460">
              <w:t> </w:t>
            </w:r>
            <w:r w:rsidR="00FB75D4" w:rsidRPr="00D36460">
              <w:t>Bucarest, 2022) de la Conférence de plénipotentiaires et à la Résolution 1413 (C23</w:t>
            </w:r>
            <w:r w:rsidR="003A0830" w:rsidRPr="00D36460">
              <w:noBreakHyphen/>
            </w:r>
            <w:r w:rsidR="00FB75D4" w:rsidRPr="00D36460">
              <w:t>E</w:t>
            </w:r>
            <w:r w:rsidR="00D36460" w:rsidRPr="00D36460">
              <w:t>X</w:t>
            </w:r>
            <w:r w:rsidR="00FB75D4" w:rsidRPr="00D36460">
              <w:t>T) du Conseil.</w:t>
            </w:r>
          </w:p>
          <w:p w14:paraId="0B950982" w14:textId="77777777" w:rsidR="00D72F49" w:rsidRPr="00D36460" w:rsidRDefault="00D72F49" w:rsidP="003A0830">
            <w:pPr>
              <w:spacing w:before="160"/>
              <w:rPr>
                <w:b/>
                <w:bCs/>
                <w:sz w:val="26"/>
                <w:szCs w:val="26"/>
              </w:rPr>
            </w:pPr>
            <w:r w:rsidRPr="00D36460">
              <w:rPr>
                <w:b/>
                <w:bCs/>
                <w:sz w:val="26"/>
                <w:szCs w:val="26"/>
              </w:rPr>
              <w:t>Suite à donner par le Conseil</w:t>
            </w:r>
          </w:p>
          <w:p w14:paraId="6F9A6B88" w14:textId="7CB9278C" w:rsidR="00D72F49" w:rsidRPr="00D36460" w:rsidRDefault="00993AA9" w:rsidP="003A0830">
            <w:r w:rsidRPr="00D36460">
              <w:t xml:space="preserve">Le Conseil est invité à </w:t>
            </w:r>
            <w:r w:rsidRPr="00D36460">
              <w:rPr>
                <w:b/>
                <w:bCs/>
              </w:rPr>
              <w:t>prendre note</w:t>
            </w:r>
            <w:r w:rsidRPr="00D36460">
              <w:t xml:space="preserve"> du rapport de la Secrétaire générale.</w:t>
            </w:r>
          </w:p>
          <w:p w14:paraId="121C402A" w14:textId="4FDE1FF1" w:rsidR="00D72F49" w:rsidRPr="00D36460" w:rsidRDefault="00D72F49" w:rsidP="003A0830">
            <w:pPr>
              <w:spacing w:before="160"/>
              <w:rPr>
                <w:b/>
                <w:bCs/>
                <w:sz w:val="26"/>
                <w:szCs w:val="26"/>
              </w:rPr>
            </w:pPr>
            <w:r w:rsidRPr="00D36460">
              <w:rPr>
                <w:b/>
                <w:bCs/>
                <w:sz w:val="26"/>
                <w:szCs w:val="26"/>
              </w:rPr>
              <w:t xml:space="preserve">Lien(s) pertinent(s) avec le </w:t>
            </w:r>
            <w:r w:rsidR="00F37FE5" w:rsidRPr="00D36460">
              <w:rPr>
                <w:b/>
                <w:bCs/>
                <w:sz w:val="26"/>
                <w:szCs w:val="26"/>
              </w:rPr>
              <w:t>p</w:t>
            </w:r>
            <w:r w:rsidRPr="00D36460">
              <w:rPr>
                <w:b/>
                <w:bCs/>
                <w:sz w:val="26"/>
                <w:szCs w:val="26"/>
              </w:rPr>
              <w:t>lan stratégique</w:t>
            </w:r>
          </w:p>
          <w:p w14:paraId="60D63331" w14:textId="325F0974" w:rsidR="00D72F49" w:rsidRPr="00D36460" w:rsidRDefault="00993AA9" w:rsidP="003A0830">
            <w:r w:rsidRPr="00D36460">
              <w:t>Excellence en matière de ressources humaines et d'innovation institutionnelle</w:t>
            </w:r>
            <w:r w:rsidR="00E4045F" w:rsidRPr="00D36460">
              <w:t>.</w:t>
            </w:r>
          </w:p>
          <w:p w14:paraId="11FAADC9" w14:textId="3CCEAE62" w:rsidR="00E95647" w:rsidRPr="00D36460" w:rsidRDefault="00D72F49" w:rsidP="003A0830">
            <w:pPr>
              <w:spacing w:before="160"/>
              <w:rPr>
                <w:b/>
                <w:bCs/>
                <w:sz w:val="26"/>
                <w:szCs w:val="26"/>
              </w:rPr>
            </w:pPr>
            <w:r w:rsidRPr="00D36460">
              <w:rPr>
                <w:b/>
                <w:bCs/>
                <w:sz w:val="26"/>
                <w:szCs w:val="26"/>
              </w:rPr>
              <w:t>Incidences financières</w:t>
            </w:r>
          </w:p>
          <w:p w14:paraId="1476D7E3" w14:textId="6004AEA8" w:rsidR="00D72F49" w:rsidRPr="00D36460" w:rsidRDefault="00993AA9" w:rsidP="003A0830">
            <w:r w:rsidRPr="00D36460">
              <w:t xml:space="preserve">Le coût du programme de départ volontaire est estimé à 3,86 millions CHF, </w:t>
            </w:r>
            <w:r w:rsidR="00285CEB" w:rsidRPr="00D36460">
              <w:t>financé par un prélèvement</w:t>
            </w:r>
            <w:r w:rsidRPr="00D36460">
              <w:t xml:space="preserve"> sur le Fonds de réserve de l'UIT.</w:t>
            </w:r>
          </w:p>
          <w:p w14:paraId="2E44E753" w14:textId="77777777" w:rsidR="00D72F49" w:rsidRPr="00D36460" w:rsidRDefault="00D72F49" w:rsidP="003A0830">
            <w:pPr>
              <w:spacing w:before="160"/>
              <w:rPr>
                <w:caps/>
                <w:sz w:val="22"/>
              </w:rPr>
            </w:pPr>
            <w:r w:rsidRPr="00D36460">
              <w:rPr>
                <w:sz w:val="22"/>
              </w:rPr>
              <w:t>__________________</w:t>
            </w:r>
          </w:p>
          <w:p w14:paraId="246B160C" w14:textId="77777777" w:rsidR="00D72F49" w:rsidRPr="00D36460" w:rsidRDefault="00D72F49" w:rsidP="003A0830">
            <w:pPr>
              <w:spacing w:before="160"/>
              <w:rPr>
                <w:b/>
                <w:bCs/>
                <w:sz w:val="26"/>
                <w:szCs w:val="26"/>
              </w:rPr>
            </w:pPr>
            <w:r w:rsidRPr="00D36460">
              <w:rPr>
                <w:b/>
                <w:bCs/>
                <w:sz w:val="26"/>
                <w:szCs w:val="26"/>
              </w:rPr>
              <w:t>Références</w:t>
            </w:r>
          </w:p>
          <w:p w14:paraId="3B399B5C" w14:textId="06EB6A90" w:rsidR="00D72F49" w:rsidRPr="00D36460" w:rsidRDefault="00574A9F" w:rsidP="003A0830">
            <w:pPr>
              <w:spacing w:after="160"/>
            </w:pPr>
            <w:hyperlink r:id="rId7" w:history="1">
              <w:r w:rsidR="00993AA9" w:rsidRPr="00D36460">
                <w:rPr>
                  <w:rStyle w:val="Hyperlink"/>
                </w:rPr>
                <w:t>Résolution 1413 (C23-EXT) du Conseil</w:t>
              </w:r>
            </w:hyperlink>
          </w:p>
        </w:tc>
      </w:tr>
    </w:tbl>
    <w:p w14:paraId="3B7150AC" w14:textId="77777777" w:rsidR="00A51849" w:rsidRPr="00D36460" w:rsidRDefault="00A51849" w:rsidP="003A0830">
      <w:pPr>
        <w:tabs>
          <w:tab w:val="clear" w:pos="567"/>
          <w:tab w:val="clear" w:pos="1134"/>
          <w:tab w:val="clear" w:pos="1701"/>
          <w:tab w:val="clear" w:pos="2268"/>
          <w:tab w:val="clear" w:pos="2835"/>
        </w:tabs>
        <w:overflowPunct/>
        <w:autoSpaceDE/>
        <w:autoSpaceDN/>
        <w:adjustRightInd/>
        <w:spacing w:before="0"/>
        <w:textAlignment w:val="auto"/>
      </w:pPr>
      <w:r w:rsidRPr="00D36460">
        <w:br w:type="page"/>
      </w:r>
    </w:p>
    <w:p w14:paraId="03054AF2" w14:textId="5446C21D" w:rsidR="00917D5E" w:rsidRPr="00D36460" w:rsidRDefault="003A0830" w:rsidP="003A0830">
      <w:pPr>
        <w:pStyle w:val="Heading1"/>
      </w:pPr>
      <w:r w:rsidRPr="00D36460">
        <w:lastRenderedPageBreak/>
        <w:t>1</w:t>
      </w:r>
      <w:r w:rsidRPr="00D36460">
        <w:tab/>
      </w:r>
      <w:r w:rsidR="0084296F" w:rsidRPr="00D36460">
        <w:t>Introductio</w:t>
      </w:r>
      <w:r w:rsidR="00917D5E" w:rsidRPr="00D36460">
        <w:t>n</w:t>
      </w:r>
    </w:p>
    <w:p w14:paraId="2DA3E9C9" w14:textId="4154F88F" w:rsidR="00917D5E" w:rsidRPr="00D36460" w:rsidRDefault="00917D5E" w:rsidP="003A0830">
      <w:r w:rsidRPr="00D36460">
        <w:t xml:space="preserve">Aux termes du point </w:t>
      </w:r>
      <w:r w:rsidR="00285CEB" w:rsidRPr="00D36460">
        <w:t xml:space="preserve">6 </w:t>
      </w:r>
      <w:r w:rsidRPr="00D36460">
        <w:t xml:space="preserve">du </w:t>
      </w:r>
      <w:r w:rsidRPr="00D36460">
        <w:rPr>
          <w:i/>
          <w:iCs/>
        </w:rPr>
        <w:t>charge le Conseil</w:t>
      </w:r>
      <w:r w:rsidR="00285CEB" w:rsidRPr="00D36460">
        <w:rPr>
          <w:i/>
          <w:iCs/>
        </w:rPr>
        <w:t xml:space="preserve"> de l'UIT</w:t>
      </w:r>
      <w:r w:rsidRPr="00D36460">
        <w:t xml:space="preserve"> de la Décision 5 (Rév. Bucarest, 2022) de la Conférence de plénipotentiaires, le Conseil </w:t>
      </w:r>
      <w:r w:rsidR="00285CEB" w:rsidRPr="00D36460">
        <w:t>doit</w:t>
      </w:r>
      <w:r w:rsidRPr="00D36460">
        <w:t xml:space="preserve"> tenir compte de l'incidence de tout programme de réduction des dépenses sur les effectifs de l'Union et mettre en œuvre sans tarder, et de préférence à compter du début de 2023 au plus tard, un plan de départ volontaire et un plan de départ à la retraite anticipé, financé dans la mesure du possible par un excédent budgétaire, mais également par un prélèvement sur le Fonds de réserve, jusqu'à concurrence d'un montant de 6 millions CHF.</w:t>
      </w:r>
    </w:p>
    <w:p w14:paraId="658455D7" w14:textId="67B316F7" w:rsidR="00917D5E" w:rsidRPr="00D36460" w:rsidRDefault="00917D5E" w:rsidP="003A0830">
      <w:r w:rsidRPr="00D36460">
        <w:t>À sa session extraordinaire de 2023, le Conseil a décidé, par sa Résolution 1413 (C23-EXT), d'autoriser le Secrétaire général, à titre exceptionnel, à prélever jusqu'à 6 millions CHF sur le Fonds de réserve pour financer la mise en œuvre d'un plan de départ volontaire/par accord mutuel et d'un plan de départ à la retraite anticipé, et a en outre décidé de charger le Secrétaire général de mettre en œuvre le plan de départ volontaire/par accord mutuel et le plan de départ à la retraite anticipé sans tarder, de préférence au début de 2023 au plus tard, afin d'améliorer les prévisions concernant l'exécution du budget et de permettre l'élaboration de budgets équilibrés à l'avenir.</w:t>
      </w:r>
    </w:p>
    <w:p w14:paraId="2DB0B80C" w14:textId="76F113B5" w:rsidR="0084296F" w:rsidRPr="00D36460" w:rsidRDefault="003A0830" w:rsidP="003A0830">
      <w:pPr>
        <w:pStyle w:val="Heading1"/>
      </w:pPr>
      <w:r w:rsidRPr="00D36460">
        <w:t>2</w:t>
      </w:r>
      <w:r w:rsidRPr="00D36460">
        <w:tab/>
      </w:r>
      <w:r w:rsidR="0084296F" w:rsidRPr="00D36460">
        <w:t>Proc</w:t>
      </w:r>
      <w:r w:rsidR="00917D5E" w:rsidRPr="00D36460">
        <w:t>édure</w:t>
      </w:r>
    </w:p>
    <w:p w14:paraId="001D4583" w14:textId="4EDE86B8" w:rsidR="00917D5E" w:rsidRPr="00D36460" w:rsidRDefault="00917D5E" w:rsidP="003A0830">
      <w:pPr>
        <w:rPr>
          <w:szCs w:val="24"/>
        </w:rPr>
      </w:pPr>
      <w:r w:rsidRPr="00D36460">
        <w:rPr>
          <w:szCs w:val="24"/>
        </w:rPr>
        <w:t xml:space="preserve">Conformément à ces décisions, la Secrétaire générale a </w:t>
      </w:r>
      <w:r w:rsidR="00285CEB" w:rsidRPr="00D36460">
        <w:rPr>
          <w:szCs w:val="24"/>
        </w:rPr>
        <w:t>lancé,</w:t>
      </w:r>
      <w:r w:rsidRPr="00D36460">
        <w:rPr>
          <w:szCs w:val="24"/>
        </w:rPr>
        <w:t xml:space="preserve"> </w:t>
      </w:r>
      <w:r w:rsidR="00285CEB" w:rsidRPr="00D36460">
        <w:rPr>
          <w:szCs w:val="24"/>
        </w:rPr>
        <w:t>le 17</w:t>
      </w:r>
      <w:r w:rsidR="005222DC" w:rsidRPr="00D36460">
        <w:rPr>
          <w:szCs w:val="24"/>
        </w:rPr>
        <w:t> </w:t>
      </w:r>
      <w:r w:rsidR="00285CEB" w:rsidRPr="00D36460">
        <w:rPr>
          <w:szCs w:val="24"/>
        </w:rPr>
        <w:t>mars</w:t>
      </w:r>
      <w:r w:rsidR="005222DC" w:rsidRPr="00D36460">
        <w:rPr>
          <w:szCs w:val="24"/>
        </w:rPr>
        <w:t> </w:t>
      </w:r>
      <w:r w:rsidR="00285CEB" w:rsidRPr="00D36460">
        <w:rPr>
          <w:szCs w:val="24"/>
        </w:rPr>
        <w:t xml:space="preserve">2023, </w:t>
      </w:r>
      <w:r w:rsidRPr="00D36460">
        <w:rPr>
          <w:szCs w:val="24"/>
        </w:rPr>
        <w:t xml:space="preserve">un programme de départ volontaire, financé au </w:t>
      </w:r>
      <w:r w:rsidRPr="00D36460">
        <w:t xml:space="preserve">moyen du montant approuvé et prélevé sur le Fonds de réserve. Annoncé dans l'Ordre de service </w:t>
      </w:r>
      <w:r w:rsidR="00ED327E" w:rsidRPr="00D36460">
        <w:t>N° </w:t>
      </w:r>
      <w:r w:rsidRPr="00D36460">
        <w:t xml:space="preserve">23/03, ce programme de départ volontaire revêtait un caractère ponctuel et n'était </w:t>
      </w:r>
      <w:r w:rsidR="006911FB" w:rsidRPr="00D36460">
        <w:t>proposé</w:t>
      </w:r>
      <w:r w:rsidRPr="00D36460">
        <w:t xml:space="preserve"> que pour une durée limitée</w:t>
      </w:r>
      <w:r w:rsidR="006911FB" w:rsidRPr="00D36460">
        <w:t xml:space="preserve"> aux fonctionnaires remplissant les conditions requises, dans la limite des ressources financières disponibles, et selon des conditions précises.</w:t>
      </w:r>
    </w:p>
    <w:p w14:paraId="3C4FB471" w14:textId="3D92C36C" w:rsidR="0084296F" w:rsidRPr="00D36460" w:rsidRDefault="006911FB" w:rsidP="003A0830">
      <w:pPr>
        <w:rPr>
          <w:szCs w:val="24"/>
        </w:rPr>
      </w:pPr>
      <w:r w:rsidRPr="00D36460">
        <w:t>Les objectifs du programme étaient les suivants</w:t>
      </w:r>
      <w:r w:rsidR="0084296F" w:rsidRPr="00D36460">
        <w:rPr>
          <w:szCs w:val="24"/>
        </w:rPr>
        <w:t>:</w:t>
      </w:r>
    </w:p>
    <w:p w14:paraId="58CA1B81" w14:textId="038BF5FF" w:rsidR="0084296F" w:rsidRPr="00D36460" w:rsidRDefault="003A0830" w:rsidP="003A0830">
      <w:pPr>
        <w:pStyle w:val="enumlev1"/>
      </w:pPr>
      <w:r w:rsidRPr="00D36460">
        <w:t>a)</w:t>
      </w:r>
      <w:r w:rsidRPr="00D36460">
        <w:tab/>
      </w:r>
      <w:r w:rsidR="00285CEB" w:rsidRPr="00D36460">
        <w:t>é</w:t>
      </w:r>
      <w:r w:rsidR="006911FB" w:rsidRPr="00D36460">
        <w:t>quilibrer les dépenses budgétaires en réduisant le nombre de fonctionnaires de l'Union à un rythme plus rapide que ne le permettraient la rotation naturelle des effectifs et les départs à la retraite prévus</w:t>
      </w:r>
      <w:r w:rsidR="0084296F" w:rsidRPr="00D36460">
        <w:t>;</w:t>
      </w:r>
    </w:p>
    <w:p w14:paraId="5C8E1681" w14:textId="603426CD" w:rsidR="0084296F" w:rsidRPr="00D36460" w:rsidRDefault="003A0830" w:rsidP="003A0830">
      <w:pPr>
        <w:pStyle w:val="enumlev1"/>
      </w:pPr>
      <w:r w:rsidRPr="00D36460">
        <w:t>b)</w:t>
      </w:r>
      <w:r w:rsidRPr="00D36460">
        <w:tab/>
      </w:r>
      <w:r w:rsidR="00285CEB" w:rsidRPr="00D36460">
        <w:t>p</w:t>
      </w:r>
      <w:r w:rsidR="006911FB" w:rsidRPr="00D36460">
        <w:t>ermettre à l'Union de réaligner ses structures et d</w:t>
      </w:r>
      <w:r w:rsidR="00E4045F" w:rsidRPr="00D36460">
        <w:t>'</w:t>
      </w:r>
      <w:r w:rsidR="006911FB" w:rsidRPr="00D36460">
        <w:t>utiliser ses ressources en fonction de ses objectifs stratégiques redéfinis</w:t>
      </w:r>
      <w:r w:rsidR="0084296F" w:rsidRPr="00D36460">
        <w:t>;</w:t>
      </w:r>
    </w:p>
    <w:p w14:paraId="52022941" w14:textId="414CE24F" w:rsidR="0084296F" w:rsidRPr="00D36460" w:rsidRDefault="003A0830" w:rsidP="003A0830">
      <w:pPr>
        <w:pStyle w:val="enumlev1"/>
      </w:pPr>
      <w:r w:rsidRPr="00D36460">
        <w:t>c)</w:t>
      </w:r>
      <w:r w:rsidRPr="00D36460">
        <w:tab/>
      </w:r>
      <w:r w:rsidR="00285CEB" w:rsidRPr="00D36460">
        <w:t>f</w:t>
      </w:r>
      <w:r w:rsidR="006911FB" w:rsidRPr="00D36460">
        <w:t>ournir à l'Union la souplesse nécessaire pour recruter les talents et les compétences supplémentaires dont elle a besoin pour remplir sa mission</w:t>
      </w:r>
      <w:r w:rsidR="0084296F" w:rsidRPr="00D36460">
        <w:t>.</w:t>
      </w:r>
    </w:p>
    <w:p w14:paraId="28400E37" w14:textId="26211DF5" w:rsidR="002350BA" w:rsidRPr="00D36460" w:rsidRDefault="00285CEB" w:rsidP="003A0830">
      <w:r w:rsidRPr="00D36460">
        <w:t>É</w:t>
      </w:r>
      <w:r w:rsidR="002350BA" w:rsidRPr="00D36460">
        <w:t>laboré à l'issue d'un examen des bonnes pratiques appliquées dans d'autres organisations</w:t>
      </w:r>
      <w:r w:rsidRPr="00D36460">
        <w:t>, le programme</w:t>
      </w:r>
      <w:r w:rsidR="002350BA" w:rsidRPr="00D36460">
        <w:t xml:space="preserve"> </w:t>
      </w:r>
      <w:r w:rsidRPr="00D36460">
        <w:t>proposait</w:t>
      </w:r>
      <w:r w:rsidR="002350BA" w:rsidRPr="00D36460">
        <w:t xml:space="preserve"> différentes options pour les prestations offertes aux fonctionnaires, tout en garantissant une approche</w:t>
      </w:r>
      <w:r w:rsidR="00057859" w:rsidRPr="00D36460">
        <w:t xml:space="preserve"> équilibrée</w:t>
      </w:r>
      <w:r w:rsidR="002350BA" w:rsidRPr="00D36460">
        <w:t xml:space="preserve"> tenant compte des besoins de l'organisation et de l'obligation de mettre en œuvre le plan de départ de manière efficace sur le plan économique.</w:t>
      </w:r>
    </w:p>
    <w:p w14:paraId="622F833B" w14:textId="01D58371" w:rsidR="0084296F" w:rsidRPr="00D36460" w:rsidRDefault="00057859" w:rsidP="003A0830">
      <w:r w:rsidRPr="00D36460">
        <w:t>Les fonctionnaires devaient présenter leur demande officielle avant le 30 avril 2023 pour pouvoir profiter du programme, sur la base des estimations financières communiquées par le Département de la gestion des ressources humaines.</w:t>
      </w:r>
    </w:p>
    <w:p w14:paraId="53CA51CA" w14:textId="4C7873AE" w:rsidR="0084296F" w:rsidRPr="00D36460" w:rsidRDefault="003A0830" w:rsidP="003A0830">
      <w:pPr>
        <w:pStyle w:val="Heading1"/>
      </w:pPr>
      <w:r w:rsidRPr="00D36460">
        <w:lastRenderedPageBreak/>
        <w:t>3</w:t>
      </w:r>
      <w:r w:rsidRPr="00D36460">
        <w:tab/>
      </w:r>
      <w:r w:rsidR="00057859" w:rsidRPr="00D36460">
        <w:t>Demandes</w:t>
      </w:r>
    </w:p>
    <w:p w14:paraId="33D7EF59" w14:textId="2BE4B652" w:rsidR="00057859" w:rsidRPr="00D36460" w:rsidRDefault="00057859" w:rsidP="00E4045F">
      <w:pPr>
        <w:spacing w:after="120"/>
      </w:pPr>
      <w:r w:rsidRPr="00D36460">
        <w:t xml:space="preserve">Au total, 46 fonctionnaires ont soumis une demande pour bénéficier du programme de </w:t>
      </w:r>
      <w:r w:rsidR="00820B87" w:rsidRPr="00D36460">
        <w:t xml:space="preserve">départ volontaire. Sur ces 46 demandes, quatre ont fait l'objet d'une recommandation défavorable </w:t>
      </w:r>
      <w:r w:rsidR="00ED327E" w:rsidRPr="00D36460">
        <w:t>d</w:t>
      </w:r>
      <w:r w:rsidR="00820B87" w:rsidRPr="00D36460">
        <w:t xml:space="preserve">es Directeurs de Bureau ou </w:t>
      </w:r>
      <w:r w:rsidR="00ED327E" w:rsidRPr="00D36460">
        <w:t>d</w:t>
      </w:r>
      <w:r w:rsidR="00820B87" w:rsidRPr="00D36460">
        <w:t xml:space="preserve">es Chefs de Département de Secrétariat général pour des </w:t>
      </w:r>
      <w:r w:rsidR="00ED327E" w:rsidRPr="00D36460">
        <w:t>questions</w:t>
      </w:r>
      <w:r w:rsidR="00820B87" w:rsidRPr="00D36460">
        <w:t xml:space="preserve"> de continuité des activités. Par conséquent, la commission spéciale a examiné</w:t>
      </w:r>
      <w:r w:rsidR="005222DC" w:rsidRPr="00D36460">
        <w:t> </w:t>
      </w:r>
      <w:r w:rsidR="00820B87" w:rsidRPr="00D36460">
        <w:t>42 demandes comme suit:</w:t>
      </w:r>
    </w:p>
    <w:p w14:paraId="762B81F2" w14:textId="45693194" w:rsidR="0084296F" w:rsidRPr="00D36460" w:rsidRDefault="0084296F" w:rsidP="003A0830">
      <w:pPr>
        <w:pStyle w:val="Tabletitle"/>
      </w:pPr>
      <w:r w:rsidRPr="00D36460">
        <w:t>Table</w:t>
      </w:r>
      <w:r w:rsidR="00820B87" w:rsidRPr="00D36460">
        <w:t>au</w:t>
      </w:r>
      <w:r w:rsidRPr="00D36460">
        <w:t xml:space="preserve"> 1</w:t>
      </w:r>
      <w:r w:rsidR="003A0830" w:rsidRPr="00D36460">
        <w:t xml:space="preserve"> –</w:t>
      </w:r>
      <w:r w:rsidRPr="00D36460">
        <w:t xml:space="preserve"> </w:t>
      </w:r>
      <w:r w:rsidR="00820B87" w:rsidRPr="00D36460">
        <w:t xml:space="preserve">Demandes </w:t>
      </w:r>
      <w:r w:rsidR="00E65D1B" w:rsidRPr="00D36460">
        <w:t>dont l'approbation a été recommandée</w:t>
      </w:r>
      <w:r w:rsidR="00E65D1B" w:rsidRPr="00D36460">
        <w:br/>
        <w:t xml:space="preserve"> par</w:t>
      </w:r>
      <w:r w:rsidR="00820B87" w:rsidRPr="00D36460">
        <w:t xml:space="preserve"> les Bureaux/le Secrétariat général</w:t>
      </w: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tblGrid>
      <w:tr w:rsidR="0084296F" w:rsidRPr="00D36460" w14:paraId="4D0656DF" w14:textId="77777777" w:rsidTr="000D19D1">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7E251EB7" w14:textId="7A191C67" w:rsidR="0084296F" w:rsidRPr="00D36460" w:rsidRDefault="0084296F" w:rsidP="003A0830">
            <w:pPr>
              <w:pStyle w:val="Tablehead"/>
              <w:rPr>
                <w:color w:val="FFFFFF" w:themeColor="background1"/>
                <w:lang w:eastAsia="en-GB"/>
              </w:rPr>
            </w:pPr>
            <w:r w:rsidRPr="00D36460">
              <w:rPr>
                <w:color w:val="FFFFFF" w:themeColor="background1"/>
                <w:lang w:eastAsia="en-GB"/>
              </w:rPr>
              <w:t>Sect</w:t>
            </w:r>
            <w:r w:rsidR="00820B87" w:rsidRPr="00D36460">
              <w:rPr>
                <w:color w:val="FFFFFF" w:themeColor="background1"/>
                <w:lang w:eastAsia="en-GB"/>
              </w:rPr>
              <w:t>eu</w:t>
            </w:r>
            <w:r w:rsidRPr="00D36460">
              <w:rPr>
                <w:color w:val="FFFFFF" w:themeColor="background1"/>
                <w:lang w:eastAsia="en-GB"/>
              </w:rPr>
              <w:t>r/D</w:t>
            </w:r>
            <w:r w:rsidR="00820B87" w:rsidRPr="00D36460">
              <w:rPr>
                <w:color w:val="FFFFFF" w:themeColor="background1"/>
                <w:lang w:eastAsia="en-GB"/>
              </w:rPr>
              <w:t>é</w:t>
            </w:r>
            <w:r w:rsidRPr="00D36460">
              <w:rPr>
                <w:color w:val="FFFFFF" w:themeColor="background1"/>
                <w:lang w:eastAsia="en-GB"/>
              </w:rPr>
              <w:t>part</w:t>
            </w:r>
            <w:r w:rsidR="00820B87" w:rsidRPr="00D36460">
              <w:rPr>
                <w:color w:val="FFFFFF" w:themeColor="background1"/>
                <w:lang w:eastAsia="en-GB"/>
              </w:rPr>
              <w:t>e</w:t>
            </w:r>
            <w:r w:rsidRPr="00D36460">
              <w:rPr>
                <w:color w:val="FFFFFF" w:themeColor="background1"/>
                <w:lang w:eastAsia="en-GB"/>
              </w:rPr>
              <w:t>ment</w:t>
            </w:r>
          </w:p>
        </w:tc>
        <w:tc>
          <w:tcPr>
            <w:tcW w:w="1276"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711851C8" w14:textId="5CBFE360" w:rsidR="0084296F" w:rsidRPr="00D36460" w:rsidRDefault="00585A9F" w:rsidP="003A0830">
            <w:pPr>
              <w:pStyle w:val="Tablehead"/>
              <w:rPr>
                <w:color w:val="FFFFFF" w:themeColor="background1"/>
                <w:lang w:eastAsia="en-GB"/>
              </w:rPr>
            </w:pPr>
            <w:r w:rsidRPr="00D36460">
              <w:rPr>
                <w:color w:val="FFFFFF" w:themeColor="background1"/>
                <w:lang w:eastAsia="en-GB"/>
              </w:rPr>
              <w:t>Demandes</w:t>
            </w:r>
          </w:p>
        </w:tc>
      </w:tr>
      <w:tr w:rsidR="0084296F" w:rsidRPr="00D36460" w14:paraId="75DCDA3B" w14:textId="77777777" w:rsidTr="000D19D1">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3F948A" w14:textId="77777777" w:rsidR="0084296F" w:rsidRPr="00D36460" w:rsidRDefault="0084296F" w:rsidP="003A0830">
            <w:pPr>
              <w:pStyle w:val="Tabletext"/>
              <w:rPr>
                <w:lang w:eastAsia="en-GB"/>
              </w:rPr>
            </w:pPr>
            <w:r w:rsidRPr="00D36460">
              <w:rPr>
                <w:lang w:eastAsia="en-GB"/>
              </w:rPr>
              <w:t>BDT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321859" w14:textId="77777777" w:rsidR="0084296F" w:rsidRPr="00D36460" w:rsidRDefault="0084296F" w:rsidP="00D36460">
            <w:pPr>
              <w:pStyle w:val="Tabletext"/>
              <w:jc w:val="center"/>
              <w:rPr>
                <w:lang w:eastAsia="en-GB"/>
              </w:rPr>
            </w:pPr>
            <w:r w:rsidRPr="00D36460">
              <w:rPr>
                <w:lang w:eastAsia="en-GB"/>
              </w:rPr>
              <w:t>4</w:t>
            </w:r>
          </w:p>
        </w:tc>
      </w:tr>
      <w:tr w:rsidR="0084296F" w:rsidRPr="00D36460" w14:paraId="3FB1DEBF" w14:textId="77777777" w:rsidTr="000D19D1">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AD09B6" w14:textId="77777777" w:rsidR="0084296F" w:rsidRPr="00D36460" w:rsidRDefault="0084296F" w:rsidP="003A0830">
            <w:pPr>
              <w:pStyle w:val="Tabletext"/>
              <w:rPr>
                <w:lang w:eastAsia="en-GB"/>
              </w:rPr>
            </w:pPr>
            <w:r w:rsidRPr="00D36460">
              <w:rPr>
                <w:lang w:eastAsia="en-GB"/>
              </w:rPr>
              <w:t>BR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5A63C1" w14:textId="77777777" w:rsidR="0084296F" w:rsidRPr="00D36460" w:rsidRDefault="0084296F" w:rsidP="00D36460">
            <w:pPr>
              <w:pStyle w:val="Tabletext"/>
              <w:jc w:val="center"/>
              <w:rPr>
                <w:lang w:eastAsia="en-GB"/>
              </w:rPr>
            </w:pPr>
            <w:r w:rsidRPr="00D36460">
              <w:rPr>
                <w:lang w:eastAsia="en-GB"/>
              </w:rPr>
              <w:t>5</w:t>
            </w:r>
          </w:p>
        </w:tc>
      </w:tr>
      <w:tr w:rsidR="0084296F" w:rsidRPr="00D36460" w14:paraId="495EAB98" w14:textId="77777777" w:rsidTr="000D19D1">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BB1423" w14:textId="77777777" w:rsidR="0084296F" w:rsidRPr="00D36460" w:rsidRDefault="0084296F" w:rsidP="003A0830">
            <w:pPr>
              <w:pStyle w:val="Tabletext"/>
              <w:rPr>
                <w:lang w:eastAsia="en-GB"/>
              </w:rPr>
            </w:pPr>
            <w:r w:rsidRPr="00D36460">
              <w:rPr>
                <w:lang w:eastAsia="en-GB"/>
              </w:rPr>
              <w:t>TSB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0058E3" w14:textId="77777777" w:rsidR="0084296F" w:rsidRPr="00D36460" w:rsidRDefault="0084296F" w:rsidP="00D36460">
            <w:pPr>
              <w:pStyle w:val="Tabletext"/>
              <w:jc w:val="center"/>
              <w:rPr>
                <w:lang w:eastAsia="en-GB"/>
              </w:rPr>
            </w:pPr>
            <w:r w:rsidRPr="00D36460">
              <w:rPr>
                <w:lang w:eastAsia="en-GB"/>
              </w:rPr>
              <w:t>3</w:t>
            </w:r>
          </w:p>
        </w:tc>
      </w:tr>
      <w:tr w:rsidR="0084296F" w:rsidRPr="00D36460" w14:paraId="4ED3C78C" w14:textId="77777777" w:rsidTr="000D19D1">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E9C9B9" w14:textId="3F5F76F8" w:rsidR="0084296F" w:rsidRPr="00D36460" w:rsidRDefault="00820B87" w:rsidP="003A0830">
            <w:pPr>
              <w:pStyle w:val="Tabletext"/>
              <w:rPr>
                <w:lang w:eastAsia="en-GB"/>
              </w:rPr>
            </w:pPr>
            <w:r w:rsidRPr="00D36460">
              <w:rPr>
                <w:lang w:eastAsia="en-GB"/>
              </w:rPr>
              <w:t>SG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ECA070" w14:textId="77777777" w:rsidR="0084296F" w:rsidRPr="00D36460" w:rsidRDefault="0084296F" w:rsidP="00D36460">
            <w:pPr>
              <w:pStyle w:val="Tabletext"/>
              <w:jc w:val="center"/>
              <w:rPr>
                <w:lang w:eastAsia="en-GB"/>
              </w:rPr>
            </w:pPr>
            <w:r w:rsidRPr="00D36460">
              <w:rPr>
                <w:lang w:eastAsia="en-GB"/>
              </w:rPr>
              <w:t>30</w:t>
            </w:r>
          </w:p>
        </w:tc>
      </w:tr>
      <w:tr w:rsidR="0084296F" w:rsidRPr="00D36460" w14:paraId="56877DD2" w14:textId="77777777" w:rsidTr="000D19D1">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9B1E0D" w14:textId="429022B4" w:rsidR="0084296F" w:rsidRPr="00D36460" w:rsidRDefault="0084296F" w:rsidP="003A0830">
            <w:pPr>
              <w:pStyle w:val="Tabletext"/>
              <w:rPr>
                <w:b/>
                <w:bCs/>
                <w:color w:val="000000" w:themeColor="text1"/>
                <w:lang w:eastAsia="en-GB"/>
              </w:rPr>
            </w:pPr>
            <w:r w:rsidRPr="00D36460">
              <w:rPr>
                <w:b/>
                <w:bCs/>
                <w:color w:val="000000" w:themeColor="text1"/>
                <w:lang w:eastAsia="en-GB"/>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DCAA8C" w14:textId="77777777" w:rsidR="0084296F" w:rsidRPr="00D36460" w:rsidRDefault="0084296F" w:rsidP="00D36460">
            <w:pPr>
              <w:pStyle w:val="Tabletext"/>
              <w:jc w:val="center"/>
              <w:rPr>
                <w:b/>
                <w:bCs/>
                <w:color w:val="000000" w:themeColor="text1"/>
                <w:lang w:eastAsia="en-GB"/>
              </w:rPr>
            </w:pPr>
            <w:r w:rsidRPr="00D36460">
              <w:rPr>
                <w:b/>
                <w:bCs/>
                <w:color w:val="000000" w:themeColor="text1"/>
                <w:lang w:eastAsia="en-GB"/>
              </w:rPr>
              <w:t>42</w:t>
            </w:r>
          </w:p>
        </w:tc>
      </w:tr>
    </w:tbl>
    <w:p w14:paraId="4687320F" w14:textId="05CD1FC0" w:rsidR="00ED327E" w:rsidRPr="00D36460" w:rsidRDefault="00ED327E" w:rsidP="00D36460">
      <w:pPr>
        <w:spacing w:before="240"/>
      </w:pPr>
      <w:r w:rsidRPr="00D36460">
        <w:t>Pour ce qui est de la répartition entre les sexes</w:t>
      </w:r>
      <w:r w:rsidR="0084296F" w:rsidRPr="00D36460">
        <w:t xml:space="preserve">, 22 </w:t>
      </w:r>
      <w:r w:rsidRPr="00D36460">
        <w:t>demandes ont été soumises par des femmes et 20 par des hommes. L'âge moyen des personnes ayant présenté une demande était de 59,8 ans, la personne la plus jeune étant âgée de 44,5 ans et la plus vieille de</w:t>
      </w:r>
      <w:r w:rsidR="003A0830" w:rsidRPr="00D36460">
        <w:t> </w:t>
      </w:r>
      <w:r w:rsidRPr="00D36460">
        <w:t>64,1</w:t>
      </w:r>
      <w:r w:rsidR="003A0830" w:rsidRPr="00D36460">
        <w:t> </w:t>
      </w:r>
      <w:r w:rsidRPr="00D36460">
        <w:t>ans.</w:t>
      </w:r>
    </w:p>
    <w:p w14:paraId="4BC7B2B7" w14:textId="5EDC9522" w:rsidR="0084296F" w:rsidRPr="00D36460" w:rsidRDefault="003A0830" w:rsidP="003A0830">
      <w:pPr>
        <w:pStyle w:val="Heading1"/>
      </w:pPr>
      <w:r w:rsidRPr="00D36460">
        <w:t>4</w:t>
      </w:r>
      <w:r w:rsidRPr="00D36460">
        <w:tab/>
      </w:r>
      <w:r w:rsidR="0084296F" w:rsidRPr="00D36460">
        <w:t>Recomm</w:t>
      </w:r>
      <w:r w:rsidR="00ED327E" w:rsidRPr="00D36460">
        <w:t>a</w:t>
      </w:r>
      <w:r w:rsidR="0084296F" w:rsidRPr="00D36460">
        <w:t xml:space="preserve">ndations </w:t>
      </w:r>
      <w:r w:rsidR="00ED327E" w:rsidRPr="00D36460">
        <w:t>et décision</w:t>
      </w:r>
    </w:p>
    <w:p w14:paraId="2BECF910" w14:textId="4689D422" w:rsidR="00ED327E" w:rsidRPr="00D36460" w:rsidRDefault="00ED327E" w:rsidP="003A0830">
      <w:r w:rsidRPr="00D36460">
        <w:t xml:space="preserve">Conformément à l'Ordre de service N° 23/03, la Secrétaire générale a désigné une commission spéciale chargée </w:t>
      </w:r>
      <w:r w:rsidR="000018EC" w:rsidRPr="00D36460">
        <w:t xml:space="preserve">d'examiner </w:t>
      </w:r>
      <w:r w:rsidRPr="00D36460">
        <w:t>et d'évaluer les demandes de départ volontaire des fonctionnaires et les recommandations</w:t>
      </w:r>
      <w:r w:rsidR="00E65D1B" w:rsidRPr="00D36460">
        <w:t xml:space="preserve"> des Directeurs de Bureau ou des Chefs de Département du Secrétariat général. Les membres de la commission spéciale ont été nommés sur la base des recommandations des Directeurs de Bureau.</w:t>
      </w:r>
    </w:p>
    <w:p w14:paraId="5DFA88BD" w14:textId="7776C3B7" w:rsidR="00E65D1B" w:rsidRPr="00D36460" w:rsidRDefault="00E65D1B" w:rsidP="003A0830">
      <w:r w:rsidRPr="00D36460">
        <w:t>La commission a formulé des recommandations en faisant des intérêts de l'Union une priorité et en se fondant uniquement sur des considérations financières, conformément à la décision du Conseil. Le retour sur investissement a été calculé pour chaque demande compte tenu des coûts du programme et du montant estimé des économies à long terme pour l'organisation.</w:t>
      </w:r>
    </w:p>
    <w:p w14:paraId="701A220F" w14:textId="47115CCA" w:rsidR="00E65D1B" w:rsidRPr="00D36460" w:rsidRDefault="00E65D1B" w:rsidP="003A0830">
      <w:r w:rsidRPr="00D36460">
        <w:t>La commission spéciale a présenté le rapport correspondant au Comité de coordination pour examen et a ensuite</w:t>
      </w:r>
      <w:r w:rsidR="005F3850" w:rsidRPr="00D36460">
        <w:t xml:space="preserve"> recommandé à la Secrétaire générale de prendre la décision finale d'approuver ou de rejeter les demandes en se fondant sur les intérêts et les objectifs stratégiques de l'Union. Aux termes de l'Ordre de service N° 23/03, le départ volontaire est accordé à la discrétion de la Secrétaire générale et ne constitue pas un droit établi.</w:t>
      </w:r>
    </w:p>
    <w:p w14:paraId="1DAECBCA" w14:textId="7A020CF4" w:rsidR="003E2D24" w:rsidRPr="00D36460" w:rsidRDefault="003E2D24" w:rsidP="003A0830">
      <w:r w:rsidRPr="00D36460">
        <w:t>La Secrétaire générale a approuvé 28 demandes au total, en se fondant les intérêts et les objectifs stratégiques de l'Union et en procédant à un examen minutieux des incidences financières, conformément à la décision du Conseil d'approuver le plan afin d'améliorer les prévisions concernant l'exécution du budget et de permettre l'élaboration de budgets équilibrés à l'avenir.</w:t>
      </w:r>
    </w:p>
    <w:p w14:paraId="76BC849E" w14:textId="7E8762EB" w:rsidR="0084296F" w:rsidRPr="00D36460" w:rsidRDefault="003E2D24" w:rsidP="003A0830">
      <w:pPr>
        <w:spacing w:after="120"/>
      </w:pPr>
      <w:r w:rsidRPr="00D36460">
        <w:lastRenderedPageBreak/>
        <w:t>Le coût final du programme de départ volontaire est estimé à 3,86 millions CHF, avec une économie à long terme estimée</w:t>
      </w:r>
      <w:r w:rsidR="0084296F" w:rsidRPr="00D36460">
        <w:rPr>
          <w:rStyle w:val="FootnoteReference"/>
          <w:szCs w:val="16"/>
        </w:rPr>
        <w:footnoteReference w:id="1"/>
      </w:r>
      <w:r w:rsidR="0084296F" w:rsidRPr="00D36460">
        <w:t xml:space="preserve"> </w:t>
      </w:r>
      <w:r w:rsidRPr="00D36460">
        <w:t xml:space="preserve">s'établissant à </w:t>
      </w:r>
      <w:r w:rsidR="0084296F" w:rsidRPr="00D36460">
        <w:t>14</w:t>
      </w:r>
      <w:r w:rsidRPr="00D36460">
        <w:t>,</w:t>
      </w:r>
      <w:r w:rsidR="0084296F" w:rsidRPr="00D36460">
        <w:t>059</w:t>
      </w:r>
      <w:r w:rsidRPr="00D36460">
        <w:t xml:space="preserve"> millions CHF</w:t>
      </w:r>
      <w:r w:rsidR="0084296F" w:rsidRPr="00D36460">
        <w:t xml:space="preserve"> </w:t>
      </w:r>
      <w:r w:rsidRPr="00D36460">
        <w:t xml:space="preserve">et un retour sur investissement </w:t>
      </w:r>
      <w:r w:rsidR="00585A9F" w:rsidRPr="00D36460">
        <w:t>concret</w:t>
      </w:r>
      <w:r w:rsidRPr="00D36460">
        <w:t xml:space="preserve"> de </w:t>
      </w:r>
      <w:r w:rsidR="0084296F" w:rsidRPr="00D36460">
        <w:t>10</w:t>
      </w:r>
      <w:r w:rsidRPr="00D36460">
        <w:t>,</w:t>
      </w:r>
      <w:r w:rsidR="0084296F" w:rsidRPr="00D36460">
        <w:t>189</w:t>
      </w:r>
      <w:r w:rsidRPr="00D36460">
        <w:t xml:space="preserve"> millions CHF</w:t>
      </w:r>
      <w:r w:rsidR="0084296F" w:rsidRPr="00D36460">
        <w:t xml:space="preserve"> (264</w:t>
      </w:r>
      <w:r w:rsidRPr="00D36460">
        <w:t xml:space="preserve"> pour cent</w:t>
      </w:r>
      <w:r w:rsidR="0084296F" w:rsidRPr="00D36460">
        <w:t>).</w:t>
      </w:r>
    </w:p>
    <w:p w14:paraId="39388E1F" w14:textId="4EC7E23B" w:rsidR="0084296F" w:rsidRPr="00D36460" w:rsidRDefault="0084296F" w:rsidP="003A0830">
      <w:pPr>
        <w:pStyle w:val="Tabletitle"/>
      </w:pPr>
      <w:r w:rsidRPr="00D36460">
        <w:t>Table</w:t>
      </w:r>
      <w:r w:rsidR="003E2D24" w:rsidRPr="00D36460">
        <w:t>au</w:t>
      </w:r>
      <w:r w:rsidRPr="00D36460">
        <w:t xml:space="preserve"> 2</w:t>
      </w:r>
      <w:r w:rsidR="003A0830" w:rsidRPr="00D36460">
        <w:t xml:space="preserve"> –</w:t>
      </w:r>
      <w:r w:rsidRPr="00D36460">
        <w:t xml:space="preserve"> </w:t>
      </w:r>
      <w:r w:rsidR="003E2D24" w:rsidRPr="00D36460">
        <w:t xml:space="preserve">Coût estimé du programme de départ volontaire, </w:t>
      </w:r>
      <w:r w:rsidR="00D36460" w:rsidRPr="00D36460">
        <w:br/>
      </w:r>
      <w:r w:rsidR="003E2D24" w:rsidRPr="00D36460">
        <w:t>économies prévues et retour sur investissement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413"/>
        <w:gridCol w:w="1701"/>
        <w:gridCol w:w="1559"/>
        <w:gridCol w:w="1418"/>
        <w:gridCol w:w="1701"/>
        <w:gridCol w:w="1842"/>
      </w:tblGrid>
      <w:tr w:rsidR="0084296F" w:rsidRPr="00D36460" w14:paraId="3B9D1530" w14:textId="77777777" w:rsidTr="00D36460">
        <w:trPr>
          <w:trHeight w:val="11"/>
          <w:jc w:val="center"/>
        </w:trPr>
        <w:tc>
          <w:tcPr>
            <w:tcW w:w="1413" w:type="dxa"/>
            <w:shd w:val="clear" w:color="D9E1F2" w:fill="D9E1F2"/>
            <w:noWrap/>
            <w:vAlign w:val="center"/>
            <w:hideMark/>
          </w:tcPr>
          <w:p w14:paraId="49B10451" w14:textId="18FA9F74" w:rsidR="0084296F" w:rsidRPr="00D36460" w:rsidRDefault="003E2D24" w:rsidP="003A0830">
            <w:pPr>
              <w:pStyle w:val="Tablehead"/>
              <w:rPr>
                <w:lang w:eastAsia="en-GB"/>
              </w:rPr>
            </w:pPr>
            <w:r w:rsidRPr="00D36460">
              <w:rPr>
                <w:lang w:eastAsia="en-GB"/>
              </w:rPr>
              <w:t>Demandes approuvées</w:t>
            </w:r>
          </w:p>
        </w:tc>
        <w:tc>
          <w:tcPr>
            <w:tcW w:w="1701" w:type="dxa"/>
            <w:shd w:val="clear" w:color="D9E1F2" w:fill="D9E1F2"/>
            <w:vAlign w:val="center"/>
            <w:hideMark/>
          </w:tcPr>
          <w:p w14:paraId="26FF7517" w14:textId="246E9906" w:rsidR="0084296F" w:rsidRPr="00D36460" w:rsidRDefault="003E2D24" w:rsidP="003A0830">
            <w:pPr>
              <w:pStyle w:val="Tablehead"/>
              <w:rPr>
                <w:lang w:eastAsia="en-GB"/>
              </w:rPr>
            </w:pPr>
            <w:r w:rsidRPr="00D36460">
              <w:t>Coût du programme de départ volontaire</w:t>
            </w:r>
            <w:r w:rsidR="0084296F" w:rsidRPr="00D36460">
              <w:rPr>
                <w:lang w:eastAsia="en-GB"/>
              </w:rPr>
              <w:br/>
              <w:t>(CHF)</w:t>
            </w:r>
          </w:p>
        </w:tc>
        <w:tc>
          <w:tcPr>
            <w:tcW w:w="1559" w:type="dxa"/>
            <w:shd w:val="clear" w:color="D9E1F2" w:fill="D9E1F2"/>
            <w:vAlign w:val="center"/>
            <w:hideMark/>
          </w:tcPr>
          <w:p w14:paraId="313BA8C8" w14:textId="33821F24" w:rsidR="0084296F" w:rsidRPr="00D36460" w:rsidRDefault="003E2D24" w:rsidP="003A0830">
            <w:pPr>
              <w:pStyle w:val="Tablehead"/>
              <w:rPr>
                <w:lang w:eastAsia="en-GB"/>
              </w:rPr>
            </w:pPr>
            <w:r w:rsidRPr="00D36460">
              <w:rPr>
                <w:lang w:eastAsia="en-GB"/>
              </w:rPr>
              <w:t>Économies nettes</w:t>
            </w:r>
            <w:r w:rsidR="0084296F" w:rsidRPr="00D36460">
              <w:rPr>
                <w:lang w:eastAsia="en-GB"/>
              </w:rPr>
              <w:t xml:space="preserve"> </w:t>
            </w:r>
            <w:r w:rsidR="0084296F" w:rsidRPr="00D36460">
              <w:rPr>
                <w:lang w:eastAsia="en-GB"/>
              </w:rPr>
              <w:br/>
              <w:t xml:space="preserve">2023 </w:t>
            </w:r>
            <w:r w:rsidR="0084296F" w:rsidRPr="00D36460">
              <w:rPr>
                <w:lang w:eastAsia="en-GB"/>
              </w:rPr>
              <w:br/>
              <w:t>(CHF)</w:t>
            </w:r>
          </w:p>
        </w:tc>
        <w:tc>
          <w:tcPr>
            <w:tcW w:w="1418" w:type="dxa"/>
            <w:shd w:val="clear" w:color="D9E1F2" w:fill="D9E1F2"/>
            <w:vAlign w:val="center"/>
            <w:hideMark/>
          </w:tcPr>
          <w:p w14:paraId="58C6C7B0" w14:textId="0FD3AD64" w:rsidR="0084296F" w:rsidRPr="00D36460" w:rsidRDefault="003E2D24" w:rsidP="003A0830">
            <w:pPr>
              <w:pStyle w:val="Tablehead"/>
              <w:rPr>
                <w:lang w:eastAsia="en-GB"/>
              </w:rPr>
            </w:pPr>
            <w:r w:rsidRPr="00D36460">
              <w:rPr>
                <w:lang w:eastAsia="en-GB"/>
              </w:rPr>
              <w:t>Économies nettes</w:t>
            </w:r>
            <w:r w:rsidR="0084296F" w:rsidRPr="00D36460">
              <w:rPr>
                <w:lang w:eastAsia="en-GB"/>
              </w:rPr>
              <w:t xml:space="preserve"> </w:t>
            </w:r>
            <w:r w:rsidR="0084296F" w:rsidRPr="00D36460">
              <w:rPr>
                <w:lang w:eastAsia="en-GB"/>
              </w:rPr>
              <w:br/>
              <w:t xml:space="preserve">2024-2027 </w:t>
            </w:r>
            <w:r w:rsidR="0084296F" w:rsidRPr="00D36460">
              <w:rPr>
                <w:lang w:eastAsia="en-GB"/>
              </w:rPr>
              <w:br/>
              <w:t>(CHF)</w:t>
            </w:r>
          </w:p>
        </w:tc>
        <w:tc>
          <w:tcPr>
            <w:tcW w:w="1701" w:type="dxa"/>
            <w:shd w:val="clear" w:color="auto" w:fill="808080" w:themeFill="background1" w:themeFillShade="80"/>
            <w:vAlign w:val="center"/>
            <w:hideMark/>
          </w:tcPr>
          <w:p w14:paraId="5CE78C45" w14:textId="0318B975" w:rsidR="0084296F" w:rsidRPr="00D36460" w:rsidRDefault="003E2D24" w:rsidP="003A0830">
            <w:pPr>
              <w:pStyle w:val="Tablehead"/>
              <w:rPr>
                <w:lang w:eastAsia="en-GB"/>
              </w:rPr>
            </w:pPr>
            <w:r w:rsidRPr="00D36460">
              <w:rPr>
                <w:color w:val="FFFFFF" w:themeColor="background1"/>
                <w:lang w:eastAsia="en-GB"/>
              </w:rPr>
              <w:t>Retour sur investissement</w:t>
            </w:r>
            <w:r w:rsidR="0084296F" w:rsidRPr="00D36460">
              <w:rPr>
                <w:color w:val="FFFFFF" w:themeColor="background1"/>
                <w:lang w:eastAsia="en-GB"/>
              </w:rPr>
              <w:t xml:space="preserve"> (CHF)</w:t>
            </w:r>
            <w:r w:rsidR="0084296F" w:rsidRPr="00D36460">
              <w:rPr>
                <w:rStyle w:val="FootnoteReference"/>
                <w:color w:val="FFFFFF" w:themeColor="background1"/>
              </w:rPr>
              <w:footnoteReference w:id="2"/>
            </w:r>
          </w:p>
        </w:tc>
        <w:tc>
          <w:tcPr>
            <w:tcW w:w="1842" w:type="dxa"/>
            <w:shd w:val="clear" w:color="auto" w:fill="808080" w:themeFill="background1" w:themeFillShade="80"/>
            <w:vAlign w:val="center"/>
            <w:hideMark/>
          </w:tcPr>
          <w:p w14:paraId="39FD0B08" w14:textId="284AE83B" w:rsidR="0084296F" w:rsidRPr="00D36460" w:rsidRDefault="003E2D24" w:rsidP="003A0830">
            <w:pPr>
              <w:pStyle w:val="Tablehead"/>
              <w:rPr>
                <w:lang w:eastAsia="en-GB"/>
              </w:rPr>
            </w:pPr>
            <w:r w:rsidRPr="00D36460">
              <w:rPr>
                <w:color w:val="FFFFFF" w:themeColor="background1"/>
                <w:lang w:eastAsia="en-GB"/>
              </w:rPr>
              <w:t xml:space="preserve">Retour sur investissement </w:t>
            </w:r>
            <w:r w:rsidR="0084296F" w:rsidRPr="00D36460">
              <w:rPr>
                <w:color w:val="FFFFFF" w:themeColor="background1"/>
                <w:lang w:eastAsia="en-GB"/>
              </w:rPr>
              <w:t>(%)</w:t>
            </w:r>
          </w:p>
        </w:tc>
      </w:tr>
      <w:tr w:rsidR="0084296F" w:rsidRPr="00D36460" w14:paraId="0AF27B3A" w14:textId="77777777" w:rsidTr="00D36460">
        <w:trPr>
          <w:trHeight w:val="659"/>
          <w:jc w:val="center"/>
        </w:trPr>
        <w:tc>
          <w:tcPr>
            <w:tcW w:w="1413" w:type="dxa"/>
            <w:shd w:val="clear" w:color="auto" w:fill="FFFFFF" w:themeFill="background1"/>
            <w:noWrap/>
            <w:vAlign w:val="center"/>
            <w:hideMark/>
          </w:tcPr>
          <w:p w14:paraId="14429FC4" w14:textId="77777777" w:rsidR="0084296F" w:rsidRPr="00D36460" w:rsidRDefault="0084296F" w:rsidP="00E4045F">
            <w:pPr>
              <w:pStyle w:val="Tabletext"/>
              <w:jc w:val="center"/>
              <w:rPr>
                <w:lang w:eastAsia="en-GB"/>
              </w:rPr>
            </w:pPr>
            <w:r w:rsidRPr="00D36460">
              <w:rPr>
                <w:lang w:eastAsia="en-GB"/>
              </w:rPr>
              <w:t>28</w:t>
            </w:r>
          </w:p>
        </w:tc>
        <w:tc>
          <w:tcPr>
            <w:tcW w:w="1701" w:type="dxa"/>
            <w:shd w:val="clear" w:color="auto" w:fill="FFFFFF" w:themeFill="background1"/>
            <w:noWrap/>
            <w:vAlign w:val="center"/>
          </w:tcPr>
          <w:p w14:paraId="5AF7E710" w14:textId="77777777" w:rsidR="0084296F" w:rsidRPr="00D36460" w:rsidRDefault="0084296F" w:rsidP="00E4045F">
            <w:pPr>
              <w:pStyle w:val="Tabletext"/>
              <w:jc w:val="center"/>
              <w:rPr>
                <w:lang w:eastAsia="en-GB"/>
              </w:rPr>
            </w:pPr>
            <w:r w:rsidRPr="00D36460">
              <w:rPr>
                <w:lang w:eastAsia="en-GB"/>
              </w:rPr>
              <w:t>(3 860 013)</w:t>
            </w:r>
          </w:p>
        </w:tc>
        <w:tc>
          <w:tcPr>
            <w:tcW w:w="1559" w:type="dxa"/>
            <w:shd w:val="clear" w:color="auto" w:fill="FFFFFF" w:themeFill="background1"/>
            <w:noWrap/>
            <w:vAlign w:val="center"/>
          </w:tcPr>
          <w:p w14:paraId="736827E0" w14:textId="77777777" w:rsidR="0084296F" w:rsidRPr="00D36460" w:rsidRDefault="0084296F" w:rsidP="00E4045F">
            <w:pPr>
              <w:pStyle w:val="Tabletext"/>
              <w:jc w:val="center"/>
              <w:rPr>
                <w:lang w:eastAsia="en-GB"/>
              </w:rPr>
            </w:pPr>
            <w:r w:rsidRPr="00D36460">
              <w:rPr>
                <w:lang w:eastAsia="en-GB"/>
              </w:rPr>
              <w:t>1 394 563</w:t>
            </w:r>
          </w:p>
        </w:tc>
        <w:tc>
          <w:tcPr>
            <w:tcW w:w="1418" w:type="dxa"/>
            <w:shd w:val="clear" w:color="auto" w:fill="FFFFFF" w:themeFill="background1"/>
            <w:noWrap/>
            <w:vAlign w:val="center"/>
          </w:tcPr>
          <w:p w14:paraId="7DCEBF1F" w14:textId="77777777" w:rsidR="0084296F" w:rsidRPr="00D36460" w:rsidRDefault="0084296F" w:rsidP="00E4045F">
            <w:pPr>
              <w:pStyle w:val="Tabletext"/>
              <w:jc w:val="center"/>
              <w:rPr>
                <w:lang w:eastAsia="en-GB"/>
              </w:rPr>
            </w:pPr>
            <w:r w:rsidRPr="00D36460">
              <w:rPr>
                <w:lang w:eastAsia="en-GB"/>
              </w:rPr>
              <w:t>12 654 438</w:t>
            </w:r>
          </w:p>
        </w:tc>
        <w:tc>
          <w:tcPr>
            <w:tcW w:w="1701" w:type="dxa"/>
            <w:shd w:val="clear" w:color="auto" w:fill="F2F2F2" w:themeFill="background1" w:themeFillShade="F2"/>
            <w:noWrap/>
            <w:vAlign w:val="center"/>
          </w:tcPr>
          <w:p w14:paraId="7F87071D" w14:textId="77777777" w:rsidR="0084296F" w:rsidRPr="00D36460" w:rsidRDefault="0084296F" w:rsidP="00E4045F">
            <w:pPr>
              <w:pStyle w:val="Tabletext"/>
              <w:jc w:val="center"/>
              <w:rPr>
                <w:b/>
                <w:bCs/>
                <w:lang w:eastAsia="en-GB"/>
              </w:rPr>
            </w:pPr>
            <w:r w:rsidRPr="00D36460">
              <w:rPr>
                <w:b/>
                <w:bCs/>
                <w:lang w:eastAsia="en-GB"/>
              </w:rPr>
              <w:t>10 188 988</w:t>
            </w:r>
          </w:p>
        </w:tc>
        <w:tc>
          <w:tcPr>
            <w:tcW w:w="1842" w:type="dxa"/>
            <w:shd w:val="clear" w:color="auto" w:fill="F2F2F2" w:themeFill="background1" w:themeFillShade="F2"/>
            <w:noWrap/>
            <w:vAlign w:val="center"/>
          </w:tcPr>
          <w:p w14:paraId="7A28D14D" w14:textId="77777777" w:rsidR="0084296F" w:rsidRPr="00D36460" w:rsidRDefault="0084296F" w:rsidP="00E4045F">
            <w:pPr>
              <w:pStyle w:val="Tabletext"/>
              <w:jc w:val="center"/>
              <w:rPr>
                <w:b/>
                <w:bCs/>
                <w:lang w:eastAsia="en-GB"/>
              </w:rPr>
            </w:pPr>
            <w:r w:rsidRPr="00D36460">
              <w:rPr>
                <w:b/>
                <w:bCs/>
                <w:lang w:eastAsia="en-GB"/>
              </w:rPr>
              <w:t>264%</w:t>
            </w:r>
          </w:p>
        </w:tc>
      </w:tr>
    </w:tbl>
    <w:p w14:paraId="6853D887" w14:textId="77777777" w:rsidR="00E4045F" w:rsidRPr="00D36460" w:rsidRDefault="0001091A" w:rsidP="00E4045F">
      <w:r w:rsidRPr="00D36460">
        <w:rPr>
          <w:szCs w:val="24"/>
        </w:rPr>
        <w:t>P</w:t>
      </w:r>
      <w:r w:rsidR="003E2D24" w:rsidRPr="00D36460">
        <w:rPr>
          <w:szCs w:val="24"/>
        </w:rPr>
        <w:t xml:space="preserve">our les fonctionnaires </w:t>
      </w:r>
      <w:r w:rsidRPr="00D36460">
        <w:t>dont la demande a été acceptée conformément aux dispositions énoncées dans l'Ordre de service N° 23/03, la date de cessation du service actif sera le</w:t>
      </w:r>
      <w:r w:rsidR="00E4045F" w:rsidRPr="00D36460">
        <w:t> </w:t>
      </w:r>
      <w:r w:rsidRPr="00D36460">
        <w:t>31</w:t>
      </w:r>
      <w:r w:rsidR="00E4045F" w:rsidRPr="00D36460">
        <w:t> </w:t>
      </w:r>
      <w:r w:rsidRPr="00D36460">
        <w:t xml:space="preserve">juillet 2023. Font exception six (6) fonctionnaires pour lesquels la date de </w:t>
      </w:r>
      <w:r w:rsidR="00E67262" w:rsidRPr="00D36460">
        <w:t>cessation de service</w:t>
      </w:r>
      <w:r w:rsidRPr="00D36460">
        <w:t xml:space="preserve"> a été repoussée pour garantir la continuité des activités, mais ne sera pas fixé</w:t>
      </w:r>
      <w:r w:rsidR="00585A9F" w:rsidRPr="00D36460">
        <w:t>e</w:t>
      </w:r>
      <w:r w:rsidRPr="00D36460">
        <w:t xml:space="preserve"> au</w:t>
      </w:r>
      <w:r w:rsidR="00E4045F" w:rsidRPr="00D36460">
        <w:noBreakHyphen/>
      </w:r>
      <w:r w:rsidRPr="00D36460">
        <w:t>delà de fin 2023.</w:t>
      </w:r>
    </w:p>
    <w:p w14:paraId="73A6B39E" w14:textId="77777777" w:rsidR="00E4045F" w:rsidRPr="00D36460" w:rsidRDefault="00E4045F" w:rsidP="00574A9F">
      <w:pPr>
        <w:spacing w:before="840"/>
        <w:jc w:val="center"/>
      </w:pPr>
      <w:r w:rsidRPr="00D36460">
        <w:t>______________</w:t>
      </w:r>
    </w:p>
    <w:sectPr w:rsidR="00E4045F" w:rsidRPr="00D36460"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CFE35E3" w:rsidR="00732045" w:rsidRDefault="00D36460">
    <w:pPr>
      <w:pStyle w:val="Footer"/>
    </w:pPr>
    <w:fldSimple w:instr=" FILENAME \p \* MERGEFORMAT ">
      <w:r w:rsidR="005222DC">
        <w:t>P:\FRA\SG\CONSEIL\C23\000\051F.docx</w:t>
      </w:r>
    </w:fldSimple>
    <w:r w:rsidR="00732045">
      <w:tab/>
    </w:r>
    <w:r w:rsidR="002F1B76">
      <w:fldChar w:fldCharType="begin"/>
    </w:r>
    <w:r w:rsidR="00732045">
      <w:instrText xml:space="preserve"> savedate \@ dd.MM.yy </w:instrText>
    </w:r>
    <w:r w:rsidR="002F1B76">
      <w:fldChar w:fldCharType="separate"/>
    </w:r>
    <w:r w:rsidR="00574A9F">
      <w:t>20.06.23</w:t>
    </w:r>
    <w:r w:rsidR="002F1B76">
      <w:fldChar w:fldCharType="end"/>
    </w:r>
    <w:r w:rsidR="00732045">
      <w:tab/>
    </w:r>
    <w:r w:rsidR="002F1B76">
      <w:fldChar w:fldCharType="begin"/>
    </w:r>
    <w:r w:rsidR="00732045">
      <w:instrText xml:space="preserve"> printdate \@ dd.MM.yy </w:instrText>
    </w:r>
    <w:r w:rsidR="002F1B76">
      <w:fldChar w:fldCharType="separate"/>
    </w:r>
    <w:r w:rsidR="005222D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DB5A91C" w:rsidR="00A51849" w:rsidRDefault="00A51849" w:rsidP="00A51849">
          <w:pPr>
            <w:pStyle w:val="Header"/>
            <w:jc w:val="left"/>
            <w:rPr>
              <w:noProof/>
            </w:rPr>
          </w:pPr>
          <w:r>
            <w:rPr>
              <w:noProof/>
            </w:rPr>
            <w:t xml:space="preserve">DPS </w:t>
          </w:r>
          <w:r w:rsidR="00993AA9">
            <w:rPr>
              <w:noProof/>
            </w:rPr>
            <w:t>521085</w:t>
          </w:r>
        </w:p>
      </w:tc>
      <w:tc>
        <w:tcPr>
          <w:tcW w:w="8261" w:type="dxa"/>
        </w:tcPr>
        <w:p w14:paraId="0DB0A3C6" w14:textId="325DC19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D4274">
            <w:rPr>
              <w:bCs/>
            </w:rPr>
            <w:t>51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6493571" w:rsidR="00732045" w:rsidRPr="00A51849" w:rsidRDefault="00D36460" w:rsidP="003A0830">
    <w:pPr>
      <w:pStyle w:val="Footer"/>
    </w:pPr>
    <w:r w:rsidRPr="00574A9F">
      <w:rPr>
        <w:color w:val="F2F2F2" w:themeColor="background1" w:themeShade="F2"/>
      </w:rPr>
      <w:fldChar w:fldCharType="begin"/>
    </w:r>
    <w:r w:rsidRPr="00574A9F">
      <w:rPr>
        <w:color w:val="F2F2F2" w:themeColor="background1" w:themeShade="F2"/>
      </w:rPr>
      <w:instrText xml:space="preserve"> FILENAME \p  \* MERGEFORMAT </w:instrText>
    </w:r>
    <w:r w:rsidRPr="00574A9F">
      <w:rPr>
        <w:color w:val="F2F2F2" w:themeColor="background1" w:themeShade="F2"/>
      </w:rPr>
      <w:fldChar w:fldCharType="separate"/>
    </w:r>
    <w:r w:rsidR="005222DC" w:rsidRPr="00574A9F">
      <w:rPr>
        <w:color w:val="F2F2F2" w:themeColor="background1" w:themeShade="F2"/>
      </w:rPr>
      <w:t>P:\FRA\SG\CONSEIL\C23\000\051F.docx</w:t>
    </w:r>
    <w:r w:rsidRPr="00574A9F">
      <w:rPr>
        <w:color w:val="F2F2F2" w:themeColor="background1" w:themeShade="F2"/>
      </w:rPr>
      <w:fldChar w:fldCharType="end"/>
    </w:r>
    <w:r w:rsidR="003A0830" w:rsidRPr="00574A9F">
      <w:rPr>
        <w:color w:val="F2F2F2" w:themeColor="background1" w:themeShade="F2"/>
      </w:rPr>
      <w:t xml:space="preserve"> (521085)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574A9F"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7020B75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93AA9">
            <w:rPr>
              <w:bCs/>
            </w:rPr>
            <w:t>51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13CB69DA" w:rsidR="00732045" w:rsidRPr="00A51849" w:rsidRDefault="00D36460" w:rsidP="003A0830">
    <w:pPr>
      <w:pStyle w:val="Footer"/>
    </w:pPr>
    <w:r w:rsidRPr="00574A9F">
      <w:rPr>
        <w:color w:val="F2F2F2" w:themeColor="background1" w:themeShade="F2"/>
      </w:rPr>
      <w:fldChar w:fldCharType="begin"/>
    </w:r>
    <w:r w:rsidRPr="00574A9F">
      <w:rPr>
        <w:color w:val="F2F2F2" w:themeColor="background1" w:themeShade="F2"/>
      </w:rPr>
      <w:instrText xml:space="preserve"> FILENAME \p  \* MERGEFORMAT </w:instrText>
    </w:r>
    <w:r w:rsidRPr="00574A9F">
      <w:rPr>
        <w:color w:val="F2F2F2" w:themeColor="background1" w:themeShade="F2"/>
      </w:rPr>
      <w:fldChar w:fldCharType="separate"/>
    </w:r>
    <w:r w:rsidR="005222DC" w:rsidRPr="00574A9F">
      <w:rPr>
        <w:color w:val="F2F2F2" w:themeColor="background1" w:themeShade="F2"/>
      </w:rPr>
      <w:t>P:\FRA\SG\CONSEIL\C23\000\051F.docx</w:t>
    </w:r>
    <w:r w:rsidRPr="00574A9F">
      <w:rPr>
        <w:color w:val="F2F2F2" w:themeColor="background1" w:themeShade="F2"/>
      </w:rPr>
      <w:fldChar w:fldCharType="end"/>
    </w:r>
    <w:r w:rsidR="003A0830" w:rsidRPr="00574A9F">
      <w:rPr>
        <w:color w:val="F2F2F2" w:themeColor="background1" w:themeShade="F2"/>
      </w:rPr>
      <w:t xml:space="preserve"> (521085)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707B0C51" w14:textId="061E2161" w:rsidR="0084296F" w:rsidRPr="00E4045F" w:rsidRDefault="0084296F" w:rsidP="00E4045F">
      <w:pPr>
        <w:pStyle w:val="FootnoteText"/>
        <w:tabs>
          <w:tab w:val="clear" w:pos="256"/>
        </w:tabs>
        <w:ind w:left="284" w:hanging="284"/>
      </w:pPr>
      <w:r w:rsidRPr="00E4045F">
        <w:rPr>
          <w:rStyle w:val="FootnoteReference"/>
        </w:rPr>
        <w:footnoteRef/>
      </w:r>
      <w:r w:rsidRPr="00ED4274">
        <w:tab/>
      </w:r>
      <w:r w:rsidR="00ED4274" w:rsidRPr="00E4045F">
        <w:t>Aux fins de la présente analyse, on entend par long terme la période allant d'août</w:t>
      </w:r>
      <w:r w:rsidR="00E4045F">
        <w:t> </w:t>
      </w:r>
      <w:r w:rsidR="00ED4274" w:rsidRPr="00E4045F">
        <w:t>2023 à la fin d</w:t>
      </w:r>
      <w:r w:rsidR="00585A9F" w:rsidRPr="00E4045F">
        <w:t>u</w:t>
      </w:r>
      <w:r w:rsidR="00ED4274" w:rsidRPr="00E4045F">
        <w:t xml:space="preserve"> cycle de programmation suivant (2024-2027). Les économies découlent principalement de la suppression de l'emploi après le départ du titulaire ou, dans des cas exceptionnels, </w:t>
      </w:r>
      <w:r w:rsidR="00585A9F" w:rsidRPr="00E4045F">
        <w:t>de la remise au concours de l'emploi à</w:t>
      </w:r>
      <w:r w:rsidR="00ED4274" w:rsidRPr="00E4045F">
        <w:t xml:space="preserve"> un grade inférieur, auquel cas le recrutement correspondant est </w:t>
      </w:r>
      <w:r w:rsidR="00585A9F" w:rsidRPr="00E4045F">
        <w:t>reporté</w:t>
      </w:r>
      <w:r w:rsidR="00ED4274" w:rsidRPr="00E4045F">
        <w:t xml:space="preserve"> jusqu'à ce qu'un retour sur investissement positif soit obtenu.</w:t>
      </w:r>
    </w:p>
  </w:footnote>
  <w:footnote w:id="2">
    <w:p w14:paraId="3B9473A4" w14:textId="64F83E26" w:rsidR="0084296F" w:rsidRPr="00E4045F" w:rsidRDefault="0084296F" w:rsidP="00E4045F">
      <w:pPr>
        <w:pStyle w:val="FootnoteText"/>
        <w:tabs>
          <w:tab w:val="clear" w:pos="256"/>
        </w:tabs>
        <w:ind w:left="284" w:hanging="284"/>
      </w:pPr>
      <w:r w:rsidRPr="00ED4274">
        <w:rPr>
          <w:rStyle w:val="FootnoteReference"/>
        </w:rPr>
        <w:footnoteRef/>
      </w:r>
      <w:r w:rsidRPr="00ED4274">
        <w:tab/>
      </w:r>
      <w:r w:rsidRPr="00E4045F">
        <w:t>O</w:t>
      </w:r>
      <w:r w:rsidR="00ED4274" w:rsidRPr="00E4045F">
        <w:t>n calcule généralement le retour sur investissement comme suit: revenu net/coût d'investissement. En</w:t>
      </w:r>
      <w:r w:rsidR="00E4045F">
        <w:t xml:space="preserve"> </w:t>
      </w:r>
      <w:r w:rsidR="00ED4274" w:rsidRPr="00E4045F">
        <w:t>l'espèce, retour sur investissement (CHF) = économies nettes estimées – co</w:t>
      </w:r>
      <w:r w:rsidR="009577A0" w:rsidRPr="00E4045F">
        <w:t>ût du programme de départ volontaire. Retour sur investissement (%)</w:t>
      </w:r>
      <w:r w:rsidR="00E4045F">
        <w:t> </w:t>
      </w:r>
      <w:r w:rsidR="009577A0" w:rsidRPr="00E4045F">
        <w:t>=</w:t>
      </w:r>
      <w:r w:rsidR="00E4045F">
        <w:t> </w:t>
      </w:r>
      <w:r w:rsidR="009577A0" w:rsidRPr="00E4045F">
        <w:t>retour sur investissement (CHF)/coût du programme de départ volontaire.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0CB"/>
    <w:multiLevelType w:val="hybridMultilevel"/>
    <w:tmpl w:val="BBF89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A3188C"/>
    <w:multiLevelType w:val="hybridMultilevel"/>
    <w:tmpl w:val="867821C6"/>
    <w:lvl w:ilvl="0" w:tplc="08090017">
      <w:start w:val="1"/>
      <w:numFmt w:val="lowerLetter"/>
      <w:lvlText w:val="%1)"/>
      <w:lvlJc w:val="left"/>
      <w:pPr>
        <w:ind w:left="5966" w:hanging="360"/>
      </w:pPr>
      <w:rPr>
        <w:rFonts w:hint="default"/>
      </w:rPr>
    </w:lvl>
    <w:lvl w:ilvl="1" w:tplc="08090019" w:tentative="1">
      <w:start w:val="1"/>
      <w:numFmt w:val="lowerLetter"/>
      <w:lvlText w:val="%2."/>
      <w:lvlJc w:val="left"/>
      <w:pPr>
        <w:ind w:left="6686" w:hanging="360"/>
      </w:pPr>
    </w:lvl>
    <w:lvl w:ilvl="2" w:tplc="0809001B" w:tentative="1">
      <w:start w:val="1"/>
      <w:numFmt w:val="lowerRoman"/>
      <w:lvlText w:val="%3."/>
      <w:lvlJc w:val="right"/>
      <w:pPr>
        <w:ind w:left="7406" w:hanging="180"/>
      </w:pPr>
    </w:lvl>
    <w:lvl w:ilvl="3" w:tplc="0809000F" w:tentative="1">
      <w:start w:val="1"/>
      <w:numFmt w:val="decimal"/>
      <w:lvlText w:val="%4."/>
      <w:lvlJc w:val="left"/>
      <w:pPr>
        <w:ind w:left="8126" w:hanging="360"/>
      </w:pPr>
    </w:lvl>
    <w:lvl w:ilvl="4" w:tplc="08090019" w:tentative="1">
      <w:start w:val="1"/>
      <w:numFmt w:val="lowerLetter"/>
      <w:lvlText w:val="%5."/>
      <w:lvlJc w:val="left"/>
      <w:pPr>
        <w:ind w:left="8846" w:hanging="360"/>
      </w:pPr>
    </w:lvl>
    <w:lvl w:ilvl="5" w:tplc="0809001B" w:tentative="1">
      <w:start w:val="1"/>
      <w:numFmt w:val="lowerRoman"/>
      <w:lvlText w:val="%6."/>
      <w:lvlJc w:val="right"/>
      <w:pPr>
        <w:ind w:left="9566" w:hanging="180"/>
      </w:pPr>
    </w:lvl>
    <w:lvl w:ilvl="6" w:tplc="0809000F" w:tentative="1">
      <w:start w:val="1"/>
      <w:numFmt w:val="decimal"/>
      <w:lvlText w:val="%7."/>
      <w:lvlJc w:val="left"/>
      <w:pPr>
        <w:ind w:left="10286" w:hanging="360"/>
      </w:pPr>
    </w:lvl>
    <w:lvl w:ilvl="7" w:tplc="08090019" w:tentative="1">
      <w:start w:val="1"/>
      <w:numFmt w:val="lowerLetter"/>
      <w:lvlText w:val="%8."/>
      <w:lvlJc w:val="left"/>
      <w:pPr>
        <w:ind w:left="11006" w:hanging="360"/>
      </w:pPr>
    </w:lvl>
    <w:lvl w:ilvl="8" w:tplc="0809001B" w:tentative="1">
      <w:start w:val="1"/>
      <w:numFmt w:val="lowerRoman"/>
      <w:lvlText w:val="%9."/>
      <w:lvlJc w:val="right"/>
      <w:pPr>
        <w:ind w:left="11726" w:hanging="180"/>
      </w:pPr>
    </w:lvl>
  </w:abstractNum>
  <w:num w:numId="1" w16cid:durableId="1227108805">
    <w:abstractNumId w:val="0"/>
  </w:num>
  <w:num w:numId="2" w16cid:durableId="53793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18EC"/>
    <w:rsid w:val="0001091A"/>
    <w:rsid w:val="00057859"/>
    <w:rsid w:val="00076A2C"/>
    <w:rsid w:val="000D0D0A"/>
    <w:rsid w:val="00103163"/>
    <w:rsid w:val="00106B19"/>
    <w:rsid w:val="00115D93"/>
    <w:rsid w:val="001247A8"/>
    <w:rsid w:val="001378C0"/>
    <w:rsid w:val="0018694A"/>
    <w:rsid w:val="001A3287"/>
    <w:rsid w:val="001A6508"/>
    <w:rsid w:val="001D4C31"/>
    <w:rsid w:val="001E4D21"/>
    <w:rsid w:val="00207CD1"/>
    <w:rsid w:val="00226657"/>
    <w:rsid w:val="002350BA"/>
    <w:rsid w:val="002477A2"/>
    <w:rsid w:val="00263A51"/>
    <w:rsid w:val="00267E02"/>
    <w:rsid w:val="00285CEB"/>
    <w:rsid w:val="002A5D44"/>
    <w:rsid w:val="002E0BC4"/>
    <w:rsid w:val="002F1B76"/>
    <w:rsid w:val="00331CDE"/>
    <w:rsid w:val="0033568E"/>
    <w:rsid w:val="00355FF5"/>
    <w:rsid w:val="00361350"/>
    <w:rsid w:val="003A0830"/>
    <w:rsid w:val="003C3FAE"/>
    <w:rsid w:val="003E2D24"/>
    <w:rsid w:val="004038CB"/>
    <w:rsid w:val="0040546F"/>
    <w:rsid w:val="0042404A"/>
    <w:rsid w:val="0044618F"/>
    <w:rsid w:val="0046769A"/>
    <w:rsid w:val="00475FB3"/>
    <w:rsid w:val="004C37A9"/>
    <w:rsid w:val="004D1D50"/>
    <w:rsid w:val="004F259E"/>
    <w:rsid w:val="00511F1D"/>
    <w:rsid w:val="00520F36"/>
    <w:rsid w:val="005222DC"/>
    <w:rsid w:val="00534E13"/>
    <w:rsid w:val="00540615"/>
    <w:rsid w:val="00540A6D"/>
    <w:rsid w:val="00566679"/>
    <w:rsid w:val="00571EEA"/>
    <w:rsid w:val="00574A9F"/>
    <w:rsid w:val="00575417"/>
    <w:rsid w:val="005768E1"/>
    <w:rsid w:val="00585A9F"/>
    <w:rsid w:val="005B1938"/>
    <w:rsid w:val="005C3890"/>
    <w:rsid w:val="005F3850"/>
    <w:rsid w:val="005F7BFE"/>
    <w:rsid w:val="00600017"/>
    <w:rsid w:val="006235CA"/>
    <w:rsid w:val="006643AB"/>
    <w:rsid w:val="006911FB"/>
    <w:rsid w:val="006F0A53"/>
    <w:rsid w:val="007210CD"/>
    <w:rsid w:val="00732045"/>
    <w:rsid w:val="007369DB"/>
    <w:rsid w:val="007956C2"/>
    <w:rsid w:val="007A187E"/>
    <w:rsid w:val="007C72C2"/>
    <w:rsid w:val="007D4436"/>
    <w:rsid w:val="007F257A"/>
    <w:rsid w:val="007F3665"/>
    <w:rsid w:val="00800037"/>
    <w:rsid w:val="00820B87"/>
    <w:rsid w:val="0083391C"/>
    <w:rsid w:val="0084296F"/>
    <w:rsid w:val="00861D73"/>
    <w:rsid w:val="00897553"/>
    <w:rsid w:val="008A4E87"/>
    <w:rsid w:val="008D76E6"/>
    <w:rsid w:val="00917D5E"/>
    <w:rsid w:val="0092392D"/>
    <w:rsid w:val="0093234A"/>
    <w:rsid w:val="00956A78"/>
    <w:rsid w:val="009577A0"/>
    <w:rsid w:val="0097363B"/>
    <w:rsid w:val="00973F53"/>
    <w:rsid w:val="00993AA9"/>
    <w:rsid w:val="009C307F"/>
    <w:rsid w:val="009C353C"/>
    <w:rsid w:val="00A2113E"/>
    <w:rsid w:val="00A23A51"/>
    <w:rsid w:val="00A24607"/>
    <w:rsid w:val="00A25CD3"/>
    <w:rsid w:val="00A40A1B"/>
    <w:rsid w:val="00A51849"/>
    <w:rsid w:val="00A709FE"/>
    <w:rsid w:val="00A73C60"/>
    <w:rsid w:val="00A82767"/>
    <w:rsid w:val="00AA332F"/>
    <w:rsid w:val="00AA7BBB"/>
    <w:rsid w:val="00AB2C72"/>
    <w:rsid w:val="00AB64A8"/>
    <w:rsid w:val="00AC0266"/>
    <w:rsid w:val="00AD24EC"/>
    <w:rsid w:val="00B309F9"/>
    <w:rsid w:val="00B32B60"/>
    <w:rsid w:val="00B61619"/>
    <w:rsid w:val="00BA257D"/>
    <w:rsid w:val="00BB4545"/>
    <w:rsid w:val="00BD5873"/>
    <w:rsid w:val="00C04BE3"/>
    <w:rsid w:val="00C25D29"/>
    <w:rsid w:val="00C27A7C"/>
    <w:rsid w:val="00C42437"/>
    <w:rsid w:val="00CA08ED"/>
    <w:rsid w:val="00CF183B"/>
    <w:rsid w:val="00D23761"/>
    <w:rsid w:val="00D36460"/>
    <w:rsid w:val="00D375CD"/>
    <w:rsid w:val="00D553A2"/>
    <w:rsid w:val="00D72F49"/>
    <w:rsid w:val="00D774D3"/>
    <w:rsid w:val="00D904E8"/>
    <w:rsid w:val="00DA08C3"/>
    <w:rsid w:val="00DB5A3E"/>
    <w:rsid w:val="00DC22AA"/>
    <w:rsid w:val="00DF74DD"/>
    <w:rsid w:val="00E25AD0"/>
    <w:rsid w:val="00E4045F"/>
    <w:rsid w:val="00E4428F"/>
    <w:rsid w:val="00E65D1B"/>
    <w:rsid w:val="00E67262"/>
    <w:rsid w:val="00E93668"/>
    <w:rsid w:val="00E95647"/>
    <w:rsid w:val="00EB6350"/>
    <w:rsid w:val="00ED327E"/>
    <w:rsid w:val="00ED4274"/>
    <w:rsid w:val="00F15B57"/>
    <w:rsid w:val="00F35EF4"/>
    <w:rsid w:val="00F37FE5"/>
    <w:rsid w:val="00F427DB"/>
    <w:rsid w:val="00FA5EB1"/>
    <w:rsid w:val="00FA7439"/>
    <w:rsid w:val="00FB75D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993AA9"/>
    <w:rPr>
      <w:color w:val="605E5C"/>
      <w:shd w:val="clear" w:color="auto" w:fill="E1DFDD"/>
    </w:rPr>
  </w:style>
  <w:style w:type="paragraph" w:styleId="ListParagraph">
    <w:name w:val="List Paragraph"/>
    <w:basedOn w:val="Normal"/>
    <w:uiPriority w:val="34"/>
    <w:qFormat/>
    <w:rsid w:val="0084296F"/>
    <w:pPr>
      <w:ind w:left="720"/>
      <w:contextualSpacing/>
    </w:pPr>
    <w:rPr>
      <w:lang w:val="en-GB"/>
    </w:rPr>
  </w:style>
  <w:style w:type="character" w:customStyle="1" w:styleId="FootnoteTextChar">
    <w:name w:val="Footnote Text Char"/>
    <w:basedOn w:val="DefaultParagraphFont"/>
    <w:link w:val="FootnoteText"/>
    <w:uiPriority w:val="99"/>
    <w:rsid w:val="0084296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2-CEXT23-C-0007/e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6173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œuvre du programme de départ volontaire</dc:title>
  <dc:subject>Conseil 2023</dc:subject>
  <dc:creator>Xue, Kun</dc:creator>
  <cp:keywords>C2023, C23, Council-23</cp:keywords>
  <dc:description/>
  <cp:lastModifiedBy>Xue, Kun</cp:lastModifiedBy>
  <cp:revision>2</cp:revision>
  <cp:lastPrinted>2000-07-18T08:55:00Z</cp:lastPrinted>
  <dcterms:created xsi:type="dcterms:W3CDTF">2023-06-20T12:34:00Z</dcterms:created>
  <dcterms:modified xsi:type="dcterms:W3CDTF">2023-06-20T12:34:00Z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