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444B437B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A13D135" w14:textId="7DBA132E" w:rsidR="00FE57F6" w:rsidRPr="00E85629" w:rsidRDefault="003B3508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2134D1">
              <w:rPr>
                <w:b/>
                <w:lang w:val="es-ES"/>
              </w:rPr>
              <w:t>Punto del orden del día: ADM 1</w:t>
            </w:r>
          </w:p>
        </w:tc>
        <w:tc>
          <w:tcPr>
            <w:tcW w:w="5245" w:type="dxa"/>
          </w:tcPr>
          <w:p w14:paraId="754DC9FF" w14:textId="685D7797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C23/</w:t>
            </w:r>
            <w:r w:rsidR="003B3508">
              <w:rPr>
                <w:b/>
              </w:rPr>
              <w:t>51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1748BD60" w14:textId="77777777" w:rsidTr="00C538FC">
        <w:trPr>
          <w:cantSplit/>
        </w:trPr>
        <w:tc>
          <w:tcPr>
            <w:tcW w:w="3969" w:type="dxa"/>
            <w:vMerge/>
          </w:tcPr>
          <w:p w14:paraId="1668ABAA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88E5467" w14:textId="03CB6AD4" w:rsidR="00FE57F6" w:rsidRPr="00E85629" w:rsidRDefault="003B3508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9 de junio de 2023</w:t>
            </w:r>
          </w:p>
        </w:tc>
      </w:tr>
      <w:tr w:rsidR="00FE57F6" w:rsidRPr="00F24B71" w14:paraId="352862E7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5C95CA10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975BEDF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proofErr w:type="gramStart"/>
            <w:r w:rsidRPr="00F24B71">
              <w:rPr>
                <w:rFonts w:cstheme="minorHAnsi"/>
                <w:b/>
                <w:bCs/>
                <w:lang w:val="fr-CH"/>
              </w:rPr>
              <w:t>Original:</w:t>
            </w:r>
            <w:proofErr w:type="gramEnd"/>
            <w:r w:rsidRPr="00F24B71">
              <w:rPr>
                <w:rFonts w:cstheme="minorHAnsi"/>
                <w:b/>
                <w:bCs/>
                <w:lang w:val="fr-CH"/>
              </w:rPr>
              <w:t xml:space="preserve"> inglés</w:t>
            </w:r>
          </w:p>
        </w:tc>
      </w:tr>
      <w:tr w:rsidR="00FE57F6" w:rsidRPr="00813E5E" w14:paraId="66CF92F2" w14:textId="77777777" w:rsidTr="00C538FC">
        <w:trPr>
          <w:cantSplit/>
          <w:trHeight w:val="23"/>
        </w:trPr>
        <w:tc>
          <w:tcPr>
            <w:tcW w:w="3969" w:type="dxa"/>
          </w:tcPr>
          <w:p w14:paraId="6967155A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2AB0AF1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2D073DCB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4452E1F" w14:textId="77777777" w:rsidR="00FE57F6" w:rsidRPr="004B5D49" w:rsidRDefault="00F24B71" w:rsidP="00C538FC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  <w:r w:rsidRPr="00C538FC">
              <w:rPr>
                <w:rFonts w:cstheme="minorHAnsi"/>
                <w:sz w:val="34"/>
                <w:szCs w:val="34"/>
              </w:rPr>
              <w:t>Informe de</w:t>
            </w:r>
            <w:r w:rsidR="004B5D49">
              <w:rPr>
                <w:rFonts w:cstheme="minorHAnsi"/>
                <w:sz w:val="34"/>
                <w:szCs w:val="34"/>
              </w:rPr>
              <w:t xml:space="preserve"> </w:t>
            </w:r>
            <w:r w:rsidRPr="00C538FC">
              <w:rPr>
                <w:rFonts w:cstheme="minorHAnsi"/>
                <w:sz w:val="34"/>
                <w:szCs w:val="34"/>
              </w:rPr>
              <w:t>l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</w:t>
            </w:r>
            <w:proofErr w:type="gramStart"/>
            <w:r w:rsidRPr="00C538FC">
              <w:rPr>
                <w:rFonts w:cstheme="minorHAnsi"/>
                <w:sz w:val="34"/>
                <w:szCs w:val="34"/>
              </w:rPr>
              <w:t>Secretari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General</w:t>
            </w:r>
            <w:proofErr w:type="gramEnd"/>
          </w:p>
        </w:tc>
      </w:tr>
      <w:tr w:rsidR="00FE57F6" w:rsidRPr="00813E5E" w14:paraId="1AFF6B9B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9DA691E" w14:textId="51DDB81D" w:rsidR="00FE57F6" w:rsidRPr="003B3508" w:rsidRDefault="003B3508" w:rsidP="00C538FC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bookmarkStart w:id="1" w:name="_Hlk138336587"/>
            <w:r w:rsidRPr="002134D1">
              <w:rPr>
                <w:lang w:val="es-ES"/>
              </w:rPr>
              <w:t>APLICACIÓN DEL PROGRAMA DE SEPARACIÓN DEL SERVICIO VOLUNTARIA</w:t>
            </w:r>
            <w:bookmarkEnd w:id="1"/>
          </w:p>
        </w:tc>
      </w:tr>
      <w:tr w:rsidR="00FE57F6" w:rsidRPr="00813E5E" w14:paraId="5D868E49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3CFECA1" w14:textId="7BC580D2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Objetivo</w:t>
            </w:r>
          </w:p>
          <w:p w14:paraId="6AB5B5BA" w14:textId="7E4E4985" w:rsidR="00FE57F6" w:rsidRPr="00F24B71" w:rsidRDefault="003B3508" w:rsidP="00C538FC">
            <w:pPr>
              <w:rPr>
                <w:lang w:val="es-ES"/>
              </w:rPr>
            </w:pPr>
            <w:r w:rsidRPr="002134D1">
              <w:rPr>
                <w:lang w:val="es-ES"/>
              </w:rPr>
              <w:t xml:space="preserve">En este documento se da cuenta de la aplicación del programa de separación </w:t>
            </w:r>
            <w:r>
              <w:rPr>
                <w:lang w:val="es-ES"/>
              </w:rPr>
              <w:t xml:space="preserve">del servicio </w:t>
            </w:r>
            <w:r w:rsidRPr="002134D1">
              <w:rPr>
                <w:lang w:val="es-ES"/>
              </w:rPr>
              <w:t xml:space="preserve">voluntaria conforme al </w:t>
            </w:r>
            <w:r w:rsidRPr="002134D1">
              <w:rPr>
                <w:i/>
                <w:iCs/>
                <w:lang w:val="es-ES"/>
              </w:rPr>
              <w:t>encarga al Consejo de la UIT</w:t>
            </w:r>
            <w:r w:rsidRPr="002134D1">
              <w:rPr>
                <w:lang w:val="es-ES"/>
              </w:rPr>
              <w:t xml:space="preserve"> 6 d</w:t>
            </w:r>
            <w:r>
              <w:rPr>
                <w:lang w:val="es-ES"/>
              </w:rPr>
              <w:t>e la Decisión</w:t>
            </w:r>
            <w:r w:rsidRPr="002134D1">
              <w:rPr>
                <w:lang w:val="es-ES"/>
              </w:rPr>
              <w:t xml:space="preserve"> 5 (Rev. Bucarest, 2022) </w:t>
            </w:r>
            <w:r>
              <w:rPr>
                <w:lang w:val="es-ES"/>
              </w:rPr>
              <w:t>de la Conferencia de Plenipotenciarios y a la Resolución</w:t>
            </w:r>
            <w:r w:rsidRPr="002134D1">
              <w:rPr>
                <w:lang w:val="es-ES"/>
              </w:rPr>
              <w:t xml:space="preserve"> 1413 (C23-EXT)</w:t>
            </w:r>
            <w:r>
              <w:rPr>
                <w:lang w:val="es-ES"/>
              </w:rPr>
              <w:t xml:space="preserve"> del Consejo</w:t>
            </w:r>
            <w:r w:rsidRPr="002134D1">
              <w:rPr>
                <w:lang w:val="es-ES"/>
              </w:rPr>
              <w:t>.</w:t>
            </w:r>
          </w:p>
          <w:p w14:paraId="58098739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Acción solicitada </w:t>
            </w:r>
            <w:r w:rsidR="00677A97">
              <w:rPr>
                <w:b/>
                <w:bCs/>
                <w:sz w:val="26"/>
                <w:szCs w:val="26"/>
                <w:lang w:val="es-ES"/>
              </w:rPr>
              <w:t>al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 Consejo</w:t>
            </w:r>
          </w:p>
          <w:p w14:paraId="009569B5" w14:textId="025DBCE4" w:rsidR="00FE57F6" w:rsidRPr="00F24B71" w:rsidRDefault="003B3508" w:rsidP="00C538FC">
            <w:pPr>
              <w:rPr>
                <w:lang w:val="es-ES"/>
              </w:rPr>
            </w:pPr>
            <w:r w:rsidRPr="002134D1">
              <w:rPr>
                <w:lang w:val="es-ES"/>
              </w:rPr>
              <w:t xml:space="preserve">Se invita al Consejo de la UIT a </w:t>
            </w:r>
            <w:r w:rsidRPr="002134D1">
              <w:rPr>
                <w:b/>
                <w:bCs/>
                <w:lang w:val="es-ES"/>
              </w:rPr>
              <w:t xml:space="preserve">tomar nota </w:t>
            </w:r>
            <w:r w:rsidRPr="002134D1">
              <w:rPr>
                <w:lang w:val="es-ES"/>
              </w:rPr>
              <w:t xml:space="preserve">del Informe de la </w:t>
            </w:r>
            <w:proofErr w:type="gramStart"/>
            <w:r w:rsidRPr="002134D1">
              <w:rPr>
                <w:lang w:val="es-ES"/>
              </w:rPr>
              <w:t>Secretaria General</w:t>
            </w:r>
            <w:proofErr w:type="gramEnd"/>
            <w:r w:rsidRPr="002134D1">
              <w:rPr>
                <w:lang w:val="es-ES"/>
              </w:rPr>
              <w:t>.</w:t>
            </w:r>
          </w:p>
          <w:p w14:paraId="7F04E99D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Vínculos pertinentes con el Plan Estratégico</w:t>
            </w:r>
          </w:p>
          <w:p w14:paraId="7A833A52" w14:textId="01C330F3" w:rsidR="00FE57F6" w:rsidRPr="00F24B71" w:rsidRDefault="003B3508" w:rsidP="00C538FC">
            <w:pPr>
              <w:rPr>
                <w:lang w:val="es-ES"/>
              </w:rPr>
            </w:pPr>
            <w:r w:rsidRPr="002134D1">
              <w:rPr>
                <w:lang w:val="es-ES"/>
              </w:rPr>
              <w:t>Excelencia en recursos humanos e innovación instituciona</w:t>
            </w:r>
            <w:r>
              <w:rPr>
                <w:lang w:val="es-ES"/>
              </w:rPr>
              <w:t>l</w:t>
            </w:r>
            <w:r w:rsidRPr="002134D1">
              <w:rPr>
                <w:lang w:val="es-ES"/>
              </w:rPr>
              <w:t>.</w:t>
            </w:r>
          </w:p>
          <w:p w14:paraId="2CB9C416" w14:textId="77777777" w:rsidR="003B350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 xml:space="preserve">Repercusiones financieras: </w:t>
            </w:r>
          </w:p>
          <w:p w14:paraId="17616523" w14:textId="55A10BD8" w:rsidR="00FE57F6" w:rsidRDefault="003B3508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2134D1">
              <w:rPr>
                <w:lang w:val="es-ES"/>
              </w:rPr>
              <w:t>El coste del programa de separación voluntaria se estima un 3 860</w:t>
            </w:r>
            <w:r>
              <w:rPr>
                <w:lang w:val="es-ES"/>
              </w:rPr>
              <w:t> 000 CHF, financiados a cargo de la Cuenta de Provisión de la UIT</w:t>
            </w:r>
            <w:r w:rsidRPr="002134D1">
              <w:rPr>
                <w:lang w:val="es-ES"/>
              </w:rPr>
              <w:t>.</w:t>
            </w:r>
          </w:p>
          <w:p w14:paraId="0E71A13F" w14:textId="77777777" w:rsidR="00FE57F6" w:rsidRPr="00813E5E" w:rsidRDefault="00FE57F6" w:rsidP="00C538FC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3843A3D6" w14:textId="44F71A16" w:rsidR="00FE57F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Referencia</w:t>
            </w:r>
          </w:p>
          <w:p w14:paraId="15F11A31" w14:textId="705A7175" w:rsidR="00FE57F6" w:rsidRDefault="00D3366E" w:rsidP="00C538FC">
            <w:pPr>
              <w:spacing w:after="160"/>
            </w:pPr>
            <w:hyperlink r:id="rId7" w:history="1">
              <w:r w:rsidR="003B3508" w:rsidRPr="002134D1">
                <w:rPr>
                  <w:rStyle w:val="Hyperlink"/>
                  <w:lang w:val="es-ES"/>
                </w:rPr>
                <w:t>Resolución 1413</w:t>
              </w:r>
            </w:hyperlink>
            <w:r w:rsidR="003B3508" w:rsidRPr="002134D1">
              <w:rPr>
                <w:rStyle w:val="Hyperlink"/>
                <w:lang w:val="es-ES"/>
              </w:rPr>
              <w:t xml:space="preserve"> (C23-EXT) del Co</w:t>
            </w:r>
            <w:r w:rsidR="003B3508">
              <w:rPr>
                <w:rStyle w:val="Hyperlink"/>
                <w:lang w:val="es-ES"/>
              </w:rPr>
              <w:t>nsejo</w:t>
            </w:r>
          </w:p>
        </w:tc>
      </w:tr>
      <w:bookmarkEnd w:id="0"/>
    </w:tbl>
    <w:p w14:paraId="0E0D611C" w14:textId="77777777" w:rsidR="00093EEB" w:rsidRDefault="00093EEB"/>
    <w:p w14:paraId="325339CD" w14:textId="77777777" w:rsidR="001559F5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FC3CF0E" w14:textId="1CEF34DD" w:rsidR="003B3508" w:rsidRPr="001B0BA1" w:rsidRDefault="003B3508" w:rsidP="003B3508">
      <w:pPr>
        <w:pStyle w:val="Heading1"/>
      </w:pPr>
      <w:r>
        <w:lastRenderedPageBreak/>
        <w:t>1</w:t>
      </w:r>
      <w:r>
        <w:tab/>
      </w:r>
      <w:proofErr w:type="gramStart"/>
      <w:r w:rsidRPr="001B0BA1">
        <w:t>Introduc</w:t>
      </w:r>
      <w:r>
        <w:t>ción</w:t>
      </w:r>
      <w:proofErr w:type="gramEnd"/>
    </w:p>
    <w:p w14:paraId="35EB0CC0" w14:textId="257ACB18" w:rsidR="003B3508" w:rsidRPr="002134D1" w:rsidRDefault="003B3508" w:rsidP="003B3508">
      <w:pPr>
        <w:rPr>
          <w:i/>
          <w:iCs/>
          <w:lang w:val="es-ES"/>
        </w:rPr>
      </w:pPr>
      <w:r w:rsidRPr="002134D1">
        <w:rPr>
          <w:lang w:val="es-ES"/>
        </w:rPr>
        <w:t xml:space="preserve">De conformidad con el </w:t>
      </w:r>
      <w:r w:rsidRPr="002134D1">
        <w:rPr>
          <w:i/>
          <w:iCs/>
          <w:lang w:val="es-ES"/>
        </w:rPr>
        <w:t>encarga al Consejo</w:t>
      </w:r>
      <w:r w:rsidRPr="002134D1">
        <w:rPr>
          <w:lang w:val="es-ES"/>
        </w:rPr>
        <w:t xml:space="preserve"> 6 de la Decisión 5 (Rev. Bucarest, 2022) de la Conferencia de Plenipotenciarios, el Consejo de la UIT deb</w:t>
      </w:r>
      <w:r>
        <w:rPr>
          <w:lang w:val="es-ES"/>
        </w:rPr>
        <w:t>ía</w:t>
      </w:r>
      <w:r w:rsidRPr="002134D1">
        <w:rPr>
          <w:lang w:val="es-ES"/>
        </w:rPr>
        <w:t xml:space="preserve"> considerar los efectos de cualquier programa de reducción de costes en el personal de la Unión, y aplicar sin demora, y preferentemente a partir de principios de 2023, a más tardar, un mecanismo de separación del servicio y jubilación voluntaria, financiado en la medida de lo posible por el superávit presupuestario, pero también con cargo a la Cuenta de Provisión por una cantidad de hasta 6</w:t>
      </w:r>
      <w:r>
        <w:rPr>
          <w:lang w:val="es-ES"/>
        </w:rPr>
        <w:t> </w:t>
      </w:r>
      <w:r w:rsidRPr="002134D1">
        <w:rPr>
          <w:lang w:val="es-ES"/>
        </w:rPr>
        <w:t>millones CHF.</w:t>
      </w:r>
      <w:r w:rsidRPr="002134D1">
        <w:rPr>
          <w:i/>
          <w:iCs/>
          <w:lang w:val="es-ES"/>
        </w:rPr>
        <w:t xml:space="preserve"> </w:t>
      </w:r>
    </w:p>
    <w:p w14:paraId="1554F23A" w14:textId="207C8B17" w:rsidR="003B3508" w:rsidRPr="00CC4691" w:rsidRDefault="003B3508" w:rsidP="003B3508">
      <w:pPr>
        <w:rPr>
          <w:i/>
          <w:iCs/>
          <w:lang w:val="es-ES"/>
        </w:rPr>
      </w:pPr>
      <w:r w:rsidRPr="003B3508">
        <w:rPr>
          <w:lang w:val="es-ES"/>
        </w:rPr>
        <w:t>En su reunión extraordinaria de 2023, el Consejo adoptó la Resolución</w:t>
      </w:r>
      <w:r w:rsidRPr="001B0BA1">
        <w:t xml:space="preserve"> 1413 (C23-EXT) </w:t>
      </w:r>
      <w:r>
        <w:t xml:space="preserve">a fin de autorizar al </w:t>
      </w:r>
      <w:proofErr w:type="gramStart"/>
      <w:r>
        <w:t>Secretario General</w:t>
      </w:r>
      <w:proofErr w:type="gramEnd"/>
      <w:r>
        <w:t xml:space="preserve">, como medida extraordinaria, a retirar hasta una cuantía de 6 millones CHF de la Cuenta de Provisión para financiar la puesta en práctica de un programa de cese voluntario/concertado y jubilación anticipada. </w:t>
      </w:r>
      <w:r w:rsidRPr="00CC4691">
        <w:rPr>
          <w:lang w:val="es-ES"/>
        </w:rPr>
        <w:t xml:space="preserve">En esa misma Resolución encargó además al </w:t>
      </w:r>
      <w:proofErr w:type="gramStart"/>
      <w:r w:rsidRPr="00CC4691">
        <w:rPr>
          <w:lang w:val="es-ES"/>
        </w:rPr>
        <w:t>Secretario General</w:t>
      </w:r>
      <w:proofErr w:type="gramEnd"/>
      <w:r w:rsidRPr="00CC4691">
        <w:rPr>
          <w:lang w:val="es-ES"/>
        </w:rPr>
        <w:t xml:space="preserve"> que pusiese en práctica el programa de cese voluntario/concertado y jubilación anticipada sin demora y </w:t>
      </w:r>
      <w:r w:rsidR="00C06B3E" w:rsidRPr="00CC4691">
        <w:rPr>
          <w:lang w:val="es-ES"/>
        </w:rPr>
        <w:t>preferentemente</w:t>
      </w:r>
      <w:r w:rsidRPr="00CC4691">
        <w:rPr>
          <w:lang w:val="es-ES"/>
        </w:rPr>
        <w:t xml:space="preserve"> a principios de</w:t>
      </w:r>
      <w:r>
        <w:rPr>
          <w:lang w:val="es-ES"/>
        </w:rPr>
        <w:t> </w:t>
      </w:r>
      <w:r w:rsidRPr="00CC4691">
        <w:rPr>
          <w:lang w:val="es-ES"/>
        </w:rPr>
        <w:t>2023 a más tardar a fin de mejorar las previsiones relativas a la ejecución del presupuesto y permitir la preparación de presupuestos equilibrados futuros</w:t>
      </w:r>
      <w:r w:rsidRPr="00CC4691">
        <w:rPr>
          <w:i/>
          <w:iCs/>
          <w:lang w:val="es-ES"/>
        </w:rPr>
        <w:t>.</w:t>
      </w:r>
    </w:p>
    <w:p w14:paraId="76DD51B1" w14:textId="651CEA9B" w:rsidR="003B3508" w:rsidRPr="001B0BA1" w:rsidRDefault="003B3508" w:rsidP="003B3508">
      <w:pPr>
        <w:pStyle w:val="Heading1"/>
      </w:pPr>
      <w:r>
        <w:t>2</w:t>
      </w:r>
      <w:r>
        <w:tab/>
      </w:r>
      <w:proofErr w:type="gramStart"/>
      <w:r w:rsidRPr="001B0BA1">
        <w:t>Proce</w:t>
      </w:r>
      <w:r>
        <w:t>dimiento</w:t>
      </w:r>
      <w:proofErr w:type="gramEnd"/>
    </w:p>
    <w:p w14:paraId="2393DD1A" w14:textId="77777777" w:rsidR="003B3508" w:rsidRPr="00CC4691" w:rsidRDefault="003B3508" w:rsidP="003B3508">
      <w:pPr>
        <w:rPr>
          <w:lang w:val="es-ES"/>
        </w:rPr>
      </w:pPr>
      <w:r w:rsidRPr="00CC4691">
        <w:rPr>
          <w:lang w:val="es-ES"/>
        </w:rPr>
        <w:t xml:space="preserve">Conforme a esas decisiones, la </w:t>
      </w:r>
      <w:proofErr w:type="gramStart"/>
      <w:r w:rsidRPr="00CC4691">
        <w:rPr>
          <w:lang w:val="es-ES"/>
        </w:rPr>
        <w:t>Secretaria General</w:t>
      </w:r>
      <w:proofErr w:type="gramEnd"/>
      <w:r w:rsidRPr="00CC4691">
        <w:rPr>
          <w:lang w:val="es-ES"/>
        </w:rPr>
        <w:t xml:space="preserve"> lanzó un programa de separación del servicio voluntaria el 17 de marzo de 2023, financiado con cargo a la detracción de la Cuenta de Provisión aprobada.</w:t>
      </w:r>
      <w:r>
        <w:rPr>
          <w:lang w:val="es-ES"/>
        </w:rPr>
        <w:t xml:space="preserve"> </w:t>
      </w:r>
      <w:r w:rsidRPr="00CC4691">
        <w:rPr>
          <w:lang w:val="es-ES"/>
        </w:rPr>
        <w:t>El programa de separación del servicio voluntaria se oficializó en la Orden de Servicio 23/03 como ejercicio ún</w:t>
      </w:r>
      <w:r>
        <w:rPr>
          <w:lang w:val="es-ES"/>
        </w:rPr>
        <w:t>ico, disponible durante un periodo de tiempo limitado y destinado a los funcionarios que cumplían unas determinadas condiciones, dentro de los recursos financieros disponibles y con sujeción a unos términos y condiciones específicos</w:t>
      </w:r>
      <w:r w:rsidRPr="00CC4691">
        <w:rPr>
          <w:lang w:val="es-ES"/>
        </w:rPr>
        <w:t>.</w:t>
      </w:r>
    </w:p>
    <w:p w14:paraId="7A95F433" w14:textId="77777777" w:rsidR="003B3508" w:rsidRPr="00CC4691" w:rsidRDefault="003B3508" w:rsidP="003B3508">
      <w:pPr>
        <w:rPr>
          <w:lang w:val="es-ES"/>
        </w:rPr>
      </w:pPr>
      <w:r w:rsidRPr="00CC4691">
        <w:rPr>
          <w:lang w:val="es-ES"/>
        </w:rPr>
        <w:t xml:space="preserve">Los objetivos del programa eran: </w:t>
      </w:r>
    </w:p>
    <w:p w14:paraId="65C64CD9" w14:textId="7B6AAC51" w:rsidR="003B3508" w:rsidRPr="00CC4691" w:rsidRDefault="003B3508" w:rsidP="003B3508">
      <w:pPr>
        <w:pStyle w:val="enumlev1"/>
        <w:rPr>
          <w:lang w:val="es-ES"/>
        </w:rPr>
      </w:pPr>
      <w:r>
        <w:rPr>
          <w:lang w:val="es-ES"/>
        </w:rPr>
        <w:t>a)</w:t>
      </w:r>
      <w:r>
        <w:rPr>
          <w:lang w:val="es-ES"/>
        </w:rPr>
        <w:tab/>
        <w:t>c</w:t>
      </w:r>
      <w:r w:rsidRPr="00CC4691">
        <w:rPr>
          <w:lang w:val="es-ES"/>
        </w:rPr>
        <w:t xml:space="preserve">ontribuir al equilibrio del gasto presupuestario de la organización reduciendo el número de funcionarios de la Unión a un ritmo más rápido </w:t>
      </w:r>
      <w:r>
        <w:rPr>
          <w:lang w:val="es-ES"/>
        </w:rPr>
        <w:t>que el que se conseguiría con la rotación natural y las jubilaciones previstas</w:t>
      </w:r>
      <w:r w:rsidRPr="00CC4691">
        <w:rPr>
          <w:lang w:val="es-ES"/>
        </w:rPr>
        <w:t>;</w:t>
      </w:r>
    </w:p>
    <w:p w14:paraId="037F18A5" w14:textId="2B71E703" w:rsidR="003B3508" w:rsidRPr="00CC4691" w:rsidRDefault="003B3508" w:rsidP="003B3508">
      <w:pPr>
        <w:pStyle w:val="enumlev1"/>
        <w:rPr>
          <w:lang w:val="es-ES"/>
        </w:rPr>
      </w:pPr>
      <w:r>
        <w:rPr>
          <w:lang w:val="es-ES"/>
        </w:rPr>
        <w:t>b)</w:t>
      </w:r>
      <w:r>
        <w:rPr>
          <w:lang w:val="es-ES"/>
        </w:rPr>
        <w:tab/>
        <w:t>o</w:t>
      </w:r>
      <w:r w:rsidRPr="00CC4691">
        <w:rPr>
          <w:lang w:val="es-ES"/>
        </w:rPr>
        <w:t xml:space="preserve">frecer a la Unión la oportunidad de reorganizar sus estructuras y utilizar los recursos en </w:t>
      </w:r>
      <w:r>
        <w:rPr>
          <w:lang w:val="es-ES"/>
        </w:rPr>
        <w:t>función de sus metas estratégicas redefinidas</w:t>
      </w:r>
      <w:r w:rsidRPr="00CC4691">
        <w:rPr>
          <w:lang w:val="es-ES"/>
        </w:rPr>
        <w:t>;</w:t>
      </w:r>
    </w:p>
    <w:p w14:paraId="3DE1366D" w14:textId="718F01F0" w:rsidR="003B3508" w:rsidRPr="00CC4691" w:rsidRDefault="003B3508" w:rsidP="003B3508">
      <w:pPr>
        <w:pStyle w:val="enumlev1"/>
        <w:rPr>
          <w:lang w:val="es-ES"/>
        </w:rPr>
      </w:pPr>
      <w:r>
        <w:rPr>
          <w:lang w:val="es-ES"/>
        </w:rPr>
        <w:t>c)</w:t>
      </w:r>
      <w:r>
        <w:rPr>
          <w:lang w:val="es-ES"/>
        </w:rPr>
        <w:tab/>
        <w:t>d</w:t>
      </w:r>
      <w:r w:rsidRPr="00CC4691">
        <w:rPr>
          <w:lang w:val="es-ES"/>
        </w:rPr>
        <w:t xml:space="preserve">ar a la Unión la flexibilidad necesaria para dotarse de las competencias y </w:t>
      </w:r>
      <w:r>
        <w:rPr>
          <w:lang w:val="es-ES"/>
        </w:rPr>
        <w:t>aptitudes adicionales necesarias para cumplir su mandato</w:t>
      </w:r>
      <w:r w:rsidRPr="00CC4691">
        <w:rPr>
          <w:lang w:val="es-ES"/>
        </w:rPr>
        <w:t>.</w:t>
      </w:r>
    </w:p>
    <w:p w14:paraId="03F1CE31" w14:textId="77777777" w:rsidR="003B3508" w:rsidRPr="00CC4691" w:rsidRDefault="003B3508" w:rsidP="003B3508">
      <w:pPr>
        <w:rPr>
          <w:lang w:val="es-ES"/>
        </w:rPr>
      </w:pPr>
      <w:r w:rsidRPr="00CC4691">
        <w:rPr>
          <w:lang w:val="es-ES"/>
        </w:rPr>
        <w:t>El programa se diseñó tras haber examinado las prácticas idóneas de otras organizaciones y ofrecido diversas opciones de liquidación financiera al personal, garantizando al mismo tiempo el equilibrio con las necesidades de la</w:t>
      </w:r>
      <w:r>
        <w:rPr>
          <w:lang w:val="es-ES"/>
        </w:rPr>
        <w:t xml:space="preserve"> organización y la imperativa rentabilidad del ejercicio</w:t>
      </w:r>
      <w:r w:rsidRPr="00CC4691">
        <w:rPr>
          <w:lang w:val="es-ES"/>
        </w:rPr>
        <w:t>.</w:t>
      </w:r>
    </w:p>
    <w:p w14:paraId="6E7FD210" w14:textId="77777777" w:rsidR="003B3508" w:rsidRPr="00CC4691" w:rsidRDefault="003B3508" w:rsidP="003B3508">
      <w:pPr>
        <w:rPr>
          <w:lang w:val="es-ES"/>
        </w:rPr>
      </w:pPr>
      <w:r w:rsidRPr="00CC4691">
        <w:rPr>
          <w:lang w:val="es-ES"/>
        </w:rPr>
        <w:t>El personal de la UIT tuvo hasta el 30 de abril de 2023 para solicitar oficialmente su adhesión al programa, tras haber recibido</w:t>
      </w:r>
      <w:r>
        <w:rPr>
          <w:lang w:val="es-ES"/>
        </w:rPr>
        <w:t xml:space="preserve"> del Departamento de Gestión de Recursos Humanos las estimaciones financieras correspondientes</w:t>
      </w:r>
      <w:r w:rsidRPr="00CC4691">
        <w:rPr>
          <w:lang w:val="es-ES"/>
        </w:rPr>
        <w:t>.</w:t>
      </w:r>
    </w:p>
    <w:p w14:paraId="38AAACB8" w14:textId="25F751D4" w:rsidR="003B3508" w:rsidRPr="001B0BA1" w:rsidRDefault="003B3508" w:rsidP="003B3508">
      <w:pPr>
        <w:pStyle w:val="Heading1"/>
      </w:pPr>
      <w:r>
        <w:lastRenderedPageBreak/>
        <w:t>3</w:t>
      </w:r>
      <w:r>
        <w:tab/>
      </w:r>
      <w:proofErr w:type="gramStart"/>
      <w:r>
        <w:t>Solicitudes</w:t>
      </w:r>
      <w:proofErr w:type="gramEnd"/>
    </w:p>
    <w:p w14:paraId="06B0E0E5" w14:textId="77777777" w:rsidR="003B3508" w:rsidRPr="00A259EF" w:rsidRDefault="003B3508" w:rsidP="003B3508">
      <w:pPr>
        <w:rPr>
          <w:lang w:val="es-ES"/>
        </w:rPr>
      </w:pPr>
      <w:r w:rsidRPr="00A259EF">
        <w:t xml:space="preserve">En total, 46 funcionarios solicitaron participar en el programa de separación del servicio voluntaria. </w:t>
      </w:r>
      <w:r w:rsidRPr="00A259EF">
        <w:rPr>
          <w:lang w:val="es-ES"/>
        </w:rPr>
        <w:t xml:space="preserve">De esas 46 solicitudes, cuatro no recibieron la recomendación de los </w:t>
      </w:r>
      <w:proofErr w:type="gramStart"/>
      <w:r w:rsidRPr="00A259EF">
        <w:rPr>
          <w:lang w:val="es-ES"/>
        </w:rPr>
        <w:t>Directores</w:t>
      </w:r>
      <w:proofErr w:type="gramEnd"/>
      <w:r w:rsidRPr="00A259EF">
        <w:rPr>
          <w:lang w:val="es-ES"/>
        </w:rPr>
        <w:t xml:space="preserve"> de la</w:t>
      </w:r>
      <w:r>
        <w:rPr>
          <w:lang w:val="es-ES"/>
        </w:rPr>
        <w:t xml:space="preserve">s Oficinas o Jefes de Departamento de la Secretaría General por motivos de continuidad de las actividades. </w:t>
      </w:r>
      <w:r w:rsidRPr="00A259EF">
        <w:rPr>
          <w:lang w:val="es-ES"/>
        </w:rPr>
        <w:t xml:space="preserve">Por consiguiente, el Comité </w:t>
      </w:r>
      <w:r w:rsidRPr="00A259EF">
        <w:rPr>
          <w:i/>
          <w:iCs/>
          <w:lang w:val="es-ES"/>
        </w:rPr>
        <w:t xml:space="preserve">ad hoc </w:t>
      </w:r>
      <w:r w:rsidRPr="00A259EF">
        <w:rPr>
          <w:lang w:val="es-ES"/>
        </w:rPr>
        <w:t>examinó las siguientes 42 solicitudes:</w:t>
      </w:r>
    </w:p>
    <w:p w14:paraId="4AB060B2" w14:textId="28CEC76C" w:rsidR="003B3508" w:rsidRPr="00A259EF" w:rsidRDefault="003B3508" w:rsidP="003B3508">
      <w:pPr>
        <w:pStyle w:val="Tabletitle"/>
        <w:spacing w:before="240"/>
        <w:rPr>
          <w:lang w:val="es-ES"/>
        </w:rPr>
      </w:pPr>
      <w:r w:rsidRPr="00A259EF">
        <w:rPr>
          <w:lang w:val="es-ES"/>
        </w:rPr>
        <w:t>Cuadro 1</w:t>
      </w:r>
      <w:r>
        <w:rPr>
          <w:lang w:val="es-ES"/>
        </w:rPr>
        <w:t xml:space="preserve"> </w:t>
      </w:r>
      <w:r w:rsidRPr="003B3508">
        <w:rPr>
          <w:lang w:val="es-ES"/>
        </w:rPr>
        <w:t>–</w:t>
      </w:r>
      <w:r w:rsidRPr="00A259EF">
        <w:rPr>
          <w:lang w:val="es-ES"/>
        </w:rPr>
        <w:t xml:space="preserve"> Solicitudes cuya aprobación recomendaron</w:t>
      </w:r>
      <w:r>
        <w:rPr>
          <w:lang w:val="es-ES"/>
        </w:rPr>
        <w:br/>
      </w:r>
      <w:r w:rsidRPr="00A259EF">
        <w:rPr>
          <w:lang w:val="es-ES"/>
        </w:rPr>
        <w:t xml:space="preserve">las Oficinas/Secretaría </w:t>
      </w:r>
      <w:r>
        <w:rPr>
          <w:lang w:val="es-ES"/>
        </w:rPr>
        <w:t>General</w:t>
      </w:r>
    </w:p>
    <w:tbl>
      <w:tblPr>
        <w:tblW w:w="3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76"/>
      </w:tblGrid>
      <w:tr w:rsidR="00C06B3E" w:rsidRPr="00C06B3E" w14:paraId="68693031" w14:textId="77777777" w:rsidTr="00F35B8E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14:paraId="6B7A6CA5" w14:textId="77777777" w:rsidR="003B3508" w:rsidRPr="00C06B3E" w:rsidRDefault="003B3508" w:rsidP="00C06B3E">
            <w:pPr>
              <w:pStyle w:val="Tablehead"/>
              <w:rPr>
                <w:color w:val="FFFFFF" w:themeColor="background1"/>
                <w:lang w:eastAsia="en-GB"/>
              </w:rPr>
            </w:pPr>
            <w:r w:rsidRPr="00C06B3E">
              <w:rPr>
                <w:color w:val="FFFFFF" w:themeColor="background1"/>
                <w:lang w:eastAsia="en-GB"/>
              </w:rPr>
              <w:t>Sector/Departamento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14:paraId="52A6E9EE" w14:textId="77777777" w:rsidR="003B3508" w:rsidRPr="00C06B3E" w:rsidRDefault="003B3508" w:rsidP="00C06B3E">
            <w:pPr>
              <w:pStyle w:val="Tablehead"/>
              <w:rPr>
                <w:color w:val="FFFFFF" w:themeColor="background1"/>
                <w:lang w:eastAsia="en-GB"/>
              </w:rPr>
            </w:pPr>
            <w:r w:rsidRPr="00C06B3E">
              <w:rPr>
                <w:color w:val="FFFFFF" w:themeColor="background1"/>
                <w:lang w:eastAsia="en-GB"/>
              </w:rPr>
              <w:t>Casos</w:t>
            </w:r>
          </w:p>
        </w:tc>
      </w:tr>
      <w:tr w:rsidR="003B3508" w:rsidRPr="001B0BA1" w14:paraId="5E6304C2" w14:textId="77777777" w:rsidTr="00F35B8E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6AB4C0" w14:textId="77777777" w:rsidR="003B3508" w:rsidRPr="001B0BA1" w:rsidRDefault="003B3508" w:rsidP="00C06B3E">
            <w:pPr>
              <w:pStyle w:val="Tabletext"/>
              <w:rPr>
                <w:lang w:eastAsia="en-GB"/>
              </w:rPr>
            </w:pPr>
            <w:r w:rsidRPr="001B0BA1">
              <w:rPr>
                <w:lang w:eastAsia="en-GB"/>
              </w:rPr>
              <w:t>BDT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A4E145" w14:textId="77777777" w:rsidR="003B3508" w:rsidRPr="001B0BA1" w:rsidRDefault="003B3508" w:rsidP="00C06B3E">
            <w:pPr>
              <w:pStyle w:val="Tabletext"/>
              <w:jc w:val="center"/>
              <w:rPr>
                <w:lang w:eastAsia="en-GB"/>
              </w:rPr>
            </w:pPr>
            <w:r w:rsidRPr="001B0BA1">
              <w:rPr>
                <w:lang w:eastAsia="en-GB"/>
              </w:rPr>
              <w:t>4</w:t>
            </w:r>
          </w:p>
        </w:tc>
      </w:tr>
      <w:tr w:rsidR="003B3508" w:rsidRPr="001B0BA1" w14:paraId="5C1CAEF9" w14:textId="77777777" w:rsidTr="00F35B8E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BA6783" w14:textId="77777777" w:rsidR="003B3508" w:rsidRPr="001B0BA1" w:rsidRDefault="003B3508" w:rsidP="00C06B3E">
            <w:pPr>
              <w:pStyle w:val="Tabletext"/>
              <w:rPr>
                <w:lang w:eastAsia="en-GB"/>
              </w:rPr>
            </w:pPr>
            <w:r w:rsidRPr="001B0BA1">
              <w:rPr>
                <w:lang w:eastAsia="en-GB"/>
              </w:rPr>
              <w:t>BR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21C8AE" w14:textId="77777777" w:rsidR="003B3508" w:rsidRPr="001B0BA1" w:rsidRDefault="003B3508" w:rsidP="00C06B3E">
            <w:pPr>
              <w:pStyle w:val="Tabletext"/>
              <w:jc w:val="center"/>
              <w:rPr>
                <w:lang w:eastAsia="en-GB"/>
              </w:rPr>
            </w:pPr>
            <w:r w:rsidRPr="001B0BA1">
              <w:rPr>
                <w:lang w:eastAsia="en-GB"/>
              </w:rPr>
              <w:t>5</w:t>
            </w:r>
          </w:p>
        </w:tc>
      </w:tr>
      <w:tr w:rsidR="003B3508" w:rsidRPr="001B0BA1" w14:paraId="6209B302" w14:textId="77777777" w:rsidTr="00F35B8E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7178A6" w14:textId="77777777" w:rsidR="003B3508" w:rsidRPr="001B0BA1" w:rsidRDefault="003B3508" w:rsidP="00C06B3E">
            <w:pPr>
              <w:pStyle w:val="Tabletext"/>
              <w:rPr>
                <w:lang w:eastAsia="en-GB"/>
              </w:rPr>
            </w:pPr>
            <w:r w:rsidRPr="001B0BA1">
              <w:rPr>
                <w:lang w:eastAsia="en-GB"/>
              </w:rPr>
              <w:t>TSB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2E4B40" w14:textId="77777777" w:rsidR="003B3508" w:rsidRPr="001B0BA1" w:rsidRDefault="003B3508" w:rsidP="00C06B3E">
            <w:pPr>
              <w:pStyle w:val="Tabletext"/>
              <w:jc w:val="center"/>
              <w:rPr>
                <w:lang w:eastAsia="en-GB"/>
              </w:rPr>
            </w:pPr>
            <w:r w:rsidRPr="001B0BA1">
              <w:rPr>
                <w:lang w:eastAsia="en-GB"/>
              </w:rPr>
              <w:t>3</w:t>
            </w:r>
          </w:p>
        </w:tc>
      </w:tr>
      <w:tr w:rsidR="003B3508" w:rsidRPr="001B0BA1" w14:paraId="0984DBF6" w14:textId="77777777" w:rsidTr="00F35B8E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254EFC" w14:textId="77777777" w:rsidR="003B3508" w:rsidRPr="001B0BA1" w:rsidRDefault="003B3508" w:rsidP="00C06B3E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53EBAC" w14:textId="77777777" w:rsidR="003B3508" w:rsidRPr="001B0BA1" w:rsidRDefault="003B3508" w:rsidP="00C06B3E">
            <w:pPr>
              <w:pStyle w:val="Tabletext"/>
              <w:jc w:val="center"/>
              <w:rPr>
                <w:lang w:eastAsia="en-GB"/>
              </w:rPr>
            </w:pPr>
            <w:r w:rsidRPr="001B0BA1">
              <w:rPr>
                <w:lang w:eastAsia="en-GB"/>
              </w:rPr>
              <w:t>30</w:t>
            </w:r>
          </w:p>
        </w:tc>
      </w:tr>
      <w:tr w:rsidR="003B3508" w:rsidRPr="001B0BA1" w14:paraId="2DF43084" w14:textId="77777777" w:rsidTr="00F35B8E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F721DE" w14:textId="77777777" w:rsidR="003B3508" w:rsidRPr="001B0BA1" w:rsidRDefault="003B3508" w:rsidP="00C06B3E">
            <w:pPr>
              <w:pStyle w:val="Tabletext"/>
              <w:rPr>
                <w:b/>
                <w:bCs/>
                <w:color w:val="000000" w:themeColor="text1"/>
                <w:lang w:eastAsia="en-GB"/>
              </w:rPr>
            </w:pPr>
            <w:r w:rsidRPr="001B0BA1">
              <w:rPr>
                <w:b/>
                <w:bCs/>
                <w:color w:val="000000" w:themeColor="text1"/>
                <w:lang w:eastAsia="en-GB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DB0FA6" w14:textId="77777777" w:rsidR="003B3508" w:rsidRPr="001B0BA1" w:rsidRDefault="003B3508" w:rsidP="00C06B3E">
            <w:pPr>
              <w:pStyle w:val="Tabletext"/>
              <w:jc w:val="center"/>
              <w:rPr>
                <w:b/>
                <w:bCs/>
                <w:color w:val="000000" w:themeColor="text1"/>
                <w:lang w:eastAsia="en-GB"/>
              </w:rPr>
            </w:pPr>
            <w:r w:rsidRPr="001B0BA1">
              <w:rPr>
                <w:b/>
                <w:bCs/>
                <w:color w:val="000000" w:themeColor="text1"/>
                <w:lang w:eastAsia="en-GB"/>
              </w:rPr>
              <w:t>42</w:t>
            </w:r>
          </w:p>
        </w:tc>
      </w:tr>
    </w:tbl>
    <w:p w14:paraId="0BF6104C" w14:textId="77777777" w:rsidR="003B3508" w:rsidRPr="00A259EF" w:rsidRDefault="003B3508" w:rsidP="003B3508">
      <w:pPr>
        <w:rPr>
          <w:lang w:val="es-ES"/>
        </w:rPr>
      </w:pPr>
      <w:r w:rsidRPr="003B3508">
        <w:rPr>
          <w:lang w:val="es-ES"/>
        </w:rPr>
        <w:t xml:space="preserve">En términos de género, se recibieron 22 solicitudes de mujeres y 20 de hombres. </w:t>
      </w:r>
      <w:r w:rsidRPr="00A259EF">
        <w:rPr>
          <w:lang w:val="es-ES"/>
        </w:rPr>
        <w:t>La edad media de los solicitantes era de 59,8 años, teniendo el</w:t>
      </w:r>
      <w:r>
        <w:rPr>
          <w:lang w:val="es-ES"/>
        </w:rPr>
        <w:t xml:space="preserve"> más joven</w:t>
      </w:r>
      <w:r w:rsidRPr="00A259EF">
        <w:rPr>
          <w:lang w:val="es-ES"/>
        </w:rPr>
        <w:t xml:space="preserve"> 44</w:t>
      </w:r>
      <w:r>
        <w:rPr>
          <w:lang w:val="es-ES"/>
        </w:rPr>
        <w:t>,</w:t>
      </w:r>
      <w:r w:rsidRPr="00A259EF">
        <w:rPr>
          <w:lang w:val="es-ES"/>
        </w:rPr>
        <w:t xml:space="preserve">5 </w:t>
      </w:r>
      <w:r>
        <w:rPr>
          <w:lang w:val="es-ES"/>
        </w:rPr>
        <w:t>años y</w:t>
      </w:r>
      <w:r w:rsidRPr="00A259EF">
        <w:rPr>
          <w:lang w:val="es-ES"/>
        </w:rPr>
        <w:t xml:space="preserve"> 64</w:t>
      </w:r>
      <w:r>
        <w:rPr>
          <w:lang w:val="es-ES"/>
        </w:rPr>
        <w:t>,</w:t>
      </w:r>
      <w:r w:rsidRPr="00A259EF">
        <w:rPr>
          <w:lang w:val="es-ES"/>
        </w:rPr>
        <w:t>1</w:t>
      </w:r>
      <w:r>
        <w:rPr>
          <w:lang w:val="es-ES"/>
        </w:rPr>
        <w:t xml:space="preserve"> el más mayor</w:t>
      </w:r>
      <w:r w:rsidRPr="00A259EF">
        <w:rPr>
          <w:lang w:val="es-ES"/>
        </w:rPr>
        <w:t>.</w:t>
      </w:r>
    </w:p>
    <w:p w14:paraId="79DBED00" w14:textId="6EC442E0" w:rsidR="003B3508" w:rsidRPr="001B0BA1" w:rsidRDefault="003B3508" w:rsidP="003B3508">
      <w:pPr>
        <w:pStyle w:val="Heading1"/>
      </w:pPr>
      <w:r>
        <w:t>4</w:t>
      </w:r>
      <w:r>
        <w:tab/>
      </w:r>
      <w:proofErr w:type="gramStart"/>
      <w:r w:rsidRPr="001B0BA1">
        <w:t>Recom</w:t>
      </w:r>
      <w:r>
        <w:t>endaciones</w:t>
      </w:r>
      <w:proofErr w:type="gramEnd"/>
      <w:r>
        <w:t xml:space="preserve"> y decisión</w:t>
      </w:r>
    </w:p>
    <w:p w14:paraId="05201E74" w14:textId="501CE9F5" w:rsidR="003B3508" w:rsidRPr="00A259EF" w:rsidRDefault="003B3508" w:rsidP="003B3508">
      <w:pPr>
        <w:rPr>
          <w:lang w:val="es-ES"/>
        </w:rPr>
      </w:pPr>
      <w:r w:rsidRPr="003B3508">
        <w:rPr>
          <w:lang w:val="es-ES"/>
        </w:rPr>
        <w:t xml:space="preserve">De acuerdo con la Orden de Servicio 23/03, la </w:t>
      </w:r>
      <w:proofErr w:type="gramStart"/>
      <w:r w:rsidRPr="003B3508">
        <w:rPr>
          <w:lang w:val="es-ES"/>
        </w:rPr>
        <w:t>Secretaria General</w:t>
      </w:r>
      <w:proofErr w:type="gramEnd"/>
      <w:r w:rsidRPr="003B3508">
        <w:rPr>
          <w:lang w:val="es-ES"/>
        </w:rPr>
        <w:t xml:space="preserve"> nombró a un Comité </w:t>
      </w:r>
      <w:r w:rsidRPr="003B3508">
        <w:rPr>
          <w:i/>
          <w:iCs/>
          <w:lang w:val="es-ES"/>
        </w:rPr>
        <w:t>ad</w:t>
      </w:r>
      <w:r>
        <w:rPr>
          <w:i/>
          <w:iCs/>
          <w:lang w:val="es-ES"/>
        </w:rPr>
        <w:t> </w:t>
      </w:r>
      <w:r w:rsidRPr="003B3508">
        <w:rPr>
          <w:i/>
          <w:iCs/>
          <w:lang w:val="es-ES"/>
        </w:rPr>
        <w:t xml:space="preserve">hoc </w:t>
      </w:r>
      <w:r w:rsidRPr="003B3508">
        <w:rPr>
          <w:lang w:val="es-ES"/>
        </w:rPr>
        <w:t xml:space="preserve">para examinar y evaluar las solicitudes de separación del servicio voluntaria del personal y las recomendaciones de los Directores de las Oficinas y los Jefes de Departamento de la Secretaría General. </w:t>
      </w:r>
      <w:r w:rsidRPr="00A259EF">
        <w:rPr>
          <w:lang w:val="es-ES"/>
        </w:rPr>
        <w:t xml:space="preserve">La composición del Comité </w:t>
      </w:r>
      <w:r w:rsidRPr="00A259EF">
        <w:rPr>
          <w:i/>
          <w:iCs/>
          <w:lang w:val="es-ES"/>
        </w:rPr>
        <w:t xml:space="preserve">ad hoc </w:t>
      </w:r>
      <w:r w:rsidRPr="00A259EF">
        <w:rPr>
          <w:lang w:val="es-ES"/>
        </w:rPr>
        <w:t xml:space="preserve">respondió a las recomendaciones de los </w:t>
      </w:r>
      <w:proofErr w:type="gramStart"/>
      <w:r w:rsidRPr="00A259EF">
        <w:rPr>
          <w:lang w:val="es-ES"/>
        </w:rPr>
        <w:t>Directores</w:t>
      </w:r>
      <w:proofErr w:type="gramEnd"/>
      <w:r w:rsidRPr="00A259EF">
        <w:rPr>
          <w:lang w:val="es-ES"/>
        </w:rPr>
        <w:t xml:space="preserve"> de las Oficinas.</w:t>
      </w:r>
    </w:p>
    <w:p w14:paraId="3C3CE896" w14:textId="77777777" w:rsidR="003B3508" w:rsidRPr="00A259EF" w:rsidRDefault="003B3508" w:rsidP="003B3508">
      <w:pPr>
        <w:rPr>
          <w:lang w:val="es-ES"/>
        </w:rPr>
      </w:pPr>
      <w:r w:rsidRPr="00A259EF">
        <w:rPr>
          <w:lang w:val="es-ES"/>
        </w:rPr>
        <w:t>El Comité formuló recomendaciones teniendo como prioridad los intereses de la Unión y basándose únicamente en consideraciones financieras, de ac</w:t>
      </w:r>
      <w:r>
        <w:rPr>
          <w:lang w:val="es-ES"/>
        </w:rPr>
        <w:t xml:space="preserve">uerdo con lo acordado por el Consejo. </w:t>
      </w:r>
      <w:r w:rsidRPr="00A259EF">
        <w:rPr>
          <w:lang w:val="es-ES"/>
        </w:rPr>
        <w:t>Se calculó la rentabilidad de cada solicitud, habida cuenta del coste del programa de</w:t>
      </w:r>
      <w:r>
        <w:rPr>
          <w:lang w:val="es-ES"/>
        </w:rPr>
        <w:t>l ahorro a largo plazo para la organización</w:t>
      </w:r>
      <w:r w:rsidRPr="00A259EF">
        <w:rPr>
          <w:lang w:val="es-ES"/>
        </w:rPr>
        <w:t>.</w:t>
      </w:r>
    </w:p>
    <w:p w14:paraId="07B38EEC" w14:textId="77777777" w:rsidR="003B3508" w:rsidRPr="00A259EF" w:rsidRDefault="003B3508" w:rsidP="003B3508">
      <w:pPr>
        <w:rPr>
          <w:lang w:val="es-ES"/>
        </w:rPr>
      </w:pPr>
      <w:r w:rsidRPr="00A259EF">
        <w:rPr>
          <w:lang w:val="es-ES"/>
        </w:rPr>
        <w:t xml:space="preserve">El Comité </w:t>
      </w:r>
      <w:r w:rsidRPr="00A259EF">
        <w:rPr>
          <w:i/>
          <w:iCs/>
          <w:lang w:val="es-ES"/>
        </w:rPr>
        <w:t xml:space="preserve">ad hoc </w:t>
      </w:r>
      <w:r w:rsidRPr="00A259EF">
        <w:rPr>
          <w:lang w:val="es-ES"/>
        </w:rPr>
        <w:t xml:space="preserve">presentó su Informe a la consideración del Comité de Coordinación y asesoró a la </w:t>
      </w:r>
      <w:proofErr w:type="gramStart"/>
      <w:r w:rsidRPr="00A259EF">
        <w:rPr>
          <w:lang w:val="es-ES"/>
        </w:rPr>
        <w:t>Secretaria General</w:t>
      </w:r>
      <w:proofErr w:type="gramEnd"/>
      <w:r w:rsidRPr="00A259EF">
        <w:rPr>
          <w:lang w:val="es-ES"/>
        </w:rPr>
        <w:t xml:space="preserve"> a la hora de aprobar o rechazar definitivamente las solicitudes en función de los intereses y las metas estrat</w:t>
      </w:r>
      <w:r>
        <w:rPr>
          <w:lang w:val="es-ES"/>
        </w:rPr>
        <w:t xml:space="preserve">égicas de la Unión. </w:t>
      </w:r>
      <w:r w:rsidRPr="00A259EF">
        <w:rPr>
          <w:lang w:val="es-ES"/>
        </w:rPr>
        <w:t xml:space="preserve">En virtud de la Orden de Servicio 23/03, la concesión de la separación </w:t>
      </w:r>
      <w:r>
        <w:rPr>
          <w:lang w:val="es-ES"/>
        </w:rPr>
        <w:t xml:space="preserve">voluntaria quedaba a discreción de la </w:t>
      </w:r>
      <w:proofErr w:type="gramStart"/>
      <w:r>
        <w:rPr>
          <w:lang w:val="es-ES"/>
        </w:rPr>
        <w:t>Secretaria General</w:t>
      </w:r>
      <w:proofErr w:type="gramEnd"/>
      <w:r>
        <w:rPr>
          <w:lang w:val="es-ES"/>
        </w:rPr>
        <w:t xml:space="preserve"> y no constituía un derecho estatutario</w:t>
      </w:r>
      <w:r w:rsidRPr="00A259EF">
        <w:rPr>
          <w:lang w:val="es-ES"/>
        </w:rPr>
        <w:t>.</w:t>
      </w:r>
    </w:p>
    <w:p w14:paraId="0E7EB1B4" w14:textId="77777777" w:rsidR="003B3508" w:rsidRPr="00A259EF" w:rsidRDefault="003B3508" w:rsidP="003B3508">
      <w:pPr>
        <w:rPr>
          <w:lang w:val="es-ES"/>
        </w:rPr>
      </w:pPr>
      <w:r w:rsidRPr="00A259EF">
        <w:rPr>
          <w:lang w:val="es-ES"/>
        </w:rPr>
        <w:t xml:space="preserve">La </w:t>
      </w:r>
      <w:proofErr w:type="gramStart"/>
      <w:r w:rsidRPr="00A259EF">
        <w:rPr>
          <w:lang w:val="es-ES"/>
        </w:rPr>
        <w:t>Secretaria General</w:t>
      </w:r>
      <w:proofErr w:type="gramEnd"/>
      <w:r w:rsidRPr="00A259EF">
        <w:rPr>
          <w:lang w:val="es-ES"/>
        </w:rPr>
        <w:t xml:space="preserve"> aprobó en total 28 solicitudes sobre la base de los intereses y las metas estratégicas de la Unión, teniendo debidamente en cuenta las consecuencias financieras del ejercicio, y en cumplimiento de la decisión</w:t>
      </w:r>
      <w:r>
        <w:rPr>
          <w:lang w:val="es-ES"/>
        </w:rPr>
        <w:t xml:space="preserve"> </w:t>
      </w:r>
      <w:r w:rsidRPr="00A259EF">
        <w:rPr>
          <w:lang w:val="es-ES"/>
        </w:rPr>
        <w:t xml:space="preserve">del Consejo de aprobar el </w:t>
      </w:r>
      <w:r>
        <w:rPr>
          <w:lang w:val="es-ES"/>
        </w:rPr>
        <w:t>programa para mejorar las previsiones de ejecución presupuestaria y permitir la preparación de presupuestos equilibrados futuros</w:t>
      </w:r>
      <w:r w:rsidRPr="00A259EF">
        <w:rPr>
          <w:lang w:val="es-ES"/>
        </w:rPr>
        <w:t>.</w:t>
      </w:r>
    </w:p>
    <w:p w14:paraId="2D74022F" w14:textId="02DAA078" w:rsidR="003B3508" w:rsidRPr="00652266" w:rsidRDefault="003B3508" w:rsidP="003B3508">
      <w:pPr>
        <w:rPr>
          <w:lang w:val="es-ES"/>
        </w:rPr>
      </w:pPr>
      <w:r w:rsidRPr="00652266">
        <w:rPr>
          <w:lang w:val="es-ES"/>
        </w:rPr>
        <w:lastRenderedPageBreak/>
        <w:t>Se estima que el coste definitivo del programa de separación del servicio voluntaria es de 3 860</w:t>
      </w:r>
      <w:r>
        <w:rPr>
          <w:lang w:val="es-ES"/>
        </w:rPr>
        <w:t> 000 CHF</w:t>
      </w:r>
      <w:r w:rsidRPr="00652266">
        <w:rPr>
          <w:lang w:val="es-ES"/>
        </w:rPr>
        <w:t xml:space="preserve">, </w:t>
      </w:r>
      <w:r>
        <w:rPr>
          <w:lang w:val="es-ES"/>
        </w:rPr>
        <w:t>con un ahorro a largo plazo estimado</w:t>
      </w:r>
      <w:r w:rsidRPr="001B0BA1">
        <w:rPr>
          <w:rStyle w:val="FootnoteReference"/>
          <w:szCs w:val="16"/>
        </w:rPr>
        <w:footnoteReference w:id="1"/>
      </w:r>
      <w:r w:rsidRPr="00652266">
        <w:rPr>
          <w:lang w:val="es-ES"/>
        </w:rPr>
        <w:t xml:space="preserve"> </w:t>
      </w:r>
      <w:r>
        <w:rPr>
          <w:lang w:val="es-ES"/>
        </w:rPr>
        <w:t>de</w:t>
      </w:r>
      <w:r w:rsidRPr="00652266">
        <w:rPr>
          <w:lang w:val="es-ES"/>
        </w:rPr>
        <w:t xml:space="preserve"> 14</w:t>
      </w:r>
      <w:r>
        <w:rPr>
          <w:lang w:val="es-ES"/>
        </w:rPr>
        <w:t> </w:t>
      </w:r>
      <w:r w:rsidRPr="00652266">
        <w:rPr>
          <w:lang w:val="es-ES"/>
        </w:rPr>
        <w:t>059</w:t>
      </w:r>
      <w:r>
        <w:rPr>
          <w:lang w:val="es-ES"/>
        </w:rPr>
        <w:t> 000 CHF</w:t>
      </w:r>
      <w:r w:rsidRPr="00652266">
        <w:rPr>
          <w:lang w:val="es-ES"/>
        </w:rPr>
        <w:t xml:space="preserve"> </w:t>
      </w:r>
      <w:r>
        <w:rPr>
          <w:lang w:val="es-ES"/>
        </w:rPr>
        <w:t>y una rentabilidad tangible de</w:t>
      </w:r>
      <w:r w:rsidRPr="00652266">
        <w:rPr>
          <w:lang w:val="es-ES"/>
        </w:rPr>
        <w:t> 10</w:t>
      </w:r>
      <w:r>
        <w:rPr>
          <w:lang w:val="es-ES"/>
        </w:rPr>
        <w:t> </w:t>
      </w:r>
      <w:r w:rsidRPr="00652266">
        <w:rPr>
          <w:lang w:val="es-ES"/>
        </w:rPr>
        <w:t>189</w:t>
      </w:r>
      <w:r>
        <w:rPr>
          <w:lang w:val="es-ES"/>
        </w:rPr>
        <w:t> 000 CHF</w:t>
      </w:r>
      <w:r w:rsidRPr="00652266">
        <w:rPr>
          <w:lang w:val="es-ES"/>
        </w:rPr>
        <w:t xml:space="preserve"> (264</w:t>
      </w:r>
      <w:r>
        <w:rPr>
          <w:lang w:val="es-ES"/>
        </w:rPr>
        <w:t>%</w:t>
      </w:r>
      <w:r w:rsidRPr="00652266">
        <w:rPr>
          <w:lang w:val="es-ES"/>
        </w:rPr>
        <w:t>).</w:t>
      </w:r>
    </w:p>
    <w:p w14:paraId="56849CF7" w14:textId="618A8668" w:rsidR="003B3508" w:rsidRPr="001B0BA1" w:rsidRDefault="003B3508" w:rsidP="003B3508">
      <w:pPr>
        <w:pStyle w:val="Tabletitle"/>
        <w:spacing w:before="240"/>
      </w:pPr>
      <w:r>
        <w:t>Cuadro</w:t>
      </w:r>
      <w:r w:rsidRPr="001B0BA1">
        <w:t xml:space="preserve"> 2</w:t>
      </w:r>
      <w:r>
        <w:t xml:space="preserve"> </w:t>
      </w:r>
      <w:r w:rsidRPr="003B3508">
        <w:t>–</w:t>
      </w:r>
      <w:r w:rsidRPr="001B0BA1">
        <w:t xml:space="preserve"> </w:t>
      </w:r>
      <w:r>
        <w:t xml:space="preserve">Coste estimado del programa de separación del servicio voluntaria, </w:t>
      </w:r>
      <w:r>
        <w:br/>
        <w:t>ahorro estimado y rentabilidad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1418"/>
        <w:gridCol w:w="1417"/>
        <w:gridCol w:w="1437"/>
      </w:tblGrid>
      <w:tr w:rsidR="003B3508" w:rsidRPr="001B0BA1" w14:paraId="2F43DCAD" w14:textId="77777777" w:rsidTr="00C06B3E">
        <w:trPr>
          <w:trHeight w:val="11"/>
          <w:jc w:val="center"/>
        </w:trPr>
        <w:tc>
          <w:tcPr>
            <w:tcW w:w="1413" w:type="dxa"/>
            <w:shd w:val="clear" w:color="D9E1F2" w:fill="D9E1F2"/>
            <w:noWrap/>
            <w:vAlign w:val="bottom"/>
            <w:hideMark/>
          </w:tcPr>
          <w:p w14:paraId="38868C0B" w14:textId="77777777" w:rsidR="003B3508" w:rsidRPr="001B0BA1" w:rsidRDefault="003B3508" w:rsidP="00C06B3E">
            <w:pPr>
              <w:pStyle w:val="Tablehead"/>
              <w:rPr>
                <w:lang w:eastAsia="en-GB"/>
              </w:rPr>
            </w:pPr>
            <w:r>
              <w:rPr>
                <w:lang w:eastAsia="en-GB"/>
              </w:rPr>
              <w:t>Casos aprobados</w:t>
            </w:r>
          </w:p>
        </w:tc>
        <w:tc>
          <w:tcPr>
            <w:tcW w:w="1701" w:type="dxa"/>
            <w:shd w:val="clear" w:color="D9E1F2" w:fill="D9E1F2"/>
            <w:vAlign w:val="bottom"/>
            <w:hideMark/>
          </w:tcPr>
          <w:p w14:paraId="1CB75372" w14:textId="77777777" w:rsidR="003B3508" w:rsidRPr="00652266" w:rsidRDefault="003B3508" w:rsidP="00C06B3E">
            <w:pPr>
              <w:pStyle w:val="Tablehead"/>
              <w:rPr>
                <w:lang w:val="es-ES" w:eastAsia="en-GB"/>
              </w:rPr>
            </w:pPr>
            <w:r w:rsidRPr="00652266">
              <w:rPr>
                <w:lang w:val="es-ES" w:eastAsia="en-GB"/>
              </w:rPr>
              <w:t xml:space="preserve">Coste del programa de separación </w:t>
            </w:r>
            <w:r>
              <w:rPr>
                <w:lang w:val="es-ES" w:eastAsia="en-GB"/>
              </w:rPr>
              <w:t>del servicio voluntaria</w:t>
            </w:r>
            <w:r w:rsidRPr="00652266">
              <w:rPr>
                <w:lang w:val="es-ES" w:eastAsia="en-GB"/>
              </w:rPr>
              <w:t xml:space="preserve"> </w:t>
            </w:r>
            <w:r w:rsidRPr="00652266">
              <w:rPr>
                <w:lang w:val="es-ES" w:eastAsia="en-GB"/>
              </w:rPr>
              <w:br/>
              <w:t>(CHF)</w:t>
            </w:r>
          </w:p>
        </w:tc>
        <w:tc>
          <w:tcPr>
            <w:tcW w:w="1559" w:type="dxa"/>
            <w:shd w:val="clear" w:color="D9E1F2" w:fill="D9E1F2"/>
            <w:vAlign w:val="bottom"/>
            <w:hideMark/>
          </w:tcPr>
          <w:p w14:paraId="400900E6" w14:textId="77777777" w:rsidR="003B3508" w:rsidRPr="001B0BA1" w:rsidRDefault="003B3508" w:rsidP="00C06B3E">
            <w:pPr>
              <w:pStyle w:val="Tablehead"/>
              <w:rPr>
                <w:lang w:eastAsia="en-GB"/>
              </w:rPr>
            </w:pPr>
            <w:r>
              <w:rPr>
                <w:lang w:eastAsia="en-GB"/>
              </w:rPr>
              <w:t>Ahorro neto</w:t>
            </w:r>
            <w:r w:rsidRPr="001B0BA1">
              <w:rPr>
                <w:lang w:eastAsia="en-GB"/>
              </w:rPr>
              <w:t xml:space="preserve"> </w:t>
            </w:r>
            <w:r w:rsidRPr="001B0BA1">
              <w:rPr>
                <w:lang w:eastAsia="en-GB"/>
              </w:rPr>
              <w:br/>
              <w:t xml:space="preserve">2023 </w:t>
            </w:r>
            <w:r w:rsidRPr="001B0BA1">
              <w:rPr>
                <w:lang w:eastAsia="en-GB"/>
              </w:rPr>
              <w:br/>
              <w:t>(CHF)</w:t>
            </w:r>
          </w:p>
        </w:tc>
        <w:tc>
          <w:tcPr>
            <w:tcW w:w="1418" w:type="dxa"/>
            <w:shd w:val="clear" w:color="D9E1F2" w:fill="D9E1F2"/>
            <w:vAlign w:val="bottom"/>
            <w:hideMark/>
          </w:tcPr>
          <w:p w14:paraId="34745225" w14:textId="77777777" w:rsidR="003B3508" w:rsidRPr="001B0BA1" w:rsidRDefault="003B3508" w:rsidP="00C06B3E">
            <w:pPr>
              <w:pStyle w:val="Tablehead"/>
              <w:rPr>
                <w:lang w:eastAsia="en-GB"/>
              </w:rPr>
            </w:pPr>
            <w:r>
              <w:rPr>
                <w:lang w:eastAsia="en-GB"/>
              </w:rPr>
              <w:t>Ahorro neto</w:t>
            </w:r>
            <w:r w:rsidRPr="001B0BA1">
              <w:rPr>
                <w:lang w:eastAsia="en-GB"/>
              </w:rPr>
              <w:t xml:space="preserve"> </w:t>
            </w:r>
            <w:r w:rsidRPr="001B0BA1">
              <w:rPr>
                <w:lang w:eastAsia="en-GB"/>
              </w:rPr>
              <w:br/>
              <w:t xml:space="preserve">2024-2027 </w:t>
            </w:r>
            <w:r w:rsidRPr="001B0BA1">
              <w:rPr>
                <w:lang w:eastAsia="en-GB"/>
              </w:rPr>
              <w:br/>
              <w:t>(CHF)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bottom"/>
            <w:hideMark/>
          </w:tcPr>
          <w:p w14:paraId="6D802011" w14:textId="77777777" w:rsidR="003B3508" w:rsidRPr="001B0BA1" w:rsidRDefault="003B3508" w:rsidP="00C06B3E">
            <w:pPr>
              <w:pStyle w:val="Tablehead"/>
              <w:rPr>
                <w:lang w:eastAsia="en-GB"/>
              </w:rPr>
            </w:pPr>
            <w:r>
              <w:rPr>
                <w:color w:val="FFFFFF" w:themeColor="background1"/>
                <w:lang w:eastAsia="en-GB"/>
              </w:rPr>
              <w:t>Rentabilidad</w:t>
            </w:r>
            <w:r w:rsidRPr="001B0BA1">
              <w:rPr>
                <w:color w:val="FFFFFF" w:themeColor="background1"/>
                <w:lang w:eastAsia="en-GB"/>
              </w:rPr>
              <w:t xml:space="preserve"> (CHF)</w:t>
            </w:r>
            <w:r w:rsidRPr="00C06B3E">
              <w:rPr>
                <w:rStyle w:val="FootnoteReference"/>
                <w:rFonts w:cstheme="minorHAnsi"/>
                <w:bCs/>
                <w:color w:val="FFFFFF" w:themeColor="background1"/>
                <w:sz w:val="22"/>
                <w:szCs w:val="22"/>
                <w:lang w:eastAsia="en-GB"/>
              </w:rPr>
              <w:footnoteReference w:id="2"/>
            </w:r>
          </w:p>
        </w:tc>
        <w:tc>
          <w:tcPr>
            <w:tcW w:w="1437" w:type="dxa"/>
            <w:shd w:val="clear" w:color="auto" w:fill="808080" w:themeFill="background1" w:themeFillShade="80"/>
            <w:vAlign w:val="bottom"/>
            <w:hideMark/>
          </w:tcPr>
          <w:p w14:paraId="675B2914" w14:textId="77777777" w:rsidR="003B3508" w:rsidRPr="001B0BA1" w:rsidRDefault="003B3508" w:rsidP="00C06B3E">
            <w:pPr>
              <w:pStyle w:val="Tablehead"/>
              <w:rPr>
                <w:lang w:eastAsia="en-GB"/>
              </w:rPr>
            </w:pPr>
            <w:r w:rsidRPr="001B0BA1">
              <w:rPr>
                <w:color w:val="FFFFFF" w:themeColor="background1"/>
                <w:lang w:eastAsia="en-GB"/>
              </w:rPr>
              <w:t>R</w:t>
            </w:r>
            <w:r>
              <w:rPr>
                <w:color w:val="FFFFFF" w:themeColor="background1"/>
                <w:lang w:eastAsia="en-GB"/>
              </w:rPr>
              <w:t>entabilidad</w:t>
            </w:r>
            <w:r w:rsidRPr="001B0BA1">
              <w:rPr>
                <w:lang w:eastAsia="en-GB"/>
              </w:rPr>
              <w:t xml:space="preserve"> </w:t>
            </w:r>
            <w:r w:rsidRPr="001B0BA1">
              <w:rPr>
                <w:color w:val="FFFFFF" w:themeColor="background1"/>
                <w:lang w:eastAsia="en-GB"/>
              </w:rPr>
              <w:t>(%)</w:t>
            </w:r>
          </w:p>
        </w:tc>
      </w:tr>
      <w:tr w:rsidR="003B3508" w:rsidRPr="001B0BA1" w14:paraId="23A4B340" w14:textId="77777777" w:rsidTr="00C06B3E">
        <w:trPr>
          <w:trHeight w:val="659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5975AEB7" w14:textId="77777777" w:rsidR="003B3508" w:rsidRPr="001B0BA1" w:rsidRDefault="003B3508" w:rsidP="00C06B3E">
            <w:pPr>
              <w:pStyle w:val="Tabletext"/>
              <w:jc w:val="center"/>
              <w:rPr>
                <w:lang w:eastAsia="en-GB"/>
              </w:rPr>
            </w:pPr>
            <w:r w:rsidRPr="001B0BA1">
              <w:rPr>
                <w:lang w:eastAsia="en-GB"/>
              </w:rPr>
              <w:t>28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12BC8277" w14:textId="77777777" w:rsidR="003B3508" w:rsidRPr="001B0BA1" w:rsidRDefault="003B3508" w:rsidP="00C06B3E">
            <w:pPr>
              <w:pStyle w:val="Tabletext"/>
              <w:jc w:val="center"/>
              <w:rPr>
                <w:lang w:eastAsia="en-GB"/>
              </w:rPr>
            </w:pPr>
            <w:r w:rsidRPr="001B0BA1">
              <w:rPr>
                <w:lang w:eastAsia="en-GB"/>
              </w:rPr>
              <w:t>(3 860 013)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64E5DCDB" w14:textId="77777777" w:rsidR="003B3508" w:rsidRPr="001B0BA1" w:rsidRDefault="003B3508" w:rsidP="00C06B3E">
            <w:pPr>
              <w:pStyle w:val="Tabletext"/>
              <w:jc w:val="center"/>
              <w:rPr>
                <w:lang w:eastAsia="en-GB"/>
              </w:rPr>
            </w:pPr>
            <w:r w:rsidRPr="001B0BA1">
              <w:rPr>
                <w:lang w:eastAsia="en-GB"/>
              </w:rPr>
              <w:t>1 394 563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61569E4A" w14:textId="77777777" w:rsidR="003B3508" w:rsidRPr="001B0BA1" w:rsidRDefault="003B3508" w:rsidP="00C06B3E">
            <w:pPr>
              <w:pStyle w:val="Tabletext"/>
              <w:jc w:val="center"/>
              <w:rPr>
                <w:lang w:eastAsia="en-GB"/>
              </w:rPr>
            </w:pPr>
            <w:r w:rsidRPr="001B0BA1">
              <w:rPr>
                <w:lang w:eastAsia="en-GB"/>
              </w:rPr>
              <w:t>12 654 438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30369D4" w14:textId="77777777" w:rsidR="003B3508" w:rsidRPr="001B0BA1" w:rsidRDefault="003B3508" w:rsidP="00C06B3E">
            <w:pPr>
              <w:pStyle w:val="Tabletext"/>
              <w:jc w:val="center"/>
              <w:rPr>
                <w:b/>
                <w:bCs/>
                <w:lang w:eastAsia="en-GB"/>
              </w:rPr>
            </w:pPr>
            <w:r w:rsidRPr="001B0BA1">
              <w:rPr>
                <w:b/>
                <w:bCs/>
                <w:lang w:eastAsia="en-GB"/>
              </w:rPr>
              <w:t>10 188 988</w:t>
            </w:r>
          </w:p>
        </w:tc>
        <w:tc>
          <w:tcPr>
            <w:tcW w:w="1437" w:type="dxa"/>
            <w:shd w:val="clear" w:color="auto" w:fill="F2F2F2" w:themeFill="background1" w:themeFillShade="F2"/>
            <w:noWrap/>
            <w:vAlign w:val="center"/>
          </w:tcPr>
          <w:p w14:paraId="44FFC7E7" w14:textId="77777777" w:rsidR="003B3508" w:rsidRPr="001B0BA1" w:rsidRDefault="003B3508" w:rsidP="00C06B3E">
            <w:pPr>
              <w:pStyle w:val="Tabletext"/>
              <w:jc w:val="center"/>
              <w:rPr>
                <w:b/>
                <w:bCs/>
                <w:lang w:eastAsia="en-GB"/>
              </w:rPr>
            </w:pPr>
            <w:r w:rsidRPr="001B0BA1">
              <w:rPr>
                <w:b/>
                <w:bCs/>
                <w:lang w:eastAsia="en-GB"/>
              </w:rPr>
              <w:t>264%</w:t>
            </w:r>
          </w:p>
        </w:tc>
      </w:tr>
    </w:tbl>
    <w:p w14:paraId="4629E080" w14:textId="42F2E018" w:rsidR="00C06B3E" w:rsidRPr="00C06B3E" w:rsidRDefault="003B3508" w:rsidP="00C06B3E">
      <w:pPr>
        <w:rPr>
          <w:lang w:val="es-ES"/>
        </w:rPr>
      </w:pPr>
      <w:r w:rsidRPr="00652266">
        <w:rPr>
          <w:lang w:val="es-ES"/>
        </w:rPr>
        <w:t>Los funcionarios cuyas solicitudes han sido aceptadas, de conformidad con lo dispuesto en la Orden de Servicio 23/03, d</w:t>
      </w:r>
      <w:r>
        <w:rPr>
          <w:lang w:val="es-ES"/>
        </w:rPr>
        <w:t>ejarán el servicio activo el 31 de julio de 2023, a excepción de seis</w:t>
      </w:r>
      <w:r w:rsidR="00C06B3E">
        <w:rPr>
          <w:lang w:val="es-ES"/>
        </w:rPr>
        <w:t> </w:t>
      </w:r>
      <w:r>
        <w:rPr>
          <w:lang w:val="es-ES"/>
        </w:rPr>
        <w:t>(6) funcionarios cuya partida se ha retrasado por motivos de continuidad de las actividades y que dejarán el servicio activo a finales de 2023 a más tardar</w:t>
      </w:r>
      <w:r w:rsidRPr="00652266">
        <w:rPr>
          <w:lang w:val="es-ES"/>
        </w:rPr>
        <w:t>.</w:t>
      </w:r>
    </w:p>
    <w:p w14:paraId="786B4458" w14:textId="2BFDCECA" w:rsidR="00C06B3E" w:rsidRPr="000B0D00" w:rsidRDefault="00C06B3E" w:rsidP="00C06B3E">
      <w:pPr>
        <w:jc w:val="center"/>
      </w:pPr>
      <w:r>
        <w:t>______________</w:t>
      </w:r>
    </w:p>
    <w:sectPr w:rsidR="00C06B3E" w:rsidRPr="000B0D00" w:rsidSect="00C538FC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A412" w14:textId="77777777" w:rsidR="003B3508" w:rsidRDefault="003B3508">
      <w:r>
        <w:separator/>
      </w:r>
    </w:p>
  </w:endnote>
  <w:endnote w:type="continuationSeparator" w:id="0">
    <w:p w14:paraId="4E07D5B8" w14:textId="77777777" w:rsidR="003B3508" w:rsidRDefault="003B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2033FDE7" w14:textId="77777777" w:rsidTr="00E31DCE">
      <w:trPr>
        <w:jc w:val="center"/>
      </w:trPr>
      <w:tc>
        <w:tcPr>
          <w:tcW w:w="1803" w:type="dxa"/>
          <w:vAlign w:val="center"/>
        </w:tcPr>
        <w:p w14:paraId="733F41F9" w14:textId="2F57319D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B3508">
            <w:rPr>
              <w:noProof/>
            </w:rPr>
            <w:t>521085</w:t>
          </w:r>
        </w:p>
      </w:tc>
      <w:tc>
        <w:tcPr>
          <w:tcW w:w="8261" w:type="dxa"/>
        </w:tcPr>
        <w:p w14:paraId="5CD2DB4D" w14:textId="7039F0E8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B3508">
            <w:rPr>
              <w:bCs/>
            </w:rPr>
            <w:t>51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5A05419" w14:textId="0B60A9EC" w:rsidR="00760F1C" w:rsidRPr="00B766C5" w:rsidRDefault="00B766C5" w:rsidP="00B766C5">
    <w:pPr>
      <w:pStyle w:val="Footer"/>
      <w:rPr>
        <w:lang w:val="fr-FR"/>
      </w:rPr>
    </w:pPr>
    <w:r w:rsidRPr="00D3366E">
      <w:rPr>
        <w:color w:val="F2F2F2" w:themeColor="background1" w:themeShade="F2"/>
      </w:rPr>
      <w:fldChar w:fldCharType="begin"/>
    </w:r>
    <w:r w:rsidRPr="00D3366E">
      <w:rPr>
        <w:color w:val="F2F2F2" w:themeColor="background1" w:themeShade="F2"/>
        <w:lang w:val="fr-FR"/>
      </w:rPr>
      <w:instrText xml:space="preserve"> FILENAME \p  \* MERGEFORMAT </w:instrText>
    </w:r>
    <w:r w:rsidRPr="00D3366E">
      <w:rPr>
        <w:color w:val="F2F2F2" w:themeColor="background1" w:themeShade="F2"/>
      </w:rPr>
      <w:fldChar w:fldCharType="separate"/>
    </w:r>
    <w:r w:rsidRPr="00D3366E">
      <w:rPr>
        <w:color w:val="F2F2F2" w:themeColor="background1" w:themeShade="F2"/>
        <w:lang w:val="fr-FR"/>
      </w:rPr>
      <w:t>P:\ESP\SG\CONSEIL\C23\000\051S.docx</w:t>
    </w:r>
    <w:r w:rsidRPr="00D3366E">
      <w:rPr>
        <w:color w:val="F2F2F2" w:themeColor="background1" w:themeShade="F2"/>
      </w:rPr>
      <w:fldChar w:fldCharType="end"/>
    </w:r>
    <w:r w:rsidRPr="00D3366E">
      <w:rPr>
        <w:color w:val="F2F2F2" w:themeColor="background1" w:themeShade="F2"/>
        <w:lang w:val="fr-FR"/>
      </w:rPr>
      <w:t xml:space="preserve"> (521085)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756A26C5" w14:textId="77777777" w:rsidTr="00E31DCE">
      <w:trPr>
        <w:jc w:val="center"/>
      </w:trPr>
      <w:tc>
        <w:tcPr>
          <w:tcW w:w="1803" w:type="dxa"/>
          <w:vAlign w:val="center"/>
        </w:tcPr>
        <w:p w14:paraId="669CC70E" w14:textId="77777777" w:rsidR="00F24B71" w:rsidRDefault="00D3366E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278D5E5F" w14:textId="110D3AEF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B3508">
            <w:rPr>
              <w:bCs/>
            </w:rPr>
            <w:t>51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45E3F9E" w14:textId="537CC6E6" w:rsidR="00760F1C" w:rsidRPr="00B766C5" w:rsidRDefault="00B766C5" w:rsidP="00F24B71">
    <w:pPr>
      <w:pStyle w:val="Footer"/>
      <w:rPr>
        <w:lang w:val="fr-FR"/>
      </w:rPr>
    </w:pPr>
    <w:r w:rsidRPr="00D3366E">
      <w:rPr>
        <w:color w:val="F2F2F2" w:themeColor="background1" w:themeShade="F2"/>
      </w:rPr>
      <w:fldChar w:fldCharType="begin"/>
    </w:r>
    <w:r w:rsidRPr="00D3366E">
      <w:rPr>
        <w:color w:val="F2F2F2" w:themeColor="background1" w:themeShade="F2"/>
        <w:lang w:val="fr-FR"/>
      </w:rPr>
      <w:instrText xml:space="preserve"> FILENAME \p  \* MERGEFORMAT </w:instrText>
    </w:r>
    <w:r w:rsidRPr="00D3366E">
      <w:rPr>
        <w:color w:val="F2F2F2" w:themeColor="background1" w:themeShade="F2"/>
      </w:rPr>
      <w:fldChar w:fldCharType="separate"/>
    </w:r>
    <w:r w:rsidRPr="00D3366E">
      <w:rPr>
        <w:color w:val="F2F2F2" w:themeColor="background1" w:themeShade="F2"/>
        <w:lang w:val="fr-FR"/>
      </w:rPr>
      <w:t>P:\ESP\SG\CONSEIL\C23\000\051S.docx</w:t>
    </w:r>
    <w:r w:rsidRPr="00D3366E">
      <w:rPr>
        <w:color w:val="F2F2F2" w:themeColor="background1" w:themeShade="F2"/>
      </w:rPr>
      <w:fldChar w:fldCharType="end"/>
    </w:r>
    <w:r w:rsidRPr="00D3366E">
      <w:rPr>
        <w:color w:val="F2F2F2" w:themeColor="background1" w:themeShade="F2"/>
        <w:lang w:val="fr-FR"/>
      </w:rPr>
      <w:t xml:space="preserve"> (521085)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1F6C" w14:textId="77777777" w:rsidR="003B3508" w:rsidRDefault="003B3508">
      <w:r>
        <w:t>____________________</w:t>
      </w:r>
    </w:p>
  </w:footnote>
  <w:footnote w:type="continuationSeparator" w:id="0">
    <w:p w14:paraId="61085750" w14:textId="77777777" w:rsidR="003B3508" w:rsidRDefault="003B3508">
      <w:r>
        <w:continuationSeparator/>
      </w:r>
    </w:p>
  </w:footnote>
  <w:footnote w:id="1">
    <w:p w14:paraId="63C911D3" w14:textId="1C7AB6F7" w:rsidR="003B3508" w:rsidRPr="00652266" w:rsidRDefault="003B3508" w:rsidP="003B3508">
      <w:pPr>
        <w:pStyle w:val="FootnoteText"/>
        <w:tabs>
          <w:tab w:val="clear" w:pos="256"/>
        </w:tabs>
        <w:ind w:left="284" w:hanging="284"/>
        <w:jc w:val="both"/>
        <w:rPr>
          <w:sz w:val="20"/>
          <w:szCs w:val="16"/>
          <w:lang w:val="es-ES"/>
        </w:rPr>
      </w:pPr>
      <w:r>
        <w:rPr>
          <w:rStyle w:val="FootnoteReference"/>
        </w:rPr>
        <w:footnoteRef/>
      </w:r>
      <w:r w:rsidRPr="00652266">
        <w:rPr>
          <w:lang w:val="es-ES"/>
        </w:rPr>
        <w:tab/>
      </w:r>
      <w:r w:rsidRPr="00652266">
        <w:rPr>
          <w:sz w:val="20"/>
          <w:szCs w:val="16"/>
          <w:lang w:val="es-ES"/>
        </w:rPr>
        <w:t>A los efectos de este análisis, el largo plazo es el periodo comprendido entre agosto de 2023 y el final de pr</w:t>
      </w:r>
      <w:r>
        <w:rPr>
          <w:sz w:val="20"/>
          <w:szCs w:val="16"/>
          <w:lang w:val="es-ES"/>
        </w:rPr>
        <w:t>ó</w:t>
      </w:r>
      <w:r w:rsidRPr="00652266">
        <w:rPr>
          <w:sz w:val="20"/>
          <w:szCs w:val="16"/>
          <w:lang w:val="es-ES"/>
        </w:rPr>
        <w:t>ximo ciclo programático (2024-2027). Los ahorros proceden principalmente de la supresión del puesto tras la separación del servicio o, en casos excepcionales, de su recalificación a un grado inferior, en cuyo caso</w:t>
      </w:r>
      <w:r>
        <w:rPr>
          <w:sz w:val="20"/>
          <w:szCs w:val="16"/>
          <w:lang w:val="es-ES"/>
        </w:rPr>
        <w:t xml:space="preserve"> la contratación se retrasará hasta que pueda lograrse una rentabilidad positiva</w:t>
      </w:r>
      <w:r w:rsidRPr="00652266">
        <w:rPr>
          <w:sz w:val="20"/>
          <w:szCs w:val="16"/>
          <w:lang w:val="es-ES"/>
        </w:rPr>
        <w:t>.</w:t>
      </w:r>
    </w:p>
  </w:footnote>
  <w:footnote w:id="2">
    <w:p w14:paraId="33BDBF6B" w14:textId="2AC9D9EE" w:rsidR="003B3508" w:rsidRPr="00652266" w:rsidRDefault="003B3508" w:rsidP="003B3508">
      <w:pPr>
        <w:pStyle w:val="FootnoteText"/>
        <w:tabs>
          <w:tab w:val="clear" w:pos="256"/>
        </w:tabs>
        <w:ind w:left="284" w:hanging="284"/>
        <w:jc w:val="both"/>
        <w:rPr>
          <w:lang w:val="es-ES"/>
        </w:rPr>
      </w:pPr>
      <w:r>
        <w:rPr>
          <w:rStyle w:val="FootnoteReference"/>
        </w:rPr>
        <w:footnoteRef/>
      </w:r>
      <w:r w:rsidRPr="00652266">
        <w:rPr>
          <w:lang w:val="es-ES"/>
        </w:rPr>
        <w:tab/>
      </w:r>
      <w:r w:rsidRPr="00652266">
        <w:rPr>
          <w:sz w:val="20"/>
          <w:szCs w:val="16"/>
          <w:lang w:val="es-ES"/>
        </w:rPr>
        <w:t>La rentabilidad suele calcularse como ingresos netos/coste de</w:t>
      </w:r>
      <w:r>
        <w:rPr>
          <w:sz w:val="20"/>
          <w:szCs w:val="16"/>
          <w:lang w:val="es-ES"/>
        </w:rPr>
        <w:t xml:space="preserve"> la inversión. </w:t>
      </w:r>
      <w:r w:rsidRPr="00652266">
        <w:rPr>
          <w:sz w:val="20"/>
          <w:szCs w:val="16"/>
          <w:lang w:val="es-ES"/>
        </w:rPr>
        <w:t>En este caso, la rentabilidad (CHF) = ahorro neto estimado – c</w:t>
      </w:r>
      <w:r>
        <w:rPr>
          <w:sz w:val="20"/>
          <w:szCs w:val="16"/>
          <w:lang w:val="es-ES"/>
        </w:rPr>
        <w:t>oste del programa de separación del servicio voluntaria</w:t>
      </w:r>
      <w:r w:rsidRPr="00652266">
        <w:rPr>
          <w:sz w:val="20"/>
          <w:szCs w:val="16"/>
          <w:lang w:val="es-ES"/>
        </w:rPr>
        <w:t xml:space="preserve">. </w:t>
      </w:r>
      <w:r>
        <w:rPr>
          <w:sz w:val="20"/>
          <w:szCs w:val="16"/>
          <w:lang w:val="es-ES"/>
        </w:rPr>
        <w:t>La rentabilidad</w:t>
      </w:r>
      <w:r w:rsidRPr="00652266">
        <w:rPr>
          <w:sz w:val="20"/>
          <w:szCs w:val="16"/>
          <w:lang w:val="es-ES"/>
        </w:rPr>
        <w:t xml:space="preserve"> (%) = rentabilidad (CHF)/coste de</w:t>
      </w:r>
      <w:r>
        <w:rPr>
          <w:sz w:val="20"/>
          <w:szCs w:val="16"/>
          <w:lang w:val="es-ES"/>
        </w:rPr>
        <w:t>l programa de separación del servicio voluntaria</w:t>
      </w:r>
      <w:r w:rsidRPr="00652266">
        <w:rPr>
          <w:sz w:val="20"/>
          <w:szCs w:val="16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2331411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671D7AC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" w:name="_Hlk133422111"/>
          <w:r>
            <w:rPr>
              <w:noProof/>
            </w:rPr>
            <w:drawing>
              <wp:inline distT="0" distB="0" distL="0" distR="0" wp14:anchorId="4A3253AF" wp14:editId="07C147AE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86BBD1F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8432DB9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43DD56C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"/>
  <w:p w14:paraId="339AD351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78F4B" wp14:editId="7A70E2BF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DDB121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0CB"/>
    <w:multiLevelType w:val="hybridMultilevel"/>
    <w:tmpl w:val="BBF894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A3188C"/>
    <w:multiLevelType w:val="hybridMultilevel"/>
    <w:tmpl w:val="867821C6"/>
    <w:lvl w:ilvl="0" w:tplc="08090017">
      <w:start w:val="1"/>
      <w:numFmt w:val="lowerLetter"/>
      <w:lvlText w:val="%1)"/>
      <w:lvlJc w:val="left"/>
      <w:pPr>
        <w:ind w:left="59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686" w:hanging="360"/>
      </w:pPr>
    </w:lvl>
    <w:lvl w:ilvl="2" w:tplc="0809001B" w:tentative="1">
      <w:start w:val="1"/>
      <w:numFmt w:val="lowerRoman"/>
      <w:lvlText w:val="%3."/>
      <w:lvlJc w:val="right"/>
      <w:pPr>
        <w:ind w:left="7406" w:hanging="180"/>
      </w:pPr>
    </w:lvl>
    <w:lvl w:ilvl="3" w:tplc="0809000F" w:tentative="1">
      <w:start w:val="1"/>
      <w:numFmt w:val="decimal"/>
      <w:lvlText w:val="%4."/>
      <w:lvlJc w:val="left"/>
      <w:pPr>
        <w:ind w:left="8126" w:hanging="360"/>
      </w:pPr>
    </w:lvl>
    <w:lvl w:ilvl="4" w:tplc="08090019" w:tentative="1">
      <w:start w:val="1"/>
      <w:numFmt w:val="lowerLetter"/>
      <w:lvlText w:val="%5."/>
      <w:lvlJc w:val="left"/>
      <w:pPr>
        <w:ind w:left="8846" w:hanging="360"/>
      </w:pPr>
    </w:lvl>
    <w:lvl w:ilvl="5" w:tplc="0809001B" w:tentative="1">
      <w:start w:val="1"/>
      <w:numFmt w:val="lowerRoman"/>
      <w:lvlText w:val="%6."/>
      <w:lvlJc w:val="right"/>
      <w:pPr>
        <w:ind w:left="9566" w:hanging="180"/>
      </w:pPr>
    </w:lvl>
    <w:lvl w:ilvl="6" w:tplc="0809000F" w:tentative="1">
      <w:start w:val="1"/>
      <w:numFmt w:val="decimal"/>
      <w:lvlText w:val="%7."/>
      <w:lvlJc w:val="left"/>
      <w:pPr>
        <w:ind w:left="10286" w:hanging="360"/>
      </w:pPr>
    </w:lvl>
    <w:lvl w:ilvl="7" w:tplc="08090019" w:tentative="1">
      <w:start w:val="1"/>
      <w:numFmt w:val="lowerLetter"/>
      <w:lvlText w:val="%8."/>
      <w:lvlJc w:val="left"/>
      <w:pPr>
        <w:ind w:left="11006" w:hanging="360"/>
      </w:pPr>
    </w:lvl>
    <w:lvl w:ilvl="8" w:tplc="0809001B" w:tentative="1">
      <w:start w:val="1"/>
      <w:numFmt w:val="lowerRoman"/>
      <w:lvlText w:val="%9."/>
      <w:lvlJc w:val="right"/>
      <w:pPr>
        <w:ind w:left="11726" w:hanging="180"/>
      </w:pPr>
    </w:lvl>
  </w:abstractNum>
  <w:num w:numId="1" w16cid:durableId="291861709">
    <w:abstractNumId w:val="0"/>
  </w:num>
  <w:num w:numId="2" w16cid:durableId="775903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08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801AA"/>
    <w:rsid w:val="002C4676"/>
    <w:rsid w:val="002C70B0"/>
    <w:rsid w:val="002F3CC4"/>
    <w:rsid w:val="003273A4"/>
    <w:rsid w:val="003B3508"/>
    <w:rsid w:val="00473962"/>
    <w:rsid w:val="004B5D49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13B9C"/>
    <w:rsid w:val="00927F93"/>
    <w:rsid w:val="00956E77"/>
    <w:rsid w:val="009F4811"/>
    <w:rsid w:val="00AA390C"/>
    <w:rsid w:val="00B0200A"/>
    <w:rsid w:val="00B574DB"/>
    <w:rsid w:val="00B766C5"/>
    <w:rsid w:val="00B826C2"/>
    <w:rsid w:val="00B8298E"/>
    <w:rsid w:val="00BD0723"/>
    <w:rsid w:val="00BD2518"/>
    <w:rsid w:val="00BF1D1C"/>
    <w:rsid w:val="00C06B3E"/>
    <w:rsid w:val="00C20C59"/>
    <w:rsid w:val="00C2727F"/>
    <w:rsid w:val="00C538FC"/>
    <w:rsid w:val="00C55B1F"/>
    <w:rsid w:val="00CF1A67"/>
    <w:rsid w:val="00D2750E"/>
    <w:rsid w:val="00D3366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0A8DA0"/>
  <w15:docId w15:val="{61379C36-EC99-4D0D-A84E-29FD5D28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508"/>
    <w:pPr>
      <w:ind w:left="720"/>
      <w:contextualSpacing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3508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2-CEXT23-C-0007/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0</TotalTime>
  <Pages>4</Pages>
  <Words>1092</Words>
  <Characters>5911</Characters>
  <Application>Microsoft Office Word</Application>
  <DocSecurity>4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6990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Aplicación del programa de separación del servicio voluntaria</dc:title>
  <dc:subject>Council 2023</dc:subject>
  <dc:creator>Spanish</dc:creator>
  <cp:keywords>C2023, C23, Council-23</cp:keywords>
  <dc:description/>
  <cp:lastModifiedBy>Xue, Kun</cp:lastModifiedBy>
  <cp:revision>2</cp:revision>
  <cp:lastPrinted>2006-03-24T09:51:00Z</cp:lastPrinted>
  <dcterms:created xsi:type="dcterms:W3CDTF">2023-06-22T12:30:00Z</dcterms:created>
  <dcterms:modified xsi:type="dcterms:W3CDTF">2023-06-22T12:30:00Z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