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2"/>
        <w:gridCol w:w="3117"/>
      </w:tblGrid>
      <w:tr w:rsidR="007B0AA0" w:rsidRPr="00854FDC" w14:paraId="0C470C04" w14:textId="77777777" w:rsidTr="00F363FE">
        <w:tc>
          <w:tcPr>
            <w:tcW w:w="6512" w:type="dxa"/>
          </w:tcPr>
          <w:p w14:paraId="2510E77C" w14:textId="381671D5" w:rsidR="007B0AA0" w:rsidRPr="00854FDC" w:rsidRDefault="007B0AA0" w:rsidP="00F363FE">
            <w:pPr>
              <w:spacing w:before="60" w:after="60" w:line="260" w:lineRule="exact"/>
              <w:rPr>
                <w:b/>
                <w:bCs/>
                <w:lang w:bidi="ar-EG"/>
              </w:rPr>
            </w:pPr>
            <w:r w:rsidRPr="00854FDC">
              <w:rPr>
                <w:b/>
                <w:bCs/>
                <w:rtl/>
                <w:lang w:bidi="ar-EG"/>
              </w:rPr>
              <w:t>بند جدول الأعمال:</w:t>
            </w:r>
            <w:r w:rsidR="00AD283F" w:rsidRPr="00854FDC">
              <w:rPr>
                <w:b/>
                <w:bCs/>
                <w:rtl/>
                <w:lang w:bidi="ar-EG"/>
              </w:rPr>
              <w:t xml:space="preserve"> </w:t>
            </w:r>
            <w:r w:rsidR="00AD283F" w:rsidRPr="00854FDC">
              <w:rPr>
                <w:b/>
                <w:bCs/>
                <w:lang w:bidi="ar-EG"/>
              </w:rPr>
              <w:t>PL 2</w:t>
            </w:r>
          </w:p>
        </w:tc>
        <w:tc>
          <w:tcPr>
            <w:tcW w:w="3117" w:type="dxa"/>
          </w:tcPr>
          <w:p w14:paraId="148D501C" w14:textId="4E8778AC" w:rsidR="007B0AA0" w:rsidRPr="00854FDC" w:rsidRDefault="007B0AA0" w:rsidP="00F363FE">
            <w:pPr>
              <w:spacing w:before="60" w:after="60" w:line="260" w:lineRule="exact"/>
              <w:rPr>
                <w:b/>
                <w:bCs/>
                <w:lang w:bidi="ar-EG"/>
              </w:rPr>
            </w:pPr>
            <w:r w:rsidRPr="00854FDC">
              <w:rPr>
                <w:b/>
                <w:bCs/>
                <w:rtl/>
                <w:lang w:bidi="ar-EG"/>
              </w:rPr>
              <w:t xml:space="preserve">الوثيقة </w:t>
            </w:r>
            <w:r w:rsidRPr="00854FDC">
              <w:rPr>
                <w:b/>
                <w:bCs/>
                <w:lang w:bidi="ar-EG"/>
              </w:rPr>
              <w:t>C23/</w:t>
            </w:r>
            <w:r w:rsidR="00B74B82" w:rsidRPr="00854FDC">
              <w:rPr>
                <w:b/>
                <w:bCs/>
                <w:lang w:bidi="ar-EG"/>
              </w:rPr>
              <w:t>59</w:t>
            </w:r>
            <w:r w:rsidRPr="00854FDC">
              <w:rPr>
                <w:b/>
                <w:bCs/>
                <w:lang w:bidi="ar-EG"/>
              </w:rPr>
              <w:t>-A</w:t>
            </w:r>
          </w:p>
        </w:tc>
      </w:tr>
      <w:tr w:rsidR="007B0AA0" w:rsidRPr="00854FDC" w14:paraId="5BC73C5E" w14:textId="77777777" w:rsidTr="00F363FE">
        <w:tc>
          <w:tcPr>
            <w:tcW w:w="6512" w:type="dxa"/>
          </w:tcPr>
          <w:p w14:paraId="1CA4BC60" w14:textId="77777777" w:rsidR="007B0AA0" w:rsidRPr="00854FDC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76DB7292" w14:textId="3D575A66" w:rsidR="007B0AA0" w:rsidRPr="00854FDC" w:rsidRDefault="00AD283F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854FDC">
              <w:rPr>
                <w:b/>
                <w:bCs/>
                <w:lang w:bidi="ar-EG"/>
              </w:rPr>
              <w:t>12</w:t>
            </w:r>
            <w:r w:rsidR="007B0AA0" w:rsidRPr="00854FDC">
              <w:rPr>
                <w:b/>
                <w:bCs/>
                <w:rtl/>
                <w:lang w:bidi="ar-EG"/>
              </w:rPr>
              <w:t xml:space="preserve"> </w:t>
            </w:r>
            <w:r w:rsidRPr="00854FDC">
              <w:rPr>
                <w:b/>
                <w:bCs/>
                <w:rtl/>
                <w:lang w:bidi="ar-EG"/>
              </w:rPr>
              <w:t>يونيو</w:t>
            </w:r>
            <w:r w:rsidR="007B0AA0" w:rsidRPr="00854FDC">
              <w:rPr>
                <w:b/>
                <w:bCs/>
                <w:rtl/>
                <w:lang w:bidi="ar-EG"/>
              </w:rPr>
              <w:t xml:space="preserve"> </w:t>
            </w:r>
            <w:r w:rsidR="007B0AA0" w:rsidRPr="00854FDC">
              <w:rPr>
                <w:b/>
                <w:bCs/>
                <w:lang w:bidi="ar-EG"/>
              </w:rPr>
              <w:t>2023</w:t>
            </w:r>
          </w:p>
        </w:tc>
      </w:tr>
      <w:tr w:rsidR="007B0AA0" w:rsidRPr="00854FDC" w14:paraId="16B19267" w14:textId="77777777" w:rsidTr="00F363FE">
        <w:tc>
          <w:tcPr>
            <w:tcW w:w="6512" w:type="dxa"/>
          </w:tcPr>
          <w:p w14:paraId="0563C4FC" w14:textId="77777777" w:rsidR="007B0AA0" w:rsidRPr="00854FDC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5F889B10" w14:textId="77777777" w:rsidR="007B0AA0" w:rsidRPr="00854FDC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854FDC">
              <w:rPr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7B0AA0" w:rsidRPr="00854FDC" w14:paraId="0BA42701" w14:textId="77777777" w:rsidTr="00F363FE">
        <w:tc>
          <w:tcPr>
            <w:tcW w:w="6512" w:type="dxa"/>
          </w:tcPr>
          <w:p w14:paraId="354A27E0" w14:textId="77777777" w:rsidR="007B0AA0" w:rsidRPr="00854FDC" w:rsidRDefault="007B0AA0" w:rsidP="00F363FE">
            <w:pPr>
              <w:spacing w:before="60" w:after="60" w:line="260" w:lineRule="exact"/>
              <w:rPr>
                <w:lang w:bidi="ar-EG"/>
              </w:rPr>
            </w:pPr>
          </w:p>
        </w:tc>
        <w:tc>
          <w:tcPr>
            <w:tcW w:w="3117" w:type="dxa"/>
          </w:tcPr>
          <w:p w14:paraId="78E88786" w14:textId="77777777" w:rsidR="007B0AA0" w:rsidRPr="00854FDC" w:rsidRDefault="007B0AA0" w:rsidP="00F363FE">
            <w:pPr>
              <w:spacing w:before="60" w:after="60" w:line="260" w:lineRule="exact"/>
              <w:rPr>
                <w:rtl/>
                <w:lang w:bidi="ar-EG"/>
              </w:rPr>
            </w:pPr>
          </w:p>
        </w:tc>
      </w:tr>
      <w:tr w:rsidR="007B0AA0" w:rsidRPr="00854FDC" w14:paraId="45007AAC" w14:textId="77777777" w:rsidTr="00EE7446">
        <w:tc>
          <w:tcPr>
            <w:tcW w:w="9629" w:type="dxa"/>
            <w:gridSpan w:val="2"/>
          </w:tcPr>
          <w:p w14:paraId="337906A3" w14:textId="77777777" w:rsidR="007B0AA0" w:rsidRPr="00854FDC" w:rsidRDefault="007B0AA0" w:rsidP="007B0AA0">
            <w:pPr>
              <w:pStyle w:val="Source"/>
              <w:jc w:val="left"/>
              <w:rPr>
                <w:rtl/>
                <w:lang w:bidi="ar-EG"/>
              </w:rPr>
            </w:pPr>
            <w:r w:rsidRPr="00854FDC">
              <w:rPr>
                <w:rtl/>
                <w:lang w:bidi="ar-EG"/>
              </w:rPr>
              <w:t xml:space="preserve">تقرير من </w:t>
            </w:r>
            <w:r w:rsidR="004B7334" w:rsidRPr="00854FDC">
              <w:rPr>
                <w:rtl/>
                <w:lang w:bidi="ar-EG"/>
              </w:rPr>
              <w:t>الأمينة العامة</w:t>
            </w:r>
          </w:p>
        </w:tc>
      </w:tr>
      <w:tr w:rsidR="007B0AA0" w:rsidRPr="00854FDC" w14:paraId="43AED0AA" w14:textId="77777777" w:rsidTr="007B0AA0">
        <w:tc>
          <w:tcPr>
            <w:tcW w:w="9629" w:type="dxa"/>
            <w:gridSpan w:val="2"/>
            <w:tcBorders>
              <w:bottom w:val="single" w:sz="4" w:space="0" w:color="auto"/>
            </w:tcBorders>
          </w:tcPr>
          <w:p w14:paraId="3E6F020F" w14:textId="409506B9" w:rsidR="007B0AA0" w:rsidRPr="00854FDC" w:rsidRDefault="00E70AA6" w:rsidP="00757C08">
            <w:pPr>
              <w:pStyle w:val="Subtitle0"/>
              <w:rPr>
                <w:sz w:val="28"/>
                <w:szCs w:val="28"/>
                <w:rtl/>
                <w:lang w:bidi="ar-JO"/>
              </w:rPr>
            </w:pPr>
            <w:r w:rsidRPr="00854FDC">
              <w:rPr>
                <w:sz w:val="28"/>
                <w:szCs w:val="28"/>
                <w:rtl/>
              </w:rPr>
              <w:t xml:space="preserve">معلومات محدَّثة عن تنفيذ القرار </w:t>
            </w:r>
            <w:r w:rsidRPr="00854FDC">
              <w:rPr>
                <w:sz w:val="28"/>
                <w:szCs w:val="28"/>
              </w:rPr>
              <w:t>1408</w:t>
            </w:r>
            <w:r w:rsidRPr="00854FDC">
              <w:rPr>
                <w:sz w:val="28"/>
                <w:szCs w:val="28"/>
                <w:rtl/>
              </w:rPr>
              <w:t xml:space="preserve"> الصادر عن مجلس الاتحاد</w:t>
            </w:r>
            <w:r w:rsidR="004B6A00" w:rsidRPr="00854FDC">
              <w:rPr>
                <w:sz w:val="28"/>
                <w:szCs w:val="28"/>
                <w:rtl/>
              </w:rPr>
              <w:t xml:space="preserve"> بشأن تقديم المساعدة والدعم إلى أوكرانيا لإعادة بناء قطاع اتصالاتها</w:t>
            </w:r>
          </w:p>
        </w:tc>
      </w:tr>
      <w:tr w:rsidR="007B0AA0" w:rsidRPr="00854FDC" w14:paraId="07625CF2" w14:textId="77777777" w:rsidTr="007B0AA0">
        <w:tc>
          <w:tcPr>
            <w:tcW w:w="96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487F415" w14:textId="3D45883D" w:rsidR="007B0AA0" w:rsidRPr="00854FDC" w:rsidRDefault="007B0AA0" w:rsidP="007B0AA0">
            <w:pPr>
              <w:rPr>
                <w:b/>
                <w:bCs/>
                <w:rtl/>
              </w:rPr>
            </w:pPr>
            <w:r w:rsidRPr="00854FDC">
              <w:rPr>
                <w:b/>
                <w:bCs/>
                <w:rtl/>
              </w:rPr>
              <w:t>الغرض</w:t>
            </w:r>
          </w:p>
          <w:p w14:paraId="3D7F56A0" w14:textId="438FCC3F" w:rsidR="004E26F3" w:rsidRPr="00854FDC" w:rsidRDefault="00854FDC" w:rsidP="004527AB">
            <w:r w:rsidRPr="00BF2003">
              <w:rPr>
                <w:rFonts w:hint="cs"/>
                <w:rtl/>
              </w:rPr>
              <w:t>يستعرض</w:t>
            </w:r>
            <w:r w:rsidR="004527AB" w:rsidRPr="00BF2003">
              <w:rPr>
                <w:rtl/>
              </w:rPr>
              <w:t xml:space="preserve"> هذا التقرير </w:t>
            </w:r>
            <w:r w:rsidRPr="00BF2003">
              <w:rPr>
                <w:rFonts w:hint="cs"/>
                <w:rtl/>
              </w:rPr>
              <w:t xml:space="preserve">بإيجاز </w:t>
            </w:r>
            <w:r w:rsidR="004527AB" w:rsidRPr="00BF2003">
              <w:rPr>
                <w:rtl/>
              </w:rPr>
              <w:t xml:space="preserve">الأنشطة والتطورات منذ </w:t>
            </w:r>
            <w:r w:rsidR="00433408" w:rsidRPr="00BF2003">
              <w:rPr>
                <w:rtl/>
              </w:rPr>
              <w:t xml:space="preserve">انعقاد </w:t>
            </w:r>
            <w:r w:rsidR="004527AB" w:rsidRPr="00BF2003">
              <w:rPr>
                <w:rtl/>
              </w:rPr>
              <w:t xml:space="preserve">مؤتمر المندوبين المفوَّضين (بوخارست، </w:t>
            </w:r>
            <w:r w:rsidR="004527AB" w:rsidRPr="00BF2003">
              <w:t>2022</w:t>
            </w:r>
            <w:r w:rsidR="004527AB" w:rsidRPr="00BF2003">
              <w:rPr>
                <w:rtl/>
              </w:rPr>
              <w:t xml:space="preserve">)، بشأن تقديم المساعدة والدعم إلى أوكرانيا لإعادة بناء قطاع اتصالاتها استجابةً </w:t>
            </w:r>
            <w:r w:rsidR="009F50DE" w:rsidRPr="00BF2003">
              <w:rPr>
                <w:rtl/>
              </w:rPr>
              <w:t>لأحكام الفقرة</w:t>
            </w:r>
            <w:r w:rsidR="004527AB" w:rsidRPr="00BF2003">
              <w:rPr>
                <w:rtl/>
              </w:rPr>
              <w:t xml:space="preserve"> </w:t>
            </w:r>
            <w:r w:rsidR="004527AB" w:rsidRPr="00F404E7">
              <w:rPr>
                <w:i/>
                <w:iCs/>
                <w:rtl/>
              </w:rPr>
              <w:t>"يقرر"</w:t>
            </w:r>
            <w:r w:rsidR="004527AB" w:rsidRPr="00BF2003">
              <w:rPr>
                <w:rtl/>
              </w:rPr>
              <w:t xml:space="preserve"> من القرار </w:t>
            </w:r>
            <w:r w:rsidR="004527AB" w:rsidRPr="00BF2003">
              <w:rPr>
                <w:lang w:val="en-GB"/>
              </w:rPr>
              <w:t>1408</w:t>
            </w:r>
            <w:r w:rsidR="004527AB" w:rsidRPr="00BF2003">
              <w:rPr>
                <w:rtl/>
                <w:lang w:val="en-GB" w:bidi="ar-JO"/>
              </w:rPr>
              <w:t xml:space="preserve"> الصادر عن مجلس الاتحاد</w:t>
            </w:r>
            <w:r w:rsidR="004527AB" w:rsidRPr="00BF2003">
              <w:rPr>
                <w:rtl/>
              </w:rPr>
              <w:t xml:space="preserve"> (</w:t>
            </w:r>
            <w:r w:rsidR="001E17B3">
              <w:rPr>
                <w:rFonts w:hint="cs"/>
                <w:rtl/>
              </w:rPr>
              <w:t>في دورته لعام 2022</w:t>
            </w:r>
            <w:r w:rsidR="004527AB" w:rsidRPr="00BF2003">
              <w:rPr>
                <w:rtl/>
              </w:rPr>
              <w:t xml:space="preserve">)، </w:t>
            </w:r>
            <w:r w:rsidR="00525B20" w:rsidRPr="00BF2003">
              <w:rPr>
                <w:rFonts w:hint="cs"/>
                <w:rtl/>
              </w:rPr>
              <w:t xml:space="preserve">بالتركيز بشكل خاص </w:t>
            </w:r>
            <w:r w:rsidR="009F50DE" w:rsidRPr="00BF2003">
              <w:rPr>
                <w:rtl/>
              </w:rPr>
              <w:t>على عمليت</w:t>
            </w:r>
            <w:r w:rsidRPr="00BF2003">
              <w:rPr>
                <w:rFonts w:hint="cs"/>
                <w:rtl/>
              </w:rPr>
              <w:t>َ</w:t>
            </w:r>
            <w:r w:rsidR="009F50DE" w:rsidRPr="00BF2003">
              <w:rPr>
                <w:rtl/>
              </w:rPr>
              <w:t>ي الرصد والإبلاغ، وآليات التنسيق، وتيسير المساعدة التقنية، وتعبئة الموارد.</w:t>
            </w:r>
          </w:p>
          <w:p w14:paraId="683834F2" w14:textId="77777777" w:rsidR="007B0AA0" w:rsidRPr="00854FDC" w:rsidRDefault="007B0AA0" w:rsidP="007B0AA0">
            <w:pPr>
              <w:rPr>
                <w:b/>
                <w:bCs/>
                <w:rtl/>
              </w:rPr>
            </w:pPr>
            <w:r w:rsidRPr="00854FDC">
              <w:rPr>
                <w:b/>
                <w:bCs/>
                <w:rtl/>
              </w:rPr>
              <w:t>الإجراء المطلوب من المجلس</w:t>
            </w:r>
          </w:p>
          <w:p w14:paraId="4F542232" w14:textId="05F443C1" w:rsidR="007B0AA0" w:rsidRPr="00854FDC" w:rsidRDefault="00A37BE4" w:rsidP="007B0AA0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JO"/>
              </w:rPr>
              <w:t xml:space="preserve">يُدعى </w:t>
            </w:r>
            <w:r w:rsidR="00433408" w:rsidRPr="00854FDC">
              <w:rPr>
                <w:rtl/>
                <w:lang w:bidi="ar-EG"/>
              </w:rPr>
              <w:t xml:space="preserve">المجلس إلى </w:t>
            </w:r>
            <w:r w:rsidR="00433408" w:rsidRPr="00854FDC">
              <w:rPr>
                <w:b/>
                <w:bCs/>
                <w:rtl/>
                <w:lang w:bidi="ar-EG"/>
              </w:rPr>
              <w:t>الإحاطة علماً</w:t>
            </w:r>
            <w:r w:rsidR="00433408" w:rsidRPr="00854FDC">
              <w:rPr>
                <w:rtl/>
                <w:lang w:bidi="ar-EG"/>
              </w:rPr>
              <w:t xml:space="preserve"> بهذا التقرير.</w:t>
            </w:r>
          </w:p>
          <w:p w14:paraId="69B0C2C9" w14:textId="34F8C8F9" w:rsidR="007B0AA0" w:rsidRPr="00854FDC" w:rsidRDefault="007B0AA0" w:rsidP="007B0AA0">
            <w:pPr>
              <w:rPr>
                <w:b/>
                <w:bCs/>
                <w:rtl/>
              </w:rPr>
            </w:pPr>
            <w:r w:rsidRPr="00854FDC">
              <w:rPr>
                <w:b/>
                <w:bCs/>
                <w:rtl/>
              </w:rPr>
              <w:t>الصلة بالخطة الاستراتيجية</w:t>
            </w:r>
          </w:p>
          <w:p w14:paraId="3D2D8511" w14:textId="1222D50F" w:rsidR="007B0AA0" w:rsidRPr="00854FDC" w:rsidRDefault="00E27A66" w:rsidP="00E27A66">
            <w:pPr>
              <w:rPr>
                <w:rtl/>
              </w:rPr>
            </w:pPr>
            <w:r w:rsidRPr="00854FDC">
              <w:rPr>
                <w:rtl/>
                <w:lang w:bidi="ar-EG"/>
              </w:rPr>
              <w:t>تقديم المساعدة التقنية</w:t>
            </w:r>
          </w:p>
          <w:p w14:paraId="440DCE42" w14:textId="03D30A90" w:rsidR="00F91090" w:rsidRPr="00724A6D" w:rsidRDefault="007B0AA0" w:rsidP="007B0AA0">
            <w:pPr>
              <w:rPr>
                <w:b/>
                <w:bCs/>
                <w:rtl/>
              </w:rPr>
            </w:pPr>
            <w:r w:rsidRPr="00F91090">
              <w:rPr>
                <w:b/>
                <w:bCs/>
                <w:rtl/>
              </w:rPr>
              <w:t>الآثار المالية:</w:t>
            </w:r>
          </w:p>
          <w:p w14:paraId="1656B42C" w14:textId="32E7E29D" w:rsidR="007B0AA0" w:rsidRPr="00854FDC" w:rsidRDefault="00F404E7" w:rsidP="007B0AA0">
            <w:pPr>
              <w:rPr>
                <w:rtl/>
                <w:lang w:val="en-GB" w:bidi="ar-JO"/>
              </w:rPr>
            </w:pPr>
            <w:r>
              <w:t>140 000</w:t>
            </w:r>
            <w:r w:rsidR="007B0AA0" w:rsidRPr="00854FDC">
              <w:rPr>
                <w:rtl/>
              </w:rPr>
              <w:t xml:space="preserve"> فرنك سويسري، </w:t>
            </w:r>
            <w:r w:rsidR="00F229E8" w:rsidRPr="00854FDC">
              <w:rPr>
                <w:rtl/>
              </w:rPr>
              <w:t xml:space="preserve">بما في ذلك </w:t>
            </w:r>
            <w:r>
              <w:rPr>
                <w:lang w:val="en-GB"/>
              </w:rPr>
              <w:t>20 000</w:t>
            </w:r>
            <w:r w:rsidR="00F229E8" w:rsidRPr="00854FDC">
              <w:rPr>
                <w:rtl/>
                <w:lang w:val="en-GB" w:bidi="ar-JO"/>
              </w:rPr>
              <w:t xml:space="preserve"> فرنك سويسري من ميزانية الاتحاد، و</w:t>
            </w:r>
            <w:r w:rsidR="00A828CB">
              <w:rPr>
                <w:lang w:val="en-GB" w:bidi="ar-JO"/>
              </w:rPr>
              <w:t>100 000</w:t>
            </w:r>
            <w:r w:rsidR="00F229E8" w:rsidRPr="00854FDC">
              <w:rPr>
                <w:rtl/>
                <w:lang w:val="en-GB" w:bidi="ar-JO"/>
              </w:rPr>
              <w:t xml:space="preserve"> فرنك سويسري في شكل مساهمات مالية طوعية، و</w:t>
            </w:r>
            <w:r w:rsidR="00A828CB">
              <w:rPr>
                <w:lang w:val="en-GB" w:bidi="ar-JO"/>
              </w:rPr>
              <w:t>20 000</w:t>
            </w:r>
            <w:r w:rsidR="00F229E8" w:rsidRPr="00854FDC">
              <w:rPr>
                <w:rtl/>
                <w:lang w:val="en-GB" w:bidi="ar-JO"/>
              </w:rPr>
              <w:t xml:space="preserve"> فرنك سويسري في شكل مسا</w:t>
            </w:r>
            <w:r w:rsidR="00854FDC">
              <w:rPr>
                <w:rFonts w:hint="cs"/>
                <w:rtl/>
                <w:lang w:val="en-GB" w:bidi="ar-JO"/>
              </w:rPr>
              <w:t>همة</w:t>
            </w:r>
            <w:r w:rsidR="00F229E8" w:rsidRPr="00854FDC">
              <w:rPr>
                <w:rtl/>
                <w:lang w:val="en-GB" w:bidi="ar-JO"/>
              </w:rPr>
              <w:t xml:space="preserve"> عينية.</w:t>
            </w:r>
          </w:p>
          <w:p w14:paraId="6572BFE9" w14:textId="77777777" w:rsidR="003473B8" w:rsidRPr="007B0AA0" w:rsidRDefault="003473B8" w:rsidP="003473B8">
            <w:pPr>
              <w:rPr>
                <w:rFonts w:ascii="Traditional Arabic" w:hAnsi="Traditional Arabic" w:cs="Traditional Arabic"/>
                <w:sz w:val="30"/>
                <w:szCs w:val="30"/>
                <w:rtl/>
              </w:rPr>
            </w:pPr>
            <w:r w:rsidRPr="007B0AA0">
              <w:rPr>
                <w:rFonts w:ascii="Traditional Arabic" w:hAnsi="Traditional Arabic" w:cs="Traditional Arabic"/>
                <w:sz w:val="30"/>
                <w:szCs w:val="30"/>
                <w:rtl/>
              </w:rPr>
              <w:t>___________</w:t>
            </w:r>
          </w:p>
          <w:p w14:paraId="26907B2C" w14:textId="77777777" w:rsidR="007B0AA0" w:rsidRPr="00854FDC" w:rsidRDefault="007B0AA0" w:rsidP="007B0AA0">
            <w:pPr>
              <w:rPr>
                <w:b/>
                <w:bCs/>
                <w:rtl/>
              </w:rPr>
            </w:pPr>
            <w:r w:rsidRPr="00854FDC">
              <w:rPr>
                <w:b/>
                <w:bCs/>
                <w:rtl/>
              </w:rPr>
              <w:t>المراجع</w:t>
            </w:r>
          </w:p>
          <w:p w14:paraId="0FD206FA" w14:textId="6576491F" w:rsidR="00E27A66" w:rsidRPr="00854FDC" w:rsidRDefault="00EC5C54" w:rsidP="009A1BFA">
            <w:pPr>
              <w:spacing w:after="120"/>
              <w:rPr>
                <w:rtl/>
              </w:rPr>
            </w:pPr>
            <w:hyperlink r:id="rId8" w:history="1">
              <w:r w:rsidR="00F229E8" w:rsidRPr="00854FDC">
                <w:rPr>
                  <w:rStyle w:val="Hyperlink"/>
                  <w:rtl/>
                  <w:lang w:bidi="ar-JO"/>
                </w:rPr>
                <w:t>ال</w:t>
              </w:r>
              <w:r w:rsidR="00F229E8" w:rsidRPr="00854FDC">
                <w:rPr>
                  <w:rStyle w:val="Hyperlink"/>
                  <w:rtl/>
                </w:rPr>
                <w:t xml:space="preserve">قرار </w:t>
              </w:r>
              <w:r w:rsidR="00F229E8" w:rsidRPr="00854FDC">
                <w:rPr>
                  <w:rStyle w:val="Hyperlink"/>
                  <w:lang w:val="en-GB"/>
                </w:rPr>
                <w:t>1408</w:t>
              </w:r>
              <w:r w:rsidR="00F229E8" w:rsidRPr="00854FDC">
                <w:rPr>
                  <w:rStyle w:val="Hyperlink"/>
                  <w:rtl/>
                  <w:lang w:val="en-GB" w:bidi="ar-JO"/>
                </w:rPr>
                <w:t xml:space="preserve"> </w:t>
              </w:r>
              <w:r w:rsidR="00F229E8" w:rsidRPr="00854FDC">
                <w:rPr>
                  <w:rStyle w:val="Hyperlink"/>
                  <w:lang w:val="en-GB" w:bidi="ar-JO"/>
                </w:rPr>
                <w:t>(C22)</w:t>
              </w:r>
            </w:hyperlink>
            <w:r w:rsidR="00F229E8" w:rsidRPr="00854FDC">
              <w:rPr>
                <w:rtl/>
                <w:lang w:val="en-GB" w:bidi="ar-JO"/>
              </w:rPr>
              <w:t xml:space="preserve"> الصادر عن المجلس؛ الوثيقة </w:t>
            </w:r>
            <w:hyperlink r:id="rId9" w:history="1">
              <w:r w:rsidR="00F229E8" w:rsidRPr="00854FDC">
                <w:rPr>
                  <w:rStyle w:val="Hyperlink"/>
                  <w:lang w:val="en-GB" w:bidi="ar-JO"/>
                </w:rPr>
                <w:t>PP-22/70</w:t>
              </w:r>
            </w:hyperlink>
            <w:r w:rsidR="00F229E8" w:rsidRPr="00854FDC">
              <w:rPr>
                <w:rtl/>
                <w:lang w:val="en-GB" w:bidi="ar-JO"/>
              </w:rPr>
              <w:t xml:space="preserve"> لمؤتمر المندوبين المفوَّضين </w:t>
            </w:r>
          </w:p>
        </w:tc>
      </w:tr>
    </w:tbl>
    <w:p w14:paraId="63946543" w14:textId="77777777" w:rsidR="00E61BE8" w:rsidRPr="00854FDC" w:rsidRDefault="00E61BE8" w:rsidP="00E61BE8">
      <w:pPr>
        <w:rPr>
          <w:rtl/>
          <w:lang w:bidi="ar-EG"/>
        </w:rPr>
      </w:pPr>
    </w:p>
    <w:p w14:paraId="4EFDA1C4" w14:textId="77777777" w:rsidR="00F50E3F" w:rsidRPr="00854FDC" w:rsidRDefault="00F50E3F" w:rsidP="00E27A66">
      <w:pPr>
        <w:rPr>
          <w:rtl/>
          <w:lang w:bidi="ar-EG"/>
        </w:rPr>
      </w:pPr>
      <w:r w:rsidRPr="00854FDC">
        <w:rPr>
          <w:rtl/>
          <w:lang w:bidi="ar-EG"/>
        </w:rPr>
        <w:br w:type="page"/>
      </w:r>
    </w:p>
    <w:p w14:paraId="7333C1A7" w14:textId="491ADA1C" w:rsidR="00F50E3F" w:rsidRPr="00854FDC" w:rsidRDefault="00E27A66" w:rsidP="00673221">
      <w:pPr>
        <w:pStyle w:val="Heading1"/>
        <w:rPr>
          <w:rtl/>
          <w:lang w:bidi="ar-EG"/>
        </w:rPr>
      </w:pPr>
      <w:r w:rsidRPr="00854FDC">
        <w:rPr>
          <w:lang w:bidi="ar-EG"/>
        </w:rPr>
        <w:lastRenderedPageBreak/>
        <w:t>1</w:t>
      </w:r>
      <w:r w:rsidRPr="00854FDC">
        <w:rPr>
          <w:lang w:bidi="ar-EG"/>
        </w:rPr>
        <w:tab/>
      </w:r>
      <w:r w:rsidR="00673221" w:rsidRPr="00854FDC">
        <w:rPr>
          <w:rtl/>
        </w:rPr>
        <w:t>مقدمة</w:t>
      </w:r>
    </w:p>
    <w:p w14:paraId="013C7E4B" w14:textId="127283AB" w:rsidR="00F229E8" w:rsidRPr="006E5460" w:rsidRDefault="00F229E8" w:rsidP="00BF2003">
      <w:pPr>
        <w:rPr>
          <w:rFonts w:eastAsia="Times New Roman"/>
          <w:color w:val="000000"/>
          <w:spacing w:val="-2"/>
          <w:rtl/>
          <w:lang w:val="en-GB" w:eastAsia="en-US" w:bidi="ar-JO"/>
        </w:rPr>
      </w:pPr>
      <w:r w:rsidRPr="006E5460">
        <w:rPr>
          <w:spacing w:val="-2"/>
          <w:rtl/>
          <w:lang w:bidi="ar-JO"/>
        </w:rPr>
        <w:t>يوج</w:t>
      </w:r>
      <w:r w:rsidR="002827A8" w:rsidRPr="006E5460">
        <w:rPr>
          <w:rFonts w:hint="cs"/>
          <w:spacing w:val="-2"/>
          <w:rtl/>
          <w:lang w:bidi="ar-JO"/>
        </w:rPr>
        <w:t>ِ</w:t>
      </w:r>
      <w:r w:rsidRPr="006E5460">
        <w:rPr>
          <w:spacing w:val="-2"/>
          <w:rtl/>
          <w:lang w:bidi="ar-JO"/>
        </w:rPr>
        <w:t>ز</w:t>
      </w:r>
      <w:r w:rsidR="00F74AD3" w:rsidRPr="006E5460">
        <w:rPr>
          <w:rFonts w:hint="cs"/>
          <w:spacing w:val="-2"/>
          <w:rtl/>
          <w:lang w:bidi="ar-JO"/>
        </w:rPr>
        <w:t>ُ</w:t>
      </w:r>
      <w:r w:rsidRPr="006E5460">
        <w:rPr>
          <w:spacing w:val="-2"/>
          <w:rtl/>
          <w:lang w:bidi="ar-JO"/>
        </w:rPr>
        <w:t xml:space="preserve"> هذا التقرير </w:t>
      </w:r>
      <w:r w:rsidRPr="006E5460">
        <w:rPr>
          <w:rFonts w:eastAsia="Times New Roman"/>
          <w:color w:val="000000"/>
          <w:spacing w:val="-2"/>
          <w:rtl/>
          <w:lang w:eastAsia="en-US"/>
        </w:rPr>
        <w:t xml:space="preserve">الإجراءات </w:t>
      </w:r>
      <w:r w:rsidRPr="006E5460">
        <w:rPr>
          <w:spacing w:val="-2"/>
          <w:rtl/>
        </w:rPr>
        <w:t>التي</w:t>
      </w:r>
      <w:r w:rsidRPr="006E5460">
        <w:rPr>
          <w:rFonts w:eastAsia="Times New Roman"/>
          <w:color w:val="000000"/>
          <w:spacing w:val="-2"/>
          <w:rtl/>
          <w:lang w:eastAsia="en-US"/>
        </w:rPr>
        <w:t xml:space="preserve"> </w:t>
      </w:r>
      <w:r w:rsidR="001E17B3" w:rsidRPr="006E5460">
        <w:rPr>
          <w:rFonts w:eastAsia="Times New Roman" w:hint="cs"/>
          <w:color w:val="000000"/>
          <w:spacing w:val="-2"/>
          <w:rtl/>
          <w:lang w:eastAsia="en-US"/>
        </w:rPr>
        <w:t>تتخذها</w:t>
      </w:r>
      <w:r w:rsidRPr="006E5460">
        <w:rPr>
          <w:rFonts w:eastAsia="Times New Roman"/>
          <w:color w:val="000000"/>
          <w:spacing w:val="-2"/>
          <w:rtl/>
          <w:lang w:eastAsia="en-US"/>
        </w:rPr>
        <w:t xml:space="preserve"> أمانة الاتحاد </w:t>
      </w:r>
      <w:r w:rsidR="001E17B3" w:rsidRPr="006E5460">
        <w:rPr>
          <w:rFonts w:eastAsia="Times New Roman" w:hint="cs"/>
          <w:color w:val="000000"/>
          <w:spacing w:val="-2"/>
          <w:rtl/>
          <w:lang w:eastAsia="en-US"/>
        </w:rPr>
        <w:t>عملاً</w:t>
      </w:r>
      <w:r w:rsidRPr="006E5460">
        <w:rPr>
          <w:rFonts w:eastAsia="Times New Roman"/>
          <w:color w:val="000000"/>
          <w:spacing w:val="-2"/>
          <w:rtl/>
          <w:lang w:eastAsia="en-US"/>
        </w:rPr>
        <w:t xml:space="preserve"> </w:t>
      </w:r>
      <w:r w:rsidR="001E17B3" w:rsidRPr="006E5460">
        <w:rPr>
          <w:rFonts w:eastAsia="Times New Roman" w:hint="cs"/>
          <w:color w:val="000000"/>
          <w:spacing w:val="-2"/>
          <w:rtl/>
          <w:lang w:eastAsia="en-US"/>
        </w:rPr>
        <w:t>ب</w:t>
      </w:r>
      <w:r w:rsidRPr="006E5460">
        <w:rPr>
          <w:rFonts w:eastAsia="Times New Roman"/>
          <w:color w:val="000000"/>
          <w:spacing w:val="-2"/>
          <w:rtl/>
          <w:lang w:eastAsia="en-US"/>
        </w:rPr>
        <w:t xml:space="preserve">أحكام الفقرة </w:t>
      </w:r>
      <w:r w:rsidRPr="003473B8">
        <w:rPr>
          <w:rFonts w:eastAsia="Times New Roman"/>
          <w:i/>
          <w:iCs/>
          <w:color w:val="000000"/>
          <w:spacing w:val="-2"/>
          <w:rtl/>
          <w:lang w:eastAsia="en-US"/>
        </w:rPr>
        <w:t>"يقرر"</w:t>
      </w:r>
      <w:r w:rsidRPr="006E5460">
        <w:rPr>
          <w:rFonts w:eastAsia="Times New Roman"/>
          <w:color w:val="000000"/>
          <w:spacing w:val="-2"/>
          <w:rtl/>
          <w:lang w:eastAsia="en-US"/>
        </w:rPr>
        <w:t xml:space="preserve"> من </w:t>
      </w:r>
      <w:hyperlink r:id="rId10" w:history="1">
        <w:r w:rsidRPr="006E5460">
          <w:rPr>
            <w:rStyle w:val="Hyperlink"/>
            <w:rFonts w:eastAsia="Times New Roman"/>
            <w:spacing w:val="-2"/>
            <w:rtl/>
            <w:lang w:eastAsia="en-US"/>
          </w:rPr>
          <w:t xml:space="preserve">القرار </w:t>
        </w:r>
        <w:r w:rsidRPr="006E5460">
          <w:rPr>
            <w:rStyle w:val="Hyperlink"/>
            <w:rFonts w:eastAsia="Times New Roman"/>
            <w:spacing w:val="-2"/>
            <w:lang w:val="en-GB" w:eastAsia="en-US"/>
          </w:rPr>
          <w:t>1408</w:t>
        </w:r>
      </w:hyperlink>
      <w:r w:rsidRPr="006E5460">
        <w:rPr>
          <w:rFonts w:eastAsia="Times New Roman"/>
          <w:color w:val="000000"/>
          <w:spacing w:val="-2"/>
          <w:rtl/>
          <w:lang w:val="en-GB" w:eastAsia="en-US" w:bidi="ar-JO"/>
        </w:rPr>
        <w:t xml:space="preserve"> الصادر عن مجلس الاتحاد بشأن </w:t>
      </w:r>
      <w:r w:rsidRPr="006E5460">
        <w:rPr>
          <w:rFonts w:eastAsia="Times New Roman"/>
          <w:b/>
          <w:bCs/>
          <w:color w:val="000000"/>
          <w:spacing w:val="-2"/>
          <w:rtl/>
          <w:lang w:val="en-GB" w:eastAsia="en-US" w:bidi="ar-JO"/>
        </w:rPr>
        <w:t>"تقديم المساعدة والدعم إلى أوكرانيا لإعادة بناء قطاع اتصالاتها"</w:t>
      </w:r>
      <w:r w:rsidRPr="006E5460">
        <w:rPr>
          <w:rFonts w:eastAsia="Times New Roman"/>
          <w:color w:val="000000"/>
          <w:spacing w:val="-2"/>
          <w:rtl/>
          <w:lang w:val="en-GB" w:eastAsia="en-US" w:bidi="ar-JO"/>
        </w:rPr>
        <w:t xml:space="preserve">، </w:t>
      </w:r>
      <w:r w:rsidR="00525B20" w:rsidRPr="006E5460">
        <w:rPr>
          <w:rFonts w:eastAsia="Times New Roman" w:hint="cs"/>
          <w:color w:val="000000"/>
          <w:spacing w:val="-2"/>
          <w:rtl/>
          <w:lang w:val="en-GB" w:eastAsia="en-US" w:bidi="ar-JO"/>
        </w:rPr>
        <w:t>ب</w:t>
      </w:r>
      <w:r w:rsidR="001A0240" w:rsidRPr="006E5460">
        <w:rPr>
          <w:rFonts w:eastAsia="Times New Roman" w:hint="cs"/>
          <w:color w:val="000000"/>
          <w:spacing w:val="-2"/>
          <w:rtl/>
          <w:lang w:val="en-GB" w:eastAsia="en-US" w:bidi="ar-JO"/>
        </w:rPr>
        <w:t xml:space="preserve">التركيز </w:t>
      </w:r>
      <w:r w:rsidR="001E17B3" w:rsidRPr="006E5460">
        <w:rPr>
          <w:rFonts w:eastAsia="Times New Roman" w:hint="cs"/>
          <w:color w:val="000000"/>
          <w:spacing w:val="-2"/>
          <w:rtl/>
          <w:lang w:val="en-GB" w:eastAsia="en-US" w:bidi="ar-JO"/>
        </w:rPr>
        <w:t xml:space="preserve">خصوصاً </w:t>
      </w:r>
      <w:r w:rsidR="001A0240" w:rsidRPr="006E5460">
        <w:rPr>
          <w:rFonts w:eastAsia="Times New Roman" w:hint="cs"/>
          <w:color w:val="000000"/>
          <w:spacing w:val="-2"/>
          <w:rtl/>
          <w:lang w:val="en-GB" w:eastAsia="en-US" w:bidi="ar-JO"/>
        </w:rPr>
        <w:t xml:space="preserve">على </w:t>
      </w:r>
      <w:r w:rsidR="001A0240" w:rsidRPr="006E5460">
        <w:rPr>
          <w:spacing w:val="-2"/>
          <w:rtl/>
        </w:rPr>
        <w:t>عمليت</w:t>
      </w:r>
      <w:r w:rsidR="001A0240" w:rsidRPr="006E5460">
        <w:rPr>
          <w:rFonts w:hint="cs"/>
          <w:spacing w:val="-2"/>
          <w:rtl/>
        </w:rPr>
        <w:t>َ</w:t>
      </w:r>
      <w:r w:rsidR="001A0240" w:rsidRPr="006E5460">
        <w:rPr>
          <w:spacing w:val="-2"/>
          <w:rtl/>
        </w:rPr>
        <w:t>ي الرصد والإبلاغ، وآليات التنسيق، وتيسير المساعدة التقنية، وتعبئة الموارد</w:t>
      </w:r>
      <w:r w:rsidR="0014720D" w:rsidRPr="006E5460">
        <w:rPr>
          <w:spacing w:val="-2"/>
          <w:rtl/>
        </w:rPr>
        <w:t xml:space="preserve"> منذ </w:t>
      </w:r>
      <w:r w:rsidR="001E17B3" w:rsidRPr="006E5460">
        <w:rPr>
          <w:rFonts w:hint="cs"/>
          <w:spacing w:val="-2"/>
          <w:rtl/>
        </w:rPr>
        <w:t xml:space="preserve">تقديم </w:t>
      </w:r>
      <w:r w:rsidR="001A0240" w:rsidRPr="006E5460">
        <w:rPr>
          <w:rFonts w:hint="cs"/>
          <w:spacing w:val="-2"/>
          <w:rtl/>
        </w:rPr>
        <w:t xml:space="preserve">آخر </w:t>
      </w:r>
      <w:r w:rsidR="001E17B3" w:rsidRPr="006E5460">
        <w:rPr>
          <w:rFonts w:hint="cs"/>
          <w:spacing w:val="-2"/>
          <w:rtl/>
        </w:rPr>
        <w:t>تقرير إلى</w:t>
      </w:r>
      <w:r w:rsidR="001A0240" w:rsidRPr="006E5460">
        <w:rPr>
          <w:rFonts w:hint="cs"/>
          <w:spacing w:val="-2"/>
          <w:rtl/>
        </w:rPr>
        <w:t xml:space="preserve"> </w:t>
      </w:r>
      <w:r w:rsidR="001A0240" w:rsidRPr="006E5460">
        <w:rPr>
          <w:rFonts w:eastAsia="Times New Roman" w:hint="cs"/>
          <w:color w:val="000000"/>
          <w:spacing w:val="-2"/>
          <w:rtl/>
          <w:lang w:val="en-GB" w:eastAsia="en-US" w:bidi="ar-JO"/>
        </w:rPr>
        <w:t xml:space="preserve">مؤتمر </w:t>
      </w:r>
      <w:r w:rsidR="0014720D" w:rsidRPr="006E5460">
        <w:rPr>
          <w:rFonts w:eastAsia="Times New Roman"/>
          <w:color w:val="000000"/>
          <w:spacing w:val="-2"/>
          <w:rtl/>
          <w:lang w:val="en-GB" w:eastAsia="en-US" w:bidi="ar-JO"/>
        </w:rPr>
        <w:t xml:space="preserve">المندوبين المفوَّضين </w:t>
      </w:r>
      <w:r w:rsidR="001A0240" w:rsidRPr="006E5460">
        <w:rPr>
          <w:rFonts w:eastAsia="Times New Roman" w:hint="cs"/>
          <w:color w:val="000000"/>
          <w:spacing w:val="-2"/>
          <w:rtl/>
          <w:lang w:val="en-GB" w:eastAsia="en-US" w:bidi="ar-JO"/>
        </w:rPr>
        <w:t xml:space="preserve">للاتحاد </w:t>
      </w:r>
      <w:r w:rsidR="0014720D" w:rsidRPr="006E5460">
        <w:rPr>
          <w:rFonts w:eastAsia="Times New Roman"/>
          <w:color w:val="000000"/>
          <w:spacing w:val="-2"/>
          <w:rtl/>
          <w:lang w:val="en-GB" w:eastAsia="en-US" w:bidi="ar-JO"/>
        </w:rPr>
        <w:t>(</w:t>
      </w:r>
      <w:hyperlink r:id="rId11" w:history="1">
        <w:r w:rsidR="0014720D" w:rsidRPr="006E5460">
          <w:rPr>
            <w:rStyle w:val="Hyperlink"/>
            <w:rFonts w:eastAsia="Times New Roman"/>
            <w:spacing w:val="-2"/>
            <w:rtl/>
            <w:lang w:val="en-GB" w:eastAsia="en-US" w:bidi="ar-JO"/>
          </w:rPr>
          <w:t xml:space="preserve">الوثيقة </w:t>
        </w:r>
        <w:r w:rsidR="0014720D" w:rsidRPr="006E5460">
          <w:rPr>
            <w:rStyle w:val="Hyperlink"/>
            <w:rFonts w:eastAsia="Times New Roman"/>
            <w:spacing w:val="-2"/>
            <w:lang w:val="en-GB" w:eastAsia="en-US" w:bidi="ar-JO"/>
          </w:rPr>
          <w:t>PP</w:t>
        </w:r>
        <w:r w:rsidR="006E5460" w:rsidRPr="006E5460">
          <w:rPr>
            <w:rStyle w:val="Hyperlink"/>
            <w:rFonts w:eastAsia="Times New Roman"/>
            <w:spacing w:val="-2"/>
            <w:lang w:val="en-GB" w:eastAsia="en-US" w:bidi="ar-JO"/>
          </w:rPr>
          <w:noBreakHyphen/>
        </w:r>
        <w:r w:rsidR="0014720D" w:rsidRPr="006E5460">
          <w:rPr>
            <w:rStyle w:val="Hyperlink"/>
            <w:rFonts w:eastAsia="Times New Roman"/>
            <w:spacing w:val="-2"/>
            <w:lang w:val="en-GB" w:eastAsia="en-US" w:bidi="ar-JO"/>
          </w:rPr>
          <w:t>22/70</w:t>
        </w:r>
      </w:hyperlink>
      <w:r w:rsidR="0014720D" w:rsidRPr="006E5460">
        <w:rPr>
          <w:rFonts w:eastAsia="Times New Roman"/>
          <w:color w:val="000000"/>
          <w:spacing w:val="-2"/>
          <w:rtl/>
          <w:lang w:val="en-GB" w:eastAsia="en-US" w:bidi="ar-JO"/>
        </w:rPr>
        <w:t>).</w:t>
      </w:r>
    </w:p>
    <w:p w14:paraId="0269BEA1" w14:textId="47297C2E" w:rsidR="00E27A66" w:rsidRPr="00854FDC" w:rsidRDefault="00E27A66" w:rsidP="00673221">
      <w:pPr>
        <w:pStyle w:val="Heading1"/>
        <w:rPr>
          <w:rtl/>
          <w:lang w:bidi="ar-EG"/>
        </w:rPr>
      </w:pPr>
      <w:r w:rsidRPr="00854FDC">
        <w:rPr>
          <w:lang w:bidi="ar-EG"/>
        </w:rPr>
        <w:t>2</w:t>
      </w:r>
      <w:r w:rsidRPr="00854FDC">
        <w:rPr>
          <w:lang w:bidi="ar-EG"/>
        </w:rPr>
        <w:tab/>
      </w:r>
      <w:r w:rsidR="00673221" w:rsidRPr="00854FDC">
        <w:rPr>
          <w:rtl/>
        </w:rPr>
        <w:t>الرصد والإبلاغ</w:t>
      </w:r>
    </w:p>
    <w:p w14:paraId="64124AD6" w14:textId="09ACBA29" w:rsidR="00673221" w:rsidRPr="00854FDC" w:rsidRDefault="00673221" w:rsidP="00BF2003">
      <w:pPr>
        <w:rPr>
          <w:lang w:val="ar-SA" w:bidi="ar-EG"/>
        </w:rPr>
      </w:pPr>
      <w:r w:rsidRPr="00854FDC">
        <w:rPr>
          <w:rtl/>
        </w:rPr>
        <w:t>بهدف تيسير المساعدة التقنية الفع</w:t>
      </w:r>
      <w:r w:rsidR="0014720D" w:rsidRPr="00854FDC">
        <w:rPr>
          <w:rtl/>
        </w:rPr>
        <w:t>ّ</w:t>
      </w:r>
      <w:r w:rsidRPr="00854FDC">
        <w:rPr>
          <w:rtl/>
        </w:rPr>
        <w:t xml:space="preserve">الة، </w:t>
      </w:r>
      <w:r w:rsidR="0014720D" w:rsidRPr="00854FDC">
        <w:rPr>
          <w:rtl/>
        </w:rPr>
        <w:t>تواصلت</w:t>
      </w:r>
      <w:r w:rsidRPr="00854FDC">
        <w:rPr>
          <w:rtl/>
        </w:rPr>
        <w:t xml:space="preserve"> عملية </w:t>
      </w:r>
      <w:r w:rsidR="0014720D" w:rsidRPr="00854FDC">
        <w:rPr>
          <w:rtl/>
        </w:rPr>
        <w:t>ال</w:t>
      </w:r>
      <w:r w:rsidRPr="00854FDC">
        <w:rPr>
          <w:rtl/>
        </w:rPr>
        <w:t xml:space="preserve">رصد </w:t>
      </w:r>
      <w:r w:rsidR="0014720D" w:rsidRPr="00854FDC">
        <w:rPr>
          <w:rtl/>
        </w:rPr>
        <w:t>ال</w:t>
      </w:r>
      <w:r w:rsidRPr="00854FDC">
        <w:rPr>
          <w:rtl/>
        </w:rPr>
        <w:t xml:space="preserve">مستمر </w:t>
      </w:r>
      <w:r w:rsidR="0014720D" w:rsidRPr="00854FDC">
        <w:rPr>
          <w:rtl/>
        </w:rPr>
        <w:t>ل</w:t>
      </w:r>
      <w:r w:rsidRPr="00854FDC">
        <w:rPr>
          <w:rtl/>
        </w:rPr>
        <w:t xml:space="preserve">لمرونة الرقمية في أوكرانيا. </w:t>
      </w:r>
      <w:r w:rsidR="001E17B3">
        <w:rPr>
          <w:rFonts w:hint="cs"/>
          <w:rtl/>
        </w:rPr>
        <w:t>ويجري باستمرار</w:t>
      </w:r>
      <w:r w:rsidRPr="00854FDC">
        <w:rPr>
          <w:rtl/>
        </w:rPr>
        <w:t xml:space="preserve"> </w:t>
      </w:r>
      <w:r w:rsidR="008D6E0A" w:rsidRPr="00854FDC">
        <w:rPr>
          <w:rtl/>
        </w:rPr>
        <w:t>تحديثٌ ل</w:t>
      </w:r>
      <w:r w:rsidRPr="00854FDC">
        <w:rPr>
          <w:rtl/>
        </w:rPr>
        <w:t xml:space="preserve">موقع إلكتروني خاص مكرَّس لتنفيذ القرار </w:t>
      </w:r>
      <w:r w:rsidR="0014720D" w:rsidRPr="00854FDC">
        <w:t>1408</w:t>
      </w:r>
      <w:r w:rsidR="0014720D" w:rsidRPr="00854FDC">
        <w:rPr>
          <w:rtl/>
          <w:lang w:bidi="ar-JO"/>
        </w:rPr>
        <w:t xml:space="preserve"> الصادر عن المجلس</w:t>
      </w:r>
      <w:r w:rsidRPr="00854FDC">
        <w:rPr>
          <w:rtl/>
        </w:rPr>
        <w:t xml:space="preserve">، </w:t>
      </w:r>
      <w:r w:rsidR="00687612">
        <w:rPr>
          <w:rFonts w:hint="cs"/>
          <w:rtl/>
        </w:rPr>
        <w:t>و</w:t>
      </w:r>
      <w:r w:rsidRPr="00854FDC">
        <w:rPr>
          <w:rtl/>
        </w:rPr>
        <w:t xml:space="preserve">يُتاح الاطلاع عليه </w:t>
      </w:r>
      <w:hyperlink r:id="rId12" w:history="1">
        <w:r w:rsidRPr="00854FDC">
          <w:rPr>
            <w:rStyle w:val="Hyperlink"/>
            <w:rtl/>
          </w:rPr>
          <w:t>هنا</w:t>
        </w:r>
      </w:hyperlink>
      <w:r w:rsidRPr="00854FDC">
        <w:rPr>
          <w:rtl/>
        </w:rPr>
        <w:t>.</w:t>
      </w:r>
    </w:p>
    <w:p w14:paraId="2E415E5B" w14:textId="40BE1119" w:rsidR="00E27A66" w:rsidRPr="00687612" w:rsidRDefault="008D6E0A" w:rsidP="00687612">
      <w:pPr>
        <w:spacing w:before="240"/>
        <w:rPr>
          <w:rtl/>
          <w:lang w:val="en-GB" w:bidi="ar-JO"/>
        </w:rPr>
      </w:pPr>
      <w:r w:rsidRPr="00687612">
        <w:rPr>
          <w:b/>
          <w:bCs/>
          <w:rtl/>
        </w:rPr>
        <w:t>ألف.</w:t>
      </w:r>
      <w:r w:rsidRPr="00687612">
        <w:rPr>
          <w:rtl/>
        </w:rPr>
        <w:t xml:space="preserve"> </w:t>
      </w:r>
      <w:r w:rsidR="008D3A86" w:rsidRPr="007F043E">
        <w:rPr>
          <w:rtl/>
          <w:lang w:val="en-GB" w:bidi="ar-JO"/>
        </w:rPr>
        <w:t>نُشر</w:t>
      </w:r>
      <w:r w:rsidR="008D3A86" w:rsidRPr="00687612">
        <w:rPr>
          <w:b/>
          <w:bCs/>
          <w:rtl/>
          <w:lang w:val="en-GB" w:bidi="ar-JO"/>
        </w:rPr>
        <w:t xml:space="preserve"> التقييم المؤقت عن الأضرار التي لحقت بالبنية التحتية للاتصالات وقدرة النظام الإيكولوجي لتكنولوجيا المعلومات والاتصالات </w:t>
      </w:r>
      <w:r w:rsidR="00921D7B" w:rsidRPr="00687612">
        <w:rPr>
          <w:b/>
          <w:bCs/>
          <w:rtl/>
          <w:lang w:val="en-GB" w:bidi="ar-JO"/>
        </w:rPr>
        <w:t>في أوكرانيا</w:t>
      </w:r>
      <w:r w:rsidR="00921D7B" w:rsidRPr="00687612">
        <w:rPr>
          <w:rtl/>
          <w:lang w:val="en-GB" w:bidi="ar-JO"/>
        </w:rPr>
        <w:t xml:space="preserve"> </w:t>
      </w:r>
      <w:r w:rsidR="00687612" w:rsidRPr="00687612">
        <w:rPr>
          <w:rFonts w:hint="cs"/>
          <w:b/>
          <w:bCs/>
          <w:rtl/>
          <w:lang w:val="en-GB" w:bidi="ar-JO"/>
        </w:rPr>
        <w:t>على الصمود</w:t>
      </w:r>
      <w:r w:rsidR="00687612">
        <w:rPr>
          <w:rFonts w:hint="cs"/>
          <w:rtl/>
          <w:lang w:val="en-GB" w:bidi="ar-JO"/>
        </w:rPr>
        <w:t xml:space="preserve"> </w:t>
      </w:r>
      <w:r w:rsidR="00921D7B" w:rsidRPr="00687612">
        <w:rPr>
          <w:rtl/>
          <w:lang w:val="en-GB" w:bidi="ar-JO"/>
        </w:rPr>
        <w:t xml:space="preserve">في ديسمبر </w:t>
      </w:r>
      <w:r w:rsidR="00921D7B" w:rsidRPr="00687612">
        <w:rPr>
          <w:lang w:val="en-GB" w:bidi="ar-JO"/>
        </w:rPr>
        <w:t>2022</w:t>
      </w:r>
      <w:r w:rsidR="00921D7B" w:rsidRPr="00687612">
        <w:rPr>
          <w:rtl/>
          <w:lang w:val="en-GB" w:bidi="ar-JO"/>
        </w:rPr>
        <w:t xml:space="preserve"> </w:t>
      </w:r>
      <w:r w:rsidR="001E17B3">
        <w:rPr>
          <w:rFonts w:hint="cs"/>
          <w:rtl/>
          <w:lang w:val="en-GB" w:bidi="ar-JO"/>
        </w:rPr>
        <w:t>ب</w:t>
      </w:r>
      <w:r w:rsidR="00921D7B" w:rsidRPr="00687612">
        <w:rPr>
          <w:rtl/>
          <w:lang w:val="en-GB" w:bidi="ar-JO"/>
        </w:rPr>
        <w:t xml:space="preserve">غرض برمجة </w:t>
      </w:r>
      <w:r w:rsidR="005C03AB" w:rsidRPr="00687612">
        <w:rPr>
          <w:rtl/>
          <w:lang w:val="en-GB" w:bidi="ar-JO"/>
        </w:rPr>
        <w:t>المساعدة الفعّالة المقدّمة إلى أوكرانيا وتيسير تعبئة الموارد لإعادة بناء البنية التحتية للاتصالات في أوكرانيا</w:t>
      </w:r>
      <w:r w:rsidR="005C03AB" w:rsidRPr="001A4679">
        <w:rPr>
          <w:rStyle w:val="FootnoteReference"/>
          <w:rtl/>
        </w:rPr>
        <w:footnoteReference w:id="1"/>
      </w:r>
      <w:r w:rsidR="005C03AB" w:rsidRPr="00687612">
        <w:rPr>
          <w:rtl/>
          <w:lang w:val="en-GB" w:bidi="ar-JO"/>
        </w:rPr>
        <w:t>.</w:t>
      </w:r>
    </w:p>
    <w:p w14:paraId="613F85BD" w14:textId="59330151" w:rsidR="005C03AB" w:rsidRPr="00854FDC" w:rsidRDefault="005C03AB" w:rsidP="00E61BE8">
      <w:pPr>
        <w:rPr>
          <w:rtl/>
          <w:lang w:val="en-GB" w:bidi="ar-JO"/>
        </w:rPr>
      </w:pPr>
      <w:r w:rsidRPr="00854FDC">
        <w:rPr>
          <w:rtl/>
          <w:lang w:val="en-GB" w:bidi="ar-JO"/>
        </w:rPr>
        <w:t>ويغطي التقرير فترة الأشهر الستة الأولى للحرب ويذكر أنه على مستوى السياسات العامة والخاصة</w:t>
      </w:r>
      <w:r w:rsidR="00687612">
        <w:rPr>
          <w:rFonts w:hint="cs"/>
          <w:rtl/>
          <w:lang w:val="en-GB" w:bidi="ar-JO"/>
        </w:rPr>
        <w:t>،</w:t>
      </w:r>
      <w:r w:rsidRPr="00854FDC">
        <w:rPr>
          <w:rtl/>
          <w:lang w:val="en-GB" w:bidi="ar-JO"/>
        </w:rPr>
        <w:t xml:space="preserve"> وتدابير الطوارئ، أثبت قطاع الاتصالات في أوكرانيا قدرته على الصمود، ومع ذلك:</w:t>
      </w:r>
    </w:p>
    <w:p w14:paraId="43452D42" w14:textId="45E7A7BC" w:rsidR="00B252DC" w:rsidRPr="00854FDC" w:rsidRDefault="008C5502" w:rsidP="009A4282">
      <w:pPr>
        <w:pStyle w:val="enumlev1"/>
        <w:rPr>
          <w:lang w:val="en-GB"/>
        </w:rPr>
      </w:pPr>
      <w:r w:rsidRPr="003F3F59">
        <w:rPr>
          <w:rFonts w:eastAsia="SimSun"/>
          <w:position w:val="2"/>
          <w:lang w:eastAsia="en-US" w:bidi="ar-EG"/>
        </w:rPr>
        <w:sym w:font="Symbol" w:char="F0B7"/>
      </w:r>
      <w:r w:rsidRPr="003F3F59">
        <w:rPr>
          <w:rtl/>
          <w:lang w:eastAsia="en-US" w:bidi="ar-SA"/>
        </w:rPr>
        <w:tab/>
      </w:r>
      <w:r w:rsidR="00B252DC" w:rsidRPr="00854FDC">
        <w:rPr>
          <w:rtl/>
          <w:lang w:val="en-GB"/>
        </w:rPr>
        <w:t xml:space="preserve">دُمّرت أو احتُلّت جزئياً، وفي بعض الحالات كلياً، شبكات تكنولوجيا المعلومات والاتصالات التابعة </w:t>
      </w:r>
      <w:r w:rsidR="00687612">
        <w:rPr>
          <w:rFonts w:hint="cs"/>
          <w:rtl/>
          <w:lang w:val="en-GB"/>
        </w:rPr>
        <w:t>للمشغّلين</w:t>
      </w:r>
      <w:r w:rsidR="00B252DC" w:rsidRPr="00854FDC">
        <w:rPr>
          <w:rtl/>
          <w:lang w:val="en-GB"/>
        </w:rPr>
        <w:t>؛</w:t>
      </w:r>
    </w:p>
    <w:p w14:paraId="0D0A5B2F" w14:textId="11AA962C" w:rsidR="005C03AB" w:rsidRPr="00854FDC" w:rsidRDefault="008C5502" w:rsidP="009A4282">
      <w:pPr>
        <w:pStyle w:val="enumlev1"/>
        <w:rPr>
          <w:lang w:val="en-GB"/>
        </w:rPr>
      </w:pPr>
      <w:r w:rsidRPr="003F3F59">
        <w:rPr>
          <w:rFonts w:eastAsia="SimSun"/>
          <w:position w:val="2"/>
          <w:lang w:eastAsia="en-US" w:bidi="ar-EG"/>
        </w:rPr>
        <w:sym w:font="Symbol" w:char="F0B7"/>
      </w:r>
      <w:r w:rsidRPr="003F3F59">
        <w:rPr>
          <w:rtl/>
          <w:lang w:eastAsia="en-US" w:bidi="ar-SA"/>
        </w:rPr>
        <w:tab/>
      </w:r>
      <w:r w:rsidR="00B252DC" w:rsidRPr="00854FDC">
        <w:rPr>
          <w:rtl/>
          <w:lang w:val="en-GB"/>
        </w:rPr>
        <w:t xml:space="preserve">في غضون </w:t>
      </w:r>
      <w:r w:rsidR="005311D4">
        <w:rPr>
          <w:rFonts w:hint="cs"/>
          <w:rtl/>
          <w:lang w:val="en-GB"/>
        </w:rPr>
        <w:t xml:space="preserve">فترة </w:t>
      </w:r>
      <w:r w:rsidR="00B252DC" w:rsidRPr="00854FDC">
        <w:rPr>
          <w:rtl/>
          <w:lang w:val="en-GB"/>
        </w:rPr>
        <w:t xml:space="preserve">ستة أشهر من الحرب، </w:t>
      </w:r>
      <w:r w:rsidR="00934432">
        <w:rPr>
          <w:rFonts w:hint="cs"/>
          <w:rtl/>
          <w:lang w:val="en-GB"/>
        </w:rPr>
        <w:t>أُبلغَ</w:t>
      </w:r>
      <w:r w:rsidR="00B252DC" w:rsidRPr="00854FDC">
        <w:rPr>
          <w:rtl/>
          <w:lang w:val="en-GB"/>
        </w:rPr>
        <w:t xml:space="preserve"> عن </w:t>
      </w:r>
      <w:r w:rsidR="00B252DC" w:rsidRPr="00854FDC">
        <w:rPr>
          <w:lang w:val="en-GB"/>
        </w:rPr>
        <w:t>1123</w:t>
      </w:r>
      <w:r w:rsidR="00B252DC" w:rsidRPr="00854FDC">
        <w:rPr>
          <w:rtl/>
          <w:lang w:val="en-GB"/>
        </w:rPr>
        <w:t xml:space="preserve"> هجمة سيبرانية</w:t>
      </w:r>
      <w:r w:rsidR="00934432">
        <w:rPr>
          <w:rFonts w:hint="cs"/>
          <w:rtl/>
          <w:lang w:val="en-GB"/>
        </w:rPr>
        <w:t>،</w:t>
      </w:r>
      <w:r w:rsidR="00B252DC" w:rsidRPr="00854FDC">
        <w:rPr>
          <w:rtl/>
          <w:lang w:val="en-GB"/>
        </w:rPr>
        <w:t xml:space="preserve"> استهدفت جميع قطاعات اقتصاد أوكرانيا، بما</w:t>
      </w:r>
      <w:r>
        <w:rPr>
          <w:rFonts w:hint="cs"/>
          <w:rtl/>
          <w:lang w:val="en-GB"/>
        </w:rPr>
        <w:t> </w:t>
      </w:r>
      <w:r w:rsidR="00B252DC" w:rsidRPr="00854FDC">
        <w:rPr>
          <w:rtl/>
          <w:lang w:val="en-GB"/>
        </w:rPr>
        <w:t>في ذلك تكنولوجيا المعلومات وأيضاً الاتصالات؛</w:t>
      </w:r>
    </w:p>
    <w:p w14:paraId="25D105EB" w14:textId="40749380" w:rsidR="007E12CE" w:rsidRPr="009E1629" w:rsidRDefault="008C5502" w:rsidP="009A4282">
      <w:pPr>
        <w:pStyle w:val="enumlev1"/>
        <w:rPr>
          <w:spacing w:val="-2"/>
          <w:lang w:val="en-GB"/>
        </w:rPr>
      </w:pPr>
      <w:r w:rsidRPr="009E1629">
        <w:rPr>
          <w:rFonts w:eastAsia="SimSun"/>
          <w:spacing w:val="-2"/>
          <w:position w:val="2"/>
          <w:lang w:eastAsia="en-US" w:bidi="ar-EG"/>
        </w:rPr>
        <w:sym w:font="Symbol" w:char="F0B7"/>
      </w:r>
      <w:r w:rsidRPr="009E1629">
        <w:rPr>
          <w:spacing w:val="-2"/>
          <w:rtl/>
          <w:lang w:eastAsia="en-US" w:bidi="ar-SA"/>
        </w:rPr>
        <w:tab/>
      </w:r>
      <w:r w:rsidR="007E12CE" w:rsidRPr="009E1629">
        <w:rPr>
          <w:spacing w:val="-2"/>
          <w:rtl/>
          <w:lang w:val="en-GB"/>
        </w:rPr>
        <w:t xml:space="preserve">في يوليو </w:t>
      </w:r>
      <w:r w:rsidR="007E12CE" w:rsidRPr="009E1629">
        <w:rPr>
          <w:spacing w:val="-2"/>
          <w:lang w:val="en-GB"/>
        </w:rPr>
        <w:t>2022</w:t>
      </w:r>
      <w:r w:rsidR="007E12CE" w:rsidRPr="009E1629">
        <w:rPr>
          <w:spacing w:val="-2"/>
          <w:rtl/>
          <w:lang w:val="en-GB"/>
        </w:rPr>
        <w:t xml:space="preserve">، </w:t>
      </w:r>
      <w:r w:rsidR="001E17B3" w:rsidRPr="009E1629">
        <w:rPr>
          <w:rFonts w:hint="cs"/>
          <w:spacing w:val="-2"/>
          <w:rtl/>
          <w:lang w:val="en-GB"/>
        </w:rPr>
        <w:t>كانت</w:t>
      </w:r>
      <w:r w:rsidR="007E12CE" w:rsidRPr="009E1629">
        <w:rPr>
          <w:spacing w:val="-2"/>
          <w:rtl/>
          <w:lang w:val="en-GB"/>
        </w:rPr>
        <w:t xml:space="preserve"> </w:t>
      </w:r>
      <w:r w:rsidR="007E12CE" w:rsidRPr="009E1629">
        <w:rPr>
          <w:spacing w:val="-2"/>
          <w:lang w:val="en-GB"/>
        </w:rPr>
        <w:t>12</w:t>
      </w:r>
      <w:r w:rsidR="0060660A" w:rsidRPr="009E1629">
        <w:rPr>
          <w:spacing w:val="-2"/>
          <w:lang w:val="en-GB"/>
        </w:rPr>
        <w:t>,</w:t>
      </w:r>
      <w:r w:rsidR="007E12CE" w:rsidRPr="009E1629">
        <w:rPr>
          <w:spacing w:val="-2"/>
          <w:lang w:val="en-GB"/>
        </w:rPr>
        <w:t>2</w:t>
      </w:r>
      <w:r w:rsidR="007E12CE" w:rsidRPr="009E1629">
        <w:rPr>
          <w:spacing w:val="-2"/>
          <w:rtl/>
          <w:lang w:val="en-GB"/>
        </w:rPr>
        <w:t xml:space="preserve"> في </w:t>
      </w:r>
      <w:proofErr w:type="gramStart"/>
      <w:r w:rsidR="007E12CE" w:rsidRPr="009E1629">
        <w:rPr>
          <w:spacing w:val="-2"/>
          <w:rtl/>
          <w:lang w:val="en-GB"/>
        </w:rPr>
        <w:t>المائة</w:t>
      </w:r>
      <w:proofErr w:type="gramEnd"/>
      <w:r w:rsidR="007E12CE" w:rsidRPr="009E1629">
        <w:rPr>
          <w:spacing w:val="-2"/>
          <w:rtl/>
          <w:lang w:val="en-GB"/>
        </w:rPr>
        <w:t xml:space="preserve"> من المنازل </w:t>
      </w:r>
      <w:r w:rsidR="001E17B3" w:rsidRPr="009E1629">
        <w:rPr>
          <w:rFonts w:hint="cs"/>
          <w:spacing w:val="-2"/>
          <w:rtl/>
          <w:lang w:val="en-GB"/>
        </w:rPr>
        <w:t xml:space="preserve">قد فقدت </w:t>
      </w:r>
      <w:r w:rsidR="007E12CE" w:rsidRPr="009E1629">
        <w:rPr>
          <w:spacing w:val="-2"/>
          <w:rtl/>
          <w:lang w:val="en-GB"/>
        </w:rPr>
        <w:t xml:space="preserve">إمكانية الوصول إلى خدمات الاتصالات </w:t>
      </w:r>
      <w:r w:rsidR="00934432" w:rsidRPr="009E1629">
        <w:rPr>
          <w:rFonts w:hint="cs"/>
          <w:spacing w:val="-2"/>
          <w:rtl/>
          <w:lang w:val="en-GB"/>
        </w:rPr>
        <w:t>المتنقلة</w:t>
      </w:r>
      <w:r w:rsidR="007E12CE" w:rsidRPr="009E1629">
        <w:rPr>
          <w:spacing w:val="-2"/>
          <w:rtl/>
          <w:lang w:val="en-GB"/>
        </w:rPr>
        <w:t xml:space="preserve"> (</w:t>
      </w:r>
      <w:r w:rsidR="007E12CE" w:rsidRPr="009E1629">
        <w:rPr>
          <w:spacing w:val="-2"/>
          <w:lang w:val="en-GB"/>
        </w:rPr>
        <w:t>3</w:t>
      </w:r>
      <w:r w:rsidR="00C436A5" w:rsidRPr="009E1629">
        <w:rPr>
          <w:spacing w:val="-2"/>
          <w:lang w:val="en-GB"/>
        </w:rPr>
        <w:t>,</w:t>
      </w:r>
      <w:r w:rsidR="007E12CE" w:rsidRPr="009E1629">
        <w:rPr>
          <w:spacing w:val="-2"/>
          <w:lang w:val="en-GB"/>
        </w:rPr>
        <w:t>1</w:t>
      </w:r>
      <w:r w:rsidR="009E1629" w:rsidRPr="009E1629">
        <w:rPr>
          <w:rFonts w:hint="cs"/>
          <w:spacing w:val="-2"/>
          <w:rtl/>
          <w:lang w:val="en-GB"/>
        </w:rPr>
        <w:t> </w:t>
      </w:r>
      <w:r w:rsidR="007E12CE" w:rsidRPr="009E1629">
        <w:rPr>
          <w:spacing w:val="-2"/>
          <w:rtl/>
          <w:lang w:val="en-GB"/>
        </w:rPr>
        <w:t>في</w:t>
      </w:r>
      <w:r w:rsidRPr="009E1629">
        <w:rPr>
          <w:rFonts w:hint="cs"/>
          <w:spacing w:val="-2"/>
          <w:rtl/>
          <w:lang w:val="en-GB"/>
        </w:rPr>
        <w:t> </w:t>
      </w:r>
      <w:r w:rsidR="007E12CE" w:rsidRPr="009E1629">
        <w:rPr>
          <w:spacing w:val="-2"/>
          <w:rtl/>
          <w:lang w:val="en-GB"/>
        </w:rPr>
        <w:t xml:space="preserve">المائة جزئياً)، وكانت </w:t>
      </w:r>
      <w:r w:rsidR="007E12CE" w:rsidRPr="009E1629">
        <w:rPr>
          <w:spacing w:val="-2"/>
          <w:lang w:val="en-GB"/>
        </w:rPr>
        <w:t>11</w:t>
      </w:r>
      <w:r w:rsidR="007E12CE" w:rsidRPr="009E1629">
        <w:rPr>
          <w:spacing w:val="-2"/>
          <w:rtl/>
          <w:lang w:val="en-GB"/>
        </w:rPr>
        <w:t xml:space="preserve"> في المائة من محطات قاعدة مشغّلي الاتصالات المتنقلة خارج الخدمة، وتضرّ</w:t>
      </w:r>
      <w:r w:rsidR="00934432" w:rsidRPr="009E1629">
        <w:rPr>
          <w:rFonts w:hint="cs"/>
          <w:spacing w:val="-2"/>
          <w:rtl/>
          <w:lang w:val="en-GB"/>
        </w:rPr>
        <w:t>َ</w:t>
      </w:r>
      <w:r w:rsidR="007E12CE" w:rsidRPr="009E1629">
        <w:rPr>
          <w:spacing w:val="-2"/>
          <w:rtl/>
          <w:lang w:val="en-GB"/>
        </w:rPr>
        <w:t>رت أو</w:t>
      </w:r>
      <w:r w:rsidR="009E1629" w:rsidRPr="009E1629">
        <w:rPr>
          <w:rFonts w:hint="cs"/>
          <w:spacing w:val="-2"/>
          <w:rtl/>
          <w:lang w:val="en-GB"/>
        </w:rPr>
        <w:t> </w:t>
      </w:r>
      <w:r w:rsidR="007E12CE" w:rsidRPr="009E1629">
        <w:rPr>
          <w:spacing w:val="-2"/>
          <w:rtl/>
          <w:lang w:val="en-GB"/>
        </w:rPr>
        <w:t xml:space="preserve">دُمّرت نسبة </w:t>
      </w:r>
      <w:r w:rsidR="007E12CE" w:rsidRPr="009E1629">
        <w:rPr>
          <w:spacing w:val="-2"/>
          <w:lang w:val="en-GB"/>
        </w:rPr>
        <w:t>20</w:t>
      </w:r>
      <w:r w:rsidR="007E12CE" w:rsidRPr="009E1629">
        <w:rPr>
          <w:spacing w:val="-2"/>
          <w:rtl/>
          <w:lang w:val="en-GB"/>
        </w:rPr>
        <w:t xml:space="preserve"> في</w:t>
      </w:r>
      <w:r w:rsidR="000D0851">
        <w:rPr>
          <w:rFonts w:hint="cs"/>
          <w:spacing w:val="-2"/>
          <w:rtl/>
          <w:lang w:val="en-GB"/>
        </w:rPr>
        <w:t> </w:t>
      </w:r>
      <w:r w:rsidR="007E12CE" w:rsidRPr="009E1629">
        <w:rPr>
          <w:spacing w:val="-2"/>
          <w:rtl/>
          <w:lang w:val="en-GB"/>
        </w:rPr>
        <w:t xml:space="preserve">المائة من البنية التحتية للاتصالات في </w:t>
      </w:r>
      <w:r w:rsidR="00934432" w:rsidRPr="009E1629">
        <w:rPr>
          <w:rFonts w:hint="cs"/>
          <w:spacing w:val="-2"/>
          <w:rtl/>
          <w:lang w:val="en-GB"/>
        </w:rPr>
        <w:t>البلد</w:t>
      </w:r>
      <w:r w:rsidR="007E12CE" w:rsidRPr="009E1629">
        <w:rPr>
          <w:spacing w:val="-2"/>
          <w:rtl/>
          <w:lang w:val="en-GB"/>
        </w:rPr>
        <w:t>؛</w:t>
      </w:r>
    </w:p>
    <w:p w14:paraId="6E236A29" w14:textId="6DA712E8" w:rsidR="008B432B" w:rsidRPr="00854FDC" w:rsidRDefault="008C5502" w:rsidP="009A4282">
      <w:pPr>
        <w:pStyle w:val="enumlev1"/>
        <w:rPr>
          <w:lang w:val="en-GB"/>
        </w:rPr>
      </w:pPr>
      <w:r w:rsidRPr="003F3F59">
        <w:rPr>
          <w:rFonts w:eastAsia="SimSun"/>
          <w:position w:val="2"/>
          <w:lang w:eastAsia="en-US" w:bidi="ar-EG"/>
        </w:rPr>
        <w:sym w:font="Symbol" w:char="F0B7"/>
      </w:r>
      <w:r w:rsidRPr="003F3F59">
        <w:rPr>
          <w:rtl/>
          <w:lang w:eastAsia="en-US" w:bidi="ar-SA"/>
        </w:rPr>
        <w:tab/>
      </w:r>
      <w:r w:rsidR="008B432B" w:rsidRPr="00854FDC">
        <w:rPr>
          <w:rtl/>
          <w:lang w:val="en-GB"/>
        </w:rPr>
        <w:t xml:space="preserve">قُدّرت الخسائر الاقتصادية </w:t>
      </w:r>
      <w:r w:rsidR="00934432">
        <w:rPr>
          <w:rFonts w:hint="cs"/>
          <w:rtl/>
          <w:lang w:val="en-GB"/>
        </w:rPr>
        <w:t>التي تكبَّدها</w:t>
      </w:r>
      <w:r w:rsidR="008B432B" w:rsidRPr="00854FDC">
        <w:rPr>
          <w:rtl/>
          <w:lang w:val="en-GB"/>
        </w:rPr>
        <w:t xml:space="preserve"> </w:t>
      </w:r>
      <w:r w:rsidR="00934432">
        <w:rPr>
          <w:rFonts w:hint="cs"/>
          <w:rtl/>
          <w:lang w:val="en-GB"/>
        </w:rPr>
        <w:t xml:space="preserve">قطاع </w:t>
      </w:r>
      <w:r w:rsidR="008B432B" w:rsidRPr="00854FDC">
        <w:rPr>
          <w:rtl/>
          <w:lang w:val="en-GB"/>
        </w:rPr>
        <w:t xml:space="preserve">الاتصالات بأكثر من </w:t>
      </w:r>
      <w:r w:rsidR="008B432B" w:rsidRPr="00854FDC">
        <w:rPr>
          <w:lang w:val="en-GB"/>
        </w:rPr>
        <w:t>0</w:t>
      </w:r>
      <w:r w:rsidR="009E1629">
        <w:rPr>
          <w:lang w:val="en-GB"/>
        </w:rPr>
        <w:t>,</w:t>
      </w:r>
      <w:r w:rsidR="008B432B" w:rsidRPr="00854FDC">
        <w:rPr>
          <w:lang w:val="en-GB"/>
        </w:rPr>
        <w:t>1</w:t>
      </w:r>
      <w:r w:rsidR="008B432B" w:rsidRPr="00854FDC">
        <w:rPr>
          <w:rtl/>
          <w:lang w:val="en-GB"/>
        </w:rPr>
        <w:t xml:space="preserve"> مليار دولار أمريكي</w:t>
      </w:r>
      <w:r w:rsidR="007B6710">
        <w:rPr>
          <w:rFonts w:hint="cs"/>
          <w:rtl/>
          <w:lang w:val="en-GB"/>
        </w:rPr>
        <w:t>؛</w:t>
      </w:r>
    </w:p>
    <w:p w14:paraId="7389CD8D" w14:textId="4D36F733" w:rsidR="007778EC" w:rsidRPr="00854FDC" w:rsidRDefault="008C5502" w:rsidP="009A4282">
      <w:pPr>
        <w:pStyle w:val="enumlev1"/>
        <w:rPr>
          <w:lang w:val="en-GB"/>
        </w:rPr>
      </w:pPr>
      <w:r w:rsidRPr="003F3F59">
        <w:rPr>
          <w:rFonts w:eastAsia="SimSun"/>
          <w:position w:val="2"/>
          <w:lang w:eastAsia="en-US" w:bidi="ar-EG"/>
        </w:rPr>
        <w:sym w:font="Symbol" w:char="F0B7"/>
      </w:r>
      <w:r w:rsidRPr="003F3F59">
        <w:rPr>
          <w:rtl/>
          <w:lang w:eastAsia="en-US" w:bidi="ar-SA"/>
        </w:rPr>
        <w:tab/>
      </w:r>
      <w:r w:rsidR="007778EC" w:rsidRPr="00854FDC">
        <w:rPr>
          <w:rtl/>
          <w:lang w:val="en-GB"/>
        </w:rPr>
        <w:t xml:space="preserve">تقدّم شركات الاتصالات خدمات أقلّ بنسبة </w:t>
      </w:r>
      <w:r w:rsidR="007778EC" w:rsidRPr="00854FDC">
        <w:rPr>
          <w:lang w:val="en-GB"/>
        </w:rPr>
        <w:t>22</w:t>
      </w:r>
      <w:r w:rsidR="007778EC" w:rsidRPr="00854FDC">
        <w:rPr>
          <w:rtl/>
          <w:lang w:val="en-GB"/>
        </w:rPr>
        <w:t xml:space="preserve"> في </w:t>
      </w:r>
      <w:proofErr w:type="gramStart"/>
      <w:r w:rsidR="007778EC" w:rsidRPr="00854FDC">
        <w:rPr>
          <w:rtl/>
          <w:lang w:val="en-GB"/>
        </w:rPr>
        <w:t>المائة</w:t>
      </w:r>
      <w:proofErr w:type="gramEnd"/>
      <w:r w:rsidR="007778EC" w:rsidRPr="00854FDC">
        <w:rPr>
          <w:rtl/>
          <w:lang w:val="en-GB"/>
        </w:rPr>
        <w:t>، ما أدّى إلى تراجُع الدخل والإيرادات؛</w:t>
      </w:r>
    </w:p>
    <w:p w14:paraId="6B2CC69F" w14:textId="3AE2D1B4" w:rsidR="00B252DC" w:rsidRPr="00854FDC" w:rsidRDefault="008C5502" w:rsidP="009A4282">
      <w:pPr>
        <w:pStyle w:val="enumlev1"/>
        <w:rPr>
          <w:rtl/>
          <w:lang w:val="en-GB"/>
        </w:rPr>
      </w:pPr>
      <w:r w:rsidRPr="003F3F59">
        <w:rPr>
          <w:rFonts w:eastAsia="SimSun"/>
          <w:position w:val="2"/>
          <w:lang w:eastAsia="en-US" w:bidi="ar-EG"/>
        </w:rPr>
        <w:sym w:font="Symbol" w:char="F0B7"/>
      </w:r>
      <w:r w:rsidRPr="003F3F59">
        <w:rPr>
          <w:rtl/>
          <w:lang w:eastAsia="en-US" w:bidi="ar-SA"/>
        </w:rPr>
        <w:tab/>
      </w:r>
      <w:r w:rsidR="00A34F2D">
        <w:rPr>
          <w:rFonts w:hint="cs"/>
          <w:rtl/>
          <w:lang w:val="en-GB"/>
        </w:rPr>
        <w:t>ثمة</w:t>
      </w:r>
      <w:r w:rsidR="007778EC" w:rsidRPr="00854FDC">
        <w:rPr>
          <w:rtl/>
          <w:lang w:val="en-GB"/>
        </w:rPr>
        <w:t xml:space="preserve"> حاجة إلى </w:t>
      </w:r>
      <w:r w:rsidR="007778EC" w:rsidRPr="00854FDC">
        <w:rPr>
          <w:lang w:val="en-GB"/>
        </w:rPr>
        <w:t>1</w:t>
      </w:r>
      <w:r w:rsidR="00C436A5">
        <w:rPr>
          <w:lang w:val="en-GB"/>
        </w:rPr>
        <w:t>,</w:t>
      </w:r>
      <w:r w:rsidR="007778EC" w:rsidRPr="00854FDC">
        <w:rPr>
          <w:lang w:val="en-GB"/>
        </w:rPr>
        <w:t>79</w:t>
      </w:r>
      <w:r w:rsidR="007E12CE" w:rsidRPr="00854FDC">
        <w:rPr>
          <w:rtl/>
          <w:lang w:val="en-GB"/>
        </w:rPr>
        <w:t xml:space="preserve"> </w:t>
      </w:r>
      <w:r w:rsidR="007778EC" w:rsidRPr="00854FDC">
        <w:rPr>
          <w:rtl/>
          <w:lang w:val="en-GB"/>
        </w:rPr>
        <w:t xml:space="preserve">مليار دولار أمريكي </w:t>
      </w:r>
      <w:r w:rsidR="001E17B3">
        <w:rPr>
          <w:rFonts w:hint="cs"/>
          <w:rtl/>
          <w:lang w:val="en-GB"/>
        </w:rPr>
        <w:t>لإعادة تأهيل</w:t>
      </w:r>
      <w:r w:rsidR="007778EC" w:rsidRPr="00854FDC">
        <w:rPr>
          <w:rtl/>
          <w:lang w:val="en-GB"/>
        </w:rPr>
        <w:t xml:space="preserve"> قطاع الاتصالات.</w:t>
      </w:r>
    </w:p>
    <w:p w14:paraId="4AD37036" w14:textId="4BB6B957" w:rsidR="00695015" w:rsidRPr="00854FDC" w:rsidRDefault="00695015" w:rsidP="00A34F2D">
      <w:pPr>
        <w:spacing w:before="240"/>
        <w:rPr>
          <w:b/>
          <w:bCs/>
          <w:rtl/>
          <w:lang w:val="en-GB" w:bidi="ar-JO"/>
        </w:rPr>
      </w:pPr>
      <w:r w:rsidRPr="00BF2003">
        <w:rPr>
          <w:b/>
          <w:bCs/>
          <w:rtl/>
          <w:lang w:val="en-GB" w:bidi="ar-JO"/>
        </w:rPr>
        <w:t xml:space="preserve">باء. نموذج البيانات القُطري للتنمية الرقمية في أوكرانيا </w:t>
      </w:r>
      <w:r w:rsidRPr="00BF2003">
        <w:rPr>
          <w:rtl/>
          <w:lang w:val="en-GB" w:bidi="ar-JO"/>
        </w:rPr>
        <w:t>تشارَك</w:t>
      </w:r>
      <w:r w:rsidR="0087006C">
        <w:rPr>
          <w:rFonts w:hint="cs"/>
          <w:rtl/>
          <w:lang w:val="en-GB" w:bidi="ar-JO"/>
        </w:rPr>
        <w:t>َ</w:t>
      </w:r>
      <w:r w:rsidRPr="00BF2003">
        <w:rPr>
          <w:rtl/>
          <w:lang w:val="en-GB" w:bidi="ar-JO"/>
        </w:rPr>
        <w:t xml:space="preserve"> في إعداده الاتحاد الدولي للاتصالات، ومكتب المنسِّق المقيم التابع للأمم المتحدة، وجميع أعضاء </w:t>
      </w:r>
      <w:r w:rsidR="00E460E3" w:rsidRPr="00BF2003">
        <w:rPr>
          <w:rtl/>
          <w:lang w:val="en-GB" w:bidi="ar-JO"/>
        </w:rPr>
        <w:t>فريق الأمم المتحدة المعني</w:t>
      </w:r>
      <w:r w:rsidR="00A34F2D" w:rsidRPr="00BF2003">
        <w:rPr>
          <w:rFonts w:hint="cs"/>
          <w:rtl/>
          <w:lang w:val="en-GB" w:bidi="ar-JO"/>
        </w:rPr>
        <w:t>ّ</w:t>
      </w:r>
      <w:r w:rsidR="00E460E3" w:rsidRPr="00BF2003">
        <w:rPr>
          <w:rtl/>
          <w:lang w:val="en-GB" w:bidi="ar-JO"/>
        </w:rPr>
        <w:t xml:space="preserve"> بالتحو</w:t>
      </w:r>
      <w:r w:rsidR="00A34F2D" w:rsidRPr="00BF2003">
        <w:rPr>
          <w:rFonts w:hint="cs"/>
          <w:rtl/>
          <w:lang w:val="en-GB" w:bidi="ar-JO"/>
        </w:rPr>
        <w:t>ُّ</w:t>
      </w:r>
      <w:r w:rsidR="00E460E3" w:rsidRPr="00BF2003">
        <w:rPr>
          <w:rtl/>
          <w:lang w:val="en-GB" w:bidi="ar-JO"/>
        </w:rPr>
        <w:t xml:space="preserve">ل الرقمي لأوروبا وآسيا الوسطى. واستُخدم كمساهمة في التحليل القُطري المشترك للأمم المتحدة وإطار </w:t>
      </w:r>
      <w:r w:rsidR="0000297A" w:rsidRPr="00BF2003">
        <w:rPr>
          <w:rFonts w:hint="cs"/>
          <w:rtl/>
          <w:lang w:val="en-GB" w:bidi="ar-JO"/>
        </w:rPr>
        <w:t>ا</w:t>
      </w:r>
      <w:r w:rsidR="00E460E3" w:rsidRPr="00BF2003">
        <w:rPr>
          <w:rtl/>
          <w:lang w:val="en-GB" w:bidi="ar-JO"/>
        </w:rPr>
        <w:t xml:space="preserve">لتنمية المستدامة </w:t>
      </w:r>
      <w:r w:rsidR="0000297A" w:rsidRPr="00BF2003">
        <w:rPr>
          <w:rFonts w:hint="cs"/>
          <w:rtl/>
          <w:lang w:val="en-GB" w:bidi="ar-JO"/>
        </w:rPr>
        <w:t xml:space="preserve">الانتقالي </w:t>
      </w:r>
      <w:r w:rsidR="00E460E3" w:rsidRPr="00BF2003">
        <w:rPr>
          <w:rtl/>
          <w:lang w:val="en-GB" w:bidi="ar-JO"/>
        </w:rPr>
        <w:t>(</w:t>
      </w:r>
      <w:r w:rsidR="00E460E3" w:rsidRPr="00BF2003">
        <w:rPr>
          <w:lang w:val="en-GB" w:bidi="ar-JO"/>
        </w:rPr>
        <w:t>2024-2023</w:t>
      </w:r>
      <w:r w:rsidR="00E460E3" w:rsidRPr="00BF2003">
        <w:rPr>
          <w:rtl/>
          <w:lang w:val="en-GB" w:bidi="ar-JO"/>
        </w:rPr>
        <w:t>).</w:t>
      </w:r>
    </w:p>
    <w:p w14:paraId="1AB9FAAD" w14:textId="40D4F363" w:rsidR="00E460E3" w:rsidRPr="00854FDC" w:rsidRDefault="00582BED" w:rsidP="00695015">
      <w:pPr>
        <w:rPr>
          <w:rtl/>
          <w:lang w:val="en-GB" w:bidi="ar-JO"/>
        </w:rPr>
      </w:pPr>
      <w:r w:rsidRPr="00854FDC">
        <w:rPr>
          <w:rtl/>
          <w:lang w:val="en-GB" w:bidi="ar-JO"/>
        </w:rPr>
        <w:t xml:space="preserve">ويقدّم التقرير </w:t>
      </w:r>
      <w:r w:rsidR="00C970B1" w:rsidRPr="00854FDC">
        <w:rPr>
          <w:rtl/>
          <w:lang w:val="en-GB" w:bidi="ar-JO"/>
        </w:rPr>
        <w:t xml:space="preserve">تشخيصاً للمرونة </w:t>
      </w:r>
      <w:r w:rsidR="00C970B1" w:rsidRPr="00F07FFB">
        <w:rPr>
          <w:b/>
          <w:rtl/>
        </w:rPr>
        <w:t xml:space="preserve">الرقمية للبلد </w:t>
      </w:r>
      <w:r w:rsidR="00506C7E" w:rsidRPr="007F598B">
        <w:rPr>
          <w:b/>
          <w:rtl/>
        </w:rPr>
        <w:t xml:space="preserve">وفقاً لمنهجية </w:t>
      </w:r>
      <w:r w:rsidR="00506C7E" w:rsidRPr="00F07FFB">
        <w:rPr>
          <w:bCs/>
        </w:rPr>
        <w:t>"Wheel"</w:t>
      </w:r>
      <w:r w:rsidR="00506C7E" w:rsidRPr="00F07FFB">
        <w:rPr>
          <w:b/>
          <w:rtl/>
        </w:rPr>
        <w:t xml:space="preserve"> للتحول الرقمي</w:t>
      </w:r>
      <w:r w:rsidR="00977D2C" w:rsidRPr="00F07FFB">
        <w:rPr>
          <w:b/>
          <w:rtl/>
        </w:rPr>
        <w:t>، بما</w:t>
      </w:r>
      <w:r w:rsidR="00977D2C" w:rsidRPr="00854FDC">
        <w:rPr>
          <w:color w:val="000000"/>
          <w:sz w:val="20"/>
          <w:szCs w:val="20"/>
          <w:shd w:val="clear" w:color="auto" w:fill="FFFFFF"/>
          <w:rtl/>
        </w:rPr>
        <w:t xml:space="preserve"> في ذلك النفاذ، والاعتماد، وتحقيق القيمة</w:t>
      </w:r>
      <w:r w:rsidR="00977D2C" w:rsidRPr="00854FDC">
        <w:rPr>
          <w:rtl/>
          <w:lang w:val="en-GB" w:bidi="ar-JO"/>
        </w:rPr>
        <w:t xml:space="preserve">. </w:t>
      </w:r>
      <w:r w:rsidR="00D61925">
        <w:rPr>
          <w:rFonts w:hint="cs"/>
          <w:rtl/>
          <w:lang w:val="en-GB" w:bidi="ar-JO"/>
        </w:rPr>
        <w:t xml:space="preserve">وزُوّدت </w:t>
      </w:r>
      <w:r w:rsidR="00891113" w:rsidRPr="00854FDC">
        <w:rPr>
          <w:rtl/>
          <w:lang w:val="en-GB" w:bidi="ar-JO"/>
        </w:rPr>
        <w:t>كلّ</w:t>
      </w:r>
      <w:r w:rsidR="00D61925">
        <w:rPr>
          <w:rFonts w:hint="cs"/>
          <w:rtl/>
          <w:lang w:val="en-GB" w:bidi="ar-JO"/>
        </w:rPr>
        <w:t>ُ</w:t>
      </w:r>
      <w:r w:rsidR="00891113" w:rsidRPr="00854FDC">
        <w:rPr>
          <w:rtl/>
          <w:lang w:val="en-GB" w:bidi="ar-JO"/>
        </w:rPr>
        <w:t xml:space="preserve"> لبِنَة </w:t>
      </w:r>
      <w:r w:rsidR="00D61925">
        <w:rPr>
          <w:rFonts w:hint="cs"/>
          <w:rtl/>
          <w:lang w:val="en-GB" w:bidi="ar-JO"/>
        </w:rPr>
        <w:t xml:space="preserve">أساسية </w:t>
      </w:r>
      <w:r w:rsidR="00891113" w:rsidRPr="00854FDC">
        <w:rPr>
          <w:rtl/>
          <w:lang w:val="en-GB" w:bidi="ar-JO"/>
        </w:rPr>
        <w:t>منها بتحليل عن أثر الحرب.</w:t>
      </w:r>
    </w:p>
    <w:p w14:paraId="3E098C17" w14:textId="649C341E" w:rsidR="00891113" w:rsidRDefault="00891113" w:rsidP="00695015">
      <w:pPr>
        <w:rPr>
          <w:lang w:val="en-GB" w:bidi="ar-JO"/>
        </w:rPr>
      </w:pPr>
      <w:r w:rsidRPr="00EC4F9D">
        <w:rPr>
          <w:b/>
          <w:bCs/>
          <w:rtl/>
          <w:lang w:val="en-GB" w:bidi="ar-JO"/>
        </w:rPr>
        <w:t>جيم.</w:t>
      </w:r>
      <w:r w:rsidRPr="00854FDC">
        <w:rPr>
          <w:rtl/>
          <w:lang w:val="en-GB" w:bidi="ar-JO"/>
        </w:rPr>
        <w:t xml:space="preserve"> انضمّ الاتحاد إلى الائتلاف الذي تقوده الأمم المتحدة، والبنك الدولي، والمفوضية الأوروبية، لإجراء </w:t>
      </w:r>
      <w:r w:rsidRPr="00854FDC">
        <w:rPr>
          <w:b/>
          <w:bCs/>
          <w:rtl/>
          <w:lang w:val="en-GB" w:bidi="ar-JO"/>
        </w:rPr>
        <w:t>التقييمات السريعة للأضرار والاحتياجات</w:t>
      </w:r>
      <w:r w:rsidRPr="00854FDC">
        <w:rPr>
          <w:rtl/>
          <w:lang w:val="en-GB" w:bidi="ar-JO"/>
        </w:rPr>
        <w:t xml:space="preserve"> المنتظمة</w:t>
      </w:r>
      <w:r w:rsidR="0046611D">
        <w:rPr>
          <w:rFonts w:hint="cs"/>
          <w:rtl/>
          <w:lang w:val="en-GB" w:bidi="ar-JO"/>
        </w:rPr>
        <w:t>،</w:t>
      </w:r>
      <w:r w:rsidRPr="00854FDC">
        <w:rPr>
          <w:rtl/>
          <w:lang w:val="en-GB" w:bidi="ar-JO"/>
        </w:rPr>
        <w:t xml:space="preserve"> وتقديم مساهمة </w:t>
      </w:r>
      <w:r w:rsidR="00681649">
        <w:rPr>
          <w:rFonts w:hint="cs"/>
          <w:rtl/>
          <w:lang w:val="en-GB" w:bidi="ar-JO"/>
        </w:rPr>
        <w:t>لطبعتها الثانية الصادرة</w:t>
      </w:r>
      <w:r w:rsidRPr="00854FDC">
        <w:rPr>
          <w:rtl/>
          <w:lang w:val="en-GB" w:bidi="ar-JO"/>
        </w:rPr>
        <w:t xml:space="preserve"> </w:t>
      </w:r>
      <w:r w:rsidR="00681649">
        <w:rPr>
          <w:rFonts w:hint="cs"/>
          <w:rtl/>
          <w:lang w:val="en-GB" w:bidi="ar-JO"/>
        </w:rPr>
        <w:t xml:space="preserve">في </w:t>
      </w:r>
      <w:r w:rsidRPr="00854FDC">
        <w:rPr>
          <w:rtl/>
          <w:lang w:val="en-GB" w:bidi="ar-JO"/>
        </w:rPr>
        <w:t xml:space="preserve">مارس </w:t>
      </w:r>
      <w:r w:rsidRPr="00854FDC">
        <w:rPr>
          <w:lang w:val="en-GB" w:bidi="ar-JO"/>
        </w:rPr>
        <w:t>2023</w:t>
      </w:r>
      <w:r w:rsidR="002B3869" w:rsidRPr="007B6710">
        <w:rPr>
          <w:rStyle w:val="FootnoteReference"/>
          <w:rtl/>
        </w:rPr>
        <w:footnoteReference w:id="2"/>
      </w:r>
      <w:r w:rsidRPr="00854FDC">
        <w:rPr>
          <w:rtl/>
          <w:lang w:val="en-GB" w:bidi="ar-JO"/>
        </w:rPr>
        <w:t xml:space="preserve">. وفيما </w:t>
      </w:r>
      <w:r w:rsidR="00534DC1" w:rsidRPr="00854FDC">
        <w:rPr>
          <w:rtl/>
          <w:lang w:val="en-GB" w:bidi="ar-JO"/>
        </w:rPr>
        <w:t>يلي ملخ</w:t>
      </w:r>
      <w:r w:rsidR="00681649">
        <w:rPr>
          <w:rFonts w:hint="cs"/>
          <w:rtl/>
          <w:lang w:val="en-GB" w:bidi="ar-JO"/>
        </w:rPr>
        <w:t>َّ</w:t>
      </w:r>
      <w:r w:rsidR="00534DC1" w:rsidRPr="00854FDC">
        <w:rPr>
          <w:rtl/>
          <w:lang w:val="en-GB" w:bidi="ar-JO"/>
        </w:rPr>
        <w:t>ص للأضرار والخسائر والاحتياجات:</w:t>
      </w:r>
    </w:p>
    <w:p w14:paraId="0A12BF23" w14:textId="001690F5" w:rsidR="00534DC1" w:rsidRPr="00854FDC" w:rsidRDefault="00BB5454" w:rsidP="00BB5454">
      <w:pPr>
        <w:pStyle w:val="enumlev1"/>
        <w:rPr>
          <w:lang w:val="en-GB"/>
        </w:rPr>
      </w:pPr>
      <w:r w:rsidRPr="003F3F59">
        <w:rPr>
          <w:rFonts w:eastAsia="SimSun"/>
          <w:position w:val="2"/>
          <w:lang w:eastAsia="en-US" w:bidi="ar-EG"/>
        </w:rPr>
        <w:sym w:font="Symbol" w:char="F0B7"/>
      </w:r>
      <w:r>
        <w:rPr>
          <w:rFonts w:eastAsia="SimSun"/>
          <w:position w:val="2"/>
          <w:lang w:eastAsia="en-US" w:bidi="ar-EG"/>
        </w:rPr>
        <w:tab/>
      </w:r>
      <w:r w:rsidR="00B357AB" w:rsidRPr="00854FDC">
        <w:rPr>
          <w:rtl/>
          <w:lang w:val="en-GB"/>
        </w:rPr>
        <w:t xml:space="preserve">تُقدَّر الأضرار الإجمالية </w:t>
      </w:r>
      <w:r w:rsidR="0050305C" w:rsidRPr="00854FDC">
        <w:rPr>
          <w:rtl/>
          <w:lang w:val="en-GB"/>
        </w:rPr>
        <w:t xml:space="preserve">في مختلف القطاعات التي يغطيها "التقييم السريع للأضرار والاحتياجات </w:t>
      </w:r>
      <w:r w:rsidR="0050305C" w:rsidRPr="00854FDC">
        <w:rPr>
          <w:lang w:val="en-GB"/>
        </w:rPr>
        <w:t>2</w:t>
      </w:r>
      <w:r w:rsidR="0050305C" w:rsidRPr="00854FDC">
        <w:rPr>
          <w:rtl/>
          <w:lang w:val="en-GB"/>
        </w:rPr>
        <w:t xml:space="preserve">" </w:t>
      </w:r>
      <w:r w:rsidR="0050305C" w:rsidRPr="00854FDC">
        <w:rPr>
          <w:lang w:val="en-GB"/>
        </w:rPr>
        <w:t>(RDNA2)</w:t>
      </w:r>
      <w:r w:rsidR="0050305C" w:rsidRPr="00854FDC">
        <w:rPr>
          <w:rtl/>
          <w:lang w:val="en-GB"/>
        </w:rPr>
        <w:t xml:space="preserve"> بنحو </w:t>
      </w:r>
      <w:r w:rsidR="0050305C" w:rsidRPr="00854FDC">
        <w:rPr>
          <w:lang w:val="en-GB"/>
        </w:rPr>
        <w:t>135</w:t>
      </w:r>
      <w:r w:rsidR="0050305C" w:rsidRPr="00854FDC">
        <w:rPr>
          <w:rtl/>
          <w:lang w:val="en-GB"/>
        </w:rPr>
        <w:t xml:space="preserve"> مليار دولار أمريكي؛</w:t>
      </w:r>
    </w:p>
    <w:p w14:paraId="2C9E9BF7" w14:textId="3902B7DC" w:rsidR="0050305C" w:rsidRPr="00854FDC" w:rsidRDefault="001D4F5E" w:rsidP="001D4F5E">
      <w:pPr>
        <w:pStyle w:val="enumlev1"/>
        <w:rPr>
          <w:lang w:val="en-GB"/>
        </w:rPr>
      </w:pPr>
      <w:r w:rsidRPr="003F3F59">
        <w:rPr>
          <w:rFonts w:eastAsia="SimSun"/>
          <w:position w:val="2"/>
          <w:lang w:eastAsia="en-US" w:bidi="ar-EG"/>
        </w:rPr>
        <w:sym w:font="Symbol" w:char="F0B7"/>
      </w:r>
      <w:r>
        <w:rPr>
          <w:rFonts w:eastAsia="SimSun"/>
          <w:position w:val="2"/>
          <w:lang w:eastAsia="en-US" w:bidi="ar-EG"/>
        </w:rPr>
        <w:tab/>
      </w:r>
      <w:r w:rsidR="005935A7" w:rsidRPr="00854FDC">
        <w:rPr>
          <w:rtl/>
          <w:lang w:val="en-GB"/>
        </w:rPr>
        <w:t xml:space="preserve">يبلغ مجموع الخسائر الاقتصادية والاجتماعية والنقدية </w:t>
      </w:r>
      <w:r w:rsidR="00681649">
        <w:rPr>
          <w:rFonts w:hint="cs"/>
          <w:rtl/>
          <w:lang w:val="en-GB"/>
        </w:rPr>
        <w:t xml:space="preserve">الإجمالية </w:t>
      </w:r>
      <w:r w:rsidR="005935A7" w:rsidRPr="00854FDC">
        <w:rPr>
          <w:rtl/>
          <w:lang w:val="en-GB"/>
        </w:rPr>
        <w:t xml:space="preserve">الأخرى ما يقرب من </w:t>
      </w:r>
      <w:r w:rsidR="005935A7" w:rsidRPr="00854FDC">
        <w:rPr>
          <w:lang w:val="en-GB"/>
        </w:rPr>
        <w:t>290</w:t>
      </w:r>
      <w:r w:rsidR="005935A7" w:rsidRPr="00854FDC">
        <w:rPr>
          <w:rtl/>
          <w:lang w:val="en-GB"/>
        </w:rPr>
        <w:t xml:space="preserve"> مليار دولار أمريكي؛</w:t>
      </w:r>
    </w:p>
    <w:p w14:paraId="2F712C0D" w14:textId="385456CD" w:rsidR="005935A7" w:rsidRPr="00854FDC" w:rsidRDefault="001D4F5E" w:rsidP="001D4F5E">
      <w:pPr>
        <w:pStyle w:val="enumlev1"/>
        <w:rPr>
          <w:lang w:val="en-GB"/>
        </w:rPr>
      </w:pPr>
      <w:r w:rsidRPr="003F3F59">
        <w:rPr>
          <w:rFonts w:eastAsia="SimSun"/>
          <w:position w:val="2"/>
          <w:lang w:eastAsia="en-US" w:bidi="ar-EG"/>
        </w:rPr>
        <w:sym w:font="Symbol" w:char="F0B7"/>
      </w:r>
      <w:r>
        <w:rPr>
          <w:rFonts w:eastAsia="SimSun"/>
          <w:position w:val="2"/>
          <w:lang w:eastAsia="en-US" w:bidi="ar-EG"/>
        </w:rPr>
        <w:tab/>
      </w:r>
      <w:r w:rsidR="00EB13A5" w:rsidRPr="00854FDC">
        <w:rPr>
          <w:rtl/>
          <w:lang w:val="en-GB"/>
        </w:rPr>
        <w:t>تُقدَّر الاحتياجات الإجمالية لإعادة ال</w:t>
      </w:r>
      <w:r w:rsidR="00C96BD2" w:rsidRPr="00854FDC">
        <w:rPr>
          <w:rtl/>
          <w:lang w:val="en-GB"/>
        </w:rPr>
        <w:t xml:space="preserve">إعمار والتعافي بنحو </w:t>
      </w:r>
      <w:r w:rsidR="00C96BD2" w:rsidRPr="00854FDC">
        <w:rPr>
          <w:lang w:val="en-GB"/>
        </w:rPr>
        <w:t>411</w:t>
      </w:r>
      <w:r w:rsidR="00C96BD2" w:rsidRPr="00854FDC">
        <w:rPr>
          <w:rtl/>
          <w:lang w:val="en-GB"/>
        </w:rPr>
        <w:t xml:space="preserve"> مليار دولار أمريكي؛</w:t>
      </w:r>
    </w:p>
    <w:p w14:paraId="7503433F" w14:textId="6FECB818" w:rsidR="00C03BCB" w:rsidRPr="00854FDC" w:rsidRDefault="001D4F5E" w:rsidP="001D4F5E">
      <w:pPr>
        <w:pStyle w:val="enumlev1"/>
        <w:rPr>
          <w:rtl/>
          <w:lang w:val="en-GB"/>
        </w:rPr>
      </w:pPr>
      <w:r w:rsidRPr="003F3F59">
        <w:rPr>
          <w:rFonts w:eastAsia="SimSun"/>
          <w:position w:val="2"/>
          <w:lang w:eastAsia="en-US" w:bidi="ar-EG"/>
        </w:rPr>
        <w:lastRenderedPageBreak/>
        <w:sym w:font="Symbol" w:char="F0B7"/>
      </w:r>
      <w:r>
        <w:rPr>
          <w:rFonts w:eastAsia="SimSun"/>
          <w:position w:val="2"/>
          <w:lang w:eastAsia="en-US" w:bidi="ar-EG"/>
        </w:rPr>
        <w:tab/>
      </w:r>
      <w:r w:rsidR="00E00933" w:rsidRPr="00854FDC">
        <w:rPr>
          <w:rtl/>
          <w:lang w:val="en-GB"/>
        </w:rPr>
        <w:t xml:space="preserve">تبلغ الاحتياجات ذات الأولوية في الأجل القصير لتعافي قطاع تكنولوجيا المعلومات والاتصالات </w:t>
      </w:r>
      <w:r w:rsidR="00E00933" w:rsidRPr="00854FDC">
        <w:rPr>
          <w:lang w:val="en-GB"/>
        </w:rPr>
        <w:t>3</w:t>
      </w:r>
      <w:r w:rsidR="00F05544">
        <w:rPr>
          <w:lang w:val="en-GB"/>
        </w:rPr>
        <w:t>,</w:t>
      </w:r>
      <w:r w:rsidR="00E00933" w:rsidRPr="00854FDC">
        <w:rPr>
          <w:lang w:val="en-GB"/>
        </w:rPr>
        <w:t>1</w:t>
      </w:r>
      <w:r w:rsidR="00E00933" w:rsidRPr="00854FDC">
        <w:rPr>
          <w:rtl/>
          <w:lang w:val="en-GB"/>
        </w:rPr>
        <w:t xml:space="preserve"> مليار دولار أمريكي؛ ومن هذا المبلغ </w:t>
      </w:r>
      <w:r w:rsidR="00E00933" w:rsidRPr="00854FDC">
        <w:rPr>
          <w:lang w:val="en-GB"/>
        </w:rPr>
        <w:t>1</w:t>
      </w:r>
      <w:r w:rsidR="00F05544">
        <w:rPr>
          <w:lang w:val="en-GB"/>
        </w:rPr>
        <w:t>,</w:t>
      </w:r>
      <w:r w:rsidR="00E00933" w:rsidRPr="00854FDC">
        <w:rPr>
          <w:lang w:val="en-GB"/>
        </w:rPr>
        <w:t>8</w:t>
      </w:r>
      <w:r w:rsidR="00E00933" w:rsidRPr="00854FDC">
        <w:rPr>
          <w:rtl/>
          <w:lang w:val="en-GB"/>
        </w:rPr>
        <w:t xml:space="preserve"> مليار دولار أمريكي لاحتياجات إعادة الإعمار، و</w:t>
      </w:r>
      <w:r w:rsidR="00E00933" w:rsidRPr="00854FDC">
        <w:rPr>
          <w:lang w:val="en-GB"/>
        </w:rPr>
        <w:t>1</w:t>
      </w:r>
      <w:r w:rsidR="00F05544">
        <w:rPr>
          <w:lang w:val="en-GB"/>
        </w:rPr>
        <w:t>,</w:t>
      </w:r>
      <w:r w:rsidR="00E00933" w:rsidRPr="00854FDC">
        <w:rPr>
          <w:lang w:val="en-GB"/>
        </w:rPr>
        <w:t>3</w:t>
      </w:r>
      <w:r w:rsidR="00E00933" w:rsidRPr="00854FDC">
        <w:rPr>
          <w:rtl/>
          <w:lang w:val="en-GB"/>
        </w:rPr>
        <w:t xml:space="preserve"> مليار دولار أمريكي للاحتياجات المتعلقة باستعادة تقديم الخدمات.</w:t>
      </w:r>
    </w:p>
    <w:p w14:paraId="6CF262DE" w14:textId="77777777" w:rsidR="00E00933" w:rsidRPr="00854FDC" w:rsidRDefault="00E00933" w:rsidP="00E00933">
      <w:pPr>
        <w:pStyle w:val="Heading1"/>
        <w:rPr>
          <w:rtl/>
          <w:lang w:bidi="ar-EG"/>
        </w:rPr>
      </w:pPr>
      <w:r w:rsidRPr="00854FDC">
        <w:rPr>
          <w:lang w:bidi="ar-EG"/>
        </w:rPr>
        <w:t>3</w:t>
      </w:r>
      <w:r w:rsidRPr="00854FDC">
        <w:rPr>
          <w:lang w:bidi="ar-EG"/>
        </w:rPr>
        <w:tab/>
      </w:r>
      <w:r w:rsidRPr="00854FDC">
        <w:rPr>
          <w:rtl/>
        </w:rPr>
        <w:t>آليات التنسيق ل</w:t>
      </w:r>
      <w:r w:rsidRPr="00854FDC">
        <w:rPr>
          <w:rtl/>
          <w:lang w:bidi="ar-EG"/>
        </w:rPr>
        <w:t xml:space="preserve">ضمان </w:t>
      </w:r>
      <w:r w:rsidRPr="00854FDC">
        <w:rPr>
          <w:rtl/>
        </w:rPr>
        <w:t>فعالية التنفيذ</w:t>
      </w:r>
    </w:p>
    <w:p w14:paraId="25586130" w14:textId="2310FFB9" w:rsidR="0031508D" w:rsidRPr="007B6710" w:rsidRDefault="0031508D" w:rsidP="006941D1">
      <w:pPr>
        <w:rPr>
          <w:rFonts w:eastAsia="Times New Roman"/>
          <w:color w:val="000000"/>
          <w:spacing w:val="-4"/>
          <w:lang w:eastAsia="en-US"/>
        </w:rPr>
      </w:pPr>
      <w:r w:rsidRPr="007B6710">
        <w:rPr>
          <w:rFonts w:eastAsia="Times New Roman"/>
          <w:color w:val="000000"/>
          <w:spacing w:val="-4"/>
          <w:rtl/>
          <w:lang w:eastAsia="en-US"/>
        </w:rPr>
        <w:t xml:space="preserve">بهدف ضمان تنسيق النَّهْج الذي </w:t>
      </w:r>
      <w:r w:rsidRPr="007B6710">
        <w:rPr>
          <w:spacing w:val="-4"/>
          <w:rtl/>
        </w:rPr>
        <w:t>تنتهجه</w:t>
      </w:r>
      <w:r w:rsidRPr="007B6710">
        <w:rPr>
          <w:rFonts w:eastAsia="Times New Roman"/>
          <w:color w:val="000000"/>
          <w:spacing w:val="-4"/>
          <w:rtl/>
          <w:lang w:eastAsia="en-US"/>
        </w:rPr>
        <w:t xml:space="preserve"> الأنشطة التي</w:t>
      </w:r>
      <w:r w:rsidR="00DB2A6C" w:rsidRPr="007B6710">
        <w:rPr>
          <w:rFonts w:eastAsia="Times New Roman"/>
          <w:color w:val="000000"/>
          <w:spacing w:val="-4"/>
          <w:rtl/>
          <w:lang w:eastAsia="en-US"/>
        </w:rPr>
        <w:t xml:space="preserve"> يضطلع بها</w:t>
      </w:r>
      <w:r w:rsidRPr="007B6710">
        <w:rPr>
          <w:rFonts w:eastAsia="Times New Roman"/>
          <w:color w:val="000000"/>
          <w:spacing w:val="-4"/>
          <w:rtl/>
          <w:lang w:eastAsia="en-US"/>
        </w:rPr>
        <w:t xml:space="preserve"> الاتحاد استجابةً للقرار </w:t>
      </w:r>
      <w:r w:rsidRPr="007B6710">
        <w:rPr>
          <w:rFonts w:eastAsia="Times New Roman"/>
          <w:color w:val="000000"/>
          <w:spacing w:val="-4"/>
          <w:lang w:eastAsia="en-US"/>
        </w:rPr>
        <w:t>1408</w:t>
      </w:r>
      <w:r w:rsidRPr="007B6710">
        <w:rPr>
          <w:rFonts w:eastAsia="Times New Roman"/>
          <w:color w:val="000000"/>
          <w:spacing w:val="-4"/>
          <w:rtl/>
          <w:lang w:eastAsia="en-US"/>
        </w:rPr>
        <w:t>، واصل</w:t>
      </w:r>
      <w:r w:rsidR="00BE6ED1" w:rsidRPr="007B6710">
        <w:rPr>
          <w:rFonts w:eastAsia="Times New Roman" w:hint="cs"/>
          <w:color w:val="000000"/>
          <w:spacing w:val="-4"/>
          <w:rtl/>
          <w:lang w:eastAsia="en-US"/>
        </w:rPr>
        <w:t>َ</w:t>
      </w:r>
      <w:r w:rsidRPr="007B6710">
        <w:rPr>
          <w:rFonts w:eastAsia="Times New Roman"/>
          <w:color w:val="000000"/>
          <w:spacing w:val="-4"/>
          <w:rtl/>
          <w:lang w:eastAsia="en-US"/>
        </w:rPr>
        <w:t xml:space="preserve"> الاتحاد تنفيذ الإجراءات التالية:</w:t>
      </w:r>
    </w:p>
    <w:p w14:paraId="21D3333F" w14:textId="77523DE8" w:rsidR="002E3358" w:rsidRPr="00854FDC" w:rsidRDefault="00F05544" w:rsidP="007B6710">
      <w:pPr>
        <w:pStyle w:val="enumlev1"/>
        <w:rPr>
          <w:lang w:bidi="ar-EG"/>
        </w:rPr>
      </w:pPr>
      <w:r w:rsidRPr="003F3F59">
        <w:rPr>
          <w:rFonts w:eastAsia="SimSun"/>
          <w:position w:val="2"/>
          <w:lang w:eastAsia="en-US" w:bidi="ar-EG"/>
        </w:rPr>
        <w:sym w:font="Symbol" w:char="F0B7"/>
      </w:r>
      <w:r>
        <w:rPr>
          <w:rFonts w:eastAsia="SimSun"/>
          <w:position w:val="2"/>
          <w:lang w:eastAsia="en-US" w:bidi="ar-EG"/>
        </w:rPr>
        <w:tab/>
      </w:r>
      <w:r w:rsidR="00FE7419" w:rsidRPr="00854FDC">
        <w:rPr>
          <w:rtl/>
          <w:lang w:bidi="ar-EG"/>
        </w:rPr>
        <w:t xml:space="preserve">على </w:t>
      </w:r>
      <w:r w:rsidR="00FE7419" w:rsidRPr="00854FDC">
        <w:rPr>
          <w:b/>
          <w:bCs/>
          <w:rtl/>
          <w:lang w:bidi="ar-EG"/>
        </w:rPr>
        <w:t>مستوى الاتحاد</w:t>
      </w:r>
      <w:r w:rsidR="00FE7419" w:rsidRPr="00854FDC">
        <w:rPr>
          <w:rtl/>
          <w:lang w:bidi="ar-EG"/>
        </w:rPr>
        <w:t xml:space="preserve">، ابتداءً من يناير </w:t>
      </w:r>
      <w:r w:rsidR="002E3358" w:rsidRPr="00854FDC">
        <w:rPr>
          <w:lang w:bidi="ar-EG"/>
        </w:rPr>
        <w:t>2023</w:t>
      </w:r>
      <w:r w:rsidR="00FE7419" w:rsidRPr="00854FDC">
        <w:rPr>
          <w:rtl/>
          <w:lang w:bidi="ar-EG"/>
        </w:rPr>
        <w:t xml:space="preserve"> </w:t>
      </w:r>
      <w:r w:rsidR="00BE6ED1" w:rsidRPr="00854FDC">
        <w:rPr>
          <w:rtl/>
          <w:lang w:bidi="ar-EG"/>
        </w:rPr>
        <w:t xml:space="preserve">عُيّن نائب الأمينة العامة </w:t>
      </w:r>
      <w:r w:rsidR="00FE7419" w:rsidRPr="00854FDC">
        <w:rPr>
          <w:rtl/>
          <w:lang w:bidi="ar-EG"/>
        </w:rPr>
        <w:t xml:space="preserve">لقيادة </w:t>
      </w:r>
      <w:r w:rsidR="002E3358" w:rsidRPr="00854FDC">
        <w:rPr>
          <w:rtl/>
        </w:rPr>
        <w:t xml:space="preserve">فريق مهامّ خاص معنيّ بالقرار </w:t>
      </w:r>
      <w:r w:rsidR="002E3358" w:rsidRPr="00854FDC">
        <w:rPr>
          <w:lang w:val="en-GB"/>
        </w:rPr>
        <w:t>1408</w:t>
      </w:r>
      <w:r w:rsidR="002E3358" w:rsidRPr="00854FDC">
        <w:rPr>
          <w:rtl/>
          <w:lang w:val="en-GB"/>
        </w:rPr>
        <w:t xml:space="preserve">، </w:t>
      </w:r>
      <w:r w:rsidR="00AC2D97">
        <w:rPr>
          <w:rFonts w:hint="cs"/>
          <w:rtl/>
          <w:lang w:bidi="ar-EG"/>
        </w:rPr>
        <w:t>تولّت تشكيله</w:t>
      </w:r>
      <w:r w:rsidR="002E3358" w:rsidRPr="00854FDC">
        <w:rPr>
          <w:rtl/>
          <w:lang w:bidi="ar-EG"/>
        </w:rPr>
        <w:t xml:space="preserve"> الأمانة العامة والقطاعات الثلاث، </w:t>
      </w:r>
      <w:r w:rsidR="002E3358" w:rsidRPr="00854FDC">
        <w:rPr>
          <w:rtl/>
        </w:rPr>
        <w:t>و</w:t>
      </w:r>
      <w:r w:rsidR="006B69C6" w:rsidRPr="00854FDC">
        <w:rPr>
          <w:rtl/>
        </w:rPr>
        <w:t xml:space="preserve">كان يجتمع على نحو منتظم ويتيح منصة للتنسيق فيما بين القطاعات. وعُيّن مكتب الاتحاد لمنطقة أوروبا </w:t>
      </w:r>
      <w:r w:rsidR="00983C6C" w:rsidRPr="00854FDC">
        <w:rPr>
          <w:rtl/>
        </w:rPr>
        <w:t xml:space="preserve">لتقديم خدمات الأمانة </w:t>
      </w:r>
      <w:r w:rsidR="00983C6C" w:rsidRPr="00854FDC">
        <w:rPr>
          <w:rtl/>
          <w:lang w:bidi="ar-EG"/>
        </w:rPr>
        <w:t>والقيام بدور القيادة بشأن تفعيل جميع الإجراءات المضطلع</w:t>
      </w:r>
      <w:r w:rsidR="001E17B3">
        <w:rPr>
          <w:rFonts w:hint="cs"/>
          <w:rtl/>
          <w:lang w:bidi="ar-EG"/>
        </w:rPr>
        <w:t xml:space="preserve"> بها</w:t>
      </w:r>
      <w:r w:rsidR="00983C6C" w:rsidRPr="00854FDC">
        <w:rPr>
          <w:rtl/>
          <w:lang w:bidi="ar-EG"/>
        </w:rPr>
        <w:t xml:space="preserve"> في سياق القرار </w:t>
      </w:r>
      <w:r w:rsidR="00983C6C" w:rsidRPr="00854FDC">
        <w:rPr>
          <w:lang w:val="en-GB" w:bidi="ar-EG"/>
        </w:rPr>
        <w:t>1408</w:t>
      </w:r>
      <w:r w:rsidR="00983C6C" w:rsidRPr="00854FDC">
        <w:rPr>
          <w:rtl/>
          <w:lang w:val="en-GB"/>
        </w:rPr>
        <w:t>؛</w:t>
      </w:r>
    </w:p>
    <w:p w14:paraId="4597B432" w14:textId="4070534D" w:rsidR="00983C6C" w:rsidRPr="00854FDC" w:rsidRDefault="00F05544" w:rsidP="007B6710">
      <w:pPr>
        <w:pStyle w:val="enumlev1"/>
        <w:rPr>
          <w:lang w:bidi="ar-EG"/>
        </w:rPr>
      </w:pPr>
      <w:r w:rsidRPr="003F3F59">
        <w:rPr>
          <w:rFonts w:eastAsia="SimSun"/>
          <w:position w:val="2"/>
          <w:lang w:eastAsia="en-US" w:bidi="ar-EG"/>
        </w:rPr>
        <w:sym w:font="Symbol" w:char="F0B7"/>
      </w:r>
      <w:r>
        <w:rPr>
          <w:rFonts w:eastAsia="SimSun"/>
          <w:position w:val="2"/>
          <w:lang w:eastAsia="en-US" w:bidi="ar-EG"/>
        </w:rPr>
        <w:tab/>
      </w:r>
      <w:r w:rsidR="00983C6C" w:rsidRPr="00854FDC">
        <w:rPr>
          <w:rtl/>
        </w:rPr>
        <w:t xml:space="preserve">على </w:t>
      </w:r>
      <w:r w:rsidR="00983C6C" w:rsidRPr="00854FDC">
        <w:rPr>
          <w:b/>
          <w:bCs/>
          <w:rtl/>
        </w:rPr>
        <w:t>المستوى القُطري</w:t>
      </w:r>
      <w:r w:rsidR="00983C6C" w:rsidRPr="00854FDC">
        <w:rPr>
          <w:rtl/>
        </w:rPr>
        <w:t xml:space="preserve">، </w:t>
      </w:r>
      <w:r w:rsidR="005947EB" w:rsidRPr="00854FDC">
        <w:rPr>
          <w:rtl/>
        </w:rPr>
        <w:t xml:space="preserve">أُجريت اتصالات منتظمة </w:t>
      </w:r>
      <w:r w:rsidR="00B74CB7">
        <w:rPr>
          <w:rFonts w:hint="cs"/>
          <w:rtl/>
        </w:rPr>
        <w:t xml:space="preserve">للتنسيق </w:t>
      </w:r>
      <w:r w:rsidR="005947EB" w:rsidRPr="00854FDC">
        <w:rPr>
          <w:rtl/>
        </w:rPr>
        <w:t>مع إدارة أوكرانيا وغيرها من المؤسسات العامة؛</w:t>
      </w:r>
    </w:p>
    <w:p w14:paraId="15FF7429" w14:textId="69EBFFA1" w:rsidR="005947EB" w:rsidRPr="00854FDC" w:rsidRDefault="00F05544" w:rsidP="007B6710">
      <w:pPr>
        <w:pStyle w:val="enumlev1"/>
        <w:rPr>
          <w:lang w:bidi="ar-EG"/>
        </w:rPr>
      </w:pPr>
      <w:r w:rsidRPr="003F3F59">
        <w:rPr>
          <w:rFonts w:eastAsia="SimSun"/>
          <w:position w:val="2"/>
          <w:lang w:eastAsia="en-US" w:bidi="ar-EG"/>
        </w:rPr>
        <w:sym w:font="Symbol" w:char="F0B7"/>
      </w:r>
      <w:r>
        <w:rPr>
          <w:rFonts w:eastAsia="SimSun"/>
          <w:position w:val="2"/>
          <w:lang w:eastAsia="en-US" w:bidi="ar-EG"/>
        </w:rPr>
        <w:tab/>
      </w:r>
      <w:r w:rsidR="005947EB" w:rsidRPr="00854FDC">
        <w:rPr>
          <w:rtl/>
        </w:rPr>
        <w:t xml:space="preserve">على </w:t>
      </w:r>
      <w:r w:rsidR="005947EB" w:rsidRPr="00854FDC">
        <w:rPr>
          <w:b/>
          <w:bCs/>
          <w:rtl/>
        </w:rPr>
        <w:t>مستوى منظومة الأمم المتحدة</w:t>
      </w:r>
      <w:r w:rsidR="005947EB" w:rsidRPr="00854FDC">
        <w:rPr>
          <w:rtl/>
        </w:rPr>
        <w:t>، واصل الاتحاد تقديم الدعم لأعمال المنسّق المقيم للأمم المتحدة في</w:t>
      </w:r>
      <w:r w:rsidR="007302CA">
        <w:rPr>
          <w:rFonts w:hint="cs"/>
          <w:rtl/>
        </w:rPr>
        <w:t> </w:t>
      </w:r>
      <w:r w:rsidR="005947EB" w:rsidRPr="00854FDC">
        <w:rPr>
          <w:rtl/>
        </w:rPr>
        <w:t xml:space="preserve">أوكرانيا </w:t>
      </w:r>
      <w:r w:rsidR="00BB0887" w:rsidRPr="00854FDC">
        <w:rPr>
          <w:rtl/>
        </w:rPr>
        <w:t xml:space="preserve">وفريق الأمم المتحدة القُطري، </w:t>
      </w:r>
      <w:r w:rsidR="00995574" w:rsidRPr="00854FDC">
        <w:rPr>
          <w:rtl/>
        </w:rPr>
        <w:t>وأسهم في إعداد التقييم القُطري المشترك التابع للأمم المتحدة، وإطار الأمم المتحدة الانتقالي للتنمية المستدامة، والمشاورات المتعلقة بالانضمام إلى الاتحاد الأور</w:t>
      </w:r>
      <w:r w:rsidR="001E17B3">
        <w:rPr>
          <w:rFonts w:hint="cs"/>
          <w:rtl/>
        </w:rPr>
        <w:t>و</w:t>
      </w:r>
      <w:r w:rsidR="00995574" w:rsidRPr="00854FDC">
        <w:rPr>
          <w:rtl/>
        </w:rPr>
        <w:t>بي.</w:t>
      </w:r>
    </w:p>
    <w:p w14:paraId="7E32B73B" w14:textId="77777777" w:rsidR="00995574" w:rsidRPr="00854FDC" w:rsidRDefault="00995574" w:rsidP="00995574">
      <w:pPr>
        <w:pStyle w:val="Heading1"/>
        <w:rPr>
          <w:rtl/>
          <w:lang w:bidi="ar-EG"/>
        </w:rPr>
      </w:pPr>
      <w:r w:rsidRPr="00854FDC">
        <w:rPr>
          <w:lang w:bidi="ar-EG"/>
        </w:rPr>
        <w:t>4</w:t>
      </w:r>
      <w:r w:rsidRPr="00854FDC">
        <w:rPr>
          <w:lang w:bidi="ar-EG"/>
        </w:rPr>
        <w:tab/>
      </w:r>
      <w:r w:rsidRPr="00854FDC">
        <w:rPr>
          <w:rtl/>
        </w:rPr>
        <w:t>تيسير المساعدة التقنية</w:t>
      </w:r>
    </w:p>
    <w:p w14:paraId="334D3CCA" w14:textId="0451408A" w:rsidR="00FA3B0C" w:rsidRPr="00854FDC" w:rsidRDefault="00FA3B0C" w:rsidP="00FA3B0C">
      <w:pPr>
        <w:rPr>
          <w:rtl/>
          <w:lang w:bidi="ar-JO"/>
        </w:rPr>
      </w:pPr>
      <w:r w:rsidRPr="00854FDC">
        <w:rPr>
          <w:rtl/>
          <w:lang w:bidi="ar-JO"/>
        </w:rPr>
        <w:t xml:space="preserve">بناءً على نتائج التقييم المؤقت وبعدَ التنسيق مع أوكرانيا، تمّ تحديد عملية إعادة بناء وإعادة إعمار </w:t>
      </w:r>
      <w:r w:rsidRPr="00854FDC">
        <w:rPr>
          <w:b/>
          <w:bCs/>
          <w:rtl/>
          <w:lang w:bidi="ar-JO"/>
        </w:rPr>
        <w:t>أنظمة الإذاعة</w:t>
      </w:r>
      <w:r w:rsidRPr="00854FDC">
        <w:rPr>
          <w:rtl/>
          <w:lang w:bidi="ar-JO"/>
        </w:rPr>
        <w:t xml:space="preserve"> كأولوية فورية للبلد. </w:t>
      </w:r>
      <w:r w:rsidR="00B47556">
        <w:rPr>
          <w:rFonts w:hint="cs"/>
          <w:rtl/>
          <w:lang w:bidi="ar-JO"/>
        </w:rPr>
        <w:t>ونُظر</w:t>
      </w:r>
      <w:r w:rsidRPr="00854FDC">
        <w:rPr>
          <w:rtl/>
          <w:lang w:bidi="ar-JO"/>
        </w:rPr>
        <w:t xml:space="preserve"> في مستوى الأضرار </w:t>
      </w:r>
      <w:r w:rsidR="003103A1" w:rsidRPr="00854FDC">
        <w:rPr>
          <w:rtl/>
          <w:lang w:bidi="ar-JO"/>
        </w:rPr>
        <w:t>التي لحقت ب</w:t>
      </w:r>
      <w:r w:rsidRPr="00854FDC">
        <w:rPr>
          <w:rtl/>
          <w:lang w:bidi="ar-JO"/>
        </w:rPr>
        <w:t>خمس عشر</w:t>
      </w:r>
      <w:r w:rsidR="003103A1" w:rsidRPr="00854FDC">
        <w:rPr>
          <w:rtl/>
          <w:lang w:bidi="ar-JO"/>
        </w:rPr>
        <w:t>ة</w:t>
      </w:r>
      <w:r w:rsidRPr="00854FDC">
        <w:rPr>
          <w:rtl/>
          <w:lang w:bidi="ar-JO"/>
        </w:rPr>
        <w:t xml:space="preserve"> محطة إذاعية </w:t>
      </w:r>
      <w:r w:rsidR="003103A1" w:rsidRPr="00854FDC">
        <w:rPr>
          <w:rtl/>
          <w:lang w:bidi="ar-JO"/>
        </w:rPr>
        <w:t>واختيرت</w:t>
      </w:r>
      <w:r w:rsidRPr="00854FDC">
        <w:rPr>
          <w:rtl/>
          <w:lang w:bidi="ar-JO"/>
        </w:rPr>
        <w:t xml:space="preserve"> خمس</w:t>
      </w:r>
      <w:r w:rsidR="00B47556">
        <w:rPr>
          <w:rFonts w:hint="cs"/>
          <w:rtl/>
          <w:lang w:bidi="ar-JO"/>
        </w:rPr>
        <w:t>ُ</w:t>
      </w:r>
      <w:r w:rsidRPr="00854FDC">
        <w:rPr>
          <w:rtl/>
          <w:lang w:bidi="ar-JO"/>
        </w:rPr>
        <w:t xml:space="preserve"> محطات للتقييم الفوري، ما </w:t>
      </w:r>
      <w:r w:rsidR="00B47556">
        <w:rPr>
          <w:rFonts w:hint="cs"/>
          <w:rtl/>
          <w:lang w:bidi="ar-JO"/>
        </w:rPr>
        <w:t>قاد</w:t>
      </w:r>
      <w:r w:rsidRPr="00854FDC">
        <w:rPr>
          <w:rtl/>
          <w:lang w:bidi="ar-JO"/>
        </w:rPr>
        <w:t xml:space="preserve"> إلى </w:t>
      </w:r>
      <w:r w:rsidR="003103A1" w:rsidRPr="00854FDC">
        <w:rPr>
          <w:rtl/>
          <w:lang w:bidi="ar-JO"/>
        </w:rPr>
        <w:t>وضع</w:t>
      </w:r>
      <w:r w:rsidRPr="00854FDC">
        <w:rPr>
          <w:rtl/>
          <w:lang w:bidi="ar-JO"/>
        </w:rPr>
        <w:t xml:space="preserve"> المواصفات </w:t>
      </w:r>
      <w:r w:rsidR="003103A1" w:rsidRPr="00854FDC">
        <w:rPr>
          <w:rtl/>
          <w:lang w:bidi="ar-JO"/>
        </w:rPr>
        <w:t>التقنية</w:t>
      </w:r>
      <w:r w:rsidRPr="00854FDC">
        <w:rPr>
          <w:rtl/>
          <w:lang w:bidi="ar-JO"/>
        </w:rPr>
        <w:t xml:space="preserve"> بما في ذلك </w:t>
      </w:r>
      <w:r w:rsidR="000A604D">
        <w:rPr>
          <w:rFonts w:hint="cs"/>
          <w:rtl/>
          <w:lang w:bidi="ar-JO"/>
        </w:rPr>
        <w:t>البُعد المالي</w:t>
      </w:r>
      <w:r w:rsidRPr="00854FDC">
        <w:rPr>
          <w:rtl/>
          <w:lang w:bidi="ar-JO"/>
        </w:rPr>
        <w:t xml:space="preserve"> للاستثمار المطلوب والجدول الزمني للتنفيذ. وكنتيجة نهائية لهذا النشاط</w:t>
      </w:r>
      <w:r w:rsidR="00312DE3" w:rsidRPr="00854FDC">
        <w:rPr>
          <w:rtl/>
          <w:lang w:bidi="ar-JO"/>
        </w:rPr>
        <w:t>،</w:t>
      </w:r>
      <w:r w:rsidRPr="00854FDC">
        <w:rPr>
          <w:rtl/>
          <w:lang w:bidi="ar-JO"/>
        </w:rPr>
        <w:t xml:space="preserve"> من المتوقع </w:t>
      </w:r>
      <w:r w:rsidR="00312DE3" w:rsidRPr="00854FDC">
        <w:rPr>
          <w:rtl/>
          <w:lang w:bidi="ar-JO"/>
        </w:rPr>
        <w:t>تزويد</w:t>
      </w:r>
      <w:r w:rsidRPr="00854FDC">
        <w:rPr>
          <w:rtl/>
          <w:lang w:bidi="ar-JO"/>
        </w:rPr>
        <w:t xml:space="preserve"> البلد بوثائق المشروع </w:t>
      </w:r>
      <w:r w:rsidR="00312DE3" w:rsidRPr="00854FDC">
        <w:rPr>
          <w:rtl/>
          <w:lang w:bidi="ar-JO"/>
        </w:rPr>
        <w:t>لتيسير</w:t>
      </w:r>
      <w:r w:rsidRPr="00854FDC">
        <w:rPr>
          <w:rtl/>
          <w:lang w:bidi="ar-JO"/>
        </w:rPr>
        <w:t xml:space="preserve"> اجتذاب التمويل من مجتمع المانحين الدوليين.</w:t>
      </w:r>
    </w:p>
    <w:p w14:paraId="55ED0C1F" w14:textId="56DCB527" w:rsidR="00995574" w:rsidRPr="00854FDC" w:rsidRDefault="00B708F3" w:rsidP="00995574">
      <w:pPr>
        <w:rPr>
          <w:rtl/>
          <w:lang w:bidi="ar-JO"/>
        </w:rPr>
      </w:pPr>
      <w:r w:rsidRPr="00854FDC">
        <w:rPr>
          <w:rtl/>
          <w:lang w:bidi="ar-JO"/>
        </w:rPr>
        <w:t>وبالإضافة إلى ذلك، أُجريت مناقشات أولية بشأن المساعدة الخاصة الموج</w:t>
      </w:r>
      <w:r w:rsidR="000A604D">
        <w:rPr>
          <w:rFonts w:hint="cs"/>
          <w:rtl/>
          <w:lang w:bidi="ar-JO"/>
        </w:rPr>
        <w:t>َّ</w:t>
      </w:r>
      <w:r w:rsidRPr="00854FDC">
        <w:rPr>
          <w:rtl/>
          <w:lang w:bidi="ar-JO"/>
        </w:rPr>
        <w:t xml:space="preserve">هة نحو بلورة </w:t>
      </w:r>
      <w:r w:rsidRPr="00854FDC">
        <w:rPr>
          <w:b/>
          <w:bCs/>
          <w:rtl/>
          <w:lang w:bidi="ar-JO"/>
        </w:rPr>
        <w:t>البيئة التمكينية</w:t>
      </w:r>
      <w:r w:rsidRPr="00854FDC">
        <w:rPr>
          <w:rtl/>
          <w:lang w:bidi="ar-JO"/>
        </w:rPr>
        <w:t xml:space="preserve"> والإطار الوطني لبدء تنفيذ البنية التحتية الرقمية </w:t>
      </w:r>
      <w:r w:rsidR="000A604D">
        <w:rPr>
          <w:rFonts w:hint="cs"/>
          <w:rtl/>
          <w:lang w:bidi="ar-JO"/>
        </w:rPr>
        <w:t>بالاعتماد على</w:t>
      </w:r>
      <w:r w:rsidRPr="00854FDC">
        <w:rPr>
          <w:rtl/>
          <w:lang w:bidi="ar-JO"/>
        </w:rPr>
        <w:t xml:space="preserve"> </w:t>
      </w:r>
      <w:r w:rsidR="005F3162">
        <w:rPr>
          <w:rFonts w:hint="cs"/>
          <w:rtl/>
          <w:lang w:bidi="ar-JO"/>
        </w:rPr>
        <w:t>المعونة</w:t>
      </w:r>
      <w:r w:rsidRPr="00854FDC">
        <w:rPr>
          <w:rtl/>
          <w:lang w:bidi="ar-JO"/>
        </w:rPr>
        <w:t xml:space="preserve"> العامة.</w:t>
      </w:r>
    </w:p>
    <w:p w14:paraId="0D0890F8" w14:textId="46EBB2EF" w:rsidR="00D73C71" w:rsidRDefault="00733E2C" w:rsidP="00995574">
      <w:pPr>
        <w:rPr>
          <w:rtl/>
          <w:lang w:bidi="ar-JO"/>
        </w:rPr>
      </w:pPr>
      <w:r w:rsidRPr="00854FDC">
        <w:rPr>
          <w:rtl/>
          <w:lang w:bidi="ar-JO"/>
        </w:rPr>
        <w:t>وعلاوة</w:t>
      </w:r>
      <w:r w:rsidR="005F3162">
        <w:rPr>
          <w:rFonts w:hint="cs"/>
          <w:rtl/>
          <w:lang w:bidi="ar-JO"/>
        </w:rPr>
        <w:t>ً</w:t>
      </w:r>
      <w:r w:rsidRPr="00854FDC">
        <w:rPr>
          <w:rtl/>
          <w:lang w:bidi="ar-JO"/>
        </w:rPr>
        <w:t xml:space="preserve"> على ذلك، وباتباع </w:t>
      </w:r>
      <w:r w:rsidRPr="00854FDC">
        <w:rPr>
          <w:b/>
          <w:bCs/>
          <w:rtl/>
          <w:lang w:bidi="ar-JO"/>
        </w:rPr>
        <w:t>آلية</w:t>
      </w:r>
      <w:proofErr w:type="gramStart"/>
      <w:r w:rsidRPr="00854FDC">
        <w:rPr>
          <w:b/>
          <w:bCs/>
          <w:rtl/>
          <w:lang w:bidi="ar-JO"/>
        </w:rPr>
        <w:t xml:space="preserve"> </w:t>
      </w:r>
      <w:r w:rsidR="005F3162" w:rsidRPr="005F3162">
        <w:rPr>
          <w:b/>
          <w:bCs/>
          <w:rtl/>
        </w:rPr>
        <w:t>’الشراكة</w:t>
      </w:r>
      <w:proofErr w:type="gramEnd"/>
      <w:r w:rsidR="005F3162" w:rsidRPr="005F3162">
        <w:rPr>
          <w:b/>
          <w:bCs/>
          <w:rtl/>
        </w:rPr>
        <w:t xml:space="preserve"> من أجل التوصيل‘</w:t>
      </w:r>
      <w:r w:rsidR="00C416C3" w:rsidRPr="00854FDC">
        <w:rPr>
          <w:rtl/>
          <w:lang w:bidi="ar-JO"/>
        </w:rPr>
        <w:t xml:space="preserve">، كرّر مكتب الاتحاد لمنطقة أوروبا الدعوة </w:t>
      </w:r>
      <w:r w:rsidR="00D73C71">
        <w:rPr>
          <w:rFonts w:hint="cs"/>
          <w:rtl/>
          <w:lang w:bidi="ar-JO"/>
        </w:rPr>
        <w:t>ل</w:t>
      </w:r>
      <w:r w:rsidR="00C416C3" w:rsidRPr="00854FDC">
        <w:rPr>
          <w:rtl/>
          <w:lang w:bidi="ar-JO"/>
        </w:rPr>
        <w:t>تقديم تعهدات داعياً جميع أصحاب المصلحة إلى تقديم تعهداتهم والتزاماتهم بشأن الإجراءات الملموسة التي تنفّذها البلدان على وجه التحديد فيما</w:t>
      </w:r>
      <w:r w:rsidR="0041737A">
        <w:rPr>
          <w:rFonts w:hint="cs"/>
          <w:rtl/>
          <w:lang w:bidi="ar-JO"/>
        </w:rPr>
        <w:t> </w:t>
      </w:r>
      <w:r w:rsidR="00C416C3" w:rsidRPr="00854FDC">
        <w:rPr>
          <w:rtl/>
          <w:lang w:bidi="ar-JO"/>
        </w:rPr>
        <w:t xml:space="preserve">يتعلق بتنفيذ القرار </w:t>
      </w:r>
      <w:r w:rsidR="00C416C3" w:rsidRPr="00854FDC">
        <w:rPr>
          <w:lang w:bidi="ar-JO"/>
        </w:rPr>
        <w:t>1408</w:t>
      </w:r>
      <w:r w:rsidR="00C416C3" w:rsidRPr="00854FDC">
        <w:rPr>
          <w:rtl/>
          <w:lang w:bidi="ar-JO"/>
        </w:rPr>
        <w:t>.</w:t>
      </w:r>
    </w:p>
    <w:p w14:paraId="77B85715" w14:textId="4E47D02B" w:rsidR="003E667A" w:rsidRPr="00854FDC" w:rsidRDefault="00C416C3" w:rsidP="00995574">
      <w:pPr>
        <w:rPr>
          <w:rtl/>
          <w:lang w:val="en-GB" w:bidi="ar-JO"/>
        </w:rPr>
      </w:pPr>
      <w:r w:rsidRPr="00854FDC">
        <w:rPr>
          <w:rtl/>
          <w:lang w:bidi="ar-JO"/>
        </w:rPr>
        <w:t xml:space="preserve">وحتى </w:t>
      </w:r>
      <w:r w:rsidR="00795BDC" w:rsidRPr="00854FDC">
        <w:rPr>
          <w:rtl/>
          <w:lang w:bidi="ar-JO"/>
        </w:rPr>
        <w:t>هذا اليوم، أسهمت البلدان التالية في نظام التعهُّد لصالح</w:t>
      </w:r>
      <w:proofErr w:type="gramStart"/>
      <w:r w:rsidR="00795BDC" w:rsidRPr="00854FDC">
        <w:rPr>
          <w:rtl/>
          <w:lang w:bidi="ar-JO"/>
        </w:rPr>
        <w:t xml:space="preserve"> </w:t>
      </w:r>
      <w:r w:rsidR="005F3162" w:rsidRPr="00854FDC">
        <w:rPr>
          <w:rtl/>
        </w:rPr>
        <w:t>’الشراكة</w:t>
      </w:r>
      <w:proofErr w:type="gramEnd"/>
      <w:r w:rsidR="005F3162" w:rsidRPr="00854FDC">
        <w:rPr>
          <w:rtl/>
        </w:rPr>
        <w:t xml:space="preserve"> من أجل التوصيل‘</w:t>
      </w:r>
      <w:r w:rsidR="003E667A" w:rsidRPr="00854FDC">
        <w:rPr>
          <w:rtl/>
          <w:lang w:bidi="ar-JO"/>
        </w:rPr>
        <w:t>:</w:t>
      </w:r>
      <w:r w:rsidR="0083320F" w:rsidRPr="00854FDC">
        <w:rPr>
          <w:rtl/>
          <w:lang w:bidi="ar-JO"/>
        </w:rPr>
        <w:t xml:space="preserve"> </w:t>
      </w:r>
      <w:r w:rsidR="003E667A" w:rsidRPr="00854FDC">
        <w:rPr>
          <w:rtl/>
          <w:lang w:bidi="ar-JO"/>
        </w:rPr>
        <w:t>إستونيا</w:t>
      </w:r>
      <w:r w:rsidR="00B00FDD">
        <w:rPr>
          <w:rFonts w:hint="cs"/>
          <w:rtl/>
          <w:lang w:bidi="ar-JO"/>
        </w:rPr>
        <w:t xml:space="preserve"> وجورجيا وألمانيا واليابان وليتوانيا وهولندا وبولندا وسلوفينيا وإسبانيا وأوكرانيا والمملكة المتحدة والولايات المتحدة</w:t>
      </w:r>
      <w:r w:rsidR="0083320F" w:rsidRPr="00854FDC">
        <w:rPr>
          <w:rtl/>
          <w:lang w:bidi="ar-JO"/>
        </w:rPr>
        <w:t xml:space="preserve">. </w:t>
      </w:r>
      <w:r w:rsidR="00D73C71">
        <w:rPr>
          <w:rFonts w:hint="cs"/>
          <w:rtl/>
          <w:lang w:bidi="ar-JO"/>
        </w:rPr>
        <w:t>و</w:t>
      </w:r>
      <w:r w:rsidR="0083320F" w:rsidRPr="00854FDC">
        <w:rPr>
          <w:rtl/>
          <w:lang w:bidi="ar-JO"/>
        </w:rPr>
        <w:t xml:space="preserve">القيمة المالية الإجمالية المقدَّرة لجميع التعهدات </w:t>
      </w:r>
      <w:r w:rsidR="00D73C71">
        <w:rPr>
          <w:rFonts w:hint="cs"/>
          <w:rtl/>
          <w:lang w:bidi="ar-JO"/>
        </w:rPr>
        <w:t xml:space="preserve">تتجاوز </w:t>
      </w:r>
      <w:r w:rsidR="0083320F" w:rsidRPr="00854FDC">
        <w:rPr>
          <w:lang w:val="en-GB" w:bidi="ar-JO"/>
        </w:rPr>
        <w:t>140</w:t>
      </w:r>
      <w:r w:rsidR="0083320F" w:rsidRPr="00854FDC">
        <w:rPr>
          <w:rtl/>
          <w:lang w:val="en-GB" w:bidi="ar-JO"/>
        </w:rPr>
        <w:t xml:space="preserve"> مليون دولار أمريكي.</w:t>
      </w:r>
    </w:p>
    <w:p w14:paraId="03E7E363" w14:textId="7234BF29" w:rsidR="00803419" w:rsidRPr="00854FDC" w:rsidRDefault="00803419" w:rsidP="00995574">
      <w:pPr>
        <w:rPr>
          <w:rtl/>
          <w:lang w:val="en-GB" w:bidi="ar-JO"/>
        </w:rPr>
      </w:pPr>
      <w:r w:rsidRPr="00854FDC">
        <w:rPr>
          <w:b/>
          <w:bCs/>
          <w:color w:val="000000"/>
          <w:sz w:val="20"/>
          <w:szCs w:val="20"/>
          <w:shd w:val="clear" w:color="auto" w:fill="FFFFFF"/>
          <w:rtl/>
        </w:rPr>
        <w:t>المنتدى الإقليمي للتنمية الذي ينظمه الاتحاد الدولي للاتصالات لمنطقة أوروبا</w:t>
      </w:r>
      <w:r w:rsidRPr="00854FDC">
        <w:rPr>
          <w:rtl/>
          <w:lang w:val="en-GB" w:bidi="ar-JO"/>
        </w:rPr>
        <w:t xml:space="preserve"> (</w:t>
      </w:r>
      <w:r w:rsidRPr="00854FDC">
        <w:rPr>
          <w:lang w:val="en-GB" w:bidi="ar-JO"/>
        </w:rPr>
        <w:t>23</w:t>
      </w:r>
      <w:r w:rsidRPr="00854FDC">
        <w:rPr>
          <w:rtl/>
          <w:lang w:val="en-GB" w:bidi="ar-JO"/>
        </w:rPr>
        <w:t xml:space="preserve"> مايو </w:t>
      </w:r>
      <w:r w:rsidRPr="00854FDC">
        <w:rPr>
          <w:lang w:val="en-GB" w:bidi="ar-JO"/>
        </w:rPr>
        <w:t>2023</w:t>
      </w:r>
      <w:r w:rsidRPr="00854FDC">
        <w:rPr>
          <w:rtl/>
          <w:lang w:val="en-GB" w:bidi="ar-JO"/>
        </w:rPr>
        <w:t xml:space="preserve">) </w:t>
      </w:r>
      <w:r w:rsidR="00F71C24" w:rsidRPr="00854FDC">
        <w:rPr>
          <w:rtl/>
          <w:lang w:val="en-GB" w:bidi="ar-JO"/>
        </w:rPr>
        <w:t xml:space="preserve">كان بمثابة فرصة لعقد جلسة خاصة وتقديم بعض الالتزامات الجديدة </w:t>
      </w:r>
      <w:r w:rsidR="00D73C71">
        <w:rPr>
          <w:rFonts w:hint="cs"/>
          <w:rtl/>
          <w:lang w:val="en-GB" w:bidi="ar-JO"/>
        </w:rPr>
        <w:t>المتأتية من</w:t>
      </w:r>
      <w:r w:rsidR="00F71C24" w:rsidRPr="00854FDC">
        <w:rPr>
          <w:rtl/>
          <w:lang w:val="en-GB" w:bidi="ar-JO"/>
        </w:rPr>
        <w:t xml:space="preserve"> </w:t>
      </w:r>
      <w:r w:rsidR="00B00FDD">
        <w:rPr>
          <w:rFonts w:hint="cs"/>
          <w:rtl/>
          <w:lang w:val="en-GB" w:bidi="ar-JO"/>
        </w:rPr>
        <w:t>ألمانيا وليتوانيا وبولندا وإسبانيا والسويد والمملكة المتحدة</w:t>
      </w:r>
      <w:r w:rsidR="00F71C24" w:rsidRPr="00854FDC">
        <w:rPr>
          <w:rtl/>
          <w:lang w:val="en-GB" w:bidi="ar-JO"/>
        </w:rPr>
        <w:t xml:space="preserve">. وتتجاوز قيمتها الإجمالية المقدَّرة </w:t>
      </w:r>
      <w:r w:rsidR="00F71C24" w:rsidRPr="00854FDC">
        <w:rPr>
          <w:lang w:val="en-GB" w:bidi="ar-JO"/>
        </w:rPr>
        <w:t>43</w:t>
      </w:r>
      <w:r w:rsidR="00F71C24" w:rsidRPr="00854FDC">
        <w:rPr>
          <w:rtl/>
          <w:lang w:val="en-GB" w:bidi="ar-JO"/>
        </w:rPr>
        <w:t xml:space="preserve"> مليون دولار أمريكي.</w:t>
      </w:r>
    </w:p>
    <w:p w14:paraId="2925775C" w14:textId="5FAE9828" w:rsidR="00F71C24" w:rsidRPr="00B00FDD" w:rsidRDefault="00E528BA" w:rsidP="00995574">
      <w:pPr>
        <w:rPr>
          <w:spacing w:val="4"/>
          <w:rtl/>
          <w:lang w:val="en-GB" w:bidi="ar-JO"/>
        </w:rPr>
      </w:pPr>
      <w:r w:rsidRPr="00B00FDD">
        <w:rPr>
          <w:spacing w:val="4"/>
          <w:rtl/>
          <w:lang w:val="en-GB" w:bidi="ar-JO"/>
        </w:rPr>
        <w:t xml:space="preserve">ويتطلع الاتحاد إلى الإسهام في </w:t>
      </w:r>
      <w:r w:rsidRPr="00B00FDD">
        <w:rPr>
          <w:b/>
          <w:bCs/>
          <w:spacing w:val="4"/>
          <w:rtl/>
          <w:lang w:val="en-GB" w:bidi="ar-JO"/>
        </w:rPr>
        <w:t>مؤتمر تعافي أوكرانيا</w:t>
      </w:r>
      <w:r w:rsidR="00B00FDD" w:rsidRPr="00B00FDD">
        <w:rPr>
          <w:rFonts w:hint="cs"/>
          <w:b/>
          <w:bCs/>
          <w:spacing w:val="4"/>
          <w:rtl/>
          <w:lang w:val="en-GB" w:bidi="ar-JO"/>
        </w:rPr>
        <w:t xml:space="preserve"> </w:t>
      </w:r>
      <w:r w:rsidR="00B00FDD" w:rsidRPr="00B00FDD">
        <w:rPr>
          <w:b/>
          <w:bCs/>
          <w:spacing w:val="4"/>
          <w:lang w:bidi="ar-JO"/>
        </w:rPr>
        <w:t>(URC)</w:t>
      </w:r>
      <w:r w:rsidRPr="00B00FDD">
        <w:rPr>
          <w:spacing w:val="4"/>
          <w:rtl/>
          <w:lang w:val="en-GB" w:bidi="ar-JO"/>
        </w:rPr>
        <w:t xml:space="preserve">، المنعقد في الفترة من </w:t>
      </w:r>
      <w:r w:rsidRPr="00B00FDD">
        <w:rPr>
          <w:spacing w:val="4"/>
          <w:lang w:val="en-GB" w:bidi="ar-JO"/>
        </w:rPr>
        <w:t>21</w:t>
      </w:r>
      <w:r w:rsidRPr="00B00FDD">
        <w:rPr>
          <w:spacing w:val="4"/>
          <w:rtl/>
          <w:lang w:val="en-GB" w:bidi="ar-JO"/>
        </w:rPr>
        <w:t xml:space="preserve"> إلى </w:t>
      </w:r>
      <w:r w:rsidRPr="00B00FDD">
        <w:rPr>
          <w:spacing w:val="4"/>
          <w:lang w:val="en-GB" w:bidi="ar-JO"/>
        </w:rPr>
        <w:t>22</w:t>
      </w:r>
      <w:r w:rsidRPr="00B00FDD">
        <w:rPr>
          <w:spacing w:val="4"/>
          <w:rtl/>
          <w:lang w:val="en-GB" w:bidi="ar-JO"/>
        </w:rPr>
        <w:t xml:space="preserve"> يونيو </w:t>
      </w:r>
      <w:r w:rsidRPr="00B00FDD">
        <w:rPr>
          <w:spacing w:val="4"/>
          <w:lang w:val="en-GB" w:bidi="ar-JO"/>
        </w:rPr>
        <w:t>2023</w:t>
      </w:r>
      <w:r w:rsidRPr="00B00FDD">
        <w:rPr>
          <w:spacing w:val="4"/>
          <w:rtl/>
          <w:lang w:val="en-GB" w:bidi="ar-JO"/>
        </w:rPr>
        <w:t>، في لندن (المملكة المتحدة). وسيغت</w:t>
      </w:r>
      <w:r w:rsidR="001E17B3" w:rsidRPr="00B00FDD">
        <w:rPr>
          <w:rFonts w:hint="cs"/>
          <w:spacing w:val="4"/>
          <w:rtl/>
          <w:lang w:val="en-GB" w:bidi="ar-JO"/>
        </w:rPr>
        <w:t>ن</w:t>
      </w:r>
      <w:r w:rsidRPr="00B00FDD">
        <w:rPr>
          <w:spacing w:val="4"/>
          <w:rtl/>
          <w:lang w:val="en-GB" w:bidi="ar-JO"/>
        </w:rPr>
        <w:t xml:space="preserve">م الاتحاد هذه الفرصة للدعوة إلى المزيد من المشاركة في الأنشطة المتعلقة بالقرار </w:t>
      </w:r>
      <w:r w:rsidRPr="00B00FDD">
        <w:rPr>
          <w:spacing w:val="4"/>
          <w:lang w:val="en-GB" w:bidi="ar-JO"/>
        </w:rPr>
        <w:t>1408</w:t>
      </w:r>
      <w:r w:rsidRPr="00B00FDD">
        <w:rPr>
          <w:spacing w:val="4"/>
          <w:rtl/>
          <w:lang w:val="en-GB" w:bidi="ar-JO"/>
        </w:rPr>
        <w:t xml:space="preserve"> الصادر عن مجلس الاتحاد.</w:t>
      </w:r>
    </w:p>
    <w:p w14:paraId="087469A1" w14:textId="3EAACC3C" w:rsidR="00E528BA" w:rsidRPr="00854FDC" w:rsidRDefault="00E528BA" w:rsidP="00E528BA">
      <w:pPr>
        <w:rPr>
          <w:rtl/>
          <w:lang w:bidi="ar-EG"/>
        </w:rPr>
      </w:pPr>
      <w:r w:rsidRPr="00854FDC">
        <w:rPr>
          <w:rtl/>
        </w:rPr>
        <w:t>والمتابعة المكرَّسة مع الدول الأعضاء وسائر أصحاب المصلحة ما تزال جارية</w:t>
      </w:r>
      <w:r w:rsidR="00D73C71">
        <w:rPr>
          <w:rFonts w:hint="cs"/>
          <w:rtl/>
        </w:rPr>
        <w:t>ً، وجارٍ</w:t>
      </w:r>
      <w:r w:rsidRPr="00854FDC">
        <w:rPr>
          <w:rtl/>
        </w:rPr>
        <w:t xml:space="preserve"> </w:t>
      </w:r>
      <w:r w:rsidR="00772A11">
        <w:rPr>
          <w:rFonts w:hint="cs"/>
          <w:rtl/>
        </w:rPr>
        <w:t xml:space="preserve">أيضاً </w:t>
      </w:r>
      <w:r w:rsidRPr="00854FDC">
        <w:rPr>
          <w:rtl/>
        </w:rPr>
        <w:t xml:space="preserve">تحديد التزامات جديدة. </w:t>
      </w:r>
    </w:p>
    <w:p w14:paraId="3924FC74" w14:textId="77777777" w:rsidR="00BD303D" w:rsidRPr="00854FDC" w:rsidRDefault="00BD303D" w:rsidP="00097801">
      <w:pPr>
        <w:pStyle w:val="Heading1"/>
        <w:rPr>
          <w:rtl/>
          <w:lang w:bidi="ar-EG"/>
        </w:rPr>
      </w:pPr>
      <w:r w:rsidRPr="00854FDC">
        <w:rPr>
          <w:lang w:bidi="ar-EG"/>
        </w:rPr>
        <w:lastRenderedPageBreak/>
        <w:t>5</w:t>
      </w:r>
      <w:r w:rsidRPr="00854FDC">
        <w:rPr>
          <w:lang w:bidi="ar-EG"/>
        </w:rPr>
        <w:tab/>
      </w:r>
      <w:r w:rsidRPr="00854FDC">
        <w:rPr>
          <w:rtl/>
        </w:rPr>
        <w:t>تعبئة الموارد</w:t>
      </w:r>
    </w:p>
    <w:p w14:paraId="5AF5B04D" w14:textId="68B344BE" w:rsidR="00BD303D" w:rsidRPr="00854FDC" w:rsidRDefault="00BD303D" w:rsidP="00097801">
      <w:pPr>
        <w:keepNext/>
        <w:keepLines/>
        <w:rPr>
          <w:lang w:val="ar-SA" w:bidi="ar-EG"/>
        </w:rPr>
      </w:pPr>
      <w:r w:rsidRPr="00854FDC">
        <w:rPr>
          <w:rtl/>
        </w:rPr>
        <w:t xml:space="preserve">بهدف ضمان كفاية </w:t>
      </w:r>
      <w:r w:rsidRPr="00854FDC">
        <w:rPr>
          <w:rtl/>
          <w:lang w:bidi="ar-JO"/>
        </w:rPr>
        <w:t>الموارد</w:t>
      </w:r>
      <w:r w:rsidRPr="00854FDC">
        <w:rPr>
          <w:rtl/>
        </w:rPr>
        <w:t xml:space="preserve"> المالية والبشرية اللازمة لتنفيذ أحكام الفقرة </w:t>
      </w:r>
      <w:r w:rsidRPr="00A07B47">
        <w:rPr>
          <w:i/>
          <w:iCs/>
          <w:rtl/>
        </w:rPr>
        <w:t>"يقرر"</w:t>
      </w:r>
      <w:r w:rsidRPr="00854FDC">
        <w:rPr>
          <w:rtl/>
        </w:rPr>
        <w:t xml:space="preserve"> من القرار </w:t>
      </w:r>
      <w:r w:rsidR="007B4FEB">
        <w:t>1408</w:t>
      </w:r>
      <w:r w:rsidRPr="00854FDC">
        <w:rPr>
          <w:rtl/>
        </w:rPr>
        <w:t>، اتُخذت مجموعة</w:t>
      </w:r>
      <w:r w:rsidR="00BF2003">
        <w:rPr>
          <w:rFonts w:hint="cs"/>
          <w:rtl/>
        </w:rPr>
        <w:t>ٌ</w:t>
      </w:r>
      <w:r w:rsidRPr="00854FDC">
        <w:rPr>
          <w:rtl/>
        </w:rPr>
        <w:t xml:space="preserve"> من الإجراءات على النحو التالي:</w:t>
      </w:r>
    </w:p>
    <w:p w14:paraId="108A2211" w14:textId="4C4DA4BC" w:rsidR="00B3476E" w:rsidRPr="00097801" w:rsidRDefault="00097801" w:rsidP="00097801">
      <w:pPr>
        <w:pStyle w:val="enumlev1"/>
        <w:keepNext/>
        <w:keepLines/>
        <w:rPr>
          <w:spacing w:val="-2"/>
          <w:lang w:eastAsia="en-US"/>
        </w:rPr>
      </w:pPr>
      <w:r w:rsidRPr="00097801">
        <w:rPr>
          <w:rFonts w:eastAsia="SimSun"/>
          <w:spacing w:val="-2"/>
          <w:position w:val="2"/>
          <w:lang w:eastAsia="en-US" w:bidi="ar-EG"/>
        </w:rPr>
        <w:sym w:font="Symbol" w:char="F0B7"/>
      </w:r>
      <w:r w:rsidR="0041737A" w:rsidRPr="00097801">
        <w:rPr>
          <w:spacing w:val="-2"/>
          <w:lang w:eastAsia="en-US"/>
        </w:rPr>
        <w:tab/>
      </w:r>
      <w:r w:rsidR="00903335" w:rsidRPr="00097801">
        <w:rPr>
          <w:spacing w:val="-2"/>
          <w:rtl/>
          <w:lang w:eastAsia="en-US"/>
        </w:rPr>
        <w:t>أُجري استعراض</w:t>
      </w:r>
      <w:r w:rsidR="00D73C71" w:rsidRPr="00097801">
        <w:rPr>
          <w:rFonts w:hint="cs"/>
          <w:spacing w:val="-2"/>
          <w:rtl/>
          <w:lang w:eastAsia="en-US"/>
        </w:rPr>
        <w:t>ٌ</w:t>
      </w:r>
      <w:r w:rsidR="00903335" w:rsidRPr="00097801">
        <w:rPr>
          <w:spacing w:val="-2"/>
          <w:rtl/>
          <w:lang w:eastAsia="en-US"/>
        </w:rPr>
        <w:t xml:space="preserve"> للميزانية الداخلية </w:t>
      </w:r>
      <w:r w:rsidR="00903335" w:rsidRPr="00097801">
        <w:rPr>
          <w:spacing w:val="-2"/>
          <w:rtl/>
        </w:rPr>
        <w:t>وخُصّصت</w:t>
      </w:r>
      <w:r w:rsidR="00903335" w:rsidRPr="00097801">
        <w:rPr>
          <w:spacing w:val="-2"/>
          <w:rtl/>
          <w:lang w:eastAsia="en-US"/>
        </w:rPr>
        <w:t xml:space="preserve"> موارد إضافية من قِبل مكتب تنمية الاتصالات (</w:t>
      </w:r>
      <w:r w:rsidR="00903335" w:rsidRPr="00097801">
        <w:rPr>
          <w:spacing w:val="-2"/>
          <w:lang w:val="en-GB" w:eastAsia="en-US"/>
        </w:rPr>
        <w:t>20</w:t>
      </w:r>
      <w:r>
        <w:rPr>
          <w:spacing w:val="-2"/>
          <w:lang w:val="en-GB" w:eastAsia="en-US"/>
        </w:rPr>
        <w:t> </w:t>
      </w:r>
      <w:r w:rsidR="00903335" w:rsidRPr="00097801">
        <w:rPr>
          <w:spacing w:val="-2"/>
          <w:lang w:val="en-GB" w:eastAsia="en-US"/>
        </w:rPr>
        <w:t>000</w:t>
      </w:r>
      <w:r w:rsidR="00903335" w:rsidRPr="00097801">
        <w:rPr>
          <w:spacing w:val="-2"/>
          <w:rtl/>
          <w:lang w:val="en-GB" w:eastAsia="en-US"/>
        </w:rPr>
        <w:t xml:space="preserve"> فرنك سويسري) لتعزيز القدرة التنفيذية لمكتب الاتحاد لمنطقة أوروبا فيما يتعلق بالقرار </w:t>
      </w:r>
      <w:r w:rsidR="00903335" w:rsidRPr="00097801">
        <w:rPr>
          <w:spacing w:val="-2"/>
          <w:lang w:val="en-GB" w:eastAsia="en-US"/>
        </w:rPr>
        <w:t>1408</w:t>
      </w:r>
      <w:r w:rsidR="00903335" w:rsidRPr="00097801">
        <w:rPr>
          <w:spacing w:val="-2"/>
          <w:rtl/>
          <w:lang w:val="en-GB" w:eastAsia="en-US"/>
        </w:rPr>
        <w:t xml:space="preserve"> الصادر عن مجلس الاتحاد؛</w:t>
      </w:r>
    </w:p>
    <w:p w14:paraId="67CFBAAC" w14:textId="096B5268" w:rsidR="00903335" w:rsidRPr="00D73C71" w:rsidRDefault="00097801" w:rsidP="00097801">
      <w:pPr>
        <w:pStyle w:val="enumlev1"/>
        <w:keepNext/>
        <w:keepLines/>
        <w:rPr>
          <w:lang w:eastAsia="en-US"/>
        </w:rPr>
      </w:pPr>
      <w:r w:rsidRPr="003F3F59">
        <w:rPr>
          <w:rFonts w:eastAsia="SimSun"/>
          <w:position w:val="2"/>
          <w:lang w:eastAsia="en-US" w:bidi="ar-EG"/>
        </w:rPr>
        <w:sym w:font="Symbol" w:char="F0B7"/>
      </w:r>
      <w:r>
        <w:rPr>
          <w:lang w:eastAsia="en-US"/>
        </w:rPr>
        <w:tab/>
      </w:r>
      <w:r w:rsidR="00903335" w:rsidRPr="00D73C71">
        <w:rPr>
          <w:rtl/>
          <w:lang w:eastAsia="en-US"/>
        </w:rPr>
        <w:t xml:space="preserve">أُعيد التأكيد على الدعوة للمساهمة في صندوق استئمان خاص مكرَّس لتنفيذ القرار </w:t>
      </w:r>
      <w:r w:rsidR="00903335" w:rsidRPr="00D73C71">
        <w:rPr>
          <w:lang w:eastAsia="en-US"/>
        </w:rPr>
        <w:t>1408</w:t>
      </w:r>
      <w:r w:rsidR="00903335" w:rsidRPr="00D73C71">
        <w:rPr>
          <w:rtl/>
          <w:lang w:eastAsia="en-US"/>
        </w:rPr>
        <w:t xml:space="preserve"> ودمجها في</w:t>
      </w:r>
      <w:r>
        <w:rPr>
          <w:rFonts w:hint="cs"/>
          <w:rtl/>
          <w:lang w:eastAsia="en-US"/>
        </w:rPr>
        <w:t> </w:t>
      </w:r>
      <w:r w:rsidR="00903335" w:rsidRPr="00D73C71">
        <w:rPr>
          <w:rtl/>
          <w:lang w:eastAsia="en-US"/>
        </w:rPr>
        <w:t>الرسائل المنتظمة</w:t>
      </w:r>
      <w:r w:rsidR="00CA63B2">
        <w:rPr>
          <w:rFonts w:hint="cs"/>
          <w:rtl/>
          <w:lang w:eastAsia="en-US"/>
        </w:rPr>
        <w:t> </w:t>
      </w:r>
      <w:r w:rsidR="00903335" w:rsidRPr="00D73C71">
        <w:rPr>
          <w:rtl/>
          <w:lang w:eastAsia="en-US"/>
        </w:rPr>
        <w:t>للاتحاد؛</w:t>
      </w:r>
    </w:p>
    <w:p w14:paraId="0EE709EA" w14:textId="3A67AF69" w:rsidR="00903335" w:rsidRPr="00D73C71" w:rsidRDefault="00097801" w:rsidP="00097801">
      <w:pPr>
        <w:pStyle w:val="enumlev1"/>
        <w:keepNext/>
        <w:keepLines/>
        <w:rPr>
          <w:lang w:eastAsia="en-US"/>
        </w:rPr>
      </w:pPr>
      <w:r w:rsidRPr="003F3F59">
        <w:rPr>
          <w:rFonts w:eastAsia="SimSun"/>
          <w:position w:val="2"/>
          <w:lang w:eastAsia="en-US" w:bidi="ar-EG"/>
        </w:rPr>
        <w:sym w:font="Symbol" w:char="F0B7"/>
      </w:r>
      <w:r>
        <w:rPr>
          <w:lang w:eastAsia="en-US"/>
        </w:rPr>
        <w:tab/>
      </w:r>
      <w:r w:rsidR="00903335" w:rsidRPr="00D73C71">
        <w:rPr>
          <w:rtl/>
          <w:lang w:eastAsia="en-US"/>
        </w:rPr>
        <w:t xml:space="preserve">الموارد </w:t>
      </w:r>
      <w:proofErr w:type="spellStart"/>
      <w:r w:rsidR="00903335" w:rsidRPr="00D73C71">
        <w:rPr>
          <w:rtl/>
          <w:lang w:eastAsia="en-US"/>
        </w:rPr>
        <w:t>المتلقاة</w:t>
      </w:r>
      <w:proofErr w:type="spellEnd"/>
      <w:r w:rsidR="00903335" w:rsidRPr="00D73C71">
        <w:rPr>
          <w:rtl/>
          <w:lang w:eastAsia="en-US"/>
        </w:rPr>
        <w:t xml:space="preserve"> من اليابان (</w:t>
      </w:r>
      <w:r w:rsidR="00903335" w:rsidRPr="00D73C71">
        <w:rPr>
          <w:lang w:val="en-GB" w:eastAsia="en-US"/>
        </w:rPr>
        <w:t>100</w:t>
      </w:r>
      <w:r>
        <w:rPr>
          <w:lang w:val="en-GB" w:eastAsia="en-US"/>
        </w:rPr>
        <w:t> </w:t>
      </w:r>
      <w:r w:rsidR="00903335" w:rsidRPr="00D73C71">
        <w:rPr>
          <w:lang w:val="en-GB" w:eastAsia="en-US"/>
        </w:rPr>
        <w:t>000</w:t>
      </w:r>
      <w:r w:rsidR="00903335" w:rsidRPr="00D73C71">
        <w:rPr>
          <w:rtl/>
          <w:lang w:val="en-GB" w:eastAsia="en-US"/>
        </w:rPr>
        <w:t xml:space="preserve"> فرنك سويسري) وليتوانيا (مساهمة عينية بقيمة </w:t>
      </w:r>
      <w:r w:rsidR="00903335" w:rsidRPr="00D73C71">
        <w:rPr>
          <w:lang w:val="en-GB" w:eastAsia="en-US"/>
        </w:rPr>
        <w:t>20</w:t>
      </w:r>
      <w:r>
        <w:rPr>
          <w:lang w:val="en-GB" w:eastAsia="en-US"/>
        </w:rPr>
        <w:t> </w:t>
      </w:r>
      <w:r w:rsidR="00903335" w:rsidRPr="00D73C71">
        <w:rPr>
          <w:lang w:val="en-GB" w:eastAsia="en-US"/>
        </w:rPr>
        <w:t>000</w:t>
      </w:r>
      <w:r w:rsidR="00903335" w:rsidRPr="00D73C71">
        <w:rPr>
          <w:rtl/>
          <w:lang w:val="en-GB" w:eastAsia="en-US"/>
        </w:rPr>
        <w:t xml:space="preserve"> فرنك سويسري) قيد الاستخدام لتنفيذ العمليات.</w:t>
      </w:r>
    </w:p>
    <w:p w14:paraId="28CA4F70" w14:textId="77777777" w:rsidR="002A593F" w:rsidRPr="00854FDC" w:rsidRDefault="002A593F" w:rsidP="002A593F">
      <w:pPr>
        <w:pStyle w:val="Heading1"/>
        <w:rPr>
          <w:rtl/>
          <w:lang w:bidi="ar-EG"/>
        </w:rPr>
      </w:pPr>
      <w:r w:rsidRPr="00854FDC">
        <w:rPr>
          <w:lang w:bidi="ar-EG"/>
        </w:rPr>
        <w:t>6</w:t>
      </w:r>
      <w:r w:rsidRPr="00854FDC">
        <w:rPr>
          <w:lang w:bidi="ar-EG"/>
        </w:rPr>
        <w:tab/>
      </w:r>
      <w:r w:rsidRPr="00854FDC">
        <w:rPr>
          <w:rtl/>
        </w:rPr>
        <w:t>الاستنتاجات</w:t>
      </w:r>
    </w:p>
    <w:p w14:paraId="73BA9554" w14:textId="5CC8A173" w:rsidR="002A593F" w:rsidRPr="00D73C71" w:rsidRDefault="00AA1B24" w:rsidP="00A52830">
      <w:pPr>
        <w:rPr>
          <w:b/>
          <w:rtl/>
          <w:lang w:bidi="ar-JO"/>
        </w:rPr>
      </w:pPr>
      <w:r w:rsidRPr="00D73C71">
        <w:rPr>
          <w:b/>
          <w:rtl/>
          <w:lang w:bidi="ar-JO"/>
        </w:rPr>
        <w:t>أخذاً ب</w:t>
      </w:r>
      <w:r w:rsidR="002A593F" w:rsidRPr="00D73C71">
        <w:rPr>
          <w:b/>
          <w:rtl/>
          <w:lang w:bidi="ar-JO"/>
        </w:rPr>
        <w:t xml:space="preserve">الاعتبار مستوى الأضرار والاحتياجات المالية </w:t>
      </w:r>
      <w:r w:rsidRPr="00D73C71">
        <w:rPr>
          <w:b/>
          <w:rtl/>
          <w:lang w:bidi="ar-JO"/>
        </w:rPr>
        <w:t xml:space="preserve">اللازمة </w:t>
      </w:r>
      <w:r w:rsidR="002A593F" w:rsidRPr="00D73C71">
        <w:rPr>
          <w:b/>
          <w:rtl/>
          <w:lang w:bidi="ar-JO"/>
        </w:rPr>
        <w:t xml:space="preserve">لاستعادة البنية التحتية للاتصالات وتعزيز المرونة الرقمية للبلد، </w:t>
      </w:r>
      <w:r w:rsidRPr="00D73C71">
        <w:rPr>
          <w:b/>
          <w:rtl/>
          <w:lang w:bidi="ar-JO"/>
        </w:rPr>
        <w:t xml:space="preserve">يُرجى من جميع أصحاب المصلحة </w:t>
      </w:r>
      <w:r w:rsidR="002A593F" w:rsidRPr="00D73C71">
        <w:rPr>
          <w:b/>
          <w:rtl/>
          <w:lang w:bidi="ar-JO"/>
        </w:rPr>
        <w:t>دعم أنشطة الاتحاد استجابة</w:t>
      </w:r>
      <w:r w:rsidRPr="00D73C71">
        <w:rPr>
          <w:b/>
          <w:rtl/>
          <w:lang w:bidi="ar-JO"/>
        </w:rPr>
        <w:t>ً</w:t>
      </w:r>
      <w:r w:rsidR="002A593F" w:rsidRPr="00D73C71">
        <w:rPr>
          <w:b/>
          <w:rtl/>
          <w:lang w:bidi="ar-JO"/>
        </w:rPr>
        <w:t xml:space="preserve"> للقرار </w:t>
      </w:r>
      <w:r w:rsidRPr="00D73C71">
        <w:rPr>
          <w:bCs/>
          <w:lang w:bidi="ar-JO"/>
        </w:rPr>
        <w:t>1408</w:t>
      </w:r>
      <w:r w:rsidR="002A593F" w:rsidRPr="00D73C71">
        <w:rPr>
          <w:b/>
          <w:rtl/>
          <w:lang w:bidi="ar-JO"/>
        </w:rPr>
        <w:t>، ولا سيما ما يلي:</w:t>
      </w:r>
    </w:p>
    <w:p w14:paraId="0E77151A" w14:textId="735F12A6" w:rsidR="00AA1B24" w:rsidRPr="00854FDC" w:rsidRDefault="00EE4E02" w:rsidP="00EE4E02">
      <w:pPr>
        <w:pStyle w:val="enumlev1"/>
        <w:rPr>
          <w:lang w:val="ar-SA" w:bidi="ar-EG"/>
        </w:rPr>
      </w:pPr>
      <w:r w:rsidRPr="003F3F59">
        <w:rPr>
          <w:rFonts w:eastAsia="SimSun"/>
          <w:position w:val="2"/>
          <w:lang w:eastAsia="en-US" w:bidi="ar-EG"/>
        </w:rPr>
        <w:sym w:font="Symbol" w:char="F0B7"/>
      </w:r>
      <w:r>
        <w:rPr>
          <w:lang w:eastAsia="en-US"/>
        </w:rPr>
        <w:tab/>
      </w:r>
      <w:r w:rsidR="00AA1B24" w:rsidRPr="00C96402">
        <w:rPr>
          <w:rFonts w:eastAsia="Times New Roman"/>
          <w:color w:val="000000"/>
          <w:rtl/>
          <w:lang w:eastAsia="en-US"/>
        </w:rPr>
        <w:t>الالتزام</w:t>
      </w:r>
      <w:r w:rsidR="00AA1B24" w:rsidRPr="00854FDC">
        <w:rPr>
          <w:rtl/>
        </w:rPr>
        <w:t xml:space="preserve"> بتقديم المساعدة والدعم التقنيين إلى أوكرانيا في إعادة بناء قطاع الاتصالات بها؛</w:t>
      </w:r>
    </w:p>
    <w:p w14:paraId="0971526D" w14:textId="215B67D0" w:rsidR="00AA1B24" w:rsidRPr="00854FDC" w:rsidRDefault="00EE4E02" w:rsidP="00EE4E02">
      <w:pPr>
        <w:pStyle w:val="enumlev1"/>
        <w:rPr>
          <w:lang w:val="ar-SA" w:bidi="ar-EG"/>
        </w:rPr>
      </w:pPr>
      <w:r w:rsidRPr="003F3F59">
        <w:rPr>
          <w:rFonts w:eastAsia="SimSun"/>
          <w:position w:val="2"/>
          <w:lang w:eastAsia="en-US" w:bidi="ar-EG"/>
        </w:rPr>
        <w:sym w:font="Symbol" w:char="F0B7"/>
      </w:r>
      <w:r>
        <w:rPr>
          <w:lang w:eastAsia="en-US"/>
        </w:rPr>
        <w:tab/>
      </w:r>
      <w:r w:rsidR="00AA1B24" w:rsidRPr="00854FDC">
        <w:rPr>
          <w:rtl/>
        </w:rPr>
        <w:t>الانضمام إلى مبادرة</w:t>
      </w:r>
      <w:proofErr w:type="gramStart"/>
      <w:r w:rsidR="00AA1B24" w:rsidRPr="00854FDC">
        <w:rPr>
          <w:rtl/>
        </w:rPr>
        <w:t xml:space="preserve"> </w:t>
      </w:r>
      <w:r w:rsidR="00AA1B24" w:rsidRPr="00C96402">
        <w:rPr>
          <w:rFonts w:eastAsia="Times New Roman"/>
          <w:color w:val="000000"/>
          <w:rtl/>
          <w:lang w:eastAsia="en-US"/>
        </w:rPr>
        <w:t>’الشراكة</w:t>
      </w:r>
      <w:proofErr w:type="gramEnd"/>
      <w:r w:rsidR="00AA1B24" w:rsidRPr="00854FDC">
        <w:rPr>
          <w:rtl/>
        </w:rPr>
        <w:t xml:space="preserve"> من أجل التوصيل‘ وتقديم تعهدات تركّز على أوكرانيا عبر النظام المتاح على الإنترنت</w:t>
      </w:r>
      <w:r w:rsidR="00D73C71">
        <w:rPr>
          <w:rStyle w:val="FootnoteReference"/>
          <w:rtl/>
        </w:rPr>
        <w:footnoteReference w:id="3"/>
      </w:r>
      <w:r w:rsidR="00AA1B24" w:rsidRPr="00854FDC">
        <w:rPr>
          <w:rtl/>
        </w:rPr>
        <w:t>؛</w:t>
      </w:r>
    </w:p>
    <w:p w14:paraId="5B73DA1E" w14:textId="4AAA53A1" w:rsidR="00AA1B24" w:rsidRPr="00CA63B2" w:rsidRDefault="00EE4E02" w:rsidP="00EE4E02">
      <w:pPr>
        <w:pStyle w:val="enumlev1"/>
        <w:rPr>
          <w:spacing w:val="-4"/>
          <w:rtl/>
          <w:lang w:val="en-GB" w:bidi="ar-JO"/>
        </w:rPr>
      </w:pPr>
      <w:r w:rsidRPr="00CA63B2">
        <w:rPr>
          <w:rFonts w:eastAsia="SimSun"/>
          <w:spacing w:val="-4"/>
          <w:position w:val="2"/>
          <w:lang w:eastAsia="en-US" w:bidi="ar-EG"/>
        </w:rPr>
        <w:sym w:font="Symbol" w:char="F0B7"/>
      </w:r>
      <w:r w:rsidRPr="00CA63B2">
        <w:rPr>
          <w:spacing w:val="-4"/>
          <w:lang w:eastAsia="en-US"/>
        </w:rPr>
        <w:tab/>
      </w:r>
      <w:r w:rsidR="00AA1B24" w:rsidRPr="00CA63B2">
        <w:rPr>
          <w:spacing w:val="-4"/>
          <w:rtl/>
        </w:rPr>
        <w:t xml:space="preserve">تقديم مساهمة مالية إلى صندوق الاستئمان الخاص، بما يمكّن من التوسُّع في تنفيذ القرار </w:t>
      </w:r>
      <w:r w:rsidR="00AA1B24" w:rsidRPr="00CA63B2">
        <w:rPr>
          <w:spacing w:val="-4"/>
        </w:rPr>
        <w:t>1408</w:t>
      </w:r>
      <w:r w:rsidR="00AA1B24" w:rsidRPr="00CA63B2">
        <w:rPr>
          <w:spacing w:val="-4"/>
          <w:rtl/>
          <w:lang w:val="en-GB" w:bidi="ar-JO"/>
        </w:rPr>
        <w:t xml:space="preserve"> الصادر عن مجلس الاتحاد.</w:t>
      </w:r>
    </w:p>
    <w:p w14:paraId="3C532AC4" w14:textId="77777777" w:rsidR="00F50E3F" w:rsidRPr="00854FDC" w:rsidRDefault="00D63735" w:rsidP="00D63735">
      <w:pPr>
        <w:spacing w:before="600"/>
        <w:jc w:val="center"/>
        <w:rPr>
          <w:rtl/>
          <w:lang w:bidi="ar-EG"/>
        </w:rPr>
      </w:pPr>
      <w:r w:rsidRPr="00854FDC">
        <w:rPr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F50E3F" w:rsidRPr="00854FDC" w:rsidSect="006C3242">
      <w:footerReference w:type="default" r:id="rId13"/>
      <w:headerReference w:type="first" r:id="rId14"/>
      <w:footerReference w:type="first" r:id="rId15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A1E39" w14:textId="77777777" w:rsidR="00BC2D14" w:rsidRDefault="00BC2D14" w:rsidP="006C3242">
      <w:pPr>
        <w:spacing w:before="0" w:line="240" w:lineRule="auto"/>
      </w:pPr>
      <w:r>
        <w:separator/>
      </w:r>
    </w:p>
  </w:endnote>
  <w:endnote w:type="continuationSeparator" w:id="0">
    <w:p w14:paraId="448EDC2B" w14:textId="77777777" w:rsidR="00BC2D14" w:rsidRDefault="00BC2D14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3"/>
      <w:gridCol w:w="7542"/>
      <w:gridCol w:w="424"/>
    </w:tblGrid>
    <w:tr w:rsidR="00F50E3F" w:rsidRPr="007B0AA0" w14:paraId="1D0FFD8D" w14:textId="77777777" w:rsidTr="00357086">
      <w:trPr>
        <w:jc w:val="center"/>
      </w:trPr>
      <w:tc>
        <w:tcPr>
          <w:tcW w:w="868" w:type="pct"/>
          <w:vAlign w:val="center"/>
        </w:tcPr>
        <w:p w14:paraId="55CC27F8" w14:textId="22B76328" w:rsidR="00F50E3F" w:rsidRPr="007B0AA0" w:rsidRDefault="00F50E3F" w:rsidP="00750D58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after="120" w:line="240" w:lineRule="auto"/>
            <w:jc w:val="right"/>
            <w:textAlignment w:val="baseline"/>
            <w:rPr>
              <w:rFonts w:ascii="Calibri" w:hAnsi="Calibri" w:cs="Arial"/>
              <w:noProof/>
              <w:sz w:val="18"/>
            </w:rPr>
          </w:pPr>
          <w:r w:rsidRPr="00F50E3F">
            <w:rPr>
              <w:rFonts w:ascii="Calibri" w:hAnsi="Calibri" w:cs="Arial"/>
              <w:sz w:val="18"/>
              <w:szCs w:val="14"/>
            </w:rPr>
            <w:t xml:space="preserve">DPS </w:t>
          </w:r>
          <w:r w:rsidR="00E27A66">
            <w:rPr>
              <w:rFonts w:ascii="Calibri" w:hAnsi="Calibri" w:cs="Arial"/>
              <w:sz w:val="18"/>
              <w:szCs w:val="14"/>
            </w:rPr>
            <w:t>521093</w:t>
          </w:r>
        </w:p>
      </w:tc>
      <w:tc>
        <w:tcPr>
          <w:tcW w:w="3912" w:type="pct"/>
        </w:tcPr>
        <w:p w14:paraId="14263DFF" w14:textId="6AAF154E" w:rsidR="00F50E3F" w:rsidRPr="007B0AA0" w:rsidRDefault="00F50E3F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C23/</w:t>
          </w:r>
          <w:r w:rsidR="00E27A66">
            <w:rPr>
              <w:rFonts w:ascii="Calibri" w:hAnsi="Calibri" w:cs="Arial"/>
              <w:bCs/>
              <w:color w:val="7F7F7F"/>
              <w:sz w:val="18"/>
            </w:rPr>
            <w:t>59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1A251E81" w14:textId="77777777" w:rsidR="00F50E3F" w:rsidRPr="007B0AA0" w:rsidRDefault="00F50E3F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097ED707" w14:textId="479A886D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E273A6">
      <w:rPr>
        <w:color w:val="F2F2F2" w:themeColor="background1" w:themeShade="F2"/>
        <w:sz w:val="16"/>
        <w:szCs w:val="16"/>
        <w:lang w:val="fr-FR"/>
      </w:rPr>
      <w:fldChar w:fldCharType="begin"/>
    </w:r>
    <w:r w:rsidRPr="00E273A6">
      <w:rPr>
        <w:color w:val="F2F2F2" w:themeColor="background1" w:themeShade="F2"/>
        <w:sz w:val="16"/>
        <w:szCs w:val="16"/>
        <w:lang w:val="fr-FR"/>
      </w:rPr>
      <w:instrText xml:space="preserve"> FILENAME \p \* MERGEFORMAT </w:instrText>
    </w:r>
    <w:r w:rsidRPr="00E273A6">
      <w:rPr>
        <w:color w:val="F2F2F2" w:themeColor="background1" w:themeShade="F2"/>
        <w:sz w:val="16"/>
        <w:szCs w:val="16"/>
        <w:lang w:val="fr-FR"/>
      </w:rPr>
      <w:fldChar w:fldCharType="separate"/>
    </w:r>
    <w:r w:rsidR="000A289E" w:rsidRPr="00E273A6">
      <w:rPr>
        <w:noProof/>
        <w:color w:val="F2F2F2" w:themeColor="background1" w:themeShade="F2"/>
        <w:sz w:val="16"/>
        <w:szCs w:val="16"/>
        <w:lang w:val="fr-FR"/>
      </w:rPr>
      <w:t>P:\ARA\SG\CONSEIL\C23\000\059A.docx</w:t>
    </w:r>
    <w:r w:rsidRPr="00E273A6">
      <w:rPr>
        <w:color w:val="F2F2F2" w:themeColor="background1" w:themeShade="F2"/>
        <w:sz w:val="16"/>
        <w:szCs w:val="16"/>
      </w:rPr>
      <w:fldChar w:fldCharType="end"/>
    </w:r>
    <w:proofErr w:type="gramStart"/>
    <w:r w:rsidRPr="00E273A6">
      <w:rPr>
        <w:color w:val="F2F2F2" w:themeColor="background1" w:themeShade="F2"/>
        <w:sz w:val="16"/>
        <w:szCs w:val="16"/>
        <w:lang w:val="fr-FR"/>
      </w:rPr>
      <w:t xml:space="preserve">   (</w:t>
    </w:r>
    <w:proofErr w:type="gramEnd"/>
    <w:r w:rsidR="00E27A66" w:rsidRPr="00E273A6">
      <w:rPr>
        <w:color w:val="F2F2F2" w:themeColor="background1" w:themeShade="F2"/>
        <w:sz w:val="16"/>
        <w:szCs w:val="16"/>
        <w:lang w:val="fr-FR"/>
      </w:rPr>
      <w:t>521093</w:t>
    </w:r>
    <w:r w:rsidRPr="00E273A6">
      <w:rPr>
        <w:color w:val="F2F2F2" w:themeColor="background1" w:themeShade="F2"/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4"/>
      <w:gridCol w:w="7541"/>
      <w:gridCol w:w="424"/>
    </w:tblGrid>
    <w:tr w:rsidR="007B0AA0" w:rsidRPr="007B0AA0" w14:paraId="63B0AA3E" w14:textId="77777777" w:rsidTr="00F50E3F">
      <w:trPr>
        <w:jc w:val="center"/>
      </w:trPr>
      <w:tc>
        <w:tcPr>
          <w:tcW w:w="868" w:type="pct"/>
          <w:vAlign w:val="center"/>
        </w:tcPr>
        <w:p w14:paraId="775C8DB4" w14:textId="77777777" w:rsidR="007B0AA0" w:rsidRPr="007B0AA0" w:rsidRDefault="00EC5C54" w:rsidP="00750D58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after="120" w:line="240" w:lineRule="auto"/>
            <w:jc w:val="left"/>
            <w:textAlignment w:val="baseline"/>
            <w:rPr>
              <w:rFonts w:ascii="Calibri" w:hAnsi="Calibri" w:cs="Arial"/>
              <w:noProof/>
              <w:color w:val="7F7F7F"/>
              <w:sz w:val="18"/>
            </w:rPr>
          </w:pPr>
          <w:hyperlink r:id="rId1" w:history="1">
            <w:r w:rsidR="007B0AA0" w:rsidRPr="007B0AA0">
              <w:rPr>
                <w:rFonts w:ascii="Calibri" w:hAnsi="Calibri" w:cs="Arial"/>
                <w:color w:val="0563C1"/>
                <w:sz w:val="18"/>
                <w:szCs w:val="14"/>
              </w:rPr>
              <w:t>www.itu.int/council</w:t>
            </w:r>
          </w:hyperlink>
        </w:p>
      </w:tc>
      <w:tc>
        <w:tcPr>
          <w:tcW w:w="3912" w:type="pct"/>
        </w:tcPr>
        <w:p w14:paraId="34B51DD7" w14:textId="219C9570" w:rsidR="007B0AA0" w:rsidRPr="007B0AA0" w:rsidRDefault="007B0AA0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C23/</w:t>
          </w:r>
          <w:r w:rsidR="00E27A66">
            <w:rPr>
              <w:rFonts w:ascii="Calibri" w:hAnsi="Calibri" w:cs="Arial"/>
              <w:bCs/>
              <w:color w:val="7F7F7F"/>
              <w:sz w:val="18"/>
            </w:rPr>
            <w:t>59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234686DE" w14:textId="77777777" w:rsidR="007B0AA0" w:rsidRPr="007B0AA0" w:rsidRDefault="00F50E3F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0B800430" w14:textId="390C8D24" w:rsidR="0006468A" w:rsidRPr="009A1BFA" w:rsidRDefault="0006468A" w:rsidP="0006468A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E273A6">
      <w:rPr>
        <w:color w:val="F2F2F2" w:themeColor="background1" w:themeShade="F2"/>
        <w:sz w:val="16"/>
        <w:szCs w:val="16"/>
        <w:lang w:val="fr-FR"/>
      </w:rPr>
      <w:fldChar w:fldCharType="begin"/>
    </w:r>
    <w:r w:rsidRPr="00E273A6">
      <w:rPr>
        <w:color w:val="F2F2F2" w:themeColor="background1" w:themeShade="F2"/>
        <w:sz w:val="16"/>
        <w:szCs w:val="16"/>
        <w:lang w:val="fr-FR"/>
      </w:rPr>
      <w:instrText xml:space="preserve"> FILENAME \p \* MERGEFORMAT </w:instrText>
    </w:r>
    <w:r w:rsidRPr="00E273A6">
      <w:rPr>
        <w:color w:val="F2F2F2" w:themeColor="background1" w:themeShade="F2"/>
        <w:sz w:val="16"/>
        <w:szCs w:val="16"/>
        <w:lang w:val="fr-FR"/>
      </w:rPr>
      <w:fldChar w:fldCharType="separate"/>
    </w:r>
    <w:r w:rsidR="000A289E" w:rsidRPr="00E273A6">
      <w:rPr>
        <w:noProof/>
        <w:color w:val="F2F2F2" w:themeColor="background1" w:themeShade="F2"/>
        <w:sz w:val="16"/>
        <w:szCs w:val="16"/>
        <w:lang w:val="fr-FR"/>
      </w:rPr>
      <w:t>P:\ARA\SG\CONSEIL\C23\000\059A.docx</w:t>
    </w:r>
    <w:r w:rsidRPr="00E273A6">
      <w:rPr>
        <w:color w:val="F2F2F2" w:themeColor="background1" w:themeShade="F2"/>
        <w:sz w:val="16"/>
        <w:szCs w:val="16"/>
      </w:rPr>
      <w:fldChar w:fldCharType="end"/>
    </w:r>
    <w:r w:rsidRPr="00E273A6">
      <w:rPr>
        <w:color w:val="F2F2F2" w:themeColor="background1" w:themeShade="F2"/>
        <w:sz w:val="16"/>
        <w:szCs w:val="16"/>
        <w:lang w:val="fr-FR"/>
      </w:rPr>
      <w:t xml:space="preserve">   (</w:t>
    </w:r>
    <w:r w:rsidR="00E27A66" w:rsidRPr="00E273A6">
      <w:rPr>
        <w:rFonts w:hint="cs"/>
        <w:color w:val="F2F2F2" w:themeColor="background1" w:themeShade="F2"/>
        <w:sz w:val="16"/>
        <w:szCs w:val="16"/>
        <w:rtl/>
        <w:lang w:val="fr-FR"/>
      </w:rPr>
      <w:t>521093</w:t>
    </w:r>
    <w:r w:rsidRPr="00E273A6">
      <w:rPr>
        <w:color w:val="F2F2F2" w:themeColor="background1" w:themeShade="F2"/>
        <w:sz w:val="16"/>
        <w:szCs w:val="16"/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D3B59" w14:textId="77777777" w:rsidR="00BC2D14" w:rsidRDefault="00BC2D14" w:rsidP="006C3242">
      <w:pPr>
        <w:spacing w:before="0" w:line="240" w:lineRule="auto"/>
      </w:pPr>
      <w:r>
        <w:separator/>
      </w:r>
    </w:p>
  </w:footnote>
  <w:footnote w:type="continuationSeparator" w:id="0">
    <w:p w14:paraId="42954FC7" w14:textId="77777777" w:rsidR="00BC2D14" w:rsidRDefault="00BC2D14" w:rsidP="006C3242">
      <w:pPr>
        <w:spacing w:before="0" w:line="240" w:lineRule="auto"/>
      </w:pPr>
      <w:r>
        <w:continuationSeparator/>
      </w:r>
    </w:p>
  </w:footnote>
  <w:footnote w:id="1">
    <w:p w14:paraId="67A3E5CB" w14:textId="224FA746" w:rsidR="005C03AB" w:rsidRPr="007F043E" w:rsidRDefault="005C03AB" w:rsidP="007F043E">
      <w:pPr>
        <w:pStyle w:val="FootnoteText"/>
        <w:tabs>
          <w:tab w:val="clear" w:pos="794"/>
          <w:tab w:val="left" w:pos="283"/>
        </w:tabs>
        <w:jc w:val="left"/>
        <w:rPr>
          <w:sz w:val="18"/>
          <w:szCs w:val="18"/>
          <w:rtl/>
          <w:lang w:bidi="ar-JO"/>
        </w:rPr>
      </w:pPr>
      <w:r w:rsidRPr="007F043E">
        <w:rPr>
          <w:rStyle w:val="FootnoteReference"/>
        </w:rPr>
        <w:footnoteRef/>
      </w:r>
      <w:r w:rsidR="001A4679" w:rsidRPr="007F043E">
        <w:rPr>
          <w:rStyle w:val="FootnoteReference"/>
          <w:spacing w:val="-6"/>
        </w:rPr>
        <w:tab/>
      </w:r>
      <w:hyperlink r:id="rId1" w:history="1">
        <w:r w:rsidR="00CD2CFE" w:rsidRPr="007F043E">
          <w:rPr>
            <w:rStyle w:val="Hyperlink"/>
            <w:spacing w:val="-6"/>
            <w:position w:val="6"/>
            <w:sz w:val="18"/>
            <w:szCs w:val="18"/>
            <w:lang w:val="en-GB"/>
          </w:rPr>
          <w:t>https://www.itu.int/en/ITU-D/Regional-Presence/Europe/Documents/Interim%20assessment%20on%20damages%20to%20telecommunication%20infrastructure%20and%20resilience%20of%20the%20ICT%20ecosystem%20in%20Ukraine%20-2022-12-22_FINAL.pdf</w:t>
        </w:r>
      </w:hyperlink>
    </w:p>
  </w:footnote>
  <w:footnote w:id="2">
    <w:p w14:paraId="57884068" w14:textId="5A4865D1" w:rsidR="002B3869" w:rsidRPr="007F043E" w:rsidRDefault="002B3869" w:rsidP="007F043E">
      <w:pPr>
        <w:pStyle w:val="FootnoteText"/>
        <w:tabs>
          <w:tab w:val="clear" w:pos="794"/>
          <w:tab w:val="left" w:pos="283"/>
        </w:tabs>
        <w:rPr>
          <w:spacing w:val="-4"/>
          <w:sz w:val="18"/>
          <w:szCs w:val="18"/>
          <w:rtl/>
          <w:lang w:bidi="ar-JO"/>
        </w:rPr>
      </w:pPr>
      <w:r w:rsidRPr="007F043E">
        <w:rPr>
          <w:rStyle w:val="FootnoteReference"/>
          <w:spacing w:val="-4"/>
        </w:rPr>
        <w:footnoteRef/>
      </w:r>
      <w:r w:rsidR="00D4687F" w:rsidRPr="007F043E">
        <w:rPr>
          <w:rStyle w:val="FootnoteReference"/>
          <w:spacing w:val="-4"/>
        </w:rPr>
        <w:tab/>
      </w:r>
      <w:hyperlink r:id="rId2" w:history="1">
        <w:r w:rsidR="00A356F6" w:rsidRPr="007F043E">
          <w:rPr>
            <w:rStyle w:val="Hyperlink"/>
            <w:spacing w:val="-4"/>
            <w:sz w:val="18"/>
            <w:szCs w:val="18"/>
          </w:rPr>
          <w:t>https://www.itu.int/en/ITU</w:t>
        </w:r>
        <w:r w:rsidR="00A356F6" w:rsidRPr="007F043E">
          <w:rPr>
            <w:rStyle w:val="Hyperlink"/>
            <w:spacing w:val="-4"/>
            <w:sz w:val="18"/>
            <w:szCs w:val="18"/>
          </w:rPr>
          <w:noBreakHyphen/>
          <w:t>D/Regional</w:t>
        </w:r>
        <w:r w:rsidR="00A356F6" w:rsidRPr="007F043E">
          <w:rPr>
            <w:rStyle w:val="Hyperlink"/>
            <w:spacing w:val="-4"/>
            <w:sz w:val="18"/>
            <w:szCs w:val="18"/>
          </w:rPr>
          <w:noBreakHyphen/>
          <w:t>Presence/Europe/Documents/Publications/2023/RDNA%20-%20Ukraine.pdf</w:t>
        </w:r>
      </w:hyperlink>
    </w:p>
  </w:footnote>
  <w:footnote w:id="3">
    <w:p w14:paraId="0A928E1E" w14:textId="1C9A8163" w:rsidR="00D73C71" w:rsidRPr="007F043E" w:rsidRDefault="00D73C71" w:rsidP="007F043E">
      <w:pPr>
        <w:pStyle w:val="FootnoteText"/>
        <w:tabs>
          <w:tab w:val="clear" w:pos="794"/>
          <w:tab w:val="left" w:pos="283"/>
        </w:tabs>
        <w:rPr>
          <w:sz w:val="18"/>
          <w:szCs w:val="18"/>
          <w:rtl/>
          <w:lang w:bidi="ar-JO"/>
        </w:rPr>
      </w:pPr>
      <w:r w:rsidRPr="007F043E">
        <w:rPr>
          <w:rStyle w:val="FootnoteReference"/>
        </w:rPr>
        <w:footnoteRef/>
      </w:r>
      <w:bookmarkStart w:id="0" w:name="lt_pId085"/>
      <w:r w:rsidR="00E3739C">
        <w:rPr>
          <w:sz w:val="18"/>
          <w:szCs w:val="18"/>
          <w:rtl/>
        </w:rPr>
        <w:tab/>
      </w:r>
      <w:r w:rsidR="002B3869" w:rsidRPr="007F043E">
        <w:rPr>
          <w:sz w:val="18"/>
          <w:szCs w:val="18"/>
        </w:rPr>
        <w:t>https://www.itu.int/partner2connect-pledges</w:t>
      </w:r>
      <w:bookmarkEnd w:id="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97475" w14:textId="77777777" w:rsidR="007B0AA0" w:rsidRDefault="00D13941" w:rsidP="007B0AA0">
    <w:pPr>
      <w:pStyle w:val="Header"/>
      <w:spacing w:before="120" w:after="240"/>
    </w:pPr>
    <w:r>
      <w:rPr>
        <w:noProof/>
      </w:rPr>
      <w:drawing>
        <wp:inline distT="0" distB="0" distL="0" distR="0" wp14:anchorId="56F1141E" wp14:editId="799DA0A1">
          <wp:extent cx="1908000" cy="536400"/>
          <wp:effectExtent l="0" t="0" r="0" b="0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000" cy="53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0947A2"/>
    <w:multiLevelType w:val="hybridMultilevel"/>
    <w:tmpl w:val="B016C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E911A5A"/>
    <w:multiLevelType w:val="hybridMultilevel"/>
    <w:tmpl w:val="6E868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296C23"/>
    <w:multiLevelType w:val="hybridMultilevel"/>
    <w:tmpl w:val="81E47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5C78C9"/>
    <w:multiLevelType w:val="hybridMultilevel"/>
    <w:tmpl w:val="16FE6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23520D"/>
    <w:multiLevelType w:val="hybridMultilevel"/>
    <w:tmpl w:val="033A4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8345589">
    <w:abstractNumId w:val="9"/>
  </w:num>
  <w:num w:numId="2" w16cid:durableId="1774472849">
    <w:abstractNumId w:val="7"/>
  </w:num>
  <w:num w:numId="3" w16cid:durableId="923494626">
    <w:abstractNumId w:val="6"/>
  </w:num>
  <w:num w:numId="4" w16cid:durableId="442574474">
    <w:abstractNumId w:val="5"/>
  </w:num>
  <w:num w:numId="5" w16cid:durableId="1628318554">
    <w:abstractNumId w:val="4"/>
  </w:num>
  <w:num w:numId="6" w16cid:durableId="2075542342">
    <w:abstractNumId w:val="8"/>
  </w:num>
  <w:num w:numId="7" w16cid:durableId="1174762821">
    <w:abstractNumId w:val="3"/>
  </w:num>
  <w:num w:numId="8" w16cid:durableId="201795547">
    <w:abstractNumId w:val="2"/>
  </w:num>
  <w:num w:numId="9" w16cid:durableId="355010693">
    <w:abstractNumId w:val="1"/>
  </w:num>
  <w:num w:numId="10" w16cid:durableId="844200481">
    <w:abstractNumId w:val="0"/>
  </w:num>
  <w:num w:numId="11" w16cid:durableId="1104838316">
    <w:abstractNumId w:val="11"/>
  </w:num>
  <w:num w:numId="12" w16cid:durableId="2006665397">
    <w:abstractNumId w:val="15"/>
  </w:num>
  <w:num w:numId="13" w16cid:durableId="995568147">
    <w:abstractNumId w:val="12"/>
  </w:num>
  <w:num w:numId="14" w16cid:durableId="288172624">
    <w:abstractNumId w:val="14"/>
  </w:num>
  <w:num w:numId="15" w16cid:durableId="1858960422">
    <w:abstractNumId w:val="10"/>
  </w:num>
  <w:num w:numId="16" w16cid:durableId="162242330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EA7"/>
    <w:rsid w:val="0000297A"/>
    <w:rsid w:val="00010043"/>
    <w:rsid w:val="0006468A"/>
    <w:rsid w:val="00065FBF"/>
    <w:rsid w:val="00077EB3"/>
    <w:rsid w:val="00090574"/>
    <w:rsid w:val="000933EF"/>
    <w:rsid w:val="00097801"/>
    <w:rsid w:val="000A289E"/>
    <w:rsid w:val="000A604D"/>
    <w:rsid w:val="000C1C0E"/>
    <w:rsid w:val="000C548A"/>
    <w:rsid w:val="000D0851"/>
    <w:rsid w:val="001400A9"/>
    <w:rsid w:val="0014720D"/>
    <w:rsid w:val="001474D9"/>
    <w:rsid w:val="00155CB0"/>
    <w:rsid w:val="001A0240"/>
    <w:rsid w:val="001A4679"/>
    <w:rsid w:val="001C0169"/>
    <w:rsid w:val="001D1D50"/>
    <w:rsid w:val="001D4F5E"/>
    <w:rsid w:val="001D6745"/>
    <w:rsid w:val="001E17B3"/>
    <w:rsid w:val="001E446E"/>
    <w:rsid w:val="001E4B35"/>
    <w:rsid w:val="00206FCB"/>
    <w:rsid w:val="002154EE"/>
    <w:rsid w:val="002276D2"/>
    <w:rsid w:val="0023283D"/>
    <w:rsid w:val="00246E55"/>
    <w:rsid w:val="0026373E"/>
    <w:rsid w:val="00271C43"/>
    <w:rsid w:val="002827A8"/>
    <w:rsid w:val="00290728"/>
    <w:rsid w:val="002978F4"/>
    <w:rsid w:val="002A593F"/>
    <w:rsid w:val="002B028D"/>
    <w:rsid w:val="002B3869"/>
    <w:rsid w:val="002E3358"/>
    <w:rsid w:val="002E6541"/>
    <w:rsid w:val="003103A1"/>
    <w:rsid w:val="00312DE3"/>
    <w:rsid w:val="0031508D"/>
    <w:rsid w:val="00320AEE"/>
    <w:rsid w:val="00334924"/>
    <w:rsid w:val="003409BC"/>
    <w:rsid w:val="003473B8"/>
    <w:rsid w:val="00357185"/>
    <w:rsid w:val="00381C1D"/>
    <w:rsid w:val="00383829"/>
    <w:rsid w:val="003E667A"/>
    <w:rsid w:val="003F4B29"/>
    <w:rsid w:val="00415B25"/>
    <w:rsid w:val="0041737A"/>
    <w:rsid w:val="0042686F"/>
    <w:rsid w:val="00426F32"/>
    <w:rsid w:val="004317D8"/>
    <w:rsid w:val="00433408"/>
    <w:rsid w:val="00434183"/>
    <w:rsid w:val="00443869"/>
    <w:rsid w:val="00447F32"/>
    <w:rsid w:val="004527AB"/>
    <w:rsid w:val="0046611D"/>
    <w:rsid w:val="00483C50"/>
    <w:rsid w:val="004A688E"/>
    <w:rsid w:val="004B6A00"/>
    <w:rsid w:val="004B7334"/>
    <w:rsid w:val="004C0E7D"/>
    <w:rsid w:val="004E11DC"/>
    <w:rsid w:val="004E26F3"/>
    <w:rsid w:val="0050305C"/>
    <w:rsid w:val="00506C7E"/>
    <w:rsid w:val="00525B20"/>
    <w:rsid w:val="00525DDD"/>
    <w:rsid w:val="005311D4"/>
    <w:rsid w:val="00534DC1"/>
    <w:rsid w:val="005409AC"/>
    <w:rsid w:val="0055516A"/>
    <w:rsid w:val="00582BED"/>
    <w:rsid w:val="0058491B"/>
    <w:rsid w:val="00592EA5"/>
    <w:rsid w:val="005935A7"/>
    <w:rsid w:val="005947EB"/>
    <w:rsid w:val="005A3170"/>
    <w:rsid w:val="005B7EF2"/>
    <w:rsid w:val="005C03AB"/>
    <w:rsid w:val="005C087F"/>
    <w:rsid w:val="005F3162"/>
    <w:rsid w:val="006037C1"/>
    <w:rsid w:val="0060660A"/>
    <w:rsid w:val="00611D56"/>
    <w:rsid w:val="00673221"/>
    <w:rsid w:val="00677396"/>
    <w:rsid w:val="00681649"/>
    <w:rsid w:val="00687612"/>
    <w:rsid w:val="00687E69"/>
    <w:rsid w:val="0069200F"/>
    <w:rsid w:val="006941D1"/>
    <w:rsid w:val="00695015"/>
    <w:rsid w:val="006A65CB"/>
    <w:rsid w:val="006B69C6"/>
    <w:rsid w:val="006C3242"/>
    <w:rsid w:val="006C7CC0"/>
    <w:rsid w:val="006E5460"/>
    <w:rsid w:val="006F63F7"/>
    <w:rsid w:val="007025C7"/>
    <w:rsid w:val="00706D7A"/>
    <w:rsid w:val="00722F0D"/>
    <w:rsid w:val="00724A6D"/>
    <w:rsid w:val="007302CA"/>
    <w:rsid w:val="00733E2C"/>
    <w:rsid w:val="0074420E"/>
    <w:rsid w:val="00750D58"/>
    <w:rsid w:val="00757C08"/>
    <w:rsid w:val="00772A11"/>
    <w:rsid w:val="007778EC"/>
    <w:rsid w:val="00783E26"/>
    <w:rsid w:val="00795BDC"/>
    <w:rsid w:val="007B0AA0"/>
    <w:rsid w:val="007B4FEB"/>
    <w:rsid w:val="007B6710"/>
    <w:rsid w:val="007C3BC7"/>
    <w:rsid w:val="007C3BCD"/>
    <w:rsid w:val="007D4ACF"/>
    <w:rsid w:val="007E12CE"/>
    <w:rsid w:val="007F043E"/>
    <w:rsid w:val="007F0787"/>
    <w:rsid w:val="00803419"/>
    <w:rsid w:val="00810B7B"/>
    <w:rsid w:val="0082358A"/>
    <w:rsid w:val="008235CD"/>
    <w:rsid w:val="008247DE"/>
    <w:rsid w:val="0083320F"/>
    <w:rsid w:val="008339C0"/>
    <w:rsid w:val="00840B10"/>
    <w:rsid w:val="008513CB"/>
    <w:rsid w:val="00854FDC"/>
    <w:rsid w:val="0087006C"/>
    <w:rsid w:val="00891113"/>
    <w:rsid w:val="008A7F84"/>
    <w:rsid w:val="008B432B"/>
    <w:rsid w:val="008C5502"/>
    <w:rsid w:val="008D3A86"/>
    <w:rsid w:val="008D446A"/>
    <w:rsid w:val="008D6E0A"/>
    <w:rsid w:val="00903335"/>
    <w:rsid w:val="0091702E"/>
    <w:rsid w:val="00921D7B"/>
    <w:rsid w:val="00923B0C"/>
    <w:rsid w:val="00934432"/>
    <w:rsid w:val="0094021C"/>
    <w:rsid w:val="00952F86"/>
    <w:rsid w:val="00977D2C"/>
    <w:rsid w:val="00982B28"/>
    <w:rsid w:val="00983C6C"/>
    <w:rsid w:val="00995574"/>
    <w:rsid w:val="009A1BFA"/>
    <w:rsid w:val="009A4282"/>
    <w:rsid w:val="009D313F"/>
    <w:rsid w:val="009D5F73"/>
    <w:rsid w:val="009E1629"/>
    <w:rsid w:val="009F50DE"/>
    <w:rsid w:val="00A07B47"/>
    <w:rsid w:val="00A34F2D"/>
    <w:rsid w:val="00A356F6"/>
    <w:rsid w:val="00A37BE4"/>
    <w:rsid w:val="00A403AA"/>
    <w:rsid w:val="00A47A5A"/>
    <w:rsid w:val="00A52830"/>
    <w:rsid w:val="00A6683B"/>
    <w:rsid w:val="00A828CB"/>
    <w:rsid w:val="00A97F94"/>
    <w:rsid w:val="00AA1B24"/>
    <w:rsid w:val="00AA7EA2"/>
    <w:rsid w:val="00AC2D97"/>
    <w:rsid w:val="00AD17EE"/>
    <w:rsid w:val="00AD283F"/>
    <w:rsid w:val="00B00FDD"/>
    <w:rsid w:val="00B03099"/>
    <w:rsid w:val="00B05BC8"/>
    <w:rsid w:val="00B23DC2"/>
    <w:rsid w:val="00B252DC"/>
    <w:rsid w:val="00B32B38"/>
    <w:rsid w:val="00B3476E"/>
    <w:rsid w:val="00B357AB"/>
    <w:rsid w:val="00B47556"/>
    <w:rsid w:val="00B64B47"/>
    <w:rsid w:val="00B708F3"/>
    <w:rsid w:val="00B74B82"/>
    <w:rsid w:val="00B74CB7"/>
    <w:rsid w:val="00B95654"/>
    <w:rsid w:val="00BB0887"/>
    <w:rsid w:val="00BB5454"/>
    <w:rsid w:val="00BC2D14"/>
    <w:rsid w:val="00BD303D"/>
    <w:rsid w:val="00BE6ED1"/>
    <w:rsid w:val="00BF2003"/>
    <w:rsid w:val="00BF3D20"/>
    <w:rsid w:val="00BF62C1"/>
    <w:rsid w:val="00C002DE"/>
    <w:rsid w:val="00C03BCB"/>
    <w:rsid w:val="00C416C3"/>
    <w:rsid w:val="00C436A5"/>
    <w:rsid w:val="00C53BF8"/>
    <w:rsid w:val="00C66157"/>
    <w:rsid w:val="00C674FE"/>
    <w:rsid w:val="00C67501"/>
    <w:rsid w:val="00C71EA7"/>
    <w:rsid w:val="00C75633"/>
    <w:rsid w:val="00C96402"/>
    <w:rsid w:val="00C96BD2"/>
    <w:rsid w:val="00C970B1"/>
    <w:rsid w:val="00CA36D7"/>
    <w:rsid w:val="00CA63B2"/>
    <w:rsid w:val="00CD2CFE"/>
    <w:rsid w:val="00CE2EE1"/>
    <w:rsid w:val="00CE3349"/>
    <w:rsid w:val="00CE36E5"/>
    <w:rsid w:val="00CE7926"/>
    <w:rsid w:val="00CF27F5"/>
    <w:rsid w:val="00CF3FFD"/>
    <w:rsid w:val="00D06EA4"/>
    <w:rsid w:val="00D10CCF"/>
    <w:rsid w:val="00D13941"/>
    <w:rsid w:val="00D4115A"/>
    <w:rsid w:val="00D4687F"/>
    <w:rsid w:val="00D61925"/>
    <w:rsid w:val="00D63735"/>
    <w:rsid w:val="00D73C71"/>
    <w:rsid w:val="00D77D0F"/>
    <w:rsid w:val="00D95399"/>
    <w:rsid w:val="00DA1CF0"/>
    <w:rsid w:val="00DB2A6C"/>
    <w:rsid w:val="00DC1E02"/>
    <w:rsid w:val="00DC24B4"/>
    <w:rsid w:val="00DC5FB0"/>
    <w:rsid w:val="00DF16DC"/>
    <w:rsid w:val="00E00933"/>
    <w:rsid w:val="00E273A6"/>
    <w:rsid w:val="00E275F9"/>
    <w:rsid w:val="00E27A66"/>
    <w:rsid w:val="00E3739C"/>
    <w:rsid w:val="00E45211"/>
    <w:rsid w:val="00E460E3"/>
    <w:rsid w:val="00E473C5"/>
    <w:rsid w:val="00E528BA"/>
    <w:rsid w:val="00E60324"/>
    <w:rsid w:val="00E61BE8"/>
    <w:rsid w:val="00E70AA6"/>
    <w:rsid w:val="00E7244B"/>
    <w:rsid w:val="00E92863"/>
    <w:rsid w:val="00E932F7"/>
    <w:rsid w:val="00EB13A5"/>
    <w:rsid w:val="00EB796D"/>
    <w:rsid w:val="00EC4F9D"/>
    <w:rsid w:val="00EE4E02"/>
    <w:rsid w:val="00EF50EA"/>
    <w:rsid w:val="00F00397"/>
    <w:rsid w:val="00F05544"/>
    <w:rsid w:val="00F058DC"/>
    <w:rsid w:val="00F07FFB"/>
    <w:rsid w:val="00F17D03"/>
    <w:rsid w:val="00F229E8"/>
    <w:rsid w:val="00F24FC4"/>
    <w:rsid w:val="00F2676C"/>
    <w:rsid w:val="00F363FE"/>
    <w:rsid w:val="00F404E7"/>
    <w:rsid w:val="00F50E3F"/>
    <w:rsid w:val="00F71C24"/>
    <w:rsid w:val="00F74AD3"/>
    <w:rsid w:val="00F84366"/>
    <w:rsid w:val="00F85089"/>
    <w:rsid w:val="00F91090"/>
    <w:rsid w:val="00F974C5"/>
    <w:rsid w:val="00FA3B0C"/>
    <w:rsid w:val="00FA6F46"/>
    <w:rsid w:val="00FB391C"/>
    <w:rsid w:val="00FC02CB"/>
    <w:rsid w:val="00FC4592"/>
    <w:rsid w:val="00FD2046"/>
    <w:rsid w:val="00FD4255"/>
    <w:rsid w:val="00FD527F"/>
    <w:rsid w:val="00FE5872"/>
    <w:rsid w:val="00FE7419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9CA8BC"/>
  <w15:chartTrackingRefBased/>
  <w15:docId w15:val="{572FF663-EF79-4A9B-8861-D999E7CBA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qFormat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8339C0"/>
    <w:pPr>
      <w:keepNext/>
      <w:spacing w:before="240"/>
      <w:ind w:left="1134" w:hanging="1134"/>
    </w:pPr>
    <w:rPr>
      <w:b/>
      <w:bCs/>
      <w:sz w:val="24"/>
      <w:szCs w:val="24"/>
    </w:rPr>
  </w:style>
  <w:style w:type="table" w:styleId="GridTable5Dark-Accent1">
    <w:name w:val="Grid Table 5 Dark Accent 1"/>
    <w:basedOn w:val="TableNormal"/>
    <w:uiPriority w:val="50"/>
    <w:rsid w:val="00E61BE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Subtitle0">
    <w:name w:val="Sub_title"/>
    <w:basedOn w:val="Normal"/>
    <w:qFormat/>
    <w:rsid w:val="007B0AA0"/>
    <w:pPr>
      <w:spacing w:after="120"/>
    </w:pPr>
    <w:rPr>
      <w:sz w:val="30"/>
      <w:szCs w:val="30"/>
      <w:lang w:bidi="ar-EG"/>
    </w:rPr>
  </w:style>
  <w:style w:type="table" w:customStyle="1" w:styleId="TableGrid1">
    <w:name w:val="Table Grid1"/>
    <w:basedOn w:val="TableNormal"/>
    <w:next w:val="TableGrid"/>
    <w:uiPriority w:val="39"/>
    <w:rsid w:val="007B0AA0"/>
    <w:pPr>
      <w:spacing w:after="0" w:line="240" w:lineRule="auto"/>
    </w:pPr>
    <w:rPr>
      <w:rFonts w:eastAsia="Calibri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73221"/>
    <w:rPr>
      <w:color w:val="605E5C"/>
      <w:shd w:val="clear" w:color="auto" w:fill="E1DFDD"/>
    </w:rPr>
  </w:style>
  <w:style w:type="character" w:customStyle="1" w:styleId="rynqvb">
    <w:name w:val="rynqvb"/>
    <w:basedOn w:val="DefaultParagraphFont"/>
    <w:rsid w:val="008D3A86"/>
  </w:style>
  <w:style w:type="character" w:customStyle="1" w:styleId="hwtze">
    <w:name w:val="hwtze"/>
    <w:basedOn w:val="DefaultParagraphFont"/>
    <w:rsid w:val="00FA3B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4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85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7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045500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46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2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42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5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84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31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042179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960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46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2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9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1632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863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3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5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1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7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80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66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554364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136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83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3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en/council/Documents/ResDec/Council-RES-1408-e.pd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D/Regional-Presence/Europe/Pages/Projects/2022/Council%20Resolution%20on%20Ukraine%20-%20Coordination%20and%20Implementation/Council-Resolution-on-Ukraine---Coordination-and-Implementation.asp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22-PP-C-0070/e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itu.int/en/council/Documents/ResDec/Council-RES-1408-e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22-PP-C-0070/en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tu.int/en/ITUD/RegionalPresence/Europe/Documents/Publications/2023/RDNA%20-%20Ukraine.pdf" TargetMode="External"/><Relationship Id="rId1" Type="http://schemas.openxmlformats.org/officeDocument/2006/relationships/hyperlink" Target="https://www.itu.int/en/ITU-D/Regional-Presence/Europe/Documents/Interim%20assessment%20on%20damages%20to%20telecommunication%20infrastructure%20and%20resilience%20of%20the%20ICT%20ecosystem%20in%20Ukraine%20-2022-12-22_FINAL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28108-4966-4581-8805-B68FC035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1293</Words>
  <Characters>7374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8650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 on the implementation of the ITU Council Resolution 1408 on assistance and support to Ukraine for rebuilding their telecommunication sector</dc:title>
  <dc:subject/>
  <dc:creator>Arabic-AA</dc:creator>
  <cp:keywords/>
  <dc:description/>
  <cp:lastModifiedBy>Xue, Kun</cp:lastModifiedBy>
  <cp:revision>4</cp:revision>
  <dcterms:created xsi:type="dcterms:W3CDTF">2023-07-10T16:20:00Z</dcterms:created>
  <dcterms:modified xsi:type="dcterms:W3CDTF">2023-07-10T16:21:00Z</dcterms:modified>
</cp:coreProperties>
</file>