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7F3CC7" w14:paraId="0BD6E6FB" w14:textId="77777777" w:rsidTr="00E31DCE">
        <w:trPr>
          <w:cantSplit/>
          <w:trHeight w:val="23"/>
        </w:trPr>
        <w:tc>
          <w:tcPr>
            <w:tcW w:w="3969" w:type="dxa"/>
            <w:vMerge w:val="restart"/>
            <w:tcMar>
              <w:left w:w="0" w:type="dxa"/>
            </w:tcMar>
          </w:tcPr>
          <w:p w14:paraId="4824F663" w14:textId="697733DF" w:rsidR="00E24D59" w:rsidRPr="007F3CC7"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7F3CC7">
              <w:rPr>
                <w:rFonts w:cstheme="minorHAnsi" w:hint="eastAsia"/>
                <w:b/>
                <w:bCs/>
                <w:lang w:val="ru-RU"/>
              </w:rPr>
              <w:t>议项：</w:t>
            </w:r>
            <w:r w:rsidR="00580944" w:rsidRPr="007F3CC7">
              <w:rPr>
                <w:b/>
              </w:rPr>
              <w:t>PL 2</w:t>
            </w:r>
          </w:p>
        </w:tc>
        <w:tc>
          <w:tcPr>
            <w:tcW w:w="5245" w:type="dxa"/>
          </w:tcPr>
          <w:p w14:paraId="4D0D21CF" w14:textId="3039FCAD" w:rsidR="00E24D59" w:rsidRPr="007F3CC7" w:rsidRDefault="00E24D59" w:rsidP="00E31DCE">
            <w:pPr>
              <w:tabs>
                <w:tab w:val="left" w:pos="851"/>
              </w:tabs>
              <w:spacing w:before="0" w:line="240" w:lineRule="atLeast"/>
              <w:jc w:val="right"/>
              <w:rPr>
                <w:b/>
                <w:lang w:val="fr-CH"/>
              </w:rPr>
            </w:pPr>
            <w:r w:rsidRPr="007F3CC7">
              <w:rPr>
                <w:rFonts w:cstheme="minorHAnsi"/>
                <w:b/>
                <w:bCs/>
                <w:lang w:val="ru-RU"/>
              </w:rPr>
              <w:t>文件</w:t>
            </w:r>
            <w:r w:rsidRPr="007F3CC7">
              <w:rPr>
                <w:rFonts w:cstheme="minorHAnsi" w:hint="eastAsia"/>
                <w:b/>
                <w:bCs/>
                <w:lang w:val="ru-RU"/>
              </w:rPr>
              <w:t xml:space="preserve"> </w:t>
            </w:r>
            <w:r w:rsidRPr="007F3CC7">
              <w:rPr>
                <w:b/>
                <w:lang w:val="fr-CH"/>
              </w:rPr>
              <w:t>C23/</w:t>
            </w:r>
            <w:r w:rsidR="00580944" w:rsidRPr="007F3CC7">
              <w:rPr>
                <w:b/>
                <w:lang w:val="fr-CH"/>
              </w:rPr>
              <w:t>59</w:t>
            </w:r>
            <w:r w:rsidRPr="007F3CC7">
              <w:rPr>
                <w:b/>
                <w:lang w:val="fr-CH"/>
              </w:rPr>
              <w:t>-C</w:t>
            </w:r>
          </w:p>
        </w:tc>
      </w:tr>
      <w:tr w:rsidR="00E24D59" w:rsidRPr="007F3CC7" w14:paraId="230B1567" w14:textId="77777777" w:rsidTr="00E31DCE">
        <w:trPr>
          <w:cantSplit/>
        </w:trPr>
        <w:tc>
          <w:tcPr>
            <w:tcW w:w="3969" w:type="dxa"/>
            <w:vMerge/>
          </w:tcPr>
          <w:p w14:paraId="4E67EA6C" w14:textId="77777777" w:rsidR="00E24D59" w:rsidRPr="007F3CC7"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39916C4" w14:textId="19CFCC45" w:rsidR="00E24D59" w:rsidRPr="007F3CC7" w:rsidRDefault="00E24D59" w:rsidP="00E31DCE">
            <w:pPr>
              <w:tabs>
                <w:tab w:val="left" w:pos="851"/>
              </w:tabs>
              <w:spacing w:before="0"/>
              <w:jc w:val="right"/>
              <w:rPr>
                <w:b/>
                <w:lang w:eastAsia="zh-CN"/>
              </w:rPr>
            </w:pPr>
            <w:r w:rsidRPr="007F3CC7">
              <w:rPr>
                <w:b/>
              </w:rPr>
              <w:t>2023</w:t>
            </w:r>
            <w:r w:rsidR="00580944" w:rsidRPr="007F3CC7">
              <w:rPr>
                <w:rFonts w:hint="eastAsia"/>
                <w:b/>
                <w:lang w:eastAsia="zh-CN"/>
              </w:rPr>
              <w:t>年</w:t>
            </w:r>
            <w:r w:rsidR="00580944" w:rsidRPr="007F3CC7">
              <w:rPr>
                <w:rFonts w:hint="eastAsia"/>
                <w:b/>
                <w:lang w:eastAsia="zh-CN"/>
              </w:rPr>
              <w:t>6</w:t>
            </w:r>
            <w:r w:rsidR="00580944" w:rsidRPr="007F3CC7">
              <w:rPr>
                <w:rFonts w:hint="eastAsia"/>
                <w:b/>
                <w:lang w:eastAsia="zh-CN"/>
              </w:rPr>
              <w:t>月</w:t>
            </w:r>
            <w:r w:rsidR="00580944" w:rsidRPr="007F3CC7">
              <w:rPr>
                <w:rFonts w:hint="eastAsia"/>
                <w:b/>
                <w:lang w:eastAsia="zh-CN"/>
              </w:rPr>
              <w:t>1</w:t>
            </w:r>
            <w:r w:rsidR="00580944" w:rsidRPr="007F3CC7">
              <w:rPr>
                <w:b/>
                <w:lang w:eastAsia="zh-CN"/>
              </w:rPr>
              <w:t>2</w:t>
            </w:r>
            <w:r w:rsidR="00580944" w:rsidRPr="007F3CC7">
              <w:rPr>
                <w:rFonts w:hint="eastAsia"/>
                <w:b/>
                <w:lang w:eastAsia="zh-CN"/>
              </w:rPr>
              <w:t>日</w:t>
            </w:r>
          </w:p>
        </w:tc>
      </w:tr>
      <w:tr w:rsidR="00E24D59" w:rsidRPr="007F3CC7" w14:paraId="619E3BC5" w14:textId="77777777" w:rsidTr="00E31DCE">
        <w:trPr>
          <w:cantSplit/>
          <w:trHeight w:val="23"/>
        </w:trPr>
        <w:tc>
          <w:tcPr>
            <w:tcW w:w="3969" w:type="dxa"/>
            <w:vMerge/>
          </w:tcPr>
          <w:p w14:paraId="7B40CCBB" w14:textId="77777777" w:rsidR="00E24D59" w:rsidRPr="007F3CC7" w:rsidRDefault="00E24D59" w:rsidP="00E31DCE">
            <w:pPr>
              <w:tabs>
                <w:tab w:val="left" w:pos="851"/>
              </w:tabs>
              <w:spacing w:line="240" w:lineRule="atLeast"/>
              <w:rPr>
                <w:b/>
              </w:rPr>
            </w:pPr>
            <w:bookmarkStart w:id="4" w:name="dorlang" w:colFirst="1" w:colLast="1"/>
            <w:bookmarkEnd w:id="3"/>
          </w:p>
        </w:tc>
        <w:tc>
          <w:tcPr>
            <w:tcW w:w="5245" w:type="dxa"/>
          </w:tcPr>
          <w:p w14:paraId="7FFB2A99" w14:textId="77777777" w:rsidR="00E24D59" w:rsidRPr="007F3CC7" w:rsidRDefault="00E24D59" w:rsidP="00E31DCE">
            <w:pPr>
              <w:tabs>
                <w:tab w:val="left" w:pos="851"/>
              </w:tabs>
              <w:spacing w:before="0" w:line="240" w:lineRule="atLeast"/>
              <w:jc w:val="right"/>
              <w:rPr>
                <w:b/>
              </w:rPr>
            </w:pPr>
            <w:r w:rsidRPr="007F3CC7">
              <w:rPr>
                <w:rFonts w:cstheme="minorHAnsi"/>
                <w:b/>
                <w:bCs/>
                <w:lang w:val="ru-RU"/>
              </w:rPr>
              <w:t>原文：英</w:t>
            </w:r>
            <w:r w:rsidRPr="007F3CC7">
              <w:rPr>
                <w:rFonts w:cstheme="minorHAnsi" w:hint="eastAsia"/>
                <w:b/>
                <w:bCs/>
                <w:lang w:val="ru-RU"/>
              </w:rPr>
              <w:t>文</w:t>
            </w:r>
          </w:p>
        </w:tc>
      </w:tr>
      <w:tr w:rsidR="00E24D59" w:rsidRPr="007F3CC7" w14:paraId="203CBCDD" w14:textId="77777777" w:rsidTr="00E31DCE">
        <w:trPr>
          <w:cantSplit/>
          <w:trHeight w:val="23"/>
        </w:trPr>
        <w:tc>
          <w:tcPr>
            <w:tcW w:w="3969" w:type="dxa"/>
          </w:tcPr>
          <w:p w14:paraId="0E67EF14" w14:textId="77777777" w:rsidR="00E24D59" w:rsidRPr="007F3CC7" w:rsidRDefault="00E24D59" w:rsidP="00E31DCE">
            <w:pPr>
              <w:tabs>
                <w:tab w:val="left" w:pos="851"/>
              </w:tabs>
              <w:spacing w:line="240" w:lineRule="atLeast"/>
              <w:rPr>
                <w:b/>
              </w:rPr>
            </w:pPr>
          </w:p>
        </w:tc>
        <w:tc>
          <w:tcPr>
            <w:tcW w:w="5245" w:type="dxa"/>
          </w:tcPr>
          <w:p w14:paraId="444B8511" w14:textId="77777777" w:rsidR="00E24D59" w:rsidRPr="007F3CC7" w:rsidRDefault="00E24D59" w:rsidP="00E31DCE">
            <w:pPr>
              <w:tabs>
                <w:tab w:val="left" w:pos="851"/>
              </w:tabs>
              <w:spacing w:before="0" w:line="240" w:lineRule="atLeast"/>
              <w:jc w:val="right"/>
              <w:rPr>
                <w:b/>
              </w:rPr>
            </w:pPr>
          </w:p>
        </w:tc>
      </w:tr>
      <w:tr w:rsidR="00E24D59" w:rsidRPr="007F3CC7" w14:paraId="320E767D" w14:textId="77777777" w:rsidTr="00E31DCE">
        <w:trPr>
          <w:cantSplit/>
        </w:trPr>
        <w:tc>
          <w:tcPr>
            <w:tcW w:w="9214" w:type="dxa"/>
            <w:gridSpan w:val="2"/>
            <w:tcMar>
              <w:left w:w="0" w:type="dxa"/>
            </w:tcMar>
          </w:tcPr>
          <w:p w14:paraId="55261C09" w14:textId="77777777" w:rsidR="00E24D59" w:rsidRPr="007F3CC7" w:rsidRDefault="00E24D59" w:rsidP="00E24D59">
            <w:pPr>
              <w:pStyle w:val="Source"/>
              <w:jc w:val="left"/>
              <w:rPr>
                <w:sz w:val="34"/>
                <w:szCs w:val="34"/>
              </w:rPr>
            </w:pPr>
            <w:bookmarkStart w:id="5" w:name="dsource" w:colFirst="0" w:colLast="0"/>
            <w:bookmarkEnd w:id="4"/>
            <w:r w:rsidRPr="007F3CC7">
              <w:rPr>
                <w:rFonts w:cstheme="minorHAnsi" w:hint="eastAsia"/>
                <w:sz w:val="34"/>
                <w:szCs w:val="34"/>
                <w:lang w:val="ru-RU"/>
              </w:rPr>
              <w:t>秘书长的报告</w:t>
            </w:r>
          </w:p>
        </w:tc>
      </w:tr>
      <w:tr w:rsidR="00E24D59" w:rsidRPr="007F3CC7" w14:paraId="2709F3BF" w14:textId="77777777" w:rsidTr="00E31DCE">
        <w:trPr>
          <w:cantSplit/>
        </w:trPr>
        <w:tc>
          <w:tcPr>
            <w:tcW w:w="9214" w:type="dxa"/>
            <w:gridSpan w:val="2"/>
            <w:tcMar>
              <w:left w:w="0" w:type="dxa"/>
            </w:tcMar>
          </w:tcPr>
          <w:p w14:paraId="6FE45E7E" w14:textId="0F96D953" w:rsidR="00E24D59" w:rsidRPr="007F3CC7" w:rsidRDefault="000F0DF4" w:rsidP="00E31DCE">
            <w:pPr>
              <w:pStyle w:val="Subtitle"/>
              <w:framePr w:hSpace="0" w:wrap="auto" w:hAnchor="text" w:xAlign="left" w:yAlign="inline"/>
              <w:rPr>
                <w:rFonts w:ascii="SimSun" w:eastAsia="SimSun" w:hAnsi="SimSun"/>
                <w:lang w:eastAsia="zh-CN"/>
              </w:rPr>
            </w:pPr>
            <w:bookmarkStart w:id="6" w:name="dtitle1" w:colFirst="0" w:colLast="0"/>
            <w:bookmarkEnd w:id="5"/>
            <w:r w:rsidRPr="007F3CC7">
              <w:rPr>
                <w:rFonts w:ascii="SimSun" w:eastAsia="SimSun" w:hAnsi="SimSun" w:cs="SimSun" w:hint="eastAsia"/>
                <w:lang w:eastAsia="zh-CN"/>
              </w:rPr>
              <w:t>有关</w:t>
            </w:r>
            <w:r w:rsidR="003832D8" w:rsidRPr="007F3CC7">
              <w:rPr>
                <w:rFonts w:asciiTheme="minorHAnsi" w:eastAsiaTheme="minorEastAsia" w:hAnsiTheme="minorHAnsi" w:cstheme="minorHAnsi"/>
                <w:bCs/>
                <w:szCs w:val="34"/>
                <w:lang w:val="zh-CN" w:eastAsia="zh-CN"/>
              </w:rPr>
              <w:t>帮助和支持乌克兰重建电信行业的</w:t>
            </w:r>
            <w:r w:rsidRPr="007F3CC7">
              <w:rPr>
                <w:rFonts w:asciiTheme="minorHAnsi" w:eastAsiaTheme="minorEastAsia" w:hAnsiTheme="minorHAnsi" w:cstheme="minorHAnsi" w:hint="eastAsia"/>
                <w:bCs/>
                <w:szCs w:val="34"/>
                <w:lang w:val="en-US" w:eastAsia="zh-CN"/>
              </w:rPr>
              <w:t>国际电联理事会</w:t>
            </w:r>
            <w:r w:rsidR="00912B4F">
              <w:rPr>
                <w:rFonts w:asciiTheme="minorHAnsi" w:eastAsiaTheme="minorEastAsia" w:hAnsiTheme="minorHAnsi" w:cstheme="minorHAnsi"/>
                <w:bCs/>
                <w:szCs w:val="34"/>
                <w:lang w:val="en-US" w:eastAsia="zh-CN"/>
              </w:rPr>
              <w:br/>
            </w:r>
            <w:r w:rsidR="003832D8" w:rsidRPr="007F3CC7">
              <w:rPr>
                <w:rFonts w:asciiTheme="minorHAnsi" w:eastAsiaTheme="minorEastAsia" w:hAnsiTheme="minorHAnsi" w:cstheme="minorHAnsi"/>
                <w:bCs/>
                <w:szCs w:val="34"/>
                <w:lang w:val="zh-CN" w:eastAsia="zh-CN"/>
              </w:rPr>
              <w:t>第</w:t>
            </w:r>
            <w:r w:rsidR="003832D8" w:rsidRPr="007F3CC7">
              <w:rPr>
                <w:rFonts w:asciiTheme="minorHAnsi" w:eastAsiaTheme="minorEastAsia" w:hAnsiTheme="minorHAnsi" w:cstheme="minorHAnsi"/>
                <w:bCs/>
                <w:szCs w:val="34"/>
                <w:lang w:eastAsia="zh-CN"/>
              </w:rPr>
              <w:t>1408</w:t>
            </w:r>
            <w:r w:rsidR="003832D8" w:rsidRPr="007F3CC7">
              <w:rPr>
                <w:rFonts w:asciiTheme="minorHAnsi" w:eastAsiaTheme="minorEastAsia" w:hAnsiTheme="minorHAnsi" w:cstheme="minorHAnsi"/>
                <w:bCs/>
                <w:szCs w:val="34"/>
                <w:lang w:val="zh-CN" w:eastAsia="zh-CN"/>
              </w:rPr>
              <w:t>号决议</w:t>
            </w:r>
            <w:r w:rsidRPr="007F3CC7">
              <w:rPr>
                <w:rFonts w:asciiTheme="minorHAnsi" w:eastAsiaTheme="minorEastAsia" w:hAnsiTheme="minorHAnsi" w:cstheme="minorHAnsi" w:hint="eastAsia"/>
                <w:bCs/>
                <w:szCs w:val="34"/>
                <w:lang w:val="zh-CN" w:eastAsia="zh-CN"/>
              </w:rPr>
              <w:t>的最新实施情况</w:t>
            </w:r>
          </w:p>
        </w:tc>
      </w:tr>
      <w:tr w:rsidR="00E24D59" w:rsidRPr="007F3CC7" w14:paraId="039893E4" w14:textId="77777777" w:rsidTr="00E31DCE">
        <w:trPr>
          <w:cantSplit/>
        </w:trPr>
        <w:tc>
          <w:tcPr>
            <w:tcW w:w="9214" w:type="dxa"/>
            <w:gridSpan w:val="2"/>
            <w:tcBorders>
              <w:top w:val="single" w:sz="4" w:space="0" w:color="auto"/>
              <w:bottom w:val="single" w:sz="4" w:space="0" w:color="auto"/>
            </w:tcBorders>
            <w:tcMar>
              <w:left w:w="0" w:type="dxa"/>
            </w:tcMar>
          </w:tcPr>
          <w:p w14:paraId="43D8B67C" w14:textId="7CFC94E1" w:rsidR="00E24D59" w:rsidRPr="007F3CC7"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7F3CC7">
              <w:rPr>
                <w:rFonts w:ascii="SimSun" w:eastAsia="SimSun" w:hAnsi="SimSun" w:cstheme="minorHAnsi"/>
                <w:b/>
                <w:bCs/>
                <w:sz w:val="26"/>
                <w:szCs w:val="26"/>
                <w:lang w:eastAsia="zh-CN"/>
              </w:rPr>
              <w:t>目的</w:t>
            </w:r>
          </w:p>
          <w:p w14:paraId="6BDD938D" w14:textId="7E0AB588" w:rsidR="00E24D59" w:rsidRPr="007F3CC7" w:rsidRDefault="000F0DF4" w:rsidP="00E24D59">
            <w:pPr>
              <w:pStyle w:val="Subtitle"/>
              <w:framePr w:hSpace="0" w:wrap="auto" w:hAnchor="text" w:xAlign="left" w:yAlign="inline"/>
              <w:rPr>
                <w:rFonts w:ascii="SimSun" w:eastAsia="SimSun" w:hAnsi="SimSun" w:cstheme="minorHAnsi"/>
                <w:sz w:val="26"/>
                <w:szCs w:val="26"/>
                <w:lang w:eastAsia="zh-CN"/>
              </w:rPr>
            </w:pPr>
            <w:r w:rsidRPr="007F3CC7">
              <w:rPr>
                <w:rFonts w:asciiTheme="minorHAnsi" w:eastAsiaTheme="minorEastAsia" w:hAnsiTheme="minorHAnsi" w:cstheme="minorHAnsi" w:hint="eastAsia"/>
                <w:sz w:val="24"/>
                <w:szCs w:val="24"/>
                <w:lang w:val="zh-CN" w:eastAsia="zh-CN"/>
              </w:rPr>
              <w:t>本报告概要介绍了自全权代表大会</w:t>
            </w:r>
            <w:r w:rsidRPr="007F3CC7">
              <w:rPr>
                <w:rFonts w:asciiTheme="minorHAnsi" w:eastAsiaTheme="minorEastAsia" w:hAnsiTheme="minorHAnsi" w:cstheme="minorHAnsi" w:hint="eastAsia"/>
                <w:sz w:val="24"/>
                <w:szCs w:val="24"/>
                <w:lang w:eastAsia="zh-CN"/>
              </w:rPr>
              <w:t>（</w:t>
            </w:r>
            <w:r w:rsidRPr="007F3CC7">
              <w:rPr>
                <w:rFonts w:asciiTheme="minorHAnsi" w:eastAsiaTheme="minorEastAsia" w:hAnsiTheme="minorHAnsi" w:cstheme="minorHAnsi" w:hint="eastAsia"/>
                <w:sz w:val="24"/>
                <w:szCs w:val="24"/>
                <w:lang w:eastAsia="zh-CN"/>
              </w:rPr>
              <w:t>2</w:t>
            </w:r>
            <w:r w:rsidRPr="007F3CC7">
              <w:rPr>
                <w:rFonts w:asciiTheme="minorHAnsi" w:eastAsiaTheme="minorEastAsia" w:hAnsiTheme="minorHAnsi" w:cstheme="minorHAnsi"/>
                <w:sz w:val="24"/>
                <w:szCs w:val="24"/>
                <w:lang w:eastAsia="zh-CN"/>
              </w:rPr>
              <w:t>022</w:t>
            </w:r>
            <w:r w:rsidRPr="007F3CC7">
              <w:rPr>
                <w:rFonts w:asciiTheme="minorHAnsi" w:eastAsiaTheme="minorEastAsia" w:hAnsiTheme="minorHAnsi" w:cstheme="minorHAnsi" w:hint="eastAsia"/>
                <w:sz w:val="24"/>
                <w:szCs w:val="24"/>
                <w:lang w:val="zh-CN" w:eastAsia="zh-CN"/>
              </w:rPr>
              <w:t>年</w:t>
            </w:r>
            <w:r w:rsidRPr="007F3CC7">
              <w:rPr>
                <w:rFonts w:asciiTheme="minorHAnsi" w:eastAsiaTheme="minorEastAsia" w:hAnsiTheme="minorHAnsi" w:cstheme="minorHAnsi" w:hint="eastAsia"/>
                <w:sz w:val="24"/>
                <w:szCs w:val="24"/>
                <w:lang w:eastAsia="zh-CN"/>
              </w:rPr>
              <w:t>，</w:t>
            </w:r>
            <w:r w:rsidRPr="007F3CC7">
              <w:rPr>
                <w:rFonts w:asciiTheme="minorHAnsi" w:eastAsiaTheme="minorEastAsia" w:hAnsiTheme="minorHAnsi" w:cstheme="minorHAnsi" w:hint="eastAsia"/>
                <w:sz w:val="24"/>
                <w:szCs w:val="24"/>
                <w:lang w:val="zh-CN" w:eastAsia="zh-CN"/>
              </w:rPr>
              <w:t>布加勒斯特</w:t>
            </w:r>
            <w:r w:rsidRPr="007F3CC7">
              <w:rPr>
                <w:rFonts w:asciiTheme="minorHAnsi" w:eastAsiaTheme="minorEastAsia" w:hAnsiTheme="minorHAnsi" w:cstheme="minorHAnsi" w:hint="eastAsia"/>
                <w:sz w:val="24"/>
                <w:szCs w:val="24"/>
                <w:lang w:eastAsia="zh-CN"/>
              </w:rPr>
              <w:t>）</w:t>
            </w:r>
            <w:r w:rsidRPr="007F3CC7">
              <w:rPr>
                <w:rFonts w:asciiTheme="minorHAnsi" w:eastAsiaTheme="minorEastAsia" w:hAnsiTheme="minorHAnsi" w:cstheme="minorHAnsi" w:hint="eastAsia"/>
                <w:sz w:val="24"/>
                <w:szCs w:val="24"/>
                <w:lang w:val="zh-CN" w:eastAsia="zh-CN"/>
              </w:rPr>
              <w:t>以来</w:t>
            </w:r>
            <w:r w:rsidRPr="007F3CC7">
              <w:rPr>
                <w:rFonts w:asciiTheme="minorHAnsi" w:eastAsiaTheme="minorEastAsia" w:hAnsiTheme="minorHAnsi" w:cstheme="minorHAnsi" w:hint="eastAsia"/>
                <w:sz w:val="24"/>
                <w:szCs w:val="24"/>
                <w:lang w:eastAsia="zh-CN"/>
              </w:rPr>
              <w:t>，</w:t>
            </w:r>
            <w:r w:rsidR="003832D8" w:rsidRPr="007F3CC7">
              <w:rPr>
                <w:rFonts w:asciiTheme="minorHAnsi" w:eastAsiaTheme="minorEastAsia" w:hAnsiTheme="minorHAnsi" w:cstheme="minorHAnsi"/>
                <w:sz w:val="24"/>
                <w:szCs w:val="24"/>
                <w:lang w:val="zh-CN" w:eastAsia="zh-CN"/>
              </w:rPr>
              <w:t>为响应国际电联理事会有关</w:t>
            </w:r>
            <w:r w:rsidRPr="007F3CC7">
              <w:rPr>
                <w:rFonts w:asciiTheme="minorHAnsi" w:eastAsiaTheme="minorEastAsia" w:hAnsiTheme="minorHAnsi" w:cstheme="minorHAnsi" w:hint="eastAsia"/>
                <w:sz w:val="24"/>
                <w:szCs w:val="24"/>
                <w:lang w:eastAsia="zh-CN"/>
              </w:rPr>
              <w:t>“</w:t>
            </w:r>
            <w:r w:rsidR="003832D8" w:rsidRPr="007F3CC7">
              <w:rPr>
                <w:rFonts w:asciiTheme="minorHAnsi" w:eastAsiaTheme="minorEastAsia" w:hAnsiTheme="minorHAnsi" w:cstheme="minorHAnsi"/>
                <w:sz w:val="24"/>
                <w:szCs w:val="24"/>
                <w:lang w:val="zh-CN" w:eastAsia="zh-CN"/>
              </w:rPr>
              <w:t>帮助和支持乌克兰重建电信行业</w:t>
            </w:r>
            <w:r w:rsidRPr="007F3CC7">
              <w:rPr>
                <w:rFonts w:asciiTheme="minorHAnsi" w:eastAsiaTheme="minorEastAsia" w:hAnsiTheme="minorHAnsi" w:cstheme="minorHAnsi" w:hint="eastAsia"/>
                <w:sz w:val="24"/>
                <w:szCs w:val="24"/>
                <w:lang w:eastAsia="zh-CN"/>
              </w:rPr>
              <w:t>”</w:t>
            </w:r>
            <w:r w:rsidR="003832D8" w:rsidRPr="007F3CC7">
              <w:rPr>
                <w:rFonts w:asciiTheme="minorHAnsi" w:eastAsiaTheme="minorEastAsia" w:hAnsiTheme="minorHAnsi" w:cstheme="minorHAnsi"/>
                <w:sz w:val="24"/>
                <w:szCs w:val="24"/>
                <w:lang w:val="zh-CN" w:eastAsia="zh-CN"/>
              </w:rPr>
              <w:t>的第</w:t>
            </w:r>
            <w:r w:rsidR="003832D8" w:rsidRPr="007F3CC7">
              <w:rPr>
                <w:rFonts w:asciiTheme="minorHAnsi" w:eastAsiaTheme="minorEastAsia" w:hAnsiTheme="minorHAnsi" w:cstheme="minorHAnsi"/>
                <w:sz w:val="24"/>
                <w:szCs w:val="24"/>
                <w:lang w:eastAsia="zh-CN"/>
              </w:rPr>
              <w:t>1408</w:t>
            </w:r>
            <w:r w:rsidR="003832D8" w:rsidRPr="007F3CC7">
              <w:rPr>
                <w:rFonts w:asciiTheme="minorHAnsi" w:eastAsiaTheme="minorEastAsia" w:hAnsiTheme="minorHAnsi" w:cstheme="minorHAnsi"/>
                <w:sz w:val="24"/>
                <w:szCs w:val="24"/>
                <w:lang w:val="zh-CN" w:eastAsia="zh-CN"/>
              </w:rPr>
              <w:t>号决议</w:t>
            </w:r>
            <w:r w:rsidRPr="007F3CC7">
              <w:rPr>
                <w:rFonts w:asciiTheme="minorHAnsi" w:eastAsiaTheme="minorEastAsia" w:hAnsiTheme="minorHAnsi" w:cstheme="minorHAnsi" w:hint="eastAsia"/>
                <w:sz w:val="24"/>
                <w:szCs w:val="24"/>
                <w:lang w:val="zh-CN" w:eastAsia="zh-CN"/>
              </w:rPr>
              <w:t>的</w:t>
            </w:r>
            <w:r w:rsidRPr="007F3CC7">
              <w:rPr>
                <w:rFonts w:ascii="STKaiti" w:eastAsia="STKaiti" w:hAnsi="STKaiti" w:cstheme="minorHAnsi"/>
                <w:sz w:val="24"/>
                <w:szCs w:val="24"/>
                <w:lang w:val="zh-CN" w:eastAsia="zh-CN"/>
              </w:rPr>
              <w:t>做出决议</w:t>
            </w:r>
            <w:r w:rsidRPr="007F3CC7">
              <w:rPr>
                <w:rFonts w:asciiTheme="minorHAnsi" w:eastAsiaTheme="minorEastAsia" w:hAnsiTheme="minorHAnsi" w:cstheme="minorHAnsi"/>
                <w:sz w:val="24"/>
                <w:szCs w:val="24"/>
                <w:lang w:val="zh-CN" w:eastAsia="zh-CN"/>
              </w:rPr>
              <w:t>部分</w:t>
            </w:r>
            <w:r w:rsidRPr="007F3CC7">
              <w:rPr>
                <w:rFonts w:asciiTheme="minorHAnsi" w:eastAsiaTheme="minorEastAsia" w:hAnsiTheme="minorHAnsi" w:cstheme="minorHAnsi" w:hint="eastAsia"/>
                <w:sz w:val="24"/>
                <w:szCs w:val="24"/>
                <w:lang w:val="zh-CN" w:eastAsia="zh-CN"/>
              </w:rPr>
              <w:t>而</w:t>
            </w:r>
            <w:r w:rsidR="003832D8" w:rsidRPr="007F3CC7">
              <w:rPr>
                <w:rFonts w:asciiTheme="minorHAnsi" w:eastAsiaTheme="minorEastAsia" w:hAnsiTheme="minorHAnsi" w:cstheme="minorHAnsi"/>
                <w:sz w:val="24"/>
                <w:szCs w:val="24"/>
                <w:lang w:val="zh-CN" w:eastAsia="zh-CN"/>
              </w:rPr>
              <w:t>开展</w:t>
            </w:r>
            <w:r w:rsidRPr="007F3CC7">
              <w:rPr>
                <w:rFonts w:asciiTheme="minorHAnsi" w:eastAsiaTheme="minorEastAsia" w:hAnsiTheme="minorHAnsi" w:cstheme="minorHAnsi" w:hint="eastAsia"/>
                <w:sz w:val="24"/>
                <w:szCs w:val="24"/>
                <w:lang w:val="zh-CN" w:eastAsia="zh-CN"/>
              </w:rPr>
              <w:t>的</w:t>
            </w:r>
            <w:r w:rsidR="003832D8" w:rsidRPr="007F3CC7">
              <w:rPr>
                <w:rFonts w:asciiTheme="minorHAnsi" w:eastAsiaTheme="minorEastAsia" w:hAnsiTheme="minorHAnsi" w:cstheme="minorHAnsi"/>
                <w:sz w:val="24"/>
                <w:szCs w:val="24"/>
                <w:lang w:val="zh-CN" w:eastAsia="zh-CN"/>
              </w:rPr>
              <w:t>一系列活动</w:t>
            </w:r>
            <w:r w:rsidRPr="007F3CC7">
              <w:rPr>
                <w:rFonts w:asciiTheme="minorHAnsi" w:eastAsiaTheme="minorEastAsia" w:hAnsiTheme="minorHAnsi" w:cstheme="minorHAnsi" w:hint="eastAsia"/>
                <w:sz w:val="24"/>
                <w:szCs w:val="24"/>
                <w:lang w:val="zh-CN" w:eastAsia="zh-CN"/>
              </w:rPr>
              <w:t>以及取得的进展</w:t>
            </w:r>
            <w:r w:rsidR="003832D8" w:rsidRPr="007F3CC7">
              <w:rPr>
                <w:rFonts w:asciiTheme="minorHAnsi" w:eastAsiaTheme="minorEastAsia" w:hAnsiTheme="minorHAnsi" w:cstheme="minorHAnsi"/>
                <w:sz w:val="24"/>
                <w:szCs w:val="24"/>
                <w:lang w:eastAsia="zh-CN"/>
              </w:rPr>
              <w:t>，</w:t>
            </w:r>
            <w:r w:rsidR="003832D8" w:rsidRPr="007F3CC7">
              <w:rPr>
                <w:rFonts w:asciiTheme="minorHAnsi" w:eastAsiaTheme="minorEastAsia" w:hAnsiTheme="minorHAnsi" w:cstheme="minorHAnsi"/>
                <w:sz w:val="24"/>
                <w:szCs w:val="24"/>
                <w:lang w:val="zh-CN" w:eastAsia="zh-CN"/>
              </w:rPr>
              <w:t>特别是在监督和报告、协调机制、促进技术援助和资源筹措方面。</w:t>
            </w:r>
          </w:p>
          <w:p w14:paraId="2E7286A1" w14:textId="77777777" w:rsidR="00E24D59" w:rsidRPr="007F3CC7"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7F3CC7">
              <w:rPr>
                <w:rFonts w:ascii="SimSun" w:eastAsia="SimSun" w:hAnsi="SimSun" w:cstheme="minorHAnsi"/>
                <w:b/>
                <w:bCs/>
                <w:sz w:val="26"/>
                <w:szCs w:val="26"/>
                <w:lang w:eastAsia="zh-CN"/>
              </w:rPr>
              <w:t>理事会需采取的行动</w:t>
            </w:r>
          </w:p>
          <w:p w14:paraId="7AA39272" w14:textId="53DA303B" w:rsidR="00E24D59" w:rsidRPr="007F3CC7" w:rsidRDefault="000F0DF4" w:rsidP="00E24D59">
            <w:pPr>
              <w:pStyle w:val="Subtitle"/>
              <w:framePr w:hSpace="0" w:wrap="auto" w:hAnchor="text" w:xAlign="left" w:yAlign="inline"/>
              <w:rPr>
                <w:rFonts w:ascii="SimSun" w:eastAsia="SimSun" w:hAnsi="SimSun" w:cstheme="minorHAnsi"/>
                <w:b/>
                <w:bCs/>
                <w:sz w:val="24"/>
                <w:szCs w:val="24"/>
                <w:lang w:eastAsia="zh-CN"/>
              </w:rPr>
            </w:pPr>
            <w:bookmarkStart w:id="7" w:name="lt_pId014"/>
            <w:r w:rsidRPr="007F3CC7">
              <w:rPr>
                <w:rFonts w:ascii="SimSun" w:eastAsia="SimSun" w:hAnsi="SimSun" w:cs="SimSun" w:hint="eastAsia"/>
                <w:sz w:val="24"/>
                <w:szCs w:val="24"/>
                <w:lang w:eastAsia="zh-CN"/>
              </w:rPr>
              <w:t>请理事会将本报告</w:t>
            </w:r>
            <w:r w:rsidRPr="007F3CC7">
              <w:rPr>
                <w:rFonts w:ascii="SimSun" w:eastAsia="SimSun" w:hAnsi="SimSun" w:cs="SimSun" w:hint="eastAsia"/>
                <w:b/>
                <w:bCs/>
                <w:sz w:val="24"/>
                <w:szCs w:val="24"/>
                <w:lang w:eastAsia="zh-CN"/>
              </w:rPr>
              <w:t>记录在案</w:t>
            </w:r>
            <w:r w:rsidRPr="007F3CC7">
              <w:rPr>
                <w:rFonts w:ascii="SimSun" w:eastAsia="SimSun" w:hAnsi="SimSun" w:cs="SimSun" w:hint="eastAsia"/>
                <w:sz w:val="24"/>
                <w:szCs w:val="24"/>
                <w:lang w:eastAsia="zh-CN"/>
              </w:rPr>
              <w:t>。</w:t>
            </w:r>
            <w:bookmarkEnd w:id="7"/>
          </w:p>
          <w:p w14:paraId="703615F3" w14:textId="2CD802BF" w:rsidR="00E24D59" w:rsidRPr="007F3CC7" w:rsidRDefault="000F0DF4" w:rsidP="00E24D59">
            <w:pPr>
              <w:pStyle w:val="Subtitle"/>
              <w:framePr w:hSpace="0" w:wrap="auto" w:hAnchor="text" w:xAlign="left" w:yAlign="inline"/>
              <w:rPr>
                <w:rFonts w:ascii="SimSun" w:eastAsia="SimSun" w:hAnsi="SimSun" w:cstheme="minorHAnsi"/>
                <w:b/>
                <w:bCs/>
                <w:sz w:val="26"/>
                <w:szCs w:val="26"/>
                <w:lang w:eastAsia="zh-CN"/>
              </w:rPr>
            </w:pPr>
            <w:r w:rsidRPr="007F3CC7">
              <w:rPr>
                <w:rFonts w:ascii="SimSun" w:eastAsia="SimSun" w:hAnsi="SimSun" w:cstheme="minorHAnsi" w:hint="eastAsia"/>
                <w:b/>
                <w:bCs/>
                <w:sz w:val="26"/>
                <w:szCs w:val="26"/>
                <w:lang w:eastAsia="zh-CN"/>
              </w:rPr>
              <w:t>与</w:t>
            </w:r>
            <w:r w:rsidR="00E24D59" w:rsidRPr="007F3CC7">
              <w:rPr>
                <w:rFonts w:ascii="SimSun" w:eastAsia="SimSun" w:hAnsi="SimSun" w:cstheme="minorHAnsi"/>
                <w:b/>
                <w:bCs/>
                <w:sz w:val="26"/>
                <w:szCs w:val="26"/>
                <w:lang w:eastAsia="zh-CN"/>
              </w:rPr>
              <w:t>《战略规划》</w:t>
            </w:r>
            <w:r w:rsidRPr="007F3CC7">
              <w:rPr>
                <w:rFonts w:ascii="SimSun" w:eastAsia="SimSun" w:hAnsi="SimSun" w:cstheme="minorHAnsi" w:hint="eastAsia"/>
                <w:b/>
                <w:bCs/>
                <w:sz w:val="26"/>
                <w:szCs w:val="26"/>
                <w:lang w:eastAsia="zh-CN"/>
              </w:rPr>
              <w:t>的关联</w:t>
            </w:r>
          </w:p>
          <w:p w14:paraId="65F4F2E7" w14:textId="53083596" w:rsidR="00E24D59" w:rsidRPr="007F3CC7" w:rsidRDefault="003832D8" w:rsidP="00E24D59">
            <w:pPr>
              <w:pStyle w:val="Subtitle"/>
              <w:framePr w:hSpace="0" w:wrap="auto" w:hAnchor="text" w:xAlign="left" w:yAlign="inline"/>
              <w:rPr>
                <w:rFonts w:ascii="SimSun" w:eastAsia="SimSun" w:hAnsi="SimSun" w:cstheme="minorHAnsi"/>
                <w:b/>
                <w:bCs/>
                <w:sz w:val="24"/>
                <w:szCs w:val="24"/>
                <w:lang w:eastAsia="zh-CN"/>
              </w:rPr>
            </w:pPr>
            <w:r w:rsidRPr="007F3CC7">
              <w:rPr>
                <w:rFonts w:ascii="SimSun" w:eastAsia="SimSun" w:hAnsi="SimSun" w:cs="SimSun" w:hint="eastAsia"/>
                <w:sz w:val="24"/>
                <w:szCs w:val="24"/>
                <w:lang w:eastAsia="zh-CN"/>
              </w:rPr>
              <w:t>提供技术援助。</w:t>
            </w:r>
          </w:p>
          <w:p w14:paraId="011769DA" w14:textId="129C2F9C" w:rsidR="00E24D59" w:rsidRPr="007F3CC7"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7F3CC7">
              <w:rPr>
                <w:rFonts w:ascii="SimSun" w:eastAsia="SimSun" w:hAnsi="SimSun" w:cstheme="minorHAnsi"/>
                <w:b/>
                <w:bCs/>
                <w:sz w:val="26"/>
                <w:szCs w:val="26"/>
                <w:lang w:eastAsia="zh-CN"/>
              </w:rPr>
              <w:t>财务影响：</w:t>
            </w:r>
          </w:p>
          <w:p w14:paraId="0CDB2FB1" w14:textId="3D1E9043" w:rsidR="003832D8" w:rsidRPr="007F3CC7" w:rsidRDefault="000B6FF9" w:rsidP="00E24D59">
            <w:pPr>
              <w:pStyle w:val="Subtitle"/>
              <w:framePr w:hSpace="0" w:wrap="auto" w:hAnchor="text" w:xAlign="left" w:yAlign="inline"/>
              <w:rPr>
                <w:rFonts w:eastAsia="SimSun" w:cs="Calibri"/>
                <w:b/>
                <w:bCs/>
                <w:sz w:val="24"/>
                <w:szCs w:val="24"/>
                <w:lang w:eastAsia="zh-CN"/>
              </w:rPr>
            </w:pPr>
            <w:r w:rsidRPr="007F3CC7">
              <w:rPr>
                <w:rFonts w:eastAsia="SimSun" w:cs="Calibri" w:hint="eastAsia"/>
                <w:sz w:val="24"/>
                <w:szCs w:val="24"/>
                <w:lang w:eastAsia="zh-CN"/>
              </w:rPr>
              <w:t>共</w:t>
            </w:r>
            <w:r w:rsidRPr="007F3CC7">
              <w:rPr>
                <w:sz w:val="24"/>
                <w:szCs w:val="24"/>
                <w:lang w:eastAsia="zh-CN"/>
              </w:rPr>
              <w:t>140,000</w:t>
            </w:r>
            <w:r w:rsidRPr="007F3CC7">
              <w:rPr>
                <w:rFonts w:eastAsia="SimSun" w:cs="Calibri" w:hint="eastAsia"/>
                <w:sz w:val="24"/>
                <w:szCs w:val="24"/>
                <w:lang w:eastAsia="zh-CN"/>
              </w:rPr>
              <w:t>瑞郎，包括来自国际电联预算的</w:t>
            </w:r>
            <w:r w:rsidRPr="007F3CC7">
              <w:rPr>
                <w:sz w:val="24"/>
                <w:szCs w:val="24"/>
                <w:lang w:eastAsia="zh-CN"/>
              </w:rPr>
              <w:t>20,000</w:t>
            </w:r>
            <w:r w:rsidRPr="007F3CC7">
              <w:rPr>
                <w:rFonts w:eastAsia="SimSun" w:cs="Calibri" w:hint="eastAsia"/>
                <w:sz w:val="24"/>
                <w:szCs w:val="24"/>
                <w:lang w:eastAsia="zh-CN"/>
              </w:rPr>
              <w:t>瑞郎、</w:t>
            </w:r>
            <w:r w:rsidRPr="007F3CC7">
              <w:rPr>
                <w:sz w:val="24"/>
                <w:szCs w:val="24"/>
                <w:lang w:eastAsia="zh-CN"/>
              </w:rPr>
              <w:t>100,000</w:t>
            </w:r>
            <w:r w:rsidRPr="007F3CC7">
              <w:rPr>
                <w:rFonts w:eastAsia="SimSun" w:cs="Calibri" w:hint="eastAsia"/>
                <w:sz w:val="24"/>
                <w:szCs w:val="24"/>
                <w:lang w:eastAsia="zh-CN"/>
              </w:rPr>
              <w:t>瑞郎的自愿捐款和</w:t>
            </w:r>
            <w:r w:rsidRPr="007F3CC7">
              <w:rPr>
                <w:sz w:val="24"/>
                <w:szCs w:val="24"/>
                <w:lang w:eastAsia="zh-CN"/>
              </w:rPr>
              <w:t>20,000</w:t>
            </w:r>
            <w:r w:rsidRPr="007F3CC7">
              <w:rPr>
                <w:rFonts w:eastAsia="SimSun" w:cs="Calibri" w:hint="eastAsia"/>
                <w:sz w:val="24"/>
                <w:szCs w:val="24"/>
                <w:lang w:eastAsia="zh-CN"/>
              </w:rPr>
              <w:t>瑞郎的实物捐助</w:t>
            </w:r>
          </w:p>
          <w:p w14:paraId="7A44932E" w14:textId="77777777" w:rsidR="00E24D59" w:rsidRPr="007F3CC7"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7F3CC7">
              <w:rPr>
                <w:rFonts w:ascii="SimSun" w:eastAsia="SimSun" w:hAnsi="SimSun" w:cstheme="minorHAnsi"/>
                <w:b/>
                <w:bCs/>
                <w:sz w:val="26"/>
                <w:szCs w:val="26"/>
                <w:lang w:eastAsia="zh-CN"/>
              </w:rPr>
              <w:t>__________________</w:t>
            </w:r>
          </w:p>
          <w:p w14:paraId="33CF3463" w14:textId="77777777" w:rsidR="00E24D59" w:rsidRPr="007F3CC7"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7F3CC7">
              <w:rPr>
                <w:rFonts w:ascii="SimSun" w:eastAsia="SimSun" w:hAnsi="SimSun" w:cstheme="minorHAnsi" w:hint="eastAsia"/>
                <w:b/>
                <w:bCs/>
                <w:sz w:val="26"/>
                <w:szCs w:val="26"/>
                <w:lang w:eastAsia="zh-CN"/>
              </w:rPr>
              <w:t>参考文件</w:t>
            </w:r>
          </w:p>
          <w:p w14:paraId="2F1995E7" w14:textId="1425FFD6" w:rsidR="00E24D59" w:rsidRPr="007F3CC7" w:rsidRDefault="000B6FF9" w:rsidP="00E31DCE">
            <w:pPr>
              <w:spacing w:after="160"/>
              <w:rPr>
                <w:lang w:eastAsia="zh-CN"/>
              </w:rPr>
            </w:pPr>
            <w:bookmarkStart w:id="8" w:name="lt_pId021"/>
            <w:r w:rsidRPr="007F3CC7">
              <w:rPr>
                <w:rFonts w:hint="eastAsia"/>
                <w:lang w:eastAsia="zh-CN"/>
              </w:rPr>
              <w:t>理事会</w:t>
            </w:r>
            <w:hyperlink r:id="rId8" w:history="1">
              <w:r w:rsidRPr="007F3CC7">
                <w:rPr>
                  <w:rStyle w:val="Hyperlink"/>
                  <w:rFonts w:hint="eastAsia"/>
                  <w:lang w:eastAsia="zh-CN"/>
                </w:rPr>
                <w:t>第</w:t>
              </w:r>
              <w:r w:rsidRPr="007F3CC7">
                <w:rPr>
                  <w:rStyle w:val="Hyperlink"/>
                  <w:lang w:eastAsia="zh-CN"/>
                </w:rPr>
                <w:t>1408</w:t>
              </w:r>
              <w:r w:rsidRPr="007F3CC7">
                <w:rPr>
                  <w:rStyle w:val="Hyperlink"/>
                  <w:rFonts w:hint="eastAsia"/>
                  <w:lang w:eastAsia="zh-CN"/>
                </w:rPr>
                <w:t>号决议</w:t>
              </w:r>
              <w:r w:rsidR="007F3CC7">
                <w:rPr>
                  <w:rStyle w:val="Hyperlink"/>
                  <w:lang w:eastAsia="zh-CN"/>
                </w:rPr>
                <w:t>（</w:t>
              </w:r>
              <w:r w:rsidRPr="007F3CC7">
                <w:rPr>
                  <w:rStyle w:val="Hyperlink"/>
                  <w:lang w:eastAsia="zh-CN"/>
                </w:rPr>
                <w:t>C22</w:t>
              </w:r>
              <w:r w:rsidR="007F3CC7">
                <w:rPr>
                  <w:rStyle w:val="Hyperlink"/>
                  <w:lang w:eastAsia="zh-CN"/>
                </w:rPr>
                <w:t>）</w:t>
              </w:r>
            </w:hyperlink>
            <w:r w:rsidRPr="007F3CC7">
              <w:rPr>
                <w:rFonts w:hint="eastAsia"/>
                <w:lang w:eastAsia="zh-CN"/>
              </w:rPr>
              <w:t>；全权代表大会第</w:t>
            </w:r>
            <w:hyperlink r:id="rId9" w:history="1">
              <w:r w:rsidRPr="007F3CC7">
                <w:rPr>
                  <w:rStyle w:val="Hyperlink"/>
                  <w:lang w:eastAsia="zh-CN"/>
                </w:rPr>
                <w:t>PP-22/70</w:t>
              </w:r>
            </w:hyperlink>
            <w:r w:rsidRPr="007F3CC7">
              <w:rPr>
                <w:rFonts w:hint="eastAsia"/>
                <w:lang w:eastAsia="zh-CN"/>
              </w:rPr>
              <w:t>号文件。</w:t>
            </w:r>
            <w:bookmarkEnd w:id="8"/>
          </w:p>
        </w:tc>
      </w:tr>
      <w:bookmarkEnd w:id="2"/>
      <w:bookmarkEnd w:id="6"/>
    </w:tbl>
    <w:p w14:paraId="0F6E448F" w14:textId="77777777" w:rsidR="00E24D59" w:rsidRPr="007F3CC7"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448D44E" w14:textId="77777777" w:rsidR="00E24D59" w:rsidRPr="007F3CC7"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7F3CC7">
        <w:rPr>
          <w:lang w:eastAsia="zh-CN"/>
        </w:rPr>
        <w:br w:type="page"/>
      </w:r>
    </w:p>
    <w:p w14:paraId="5B3FD832" w14:textId="687B7169" w:rsidR="003832D8" w:rsidRPr="007F3CC7" w:rsidRDefault="003832D8" w:rsidP="003832D8">
      <w:pPr>
        <w:pStyle w:val="Heading1"/>
        <w:tabs>
          <w:tab w:val="center" w:pos="4822"/>
        </w:tabs>
        <w:rPr>
          <w:lang w:eastAsia="zh-CN"/>
        </w:rPr>
      </w:pPr>
      <w:bookmarkStart w:id="9" w:name="lt_pId023"/>
      <w:r w:rsidRPr="007F3CC7">
        <w:rPr>
          <w:lang w:eastAsia="zh-CN"/>
        </w:rPr>
        <w:lastRenderedPageBreak/>
        <w:t>1</w:t>
      </w:r>
      <w:r w:rsidRPr="007F3CC7">
        <w:rPr>
          <w:lang w:eastAsia="zh-CN"/>
        </w:rPr>
        <w:tab/>
      </w:r>
      <w:r w:rsidRPr="007F3CC7">
        <w:rPr>
          <w:rFonts w:hint="eastAsia"/>
          <w:lang w:eastAsia="zh-CN"/>
        </w:rPr>
        <w:t>引言</w:t>
      </w:r>
    </w:p>
    <w:bookmarkEnd w:id="9"/>
    <w:p w14:paraId="022220C6" w14:textId="776BA813" w:rsidR="003832D8" w:rsidRPr="007F3CC7" w:rsidRDefault="00E96444" w:rsidP="000A21B8">
      <w:pPr>
        <w:spacing w:after="120"/>
        <w:ind w:firstLineChars="200" w:firstLine="480"/>
        <w:jc w:val="both"/>
        <w:rPr>
          <w:rFonts w:cs="Calibri"/>
          <w:lang w:eastAsia="zh-CN"/>
        </w:rPr>
      </w:pPr>
      <w:r w:rsidRPr="007F3CC7">
        <w:rPr>
          <w:rFonts w:cs="Calibri" w:hint="eastAsia"/>
          <w:lang w:eastAsia="zh-CN"/>
        </w:rPr>
        <w:t>本报告总结归纳了自向全权代表大会（</w:t>
      </w:r>
      <w:hyperlink r:id="rId10" w:history="1">
        <w:r w:rsidRPr="007F3CC7">
          <w:rPr>
            <w:rStyle w:val="Hyperlink"/>
            <w:rFonts w:asciiTheme="minorHAnsi" w:hAnsiTheme="minorHAnsi" w:cstheme="minorHAnsi"/>
            <w:szCs w:val="24"/>
            <w:bdr w:val="none" w:sz="0" w:space="0" w:color="auto" w:frame="1"/>
            <w:lang w:eastAsia="zh-CN"/>
          </w:rPr>
          <w:t>PP-22/70</w:t>
        </w:r>
      </w:hyperlink>
      <w:r w:rsidRPr="007F3CC7">
        <w:rPr>
          <w:rFonts w:cs="Calibri" w:hint="eastAsia"/>
          <w:lang w:eastAsia="zh-CN"/>
        </w:rPr>
        <w:t>号文件）</w:t>
      </w:r>
      <w:r w:rsidR="007F3CC7">
        <w:rPr>
          <w:rFonts w:cs="Calibri" w:hint="eastAsia"/>
          <w:lang w:eastAsia="zh-CN"/>
        </w:rPr>
        <w:t>做</w:t>
      </w:r>
      <w:r w:rsidRPr="007F3CC7">
        <w:rPr>
          <w:rFonts w:cs="Calibri" w:hint="eastAsia"/>
          <w:lang w:eastAsia="zh-CN"/>
        </w:rPr>
        <w:t>最后一次汇报以来，国际电联秘书处为响应国际电联理事会有关“</w:t>
      </w:r>
      <w:r w:rsidRPr="007F3CC7">
        <w:rPr>
          <w:rFonts w:cs="Calibri" w:hint="eastAsia"/>
          <w:b/>
          <w:bCs/>
          <w:lang w:eastAsia="zh-CN"/>
        </w:rPr>
        <w:t>帮助和支持乌克兰重建电信行业</w:t>
      </w:r>
      <w:r w:rsidRPr="007F3CC7">
        <w:rPr>
          <w:rFonts w:cs="Calibri" w:hint="eastAsia"/>
          <w:lang w:eastAsia="zh-CN"/>
        </w:rPr>
        <w:t>”的</w:t>
      </w:r>
      <w:hyperlink r:id="rId11" w:history="1">
        <w:r w:rsidRPr="007F3CC7">
          <w:rPr>
            <w:rStyle w:val="Hyperlink"/>
            <w:rFonts w:cs="Calibri" w:hint="eastAsia"/>
            <w:lang w:eastAsia="zh-CN"/>
          </w:rPr>
          <w:t>第</w:t>
        </w:r>
        <w:r w:rsidRPr="007F3CC7">
          <w:rPr>
            <w:rStyle w:val="Hyperlink"/>
            <w:rFonts w:cs="Calibri" w:hint="eastAsia"/>
            <w:lang w:eastAsia="zh-CN"/>
          </w:rPr>
          <w:t>1408</w:t>
        </w:r>
        <w:r w:rsidRPr="007F3CC7">
          <w:rPr>
            <w:rStyle w:val="Hyperlink"/>
            <w:rFonts w:cs="Calibri" w:hint="eastAsia"/>
            <w:lang w:eastAsia="zh-CN"/>
          </w:rPr>
          <w:t>号决议</w:t>
        </w:r>
      </w:hyperlink>
      <w:r w:rsidRPr="007F3CC7">
        <w:rPr>
          <w:rFonts w:ascii="STKaiti" w:eastAsia="STKaiti" w:hAnsi="STKaiti" w:cs="Calibri" w:hint="eastAsia"/>
          <w:lang w:eastAsia="zh-CN"/>
        </w:rPr>
        <w:t>做出决议</w:t>
      </w:r>
      <w:r w:rsidRPr="007F3CC7">
        <w:rPr>
          <w:rFonts w:cs="Calibri" w:hint="eastAsia"/>
          <w:lang w:eastAsia="zh-CN"/>
        </w:rPr>
        <w:t>部分而采取的行动，特别是在监督和报告、协调机制、促进技术援助和资源筹措方面。</w:t>
      </w:r>
    </w:p>
    <w:p w14:paraId="77E4E25E" w14:textId="77777777" w:rsidR="003832D8" w:rsidRPr="007F3CC7" w:rsidRDefault="003832D8" w:rsidP="003832D8">
      <w:pPr>
        <w:pStyle w:val="Heading1"/>
        <w:rPr>
          <w:lang w:eastAsia="zh-CN"/>
        </w:rPr>
      </w:pPr>
      <w:bookmarkStart w:id="10" w:name="lt_pId026"/>
      <w:r w:rsidRPr="007F3CC7">
        <w:rPr>
          <w:lang w:eastAsia="zh-CN"/>
        </w:rPr>
        <w:t>2</w:t>
      </w:r>
      <w:r w:rsidRPr="007F3CC7">
        <w:rPr>
          <w:lang w:eastAsia="zh-CN"/>
        </w:rPr>
        <w:tab/>
      </w:r>
      <w:r w:rsidRPr="007F3CC7">
        <w:rPr>
          <w:rFonts w:hint="eastAsia"/>
          <w:lang w:eastAsia="zh-CN"/>
        </w:rPr>
        <w:t>监督和报告</w:t>
      </w:r>
    </w:p>
    <w:bookmarkEnd w:id="10"/>
    <w:p w14:paraId="0011E0F6" w14:textId="415CD16C" w:rsidR="003832D8" w:rsidRPr="007F3CC7" w:rsidRDefault="003832D8" w:rsidP="000A21B8">
      <w:pPr>
        <w:spacing w:after="120"/>
        <w:ind w:firstLineChars="200" w:firstLine="480"/>
        <w:jc w:val="both"/>
        <w:rPr>
          <w:lang w:eastAsia="zh-CN"/>
        </w:rPr>
      </w:pPr>
      <w:r w:rsidRPr="007F3CC7">
        <w:rPr>
          <w:rFonts w:hint="eastAsia"/>
          <w:lang w:eastAsia="zh-CN"/>
        </w:rPr>
        <w:t>为促进有效开展技术援助，</w:t>
      </w:r>
      <w:r w:rsidR="001A5DDF">
        <w:rPr>
          <w:rFonts w:hint="eastAsia"/>
          <w:lang w:eastAsia="zh-CN"/>
        </w:rPr>
        <w:t>我们</w:t>
      </w:r>
      <w:r w:rsidRPr="007F3CC7">
        <w:rPr>
          <w:rFonts w:hint="eastAsia"/>
          <w:lang w:eastAsia="zh-CN"/>
        </w:rPr>
        <w:t>对乌克兰的数字复原力</w:t>
      </w:r>
      <w:r w:rsidR="001A5DDF">
        <w:rPr>
          <w:rFonts w:hint="eastAsia"/>
          <w:lang w:eastAsia="zh-CN"/>
        </w:rPr>
        <w:t>情况进行</w:t>
      </w:r>
      <w:r w:rsidRPr="007F3CC7">
        <w:rPr>
          <w:rFonts w:hint="eastAsia"/>
          <w:lang w:eastAsia="zh-CN"/>
        </w:rPr>
        <w:t>了持续监督。为落实</w:t>
      </w:r>
      <w:r w:rsidR="00E96444" w:rsidRPr="007F3CC7">
        <w:rPr>
          <w:rFonts w:hint="eastAsia"/>
          <w:lang w:eastAsia="zh-CN"/>
        </w:rPr>
        <w:t>理事会</w:t>
      </w:r>
      <w:r w:rsidRPr="007F3CC7">
        <w:rPr>
          <w:rFonts w:hint="eastAsia"/>
          <w:lang w:eastAsia="zh-CN"/>
        </w:rPr>
        <w:t>第</w:t>
      </w:r>
      <w:r w:rsidRPr="007F3CC7">
        <w:rPr>
          <w:lang w:eastAsia="zh-CN"/>
        </w:rPr>
        <w:t>1408</w:t>
      </w:r>
      <w:r w:rsidRPr="007F3CC7">
        <w:rPr>
          <w:rFonts w:hint="eastAsia"/>
          <w:lang w:eastAsia="zh-CN"/>
        </w:rPr>
        <w:t>号决议设立了特别网站，</w:t>
      </w:r>
      <w:r w:rsidR="001A5DDF">
        <w:rPr>
          <w:rFonts w:hint="eastAsia"/>
          <w:lang w:eastAsia="zh-CN"/>
        </w:rPr>
        <w:t>且</w:t>
      </w:r>
      <w:r w:rsidR="00E96444" w:rsidRPr="007F3CC7">
        <w:rPr>
          <w:rFonts w:hint="eastAsia"/>
          <w:lang w:eastAsia="zh-CN"/>
        </w:rPr>
        <w:t>这一不断更新的网站</w:t>
      </w:r>
      <w:r w:rsidRPr="007F3CC7">
        <w:rPr>
          <w:rFonts w:hint="eastAsia"/>
          <w:lang w:eastAsia="zh-CN"/>
        </w:rPr>
        <w:t>可通过</w:t>
      </w:r>
      <w:r w:rsidR="001A5DDF">
        <w:rPr>
          <w:rFonts w:hint="eastAsia"/>
          <w:lang w:eastAsia="zh-CN"/>
        </w:rPr>
        <w:t>点击</w:t>
      </w:r>
      <w:hyperlink r:id="rId12" w:history="1">
        <w:r w:rsidRPr="007F3CC7">
          <w:rPr>
            <w:rStyle w:val="Hyperlink"/>
            <w:rFonts w:hint="eastAsia"/>
            <w:lang w:eastAsia="zh-CN"/>
          </w:rPr>
          <w:t>此处</w:t>
        </w:r>
      </w:hyperlink>
      <w:r w:rsidRPr="007F3CC7">
        <w:rPr>
          <w:rFonts w:hint="eastAsia"/>
          <w:lang w:eastAsia="zh-CN"/>
        </w:rPr>
        <w:t>访问。</w:t>
      </w:r>
    </w:p>
    <w:p w14:paraId="1C415578" w14:textId="3B503A42" w:rsidR="00E96444" w:rsidRPr="007F3CC7" w:rsidRDefault="00E96444" w:rsidP="000A21B8">
      <w:pPr>
        <w:spacing w:after="120"/>
        <w:jc w:val="both"/>
        <w:rPr>
          <w:rFonts w:cs="Calibri"/>
          <w:szCs w:val="24"/>
          <w:lang w:eastAsia="zh-CN"/>
        </w:rPr>
      </w:pPr>
      <w:r w:rsidRPr="007F3CC7">
        <w:rPr>
          <w:rFonts w:cs="Calibri" w:hint="eastAsia"/>
          <w:b/>
          <w:bCs/>
          <w:szCs w:val="24"/>
          <w:lang w:eastAsia="zh-CN"/>
        </w:rPr>
        <w:t>A</w:t>
      </w:r>
      <w:r w:rsidR="000A21B8">
        <w:rPr>
          <w:rFonts w:cs="Calibri"/>
          <w:b/>
          <w:bCs/>
          <w:szCs w:val="24"/>
          <w:lang w:eastAsia="zh-CN"/>
        </w:rPr>
        <w:tab/>
      </w:r>
      <w:r w:rsidRPr="007F3CC7">
        <w:rPr>
          <w:rFonts w:cs="Calibri" w:hint="eastAsia"/>
          <w:szCs w:val="24"/>
          <w:lang w:eastAsia="zh-CN"/>
        </w:rPr>
        <w:t>2022</w:t>
      </w:r>
      <w:r w:rsidRPr="007F3CC7">
        <w:rPr>
          <w:rFonts w:cs="Calibri" w:hint="eastAsia"/>
          <w:szCs w:val="24"/>
          <w:lang w:eastAsia="zh-CN"/>
        </w:rPr>
        <w:t>年</w:t>
      </w:r>
      <w:r w:rsidRPr="007F3CC7">
        <w:rPr>
          <w:rFonts w:cs="Calibri" w:hint="eastAsia"/>
          <w:szCs w:val="24"/>
          <w:lang w:eastAsia="zh-CN"/>
        </w:rPr>
        <w:t>12</w:t>
      </w:r>
      <w:r w:rsidRPr="007F3CC7">
        <w:rPr>
          <w:rFonts w:cs="Calibri" w:hint="eastAsia"/>
          <w:szCs w:val="24"/>
          <w:lang w:eastAsia="zh-CN"/>
        </w:rPr>
        <w:t>月发布了</w:t>
      </w:r>
      <w:r w:rsidRPr="007F3CC7">
        <w:rPr>
          <w:rFonts w:cs="Calibri" w:hint="eastAsia"/>
          <w:b/>
          <w:bCs/>
          <w:szCs w:val="24"/>
          <w:lang w:eastAsia="zh-CN"/>
        </w:rPr>
        <w:t>《乌克兰电信基础设施受损情况和信息通信技术生态系统复原力临时评估》</w:t>
      </w:r>
      <w:r w:rsidR="001A5DDF" w:rsidRPr="001A5DDF">
        <w:rPr>
          <w:rFonts w:cs="Calibri" w:hint="eastAsia"/>
          <w:szCs w:val="24"/>
          <w:lang w:eastAsia="zh-CN"/>
        </w:rPr>
        <w:t>报告</w:t>
      </w:r>
      <w:r w:rsidRPr="007F3CC7">
        <w:rPr>
          <w:rFonts w:cs="Calibri" w:hint="eastAsia"/>
          <w:szCs w:val="24"/>
          <w:lang w:eastAsia="zh-CN"/>
        </w:rPr>
        <w:t>，目的是</w:t>
      </w:r>
      <w:r w:rsidR="001A5DDF">
        <w:rPr>
          <w:rFonts w:cs="Calibri" w:hint="eastAsia"/>
          <w:szCs w:val="24"/>
          <w:lang w:eastAsia="zh-CN"/>
        </w:rPr>
        <w:t>为了</w:t>
      </w:r>
      <w:r w:rsidRPr="007F3CC7">
        <w:rPr>
          <w:rFonts w:cs="Calibri" w:hint="eastAsia"/>
          <w:szCs w:val="24"/>
          <w:lang w:eastAsia="zh-CN"/>
        </w:rPr>
        <w:t>制定有效援助乌克兰的计划，促进为重建乌克兰电信基础设施筹措资源</w:t>
      </w:r>
      <w:r w:rsidRPr="007F3CC7">
        <w:rPr>
          <w:rStyle w:val="FootnoteReference"/>
          <w:rFonts w:cs="Calibri"/>
          <w:szCs w:val="18"/>
          <w:vertAlign w:val="superscript"/>
          <w:lang w:eastAsia="zh-CN"/>
        </w:rPr>
        <w:footnoteReference w:id="1"/>
      </w:r>
      <w:r w:rsidRPr="007F3CC7">
        <w:rPr>
          <w:rFonts w:cs="Calibri" w:hint="eastAsia"/>
          <w:szCs w:val="24"/>
          <w:lang w:eastAsia="zh-CN"/>
        </w:rPr>
        <w:t>。</w:t>
      </w:r>
    </w:p>
    <w:p w14:paraId="46B51F31" w14:textId="0B89CE6C" w:rsidR="00E96444" w:rsidRPr="007F3CC7" w:rsidRDefault="00E96444" w:rsidP="000A21B8">
      <w:pPr>
        <w:spacing w:after="120"/>
        <w:ind w:firstLineChars="200" w:firstLine="480"/>
        <w:jc w:val="both"/>
        <w:rPr>
          <w:rFonts w:cs="Calibri"/>
          <w:szCs w:val="24"/>
          <w:lang w:eastAsia="zh-CN"/>
        </w:rPr>
      </w:pPr>
      <w:r w:rsidRPr="007F3CC7">
        <w:rPr>
          <w:rFonts w:cs="Calibri" w:hint="eastAsia"/>
          <w:szCs w:val="24"/>
          <w:lang w:eastAsia="zh-CN"/>
        </w:rPr>
        <w:t>该报告涵盖了战争</w:t>
      </w:r>
      <w:r w:rsidR="001A5DDF">
        <w:rPr>
          <w:rFonts w:cs="Calibri" w:hint="eastAsia"/>
          <w:szCs w:val="24"/>
          <w:lang w:eastAsia="zh-CN"/>
        </w:rPr>
        <w:t>爆</w:t>
      </w:r>
      <w:r w:rsidR="00C70727" w:rsidRPr="007F3CC7">
        <w:rPr>
          <w:rFonts w:cs="Calibri" w:hint="eastAsia"/>
          <w:szCs w:val="24"/>
          <w:lang w:eastAsia="zh-CN"/>
        </w:rPr>
        <w:t>发后</w:t>
      </w:r>
      <w:r w:rsidRPr="007F3CC7">
        <w:rPr>
          <w:rFonts w:cs="Calibri" w:hint="eastAsia"/>
          <w:szCs w:val="24"/>
          <w:lang w:eastAsia="zh-CN"/>
        </w:rPr>
        <w:t>六个月</w:t>
      </w:r>
      <w:r w:rsidR="001A5DDF">
        <w:rPr>
          <w:rFonts w:cs="Calibri" w:hint="eastAsia"/>
          <w:szCs w:val="24"/>
          <w:lang w:eastAsia="zh-CN"/>
        </w:rPr>
        <w:t>内发生的</w:t>
      </w:r>
      <w:r w:rsidR="00C70727" w:rsidRPr="007F3CC7">
        <w:rPr>
          <w:rFonts w:cs="Calibri" w:hint="eastAsia"/>
          <w:szCs w:val="24"/>
          <w:lang w:eastAsia="zh-CN"/>
        </w:rPr>
        <w:t>情况</w:t>
      </w:r>
      <w:r w:rsidRPr="007F3CC7">
        <w:rPr>
          <w:rFonts w:cs="Calibri" w:hint="eastAsia"/>
          <w:szCs w:val="24"/>
          <w:lang w:eastAsia="zh-CN"/>
        </w:rPr>
        <w:t>，指出在公共和私</w:t>
      </w:r>
      <w:r w:rsidR="00C70727" w:rsidRPr="007F3CC7">
        <w:rPr>
          <w:rFonts w:cs="Calibri" w:hint="eastAsia"/>
          <w:szCs w:val="24"/>
          <w:lang w:eastAsia="zh-CN"/>
        </w:rPr>
        <w:t>营部门</w:t>
      </w:r>
      <w:r w:rsidRPr="007F3CC7">
        <w:rPr>
          <w:rFonts w:cs="Calibri" w:hint="eastAsia"/>
          <w:szCs w:val="24"/>
          <w:lang w:eastAsia="zh-CN"/>
        </w:rPr>
        <w:t>政策以及紧急措施层面，乌克兰电信</w:t>
      </w:r>
      <w:r w:rsidR="00C70727" w:rsidRPr="007F3CC7">
        <w:rPr>
          <w:rFonts w:cs="Calibri" w:hint="eastAsia"/>
          <w:szCs w:val="24"/>
          <w:lang w:eastAsia="zh-CN"/>
        </w:rPr>
        <w:t>业</w:t>
      </w:r>
      <w:r w:rsidRPr="007F3CC7">
        <w:rPr>
          <w:rFonts w:cs="Calibri" w:hint="eastAsia"/>
          <w:szCs w:val="24"/>
          <w:lang w:eastAsia="zh-CN"/>
        </w:rPr>
        <w:t>已证明</w:t>
      </w:r>
      <w:r w:rsidR="00C70727" w:rsidRPr="007F3CC7">
        <w:rPr>
          <w:rFonts w:cs="Calibri" w:hint="eastAsia"/>
          <w:szCs w:val="24"/>
          <w:lang w:eastAsia="zh-CN"/>
        </w:rPr>
        <w:t>了其</w:t>
      </w:r>
      <w:r w:rsidR="001A5DDF">
        <w:rPr>
          <w:rFonts w:cs="Calibri" w:hint="eastAsia"/>
          <w:szCs w:val="24"/>
          <w:lang w:eastAsia="zh-CN"/>
        </w:rPr>
        <w:t>具备</w:t>
      </w:r>
      <w:r w:rsidR="00C70727" w:rsidRPr="007F3CC7">
        <w:rPr>
          <w:rFonts w:cs="Calibri" w:hint="eastAsia"/>
          <w:szCs w:val="24"/>
          <w:lang w:eastAsia="zh-CN"/>
        </w:rPr>
        <w:t>复原力</w:t>
      </w:r>
      <w:r w:rsidRPr="007F3CC7">
        <w:rPr>
          <w:rFonts w:cs="Calibri" w:hint="eastAsia"/>
          <w:szCs w:val="24"/>
          <w:lang w:eastAsia="zh-CN"/>
        </w:rPr>
        <w:t>，但是</w:t>
      </w:r>
      <w:r w:rsidR="00C70727" w:rsidRPr="007F3CC7">
        <w:rPr>
          <w:rFonts w:cs="Calibri" w:hint="eastAsia"/>
          <w:szCs w:val="24"/>
          <w:lang w:eastAsia="zh-CN"/>
        </w:rPr>
        <w:t>：</w:t>
      </w:r>
    </w:p>
    <w:p w14:paraId="4A014C0C" w14:textId="46BC1AB8" w:rsidR="00C70727" w:rsidRPr="007F3CC7" w:rsidRDefault="000A21B8" w:rsidP="000A21B8">
      <w:pPr>
        <w:pStyle w:val="enumlev1"/>
        <w:rPr>
          <w:lang w:eastAsia="zh-CN"/>
        </w:rPr>
      </w:pPr>
      <w:r w:rsidRPr="000A21B8">
        <w:rPr>
          <w:lang w:eastAsia="zh-CN"/>
        </w:rPr>
        <w:t>•</w:t>
      </w:r>
      <w:r>
        <w:rPr>
          <w:lang w:eastAsia="zh-CN"/>
        </w:rPr>
        <w:tab/>
      </w:r>
      <w:r w:rsidR="00C70727" w:rsidRPr="007F3CC7">
        <w:rPr>
          <w:rFonts w:hint="eastAsia"/>
          <w:lang w:eastAsia="zh-CN"/>
        </w:rPr>
        <w:t>运营商的</w:t>
      </w:r>
      <w:r w:rsidR="001A5DDF">
        <w:rPr>
          <w:rFonts w:hint="eastAsia"/>
          <w:lang w:eastAsia="zh-CN"/>
        </w:rPr>
        <w:t>信息通信技术（</w:t>
      </w:r>
      <w:r w:rsidR="00C70727" w:rsidRPr="007F3CC7">
        <w:rPr>
          <w:rFonts w:hint="eastAsia"/>
          <w:lang w:eastAsia="zh-CN"/>
        </w:rPr>
        <w:t>I</w:t>
      </w:r>
      <w:r w:rsidR="00C70727" w:rsidRPr="007F3CC7">
        <w:rPr>
          <w:lang w:eastAsia="zh-CN"/>
        </w:rPr>
        <w:t>CT</w:t>
      </w:r>
      <w:r w:rsidR="001A5DDF">
        <w:rPr>
          <w:rFonts w:hint="eastAsia"/>
          <w:lang w:eastAsia="zh-CN"/>
        </w:rPr>
        <w:t>）</w:t>
      </w:r>
      <w:r w:rsidR="00C70727" w:rsidRPr="007F3CC7">
        <w:rPr>
          <w:rFonts w:hint="eastAsia"/>
          <w:lang w:eastAsia="zh-CN"/>
        </w:rPr>
        <w:t>网络部分</w:t>
      </w:r>
      <w:r w:rsidR="001A5DDF" w:rsidRPr="007F3CC7">
        <w:rPr>
          <w:rFonts w:hint="eastAsia"/>
          <w:lang w:eastAsia="zh-CN"/>
        </w:rPr>
        <w:t>遭</w:t>
      </w:r>
      <w:r w:rsidR="001A5DDF">
        <w:rPr>
          <w:rFonts w:hint="eastAsia"/>
          <w:lang w:eastAsia="zh-CN"/>
        </w:rPr>
        <w:t>到</w:t>
      </w:r>
      <w:r w:rsidR="00C70727" w:rsidRPr="007F3CC7">
        <w:rPr>
          <w:rFonts w:hint="eastAsia"/>
          <w:lang w:eastAsia="zh-CN"/>
        </w:rPr>
        <w:t>破坏，有些情况下甚至被完全破坏或占用；</w:t>
      </w:r>
    </w:p>
    <w:p w14:paraId="2ECF4307" w14:textId="345F49C6" w:rsidR="00C70727" w:rsidRPr="007F3CC7" w:rsidRDefault="000A21B8" w:rsidP="000A21B8">
      <w:pPr>
        <w:pStyle w:val="enumlev1"/>
        <w:rPr>
          <w:lang w:eastAsia="zh-CN"/>
        </w:rPr>
      </w:pPr>
      <w:r w:rsidRPr="000A21B8">
        <w:rPr>
          <w:lang w:eastAsia="zh-CN"/>
        </w:rPr>
        <w:t>•</w:t>
      </w:r>
      <w:r>
        <w:rPr>
          <w:lang w:eastAsia="zh-CN"/>
        </w:rPr>
        <w:tab/>
      </w:r>
      <w:r w:rsidR="00C70727" w:rsidRPr="007F3CC7">
        <w:rPr>
          <w:rFonts w:hint="eastAsia"/>
          <w:lang w:eastAsia="zh-CN"/>
        </w:rPr>
        <w:t>在这六个月的战争期间，共报告了</w:t>
      </w:r>
      <w:r w:rsidR="00C70727" w:rsidRPr="007F3CC7">
        <w:rPr>
          <w:rFonts w:hint="eastAsia"/>
          <w:lang w:eastAsia="zh-CN"/>
        </w:rPr>
        <w:t>1123</w:t>
      </w:r>
      <w:r w:rsidR="00C70727" w:rsidRPr="007F3CC7">
        <w:rPr>
          <w:rFonts w:hint="eastAsia"/>
          <w:lang w:eastAsia="zh-CN"/>
        </w:rPr>
        <w:t>次网络攻击，攻击目标</w:t>
      </w:r>
      <w:r w:rsidR="001A5DDF">
        <w:rPr>
          <w:rFonts w:hint="eastAsia"/>
          <w:lang w:eastAsia="zh-CN"/>
        </w:rPr>
        <w:t>针对</w:t>
      </w:r>
      <w:r w:rsidR="00C70727" w:rsidRPr="007F3CC7">
        <w:rPr>
          <w:rFonts w:hint="eastAsia"/>
          <w:lang w:eastAsia="zh-CN"/>
        </w:rPr>
        <w:t>包括信息技术和电信部门在内的所有乌克兰经济部门；</w:t>
      </w:r>
    </w:p>
    <w:p w14:paraId="604B25C7" w14:textId="469E0EAA" w:rsidR="00C70727" w:rsidRPr="007F3CC7" w:rsidRDefault="000A21B8" w:rsidP="000A21B8">
      <w:pPr>
        <w:pStyle w:val="enumlev1"/>
        <w:rPr>
          <w:lang w:eastAsia="zh-CN"/>
        </w:rPr>
      </w:pPr>
      <w:r w:rsidRPr="000A21B8">
        <w:rPr>
          <w:lang w:eastAsia="zh-CN"/>
        </w:rPr>
        <w:t>•</w:t>
      </w:r>
      <w:r>
        <w:rPr>
          <w:lang w:eastAsia="zh-CN"/>
        </w:rPr>
        <w:tab/>
      </w:r>
      <w:r w:rsidR="00C70727" w:rsidRPr="007F3CC7">
        <w:rPr>
          <w:rFonts w:hint="eastAsia"/>
          <w:lang w:eastAsia="zh-CN"/>
        </w:rPr>
        <w:t>截至</w:t>
      </w:r>
      <w:r w:rsidR="00C70727" w:rsidRPr="007F3CC7">
        <w:rPr>
          <w:rFonts w:hint="eastAsia"/>
          <w:lang w:eastAsia="zh-CN"/>
        </w:rPr>
        <w:t>2022</w:t>
      </w:r>
      <w:r w:rsidR="00C70727" w:rsidRPr="007F3CC7">
        <w:rPr>
          <w:rFonts w:hint="eastAsia"/>
          <w:lang w:eastAsia="zh-CN"/>
        </w:rPr>
        <w:t>年</w:t>
      </w:r>
      <w:r w:rsidR="00C70727" w:rsidRPr="007F3CC7">
        <w:rPr>
          <w:rFonts w:hint="eastAsia"/>
          <w:lang w:eastAsia="zh-CN"/>
        </w:rPr>
        <w:t>7</w:t>
      </w:r>
      <w:r w:rsidR="00C70727" w:rsidRPr="007F3CC7">
        <w:rPr>
          <w:rFonts w:hint="eastAsia"/>
          <w:lang w:eastAsia="zh-CN"/>
        </w:rPr>
        <w:t>月，</w:t>
      </w:r>
      <w:r w:rsidR="00C70727" w:rsidRPr="007F3CC7">
        <w:rPr>
          <w:rFonts w:hint="eastAsia"/>
          <w:lang w:eastAsia="zh-CN"/>
        </w:rPr>
        <w:t>12.2%</w:t>
      </w:r>
      <w:r w:rsidR="00C70727" w:rsidRPr="007F3CC7">
        <w:rPr>
          <w:rFonts w:hint="eastAsia"/>
          <w:lang w:eastAsia="zh-CN"/>
        </w:rPr>
        <w:t>的家庭无法获得移动通信服务（</w:t>
      </w:r>
      <w:r w:rsidR="00C70727" w:rsidRPr="007F3CC7">
        <w:rPr>
          <w:rFonts w:hint="eastAsia"/>
          <w:lang w:eastAsia="zh-CN"/>
        </w:rPr>
        <w:t>3.1%</w:t>
      </w:r>
      <w:r w:rsidR="00C70727" w:rsidRPr="007F3CC7">
        <w:rPr>
          <w:rFonts w:hint="eastAsia"/>
          <w:lang w:eastAsia="zh-CN"/>
        </w:rPr>
        <w:t>的家庭无法获得部分通信服务），</w:t>
      </w:r>
      <w:r w:rsidR="00C70727" w:rsidRPr="007F3CC7">
        <w:rPr>
          <w:rFonts w:hint="eastAsia"/>
          <w:lang w:eastAsia="zh-CN"/>
        </w:rPr>
        <w:t>11%</w:t>
      </w:r>
      <w:r w:rsidR="00C70727" w:rsidRPr="007F3CC7">
        <w:rPr>
          <w:rFonts w:hint="eastAsia"/>
          <w:lang w:eastAsia="zh-CN"/>
        </w:rPr>
        <w:t>的移动运营商基站停止服务，</w:t>
      </w:r>
      <w:r w:rsidR="00C70727" w:rsidRPr="007F3CC7">
        <w:rPr>
          <w:rFonts w:hint="eastAsia"/>
          <w:lang w:eastAsia="zh-CN"/>
        </w:rPr>
        <w:t>20%</w:t>
      </w:r>
      <w:r w:rsidR="00C70727" w:rsidRPr="007F3CC7">
        <w:rPr>
          <w:rFonts w:hint="eastAsia"/>
          <w:lang w:eastAsia="zh-CN"/>
        </w:rPr>
        <w:t>的电信基础设施被损坏或摧毁；</w:t>
      </w:r>
    </w:p>
    <w:p w14:paraId="3DF53303" w14:textId="38A57284" w:rsidR="00C70727" w:rsidRPr="007F3CC7" w:rsidRDefault="000A21B8" w:rsidP="000A21B8">
      <w:pPr>
        <w:pStyle w:val="enumlev1"/>
        <w:rPr>
          <w:lang w:eastAsia="zh-CN"/>
        </w:rPr>
      </w:pPr>
      <w:r w:rsidRPr="000A21B8">
        <w:rPr>
          <w:lang w:eastAsia="zh-CN"/>
        </w:rPr>
        <w:t>•</w:t>
      </w:r>
      <w:r>
        <w:rPr>
          <w:lang w:eastAsia="zh-CN"/>
        </w:rPr>
        <w:tab/>
      </w:r>
      <w:r w:rsidR="00C70727" w:rsidRPr="007F3CC7">
        <w:rPr>
          <w:rFonts w:hint="eastAsia"/>
          <w:lang w:eastAsia="zh-CN"/>
        </w:rPr>
        <w:t>电信部门的经济损失估计超过</w:t>
      </w:r>
      <w:r w:rsidR="00C70727" w:rsidRPr="007F3CC7">
        <w:rPr>
          <w:rFonts w:hint="eastAsia"/>
          <w:lang w:eastAsia="zh-CN"/>
        </w:rPr>
        <w:t>1</w:t>
      </w:r>
      <w:r w:rsidR="00C70727" w:rsidRPr="007F3CC7">
        <w:rPr>
          <w:rFonts w:hint="eastAsia"/>
          <w:lang w:eastAsia="zh-CN"/>
        </w:rPr>
        <w:t>亿美元；</w:t>
      </w:r>
    </w:p>
    <w:p w14:paraId="02B2CD44" w14:textId="291BF688" w:rsidR="00C70727" w:rsidRPr="007F3CC7" w:rsidRDefault="000A21B8" w:rsidP="000A21B8">
      <w:pPr>
        <w:pStyle w:val="enumlev1"/>
        <w:rPr>
          <w:lang w:eastAsia="zh-CN"/>
        </w:rPr>
      </w:pPr>
      <w:r w:rsidRPr="000A21B8">
        <w:rPr>
          <w:lang w:eastAsia="zh-CN"/>
        </w:rPr>
        <w:t>•</w:t>
      </w:r>
      <w:r>
        <w:rPr>
          <w:lang w:eastAsia="zh-CN"/>
        </w:rPr>
        <w:tab/>
      </w:r>
      <w:r w:rsidR="00C70727" w:rsidRPr="007F3CC7">
        <w:rPr>
          <w:rFonts w:hint="eastAsia"/>
          <w:lang w:eastAsia="zh-CN"/>
        </w:rPr>
        <w:t>电信公司提供的服务减少了</w:t>
      </w:r>
      <w:r w:rsidR="00C70727" w:rsidRPr="007F3CC7">
        <w:rPr>
          <w:rFonts w:hint="eastAsia"/>
          <w:lang w:eastAsia="zh-CN"/>
        </w:rPr>
        <w:t>22%</w:t>
      </w:r>
      <w:r w:rsidR="00C70727" w:rsidRPr="007F3CC7">
        <w:rPr>
          <w:rFonts w:hint="eastAsia"/>
          <w:lang w:eastAsia="zh-CN"/>
        </w:rPr>
        <w:t>，导致收入和收益下降；</w:t>
      </w:r>
    </w:p>
    <w:p w14:paraId="69057DBA" w14:textId="778CA3FD" w:rsidR="00C70727" w:rsidRPr="007F3CC7" w:rsidRDefault="000A21B8" w:rsidP="000A21B8">
      <w:pPr>
        <w:pStyle w:val="enumlev1"/>
        <w:rPr>
          <w:lang w:eastAsia="zh-CN"/>
        </w:rPr>
      </w:pPr>
      <w:r w:rsidRPr="000A21B8">
        <w:rPr>
          <w:lang w:eastAsia="zh-CN"/>
        </w:rPr>
        <w:t>•</w:t>
      </w:r>
      <w:r>
        <w:rPr>
          <w:lang w:eastAsia="zh-CN"/>
        </w:rPr>
        <w:tab/>
      </w:r>
      <w:r w:rsidR="00C70727" w:rsidRPr="007F3CC7">
        <w:rPr>
          <w:rFonts w:hint="eastAsia"/>
          <w:lang w:eastAsia="zh-CN"/>
        </w:rPr>
        <w:t>电信业复原需要</w:t>
      </w:r>
      <w:r w:rsidR="00C70727" w:rsidRPr="007F3CC7">
        <w:rPr>
          <w:rFonts w:hint="eastAsia"/>
          <w:lang w:eastAsia="zh-CN"/>
        </w:rPr>
        <w:t>17.9</w:t>
      </w:r>
      <w:r w:rsidR="00C70727" w:rsidRPr="007F3CC7">
        <w:rPr>
          <w:rFonts w:hint="eastAsia"/>
          <w:lang w:eastAsia="zh-CN"/>
        </w:rPr>
        <w:t>亿美元。</w:t>
      </w:r>
    </w:p>
    <w:p w14:paraId="58415B6A" w14:textId="33C1EA4C" w:rsidR="003832D8" w:rsidRPr="007F3CC7" w:rsidRDefault="003832D8" w:rsidP="003832D8">
      <w:pPr>
        <w:spacing w:before="240" w:after="120"/>
        <w:jc w:val="both"/>
        <w:rPr>
          <w:lang w:eastAsia="zh-CN"/>
        </w:rPr>
      </w:pPr>
      <w:bookmarkStart w:id="11" w:name="lt_pId037"/>
      <w:r w:rsidRPr="007F3CC7">
        <w:rPr>
          <w:b/>
          <w:lang w:eastAsia="zh-CN"/>
        </w:rPr>
        <w:t>B</w:t>
      </w:r>
      <w:bookmarkStart w:id="12" w:name="lt_pId039"/>
      <w:bookmarkEnd w:id="11"/>
      <w:r w:rsidR="000A21B8">
        <w:rPr>
          <w:b/>
          <w:lang w:eastAsia="zh-CN"/>
        </w:rPr>
        <w:tab/>
      </w:r>
      <w:r w:rsidRPr="007F3CC7">
        <w:rPr>
          <w:rFonts w:hint="eastAsia"/>
          <w:lang w:eastAsia="zh-CN"/>
        </w:rPr>
        <w:t>国际电联正在与联合国驻地协调员办公室以及联合国欧洲和中亚数字化转型组的全体成员密切协作，</w:t>
      </w:r>
      <w:r w:rsidR="005B7F56">
        <w:rPr>
          <w:rFonts w:hint="eastAsia"/>
          <w:lang w:eastAsia="zh-CN"/>
        </w:rPr>
        <w:t>起草</w:t>
      </w:r>
      <w:r w:rsidRPr="007F3CC7">
        <w:rPr>
          <w:rFonts w:hint="eastAsia"/>
          <w:b/>
          <w:bCs/>
          <w:lang w:eastAsia="zh-CN"/>
        </w:rPr>
        <w:t>乌克兰国家数字化发展概况</w:t>
      </w:r>
      <w:r w:rsidRPr="007F3CC7">
        <w:rPr>
          <w:rFonts w:hint="eastAsia"/>
          <w:lang w:eastAsia="zh-CN"/>
        </w:rPr>
        <w:t>。</w:t>
      </w:r>
      <w:bookmarkEnd w:id="12"/>
      <w:r w:rsidR="00E84831" w:rsidRPr="007F3CC7">
        <w:rPr>
          <w:rFonts w:hint="eastAsia"/>
          <w:lang w:eastAsia="zh-CN"/>
        </w:rPr>
        <w:t>此文件是向</w:t>
      </w:r>
      <w:r w:rsidR="005B7F56">
        <w:rPr>
          <w:rFonts w:hint="eastAsia"/>
          <w:lang w:eastAsia="zh-CN"/>
        </w:rPr>
        <w:t>“</w:t>
      </w:r>
      <w:r w:rsidR="00E84831" w:rsidRPr="007F3CC7">
        <w:rPr>
          <w:rFonts w:hint="eastAsia"/>
          <w:lang w:eastAsia="zh-CN"/>
        </w:rPr>
        <w:t>联合国共同国家分析和临时可持续发展框架</w:t>
      </w:r>
      <w:r w:rsidR="005B7F56">
        <w:rPr>
          <w:rFonts w:hint="eastAsia"/>
          <w:lang w:eastAsia="zh-CN"/>
        </w:rPr>
        <w:t>”</w:t>
      </w:r>
      <w:r w:rsidR="00E84831" w:rsidRPr="007F3CC7">
        <w:rPr>
          <w:rFonts w:hint="eastAsia"/>
          <w:lang w:eastAsia="zh-CN"/>
        </w:rPr>
        <w:t>（</w:t>
      </w:r>
      <w:r w:rsidR="00E84831" w:rsidRPr="007F3CC7">
        <w:rPr>
          <w:rFonts w:hint="eastAsia"/>
          <w:lang w:eastAsia="zh-CN"/>
        </w:rPr>
        <w:t>2023-2024</w:t>
      </w:r>
      <w:r w:rsidR="00E84831" w:rsidRPr="007F3CC7">
        <w:rPr>
          <w:rFonts w:hint="eastAsia"/>
          <w:lang w:eastAsia="zh-CN"/>
        </w:rPr>
        <w:t>年）提交的输入文稿。</w:t>
      </w:r>
    </w:p>
    <w:p w14:paraId="6DBC8A92" w14:textId="045836F6" w:rsidR="00E84831" w:rsidRPr="007F3CC7" w:rsidRDefault="005B7F56" w:rsidP="000A21B8">
      <w:pPr>
        <w:spacing w:before="240" w:after="120"/>
        <w:ind w:firstLineChars="200" w:firstLine="480"/>
        <w:jc w:val="both"/>
        <w:rPr>
          <w:lang w:eastAsia="zh-CN"/>
        </w:rPr>
      </w:pPr>
      <w:r>
        <w:rPr>
          <w:rFonts w:hint="eastAsia"/>
          <w:lang w:eastAsia="zh-CN"/>
        </w:rPr>
        <w:t>这份</w:t>
      </w:r>
      <w:r w:rsidR="00E84831" w:rsidRPr="007F3CC7">
        <w:rPr>
          <w:rFonts w:hint="eastAsia"/>
          <w:lang w:eastAsia="zh-CN"/>
        </w:rPr>
        <w:t>报告采用数字化转型机构的方法，对乌克兰的数字复原力做出诊断，其对象包括接入、采用和价值创造。针对各部分的诊断均分析了战争造成的影响。</w:t>
      </w:r>
    </w:p>
    <w:p w14:paraId="03B5E179" w14:textId="6BF4D35D" w:rsidR="00E84831" w:rsidRPr="007F3CC7" w:rsidRDefault="00E84831" w:rsidP="00E84831">
      <w:pPr>
        <w:spacing w:before="240" w:after="120"/>
        <w:jc w:val="both"/>
        <w:rPr>
          <w:lang w:eastAsia="zh-CN"/>
        </w:rPr>
      </w:pPr>
      <w:r w:rsidRPr="007F3CC7">
        <w:rPr>
          <w:b/>
          <w:bCs/>
          <w:lang w:eastAsia="zh-CN"/>
        </w:rPr>
        <w:lastRenderedPageBreak/>
        <w:t>C</w:t>
      </w:r>
      <w:r w:rsidR="000A21B8">
        <w:rPr>
          <w:b/>
          <w:bCs/>
          <w:lang w:eastAsia="zh-CN"/>
        </w:rPr>
        <w:tab/>
      </w:r>
      <w:r w:rsidRPr="007F3CC7">
        <w:rPr>
          <w:rFonts w:hint="eastAsia"/>
          <w:lang w:eastAsia="zh-CN"/>
        </w:rPr>
        <w:t>国际电联加入了由联合国、世界银行和欧盟委员会牵头的联盟，定期开展</w:t>
      </w:r>
      <w:r w:rsidRPr="007F3CC7">
        <w:rPr>
          <w:rFonts w:hint="eastAsia"/>
          <w:b/>
          <w:bCs/>
          <w:lang w:eastAsia="zh-CN"/>
        </w:rPr>
        <w:t>损害和需求快速评估</w:t>
      </w:r>
      <w:r w:rsidRPr="007F3CC7">
        <w:rPr>
          <w:rFonts w:hint="eastAsia"/>
          <w:lang w:eastAsia="zh-CN"/>
        </w:rPr>
        <w:t>，并为</w:t>
      </w:r>
      <w:r w:rsidRPr="007F3CC7">
        <w:rPr>
          <w:rFonts w:hint="eastAsia"/>
          <w:lang w:eastAsia="zh-CN"/>
        </w:rPr>
        <w:t>2023</w:t>
      </w:r>
      <w:r w:rsidRPr="007F3CC7">
        <w:rPr>
          <w:rFonts w:hint="eastAsia"/>
          <w:lang w:eastAsia="zh-CN"/>
        </w:rPr>
        <w:t>年</w:t>
      </w:r>
      <w:r w:rsidRPr="007F3CC7">
        <w:rPr>
          <w:rFonts w:hint="eastAsia"/>
          <w:lang w:eastAsia="zh-CN"/>
        </w:rPr>
        <w:t>3</w:t>
      </w:r>
      <w:r w:rsidRPr="007F3CC7">
        <w:rPr>
          <w:rFonts w:hint="eastAsia"/>
          <w:lang w:eastAsia="zh-CN"/>
        </w:rPr>
        <w:t>月</w:t>
      </w:r>
      <w:r w:rsidR="00F21122" w:rsidRPr="007F3CC7">
        <w:rPr>
          <w:rStyle w:val="FootnoteReference"/>
          <w:szCs w:val="18"/>
          <w:vertAlign w:val="superscript"/>
        </w:rPr>
        <w:footnoteReference w:id="2"/>
      </w:r>
      <w:r w:rsidRPr="007F3CC7">
        <w:rPr>
          <w:rFonts w:hint="eastAsia"/>
          <w:lang w:eastAsia="zh-CN"/>
        </w:rPr>
        <w:t>发布的第</w:t>
      </w:r>
      <w:r w:rsidRPr="007F3CC7">
        <w:rPr>
          <w:rFonts w:hint="eastAsia"/>
          <w:lang w:eastAsia="zh-CN"/>
        </w:rPr>
        <w:t>2</w:t>
      </w:r>
      <w:r w:rsidRPr="007F3CC7">
        <w:rPr>
          <w:rFonts w:hint="eastAsia"/>
          <w:lang w:eastAsia="zh-CN"/>
        </w:rPr>
        <w:t>版报告提供了输入内容。下文概述了损害、损失和需求情况</w:t>
      </w:r>
      <w:r w:rsidR="00F21122" w:rsidRPr="007F3CC7">
        <w:rPr>
          <w:rFonts w:hint="eastAsia"/>
          <w:lang w:eastAsia="zh-CN"/>
        </w:rPr>
        <w:t>：</w:t>
      </w:r>
    </w:p>
    <w:p w14:paraId="31BE3998" w14:textId="2A5D96B0" w:rsidR="00F21122" w:rsidRPr="007F3CC7" w:rsidRDefault="000A21B8" w:rsidP="000A21B8">
      <w:pPr>
        <w:pStyle w:val="enumlev1"/>
        <w:rPr>
          <w:lang w:eastAsia="zh-CN"/>
        </w:rPr>
      </w:pPr>
      <w:r w:rsidRPr="000A21B8">
        <w:rPr>
          <w:rFonts w:cs="Arial"/>
          <w:lang w:eastAsia="zh-CN"/>
        </w:rPr>
        <w:t>•</w:t>
      </w:r>
      <w:r>
        <w:rPr>
          <w:rFonts w:cs="Arial"/>
          <w:lang w:eastAsia="zh-CN"/>
        </w:rPr>
        <w:tab/>
      </w:r>
      <w:r w:rsidR="00F21122" w:rsidRPr="007F3CC7">
        <w:rPr>
          <w:rFonts w:hint="eastAsia"/>
          <w:lang w:eastAsia="zh-CN"/>
        </w:rPr>
        <w:t>RDNA2</w:t>
      </w:r>
      <w:r w:rsidR="00F21122" w:rsidRPr="007F3CC7">
        <w:rPr>
          <w:rFonts w:hint="eastAsia"/>
          <w:lang w:eastAsia="zh-CN"/>
        </w:rPr>
        <w:t>涵盖的各行业总损失估计约为</w:t>
      </w:r>
      <w:r w:rsidR="00F21122" w:rsidRPr="007F3CC7">
        <w:rPr>
          <w:rFonts w:hint="eastAsia"/>
          <w:lang w:eastAsia="zh-CN"/>
        </w:rPr>
        <w:t>1</w:t>
      </w:r>
      <w:r w:rsidR="00F21122" w:rsidRPr="007F3CC7">
        <w:rPr>
          <w:lang w:eastAsia="zh-CN"/>
        </w:rPr>
        <w:t xml:space="preserve"> </w:t>
      </w:r>
      <w:r w:rsidR="00F21122" w:rsidRPr="007F3CC7">
        <w:rPr>
          <w:rFonts w:hint="eastAsia"/>
          <w:lang w:eastAsia="zh-CN"/>
        </w:rPr>
        <w:t>350</w:t>
      </w:r>
      <w:r w:rsidR="00F21122" w:rsidRPr="007F3CC7">
        <w:rPr>
          <w:rFonts w:hint="eastAsia"/>
          <w:lang w:eastAsia="zh-CN"/>
        </w:rPr>
        <w:t>亿美元；</w:t>
      </w:r>
    </w:p>
    <w:p w14:paraId="69B437B6" w14:textId="636ABA2C" w:rsidR="00F21122" w:rsidRPr="007F3CC7" w:rsidRDefault="000A21B8" w:rsidP="000A21B8">
      <w:pPr>
        <w:pStyle w:val="enumlev1"/>
        <w:rPr>
          <w:lang w:eastAsia="zh-CN"/>
        </w:rPr>
      </w:pPr>
      <w:r w:rsidRPr="000A21B8">
        <w:rPr>
          <w:rFonts w:cs="Arial"/>
          <w:lang w:eastAsia="zh-CN"/>
        </w:rPr>
        <w:t>•</w:t>
      </w:r>
      <w:r>
        <w:rPr>
          <w:rFonts w:cs="Arial"/>
          <w:lang w:eastAsia="zh-CN"/>
        </w:rPr>
        <w:tab/>
      </w:r>
      <w:r w:rsidR="00F21122" w:rsidRPr="007F3CC7">
        <w:rPr>
          <w:rFonts w:hint="eastAsia"/>
          <w:lang w:eastAsia="zh-CN"/>
        </w:rPr>
        <w:t>经济、社会和其他货币损失总计近</w:t>
      </w:r>
      <w:r w:rsidR="00F21122" w:rsidRPr="007F3CC7">
        <w:rPr>
          <w:rFonts w:hint="eastAsia"/>
          <w:lang w:eastAsia="zh-CN"/>
        </w:rPr>
        <w:t>2</w:t>
      </w:r>
      <w:r w:rsidR="00F21122" w:rsidRPr="007F3CC7">
        <w:rPr>
          <w:lang w:eastAsia="zh-CN"/>
        </w:rPr>
        <w:t xml:space="preserve"> </w:t>
      </w:r>
      <w:r w:rsidR="00F21122" w:rsidRPr="007F3CC7">
        <w:rPr>
          <w:rFonts w:hint="eastAsia"/>
          <w:lang w:eastAsia="zh-CN"/>
        </w:rPr>
        <w:t>900</w:t>
      </w:r>
      <w:r w:rsidR="00F21122" w:rsidRPr="007F3CC7">
        <w:rPr>
          <w:rFonts w:hint="eastAsia"/>
          <w:lang w:eastAsia="zh-CN"/>
        </w:rPr>
        <w:t>亿美元；</w:t>
      </w:r>
    </w:p>
    <w:p w14:paraId="41CA2380" w14:textId="10751AD4" w:rsidR="00F21122" w:rsidRPr="007F3CC7" w:rsidRDefault="000A21B8" w:rsidP="000A21B8">
      <w:pPr>
        <w:pStyle w:val="enumlev1"/>
        <w:rPr>
          <w:lang w:eastAsia="zh-CN"/>
        </w:rPr>
      </w:pPr>
      <w:r w:rsidRPr="000A21B8">
        <w:rPr>
          <w:rFonts w:cs="Arial"/>
          <w:lang w:eastAsia="zh-CN"/>
        </w:rPr>
        <w:t>•</w:t>
      </w:r>
      <w:r>
        <w:rPr>
          <w:rFonts w:cs="Arial"/>
          <w:lang w:eastAsia="zh-CN"/>
        </w:rPr>
        <w:tab/>
      </w:r>
      <w:r w:rsidR="00F21122" w:rsidRPr="007F3CC7">
        <w:rPr>
          <w:rFonts w:hint="eastAsia"/>
          <w:lang w:eastAsia="zh-CN"/>
        </w:rPr>
        <w:t>重建和恢复的总需求估计约为</w:t>
      </w:r>
      <w:r w:rsidR="00F21122" w:rsidRPr="007F3CC7">
        <w:rPr>
          <w:rFonts w:hint="eastAsia"/>
          <w:lang w:eastAsia="zh-CN"/>
        </w:rPr>
        <w:t>4</w:t>
      </w:r>
      <w:r w:rsidR="00F21122" w:rsidRPr="007F3CC7">
        <w:rPr>
          <w:lang w:eastAsia="zh-CN"/>
        </w:rPr>
        <w:t xml:space="preserve"> </w:t>
      </w:r>
      <w:r w:rsidR="00F21122" w:rsidRPr="007F3CC7">
        <w:rPr>
          <w:rFonts w:hint="eastAsia"/>
          <w:lang w:eastAsia="zh-CN"/>
        </w:rPr>
        <w:t>110</w:t>
      </w:r>
      <w:r w:rsidR="00F21122" w:rsidRPr="007F3CC7">
        <w:rPr>
          <w:rFonts w:hint="eastAsia"/>
          <w:lang w:eastAsia="zh-CN"/>
        </w:rPr>
        <w:t>亿美元；</w:t>
      </w:r>
    </w:p>
    <w:p w14:paraId="641D90EB" w14:textId="7792FF9E" w:rsidR="00F21122" w:rsidRPr="007F3CC7" w:rsidRDefault="000A21B8" w:rsidP="000A21B8">
      <w:pPr>
        <w:pStyle w:val="enumlev1"/>
        <w:rPr>
          <w:lang w:eastAsia="zh-CN"/>
        </w:rPr>
      </w:pPr>
      <w:r w:rsidRPr="000A21B8">
        <w:rPr>
          <w:rFonts w:cs="Arial"/>
          <w:lang w:eastAsia="zh-CN"/>
        </w:rPr>
        <w:t>•</w:t>
      </w:r>
      <w:r>
        <w:rPr>
          <w:rFonts w:cs="Arial"/>
          <w:lang w:eastAsia="zh-CN"/>
        </w:rPr>
        <w:tab/>
      </w:r>
      <w:r w:rsidR="00F21122" w:rsidRPr="007F3CC7">
        <w:rPr>
          <w:rFonts w:hint="eastAsia"/>
          <w:lang w:eastAsia="zh-CN"/>
        </w:rPr>
        <w:t>高优先</w:t>
      </w:r>
      <w:r w:rsidR="00D7031E">
        <w:rPr>
          <w:rFonts w:hint="eastAsia"/>
          <w:lang w:eastAsia="zh-CN"/>
        </w:rPr>
        <w:t>级</w:t>
      </w:r>
      <w:r w:rsidR="00F21122" w:rsidRPr="007F3CC7">
        <w:rPr>
          <w:rFonts w:hint="eastAsia"/>
          <w:lang w:eastAsia="zh-CN"/>
        </w:rPr>
        <w:t>的短期</w:t>
      </w:r>
      <w:r w:rsidR="00F21122" w:rsidRPr="007F3CC7">
        <w:rPr>
          <w:rFonts w:hint="eastAsia"/>
          <w:lang w:eastAsia="zh-CN"/>
        </w:rPr>
        <w:t>ICT</w:t>
      </w:r>
      <w:r w:rsidR="00F21122" w:rsidRPr="007F3CC7">
        <w:rPr>
          <w:rFonts w:hint="eastAsia"/>
          <w:lang w:eastAsia="zh-CN"/>
        </w:rPr>
        <w:t>行业恢复需要</w:t>
      </w:r>
      <w:r w:rsidR="00F21122" w:rsidRPr="007F3CC7">
        <w:rPr>
          <w:rFonts w:hint="eastAsia"/>
          <w:lang w:eastAsia="zh-CN"/>
        </w:rPr>
        <w:t>31</w:t>
      </w:r>
      <w:r w:rsidR="00F21122" w:rsidRPr="007F3CC7">
        <w:rPr>
          <w:rFonts w:hint="eastAsia"/>
          <w:lang w:eastAsia="zh-CN"/>
        </w:rPr>
        <w:t>亿美元；其中</w:t>
      </w:r>
      <w:r w:rsidR="00F21122" w:rsidRPr="007F3CC7">
        <w:rPr>
          <w:rFonts w:hint="eastAsia"/>
          <w:lang w:eastAsia="zh-CN"/>
        </w:rPr>
        <w:t>18</w:t>
      </w:r>
      <w:r w:rsidR="00F21122" w:rsidRPr="007F3CC7">
        <w:rPr>
          <w:rFonts w:hint="eastAsia"/>
          <w:lang w:eastAsia="zh-CN"/>
        </w:rPr>
        <w:t>亿美元用于满足重建需求，</w:t>
      </w:r>
      <w:r w:rsidR="00F21122" w:rsidRPr="007F3CC7">
        <w:rPr>
          <w:rFonts w:hint="eastAsia"/>
          <w:lang w:eastAsia="zh-CN"/>
        </w:rPr>
        <w:t>13</w:t>
      </w:r>
      <w:r w:rsidR="00F21122" w:rsidRPr="007F3CC7">
        <w:rPr>
          <w:rFonts w:hint="eastAsia"/>
          <w:lang w:eastAsia="zh-CN"/>
        </w:rPr>
        <w:t>亿美元用于恢复服务方面的需求。</w:t>
      </w:r>
    </w:p>
    <w:p w14:paraId="7664CA6A" w14:textId="77777777" w:rsidR="003832D8" w:rsidRPr="007F3CC7" w:rsidRDefault="003832D8" w:rsidP="003832D8">
      <w:pPr>
        <w:pStyle w:val="Heading1"/>
        <w:rPr>
          <w:lang w:eastAsia="zh-CN"/>
        </w:rPr>
      </w:pPr>
      <w:bookmarkStart w:id="13" w:name="lt_pId051"/>
      <w:r w:rsidRPr="007F3CC7">
        <w:rPr>
          <w:lang w:eastAsia="zh-CN"/>
        </w:rPr>
        <w:t>3</w:t>
      </w:r>
      <w:r w:rsidRPr="007F3CC7">
        <w:rPr>
          <w:lang w:eastAsia="zh-CN"/>
        </w:rPr>
        <w:tab/>
      </w:r>
      <w:r w:rsidRPr="007F3CC7">
        <w:rPr>
          <w:rFonts w:hint="eastAsia"/>
          <w:lang w:eastAsia="zh-CN"/>
        </w:rPr>
        <w:t>有效实施的协调机制</w:t>
      </w:r>
    </w:p>
    <w:bookmarkEnd w:id="13"/>
    <w:p w14:paraId="2B99B21A" w14:textId="51D3BF7F" w:rsidR="003832D8" w:rsidRPr="007F3CC7" w:rsidRDefault="006F602F" w:rsidP="00912B4F">
      <w:pPr>
        <w:spacing w:after="120"/>
        <w:ind w:firstLineChars="200" w:firstLine="480"/>
        <w:jc w:val="both"/>
        <w:rPr>
          <w:lang w:eastAsia="zh-CN"/>
        </w:rPr>
      </w:pPr>
      <w:r w:rsidRPr="007F3CC7">
        <w:rPr>
          <w:rFonts w:hint="eastAsia"/>
          <w:lang w:eastAsia="zh-CN"/>
        </w:rPr>
        <w:t>为确保国际电联</w:t>
      </w:r>
      <w:r w:rsidRPr="007F3CC7">
        <w:rPr>
          <w:rFonts w:hint="eastAsia"/>
          <w:lang w:val="en-US" w:eastAsia="zh-CN"/>
        </w:rPr>
        <w:t>为响应</w:t>
      </w:r>
      <w:r w:rsidRPr="007F3CC7">
        <w:rPr>
          <w:rFonts w:hint="eastAsia"/>
          <w:lang w:eastAsia="zh-CN"/>
        </w:rPr>
        <w:t>第</w:t>
      </w:r>
      <w:r w:rsidRPr="007F3CC7">
        <w:rPr>
          <w:rFonts w:hint="eastAsia"/>
          <w:lang w:eastAsia="zh-CN"/>
        </w:rPr>
        <w:t>1408</w:t>
      </w:r>
      <w:r w:rsidRPr="007F3CC7">
        <w:rPr>
          <w:rFonts w:hint="eastAsia"/>
          <w:lang w:eastAsia="zh-CN"/>
        </w:rPr>
        <w:t>号决议所开展的活动能够采取协调统一的方法，国际电联继续采取</w:t>
      </w:r>
      <w:r w:rsidR="00D7031E">
        <w:rPr>
          <w:rFonts w:hint="eastAsia"/>
          <w:lang w:eastAsia="zh-CN"/>
        </w:rPr>
        <w:t>了</w:t>
      </w:r>
      <w:r w:rsidRPr="007F3CC7">
        <w:rPr>
          <w:rFonts w:hint="eastAsia"/>
          <w:lang w:eastAsia="zh-CN"/>
        </w:rPr>
        <w:t>下述行动：</w:t>
      </w:r>
    </w:p>
    <w:p w14:paraId="2D7B1D75" w14:textId="02F70124" w:rsidR="006F602F" w:rsidRPr="007F3CC7" w:rsidRDefault="000A21B8" w:rsidP="000A21B8">
      <w:pPr>
        <w:pStyle w:val="enumlev1"/>
        <w:rPr>
          <w:lang w:eastAsia="zh-CN"/>
        </w:rPr>
      </w:pPr>
      <w:r w:rsidRPr="000A21B8">
        <w:rPr>
          <w:rFonts w:cs="Arial"/>
          <w:lang w:eastAsia="zh-CN"/>
        </w:rPr>
        <w:t>•</w:t>
      </w:r>
      <w:r>
        <w:rPr>
          <w:rFonts w:cs="Arial"/>
          <w:lang w:eastAsia="zh-CN"/>
        </w:rPr>
        <w:tab/>
      </w:r>
      <w:r w:rsidR="006F602F" w:rsidRPr="007F3CC7">
        <w:rPr>
          <w:rFonts w:hint="eastAsia"/>
          <w:lang w:eastAsia="zh-CN"/>
        </w:rPr>
        <w:t>在</w:t>
      </w:r>
      <w:r w:rsidR="006F602F" w:rsidRPr="007F3CC7">
        <w:rPr>
          <w:rFonts w:hint="eastAsia"/>
          <w:b/>
          <w:bCs/>
          <w:lang w:eastAsia="zh-CN"/>
        </w:rPr>
        <w:t>国际电联层面</w:t>
      </w:r>
      <w:r w:rsidR="006F602F" w:rsidRPr="007F3CC7">
        <w:rPr>
          <w:rFonts w:hint="eastAsia"/>
          <w:lang w:eastAsia="zh-CN"/>
        </w:rPr>
        <w:t>，从</w:t>
      </w:r>
      <w:r w:rsidR="006F602F" w:rsidRPr="007F3CC7">
        <w:rPr>
          <w:rFonts w:hint="eastAsia"/>
          <w:lang w:eastAsia="zh-CN"/>
        </w:rPr>
        <w:t>2023</w:t>
      </w:r>
      <w:r w:rsidR="006F602F" w:rsidRPr="007F3CC7">
        <w:rPr>
          <w:rFonts w:hint="eastAsia"/>
          <w:lang w:eastAsia="zh-CN"/>
        </w:rPr>
        <w:t>年</w:t>
      </w:r>
      <w:r w:rsidR="006F602F" w:rsidRPr="007F3CC7">
        <w:rPr>
          <w:rFonts w:hint="eastAsia"/>
          <w:lang w:eastAsia="zh-CN"/>
        </w:rPr>
        <w:t>1</w:t>
      </w:r>
      <w:r w:rsidR="006F602F" w:rsidRPr="007F3CC7">
        <w:rPr>
          <w:rFonts w:hint="eastAsia"/>
          <w:lang w:eastAsia="zh-CN"/>
        </w:rPr>
        <w:t>月起，指定副秘书长领导一个由总秘书处和三个部门组成的第</w:t>
      </w:r>
      <w:r w:rsidR="006F602F" w:rsidRPr="007F3CC7">
        <w:rPr>
          <w:rFonts w:hint="eastAsia"/>
          <w:lang w:eastAsia="zh-CN"/>
        </w:rPr>
        <w:t>1408</w:t>
      </w:r>
      <w:r w:rsidR="006F602F" w:rsidRPr="007F3CC7">
        <w:rPr>
          <w:rFonts w:hint="eastAsia"/>
          <w:lang w:eastAsia="zh-CN"/>
        </w:rPr>
        <w:t>号决议特别任务组，定期召开会议，为跨部门协调提供平台。已指定国际电联欧洲代表处为此提供秘书处服务，并牵头落实依据第</w:t>
      </w:r>
      <w:r w:rsidR="006F602F" w:rsidRPr="007F3CC7">
        <w:rPr>
          <w:rFonts w:hint="eastAsia"/>
          <w:lang w:eastAsia="zh-CN"/>
        </w:rPr>
        <w:t>1408</w:t>
      </w:r>
      <w:r w:rsidR="006F602F" w:rsidRPr="007F3CC7">
        <w:rPr>
          <w:rFonts w:hint="eastAsia"/>
          <w:lang w:eastAsia="zh-CN"/>
        </w:rPr>
        <w:t>号决议开展的所有行动；</w:t>
      </w:r>
    </w:p>
    <w:p w14:paraId="6725CB32" w14:textId="58F37900" w:rsidR="006F602F" w:rsidRPr="007F3CC7" w:rsidRDefault="000A21B8" w:rsidP="000A21B8">
      <w:pPr>
        <w:pStyle w:val="enumlev1"/>
        <w:rPr>
          <w:lang w:eastAsia="zh-CN"/>
        </w:rPr>
      </w:pPr>
      <w:r w:rsidRPr="000A21B8">
        <w:rPr>
          <w:rFonts w:cs="Arial"/>
          <w:lang w:eastAsia="zh-CN"/>
        </w:rPr>
        <w:t>•</w:t>
      </w:r>
      <w:r>
        <w:rPr>
          <w:rFonts w:cs="Arial"/>
          <w:lang w:eastAsia="zh-CN"/>
        </w:rPr>
        <w:tab/>
      </w:r>
      <w:r w:rsidR="006F602F" w:rsidRPr="007F3CC7">
        <w:rPr>
          <w:rFonts w:hint="eastAsia"/>
          <w:lang w:eastAsia="zh-CN"/>
        </w:rPr>
        <w:t>在</w:t>
      </w:r>
      <w:r w:rsidR="006F602F" w:rsidRPr="007F3CC7">
        <w:rPr>
          <w:rFonts w:hint="eastAsia"/>
          <w:b/>
          <w:bCs/>
          <w:lang w:eastAsia="zh-CN"/>
        </w:rPr>
        <w:t>国家层面</w:t>
      </w:r>
      <w:r w:rsidR="006F602F" w:rsidRPr="007F3CC7">
        <w:rPr>
          <w:rFonts w:hint="eastAsia"/>
          <w:lang w:eastAsia="zh-CN"/>
        </w:rPr>
        <w:t>，与乌克兰主管部门和其他公共机构定期进行协调通话；</w:t>
      </w:r>
    </w:p>
    <w:p w14:paraId="76300289" w14:textId="0F75D450" w:rsidR="006F602F" w:rsidRPr="007F3CC7" w:rsidRDefault="000A21B8" w:rsidP="000A21B8">
      <w:pPr>
        <w:pStyle w:val="enumlev1"/>
        <w:rPr>
          <w:lang w:eastAsia="zh-CN"/>
        </w:rPr>
      </w:pPr>
      <w:r w:rsidRPr="000A21B8">
        <w:rPr>
          <w:rFonts w:cs="Arial"/>
          <w:lang w:eastAsia="zh-CN"/>
        </w:rPr>
        <w:t>•</w:t>
      </w:r>
      <w:r>
        <w:rPr>
          <w:rFonts w:cs="Arial"/>
          <w:lang w:eastAsia="zh-CN"/>
        </w:rPr>
        <w:tab/>
      </w:r>
      <w:r w:rsidR="006F602F" w:rsidRPr="007F3CC7">
        <w:rPr>
          <w:rFonts w:hint="eastAsia"/>
          <w:lang w:eastAsia="zh-CN"/>
        </w:rPr>
        <w:t>在</w:t>
      </w:r>
      <w:r w:rsidR="006F602F" w:rsidRPr="007F3CC7">
        <w:rPr>
          <w:rFonts w:hint="eastAsia"/>
          <w:b/>
          <w:bCs/>
          <w:lang w:eastAsia="zh-CN"/>
        </w:rPr>
        <w:t>联合国系统层面</w:t>
      </w:r>
      <w:r w:rsidR="006F602F" w:rsidRPr="007F3CC7">
        <w:rPr>
          <w:rFonts w:hint="eastAsia"/>
          <w:lang w:eastAsia="zh-CN"/>
        </w:rPr>
        <w:t>，国际电联继续支持联合驻国乌克兰协调员和联合国国家工作组的工作，为开展联合国共同国家评估、制定联合国可持续发展过渡框架和加入欧盟的磋商问题做出贡献。</w:t>
      </w:r>
    </w:p>
    <w:p w14:paraId="4303BA7F" w14:textId="77777777" w:rsidR="003832D8" w:rsidRPr="007F3CC7" w:rsidRDefault="003832D8" w:rsidP="003832D8">
      <w:pPr>
        <w:pStyle w:val="Heading1"/>
        <w:rPr>
          <w:lang w:eastAsia="zh-CN"/>
        </w:rPr>
      </w:pPr>
      <w:bookmarkStart w:id="14" w:name="lt_pId058"/>
      <w:r w:rsidRPr="007F3CC7">
        <w:rPr>
          <w:lang w:eastAsia="zh-CN"/>
        </w:rPr>
        <w:t>4</w:t>
      </w:r>
      <w:r w:rsidRPr="007F3CC7">
        <w:rPr>
          <w:lang w:eastAsia="zh-CN"/>
        </w:rPr>
        <w:tab/>
      </w:r>
      <w:r w:rsidRPr="007F3CC7">
        <w:rPr>
          <w:rFonts w:hint="eastAsia"/>
          <w:lang w:eastAsia="zh-CN"/>
        </w:rPr>
        <w:t>促进技术援助</w:t>
      </w:r>
    </w:p>
    <w:bookmarkEnd w:id="14"/>
    <w:p w14:paraId="494193E4" w14:textId="4366468D" w:rsidR="00B16B05" w:rsidRPr="007F3CC7" w:rsidRDefault="00B16B05" w:rsidP="000A21B8">
      <w:pPr>
        <w:spacing w:after="120"/>
        <w:ind w:firstLineChars="200" w:firstLine="480"/>
        <w:jc w:val="both"/>
        <w:rPr>
          <w:rFonts w:cs="Calibri"/>
          <w:lang w:eastAsia="zh-CN"/>
        </w:rPr>
      </w:pPr>
      <w:r w:rsidRPr="007F3CC7">
        <w:rPr>
          <w:rFonts w:cs="Calibri" w:hint="eastAsia"/>
          <w:lang w:eastAsia="zh-CN"/>
        </w:rPr>
        <w:t>在临时评估结果的基础之上，经与乌克兰协调，将</w:t>
      </w:r>
      <w:r w:rsidRPr="007F3CC7">
        <w:rPr>
          <w:rFonts w:cs="Calibri" w:hint="eastAsia"/>
          <w:b/>
          <w:bCs/>
          <w:lang w:eastAsia="zh-CN"/>
        </w:rPr>
        <w:t>重建广播系统</w:t>
      </w:r>
      <w:r w:rsidRPr="007F3CC7">
        <w:rPr>
          <w:rFonts w:cs="Calibri" w:hint="eastAsia"/>
          <w:lang w:eastAsia="zh-CN"/>
        </w:rPr>
        <w:t>确定为该国的当务之急。考虑到</w:t>
      </w:r>
      <w:r w:rsidRPr="007F3CC7">
        <w:rPr>
          <w:rFonts w:cs="Calibri" w:hint="eastAsia"/>
          <w:lang w:eastAsia="zh-CN"/>
        </w:rPr>
        <w:t>15</w:t>
      </w:r>
      <w:r w:rsidRPr="007F3CC7">
        <w:rPr>
          <w:rFonts w:cs="Calibri" w:hint="eastAsia"/>
          <w:lang w:eastAsia="zh-CN"/>
        </w:rPr>
        <w:t>个广播电台的损坏程度，现已选出</w:t>
      </w:r>
      <w:r w:rsidRPr="007F3CC7">
        <w:rPr>
          <w:rFonts w:cs="Calibri" w:hint="eastAsia"/>
          <w:lang w:eastAsia="zh-CN"/>
        </w:rPr>
        <w:t>5</w:t>
      </w:r>
      <w:r w:rsidRPr="007F3CC7">
        <w:rPr>
          <w:rFonts w:cs="Calibri" w:hint="eastAsia"/>
          <w:lang w:eastAsia="zh-CN"/>
        </w:rPr>
        <w:t>个电台开展即时评估并以此为基础制定技术规范，内容涉及所需投资的财务问题和实施时间表。此活动的最终预期成果是为乌克兰提供有助于吸引国际捐助资金的项目文件。</w:t>
      </w:r>
    </w:p>
    <w:p w14:paraId="73D37136" w14:textId="7CC65631" w:rsidR="00B16B05" w:rsidRPr="007F3CC7" w:rsidRDefault="00B16B05" w:rsidP="000A21B8">
      <w:pPr>
        <w:spacing w:after="120"/>
        <w:ind w:firstLineChars="200" w:firstLine="480"/>
        <w:jc w:val="both"/>
        <w:rPr>
          <w:rFonts w:cs="Calibri"/>
          <w:lang w:eastAsia="zh-CN"/>
        </w:rPr>
      </w:pPr>
      <w:r w:rsidRPr="007F3CC7">
        <w:rPr>
          <w:rFonts w:cs="Calibri" w:hint="eastAsia"/>
          <w:lang w:eastAsia="zh-CN"/>
        </w:rPr>
        <w:t>此外，初步讨论了一项特别援助，该援助旨在为依靠公共援助推广数字基础设施营造</w:t>
      </w:r>
      <w:r w:rsidRPr="007F3CC7">
        <w:rPr>
          <w:rFonts w:cs="Calibri" w:hint="eastAsia"/>
          <w:b/>
          <w:bCs/>
          <w:lang w:eastAsia="zh-CN"/>
        </w:rPr>
        <w:t>有利环境</w:t>
      </w:r>
      <w:r w:rsidRPr="007F3CC7">
        <w:rPr>
          <w:rFonts w:cs="Calibri" w:hint="eastAsia"/>
          <w:lang w:eastAsia="zh-CN"/>
        </w:rPr>
        <w:t>并搭建国家框架。</w:t>
      </w:r>
    </w:p>
    <w:p w14:paraId="11AB073A" w14:textId="4473EED8" w:rsidR="00B16B05" w:rsidRPr="007F3CC7" w:rsidRDefault="00B16B05" w:rsidP="000A21B8">
      <w:pPr>
        <w:spacing w:after="120"/>
        <w:ind w:firstLineChars="200" w:firstLine="480"/>
        <w:jc w:val="both"/>
        <w:rPr>
          <w:rFonts w:cs="Calibri"/>
          <w:lang w:eastAsia="zh-CN"/>
        </w:rPr>
      </w:pPr>
      <w:r w:rsidRPr="007F3CC7">
        <w:rPr>
          <w:rFonts w:cs="Calibri" w:hint="eastAsia"/>
          <w:lang w:eastAsia="zh-CN"/>
        </w:rPr>
        <w:t>此外，在</w:t>
      </w:r>
      <w:r w:rsidR="00DC4CBD" w:rsidRPr="007F3CC7">
        <w:rPr>
          <w:rFonts w:cs="Calibri" w:hint="eastAsia"/>
          <w:lang w:eastAsia="zh-CN"/>
        </w:rPr>
        <w:t>推出</w:t>
      </w:r>
      <w:r w:rsidRPr="007F3CC7">
        <w:rPr>
          <w:rFonts w:cs="Calibri" w:hint="eastAsia"/>
          <w:b/>
          <w:bCs/>
          <w:lang w:eastAsia="zh-CN"/>
        </w:rPr>
        <w:t>“伙伴关系促进互联互通”机制</w:t>
      </w:r>
      <w:r w:rsidRPr="007F3CC7">
        <w:rPr>
          <w:rFonts w:cs="Calibri" w:hint="eastAsia"/>
          <w:lang w:eastAsia="zh-CN"/>
        </w:rPr>
        <w:t>之后，国际电联欧洲</w:t>
      </w:r>
      <w:r w:rsidR="00DC4CBD" w:rsidRPr="007F3CC7">
        <w:rPr>
          <w:rFonts w:cs="Calibri" w:hint="eastAsia"/>
          <w:lang w:eastAsia="zh-CN"/>
        </w:rPr>
        <w:t>代表</w:t>
      </w:r>
      <w:r w:rsidRPr="007F3CC7">
        <w:rPr>
          <w:rFonts w:cs="Calibri" w:hint="eastAsia"/>
          <w:lang w:eastAsia="zh-CN"/>
        </w:rPr>
        <w:t>处再次呼吁认捐，请所有利益攸关方就各国执行第</w:t>
      </w:r>
      <w:r w:rsidRPr="007F3CC7">
        <w:rPr>
          <w:rFonts w:cs="Calibri" w:hint="eastAsia"/>
          <w:lang w:eastAsia="zh-CN"/>
        </w:rPr>
        <w:t>1408</w:t>
      </w:r>
      <w:r w:rsidRPr="007F3CC7">
        <w:rPr>
          <w:rFonts w:cs="Calibri" w:hint="eastAsia"/>
          <w:lang w:eastAsia="zh-CN"/>
        </w:rPr>
        <w:t>号决议的具体行动</w:t>
      </w:r>
      <w:r w:rsidR="00DC4CBD" w:rsidRPr="007F3CC7">
        <w:rPr>
          <w:rFonts w:cs="Calibri" w:hint="eastAsia"/>
          <w:lang w:eastAsia="zh-CN"/>
        </w:rPr>
        <w:t>进行</w:t>
      </w:r>
      <w:r w:rsidRPr="007F3CC7">
        <w:rPr>
          <w:rFonts w:cs="Calibri" w:hint="eastAsia"/>
          <w:lang w:eastAsia="zh-CN"/>
        </w:rPr>
        <w:t>认捐</w:t>
      </w:r>
      <w:r w:rsidR="00DC4CBD" w:rsidRPr="007F3CC7">
        <w:rPr>
          <w:rFonts w:cs="Calibri" w:hint="eastAsia"/>
          <w:lang w:eastAsia="zh-CN"/>
        </w:rPr>
        <w:t>并做出</w:t>
      </w:r>
      <w:r w:rsidRPr="007F3CC7">
        <w:rPr>
          <w:rFonts w:cs="Calibri" w:hint="eastAsia"/>
          <w:lang w:eastAsia="zh-CN"/>
        </w:rPr>
        <w:t>承诺。</w:t>
      </w:r>
    </w:p>
    <w:p w14:paraId="6940F10B" w14:textId="225B4F9D" w:rsidR="00B16B05" w:rsidRPr="007F3CC7" w:rsidRDefault="00416201" w:rsidP="000A21B8">
      <w:pPr>
        <w:spacing w:after="120"/>
        <w:ind w:firstLineChars="200" w:firstLine="480"/>
        <w:jc w:val="both"/>
        <w:rPr>
          <w:rFonts w:cs="Calibri"/>
          <w:lang w:eastAsia="zh-CN"/>
        </w:rPr>
      </w:pPr>
      <w:r>
        <w:rPr>
          <w:rFonts w:cs="Calibri" w:hint="eastAsia"/>
          <w:lang w:eastAsia="zh-CN"/>
        </w:rPr>
        <w:t>迄今为止</w:t>
      </w:r>
      <w:r w:rsidR="00B16B05" w:rsidRPr="007F3CC7">
        <w:rPr>
          <w:rFonts w:cs="Calibri" w:hint="eastAsia"/>
          <w:lang w:eastAsia="zh-CN"/>
        </w:rPr>
        <w:t>，下列国家已向</w:t>
      </w:r>
      <w:r w:rsidR="00DC4CBD" w:rsidRPr="007F3CC7">
        <w:rPr>
          <w:rFonts w:cs="Calibri" w:hint="eastAsia"/>
          <w:lang w:eastAsia="zh-CN"/>
        </w:rPr>
        <w:t>“伙伴关系促进互联互通”</w:t>
      </w:r>
      <w:r>
        <w:rPr>
          <w:rFonts w:cs="Calibri" w:hint="eastAsia"/>
          <w:lang w:eastAsia="zh-CN"/>
        </w:rPr>
        <w:t>的</w:t>
      </w:r>
      <w:r w:rsidR="00B16B05" w:rsidRPr="007F3CC7">
        <w:rPr>
          <w:rFonts w:cs="Calibri" w:hint="eastAsia"/>
          <w:lang w:eastAsia="zh-CN"/>
        </w:rPr>
        <w:t>认捐系统捐款</w:t>
      </w:r>
      <w:r w:rsidR="00DC4CBD" w:rsidRPr="007F3CC7">
        <w:rPr>
          <w:rFonts w:cs="Calibri" w:hint="eastAsia"/>
          <w:lang w:eastAsia="zh-CN"/>
        </w:rPr>
        <w:t>：</w:t>
      </w:r>
      <w:r w:rsidR="00B16B05" w:rsidRPr="007F3CC7">
        <w:rPr>
          <w:rFonts w:cs="Calibri" w:hint="eastAsia"/>
          <w:lang w:eastAsia="zh-CN"/>
        </w:rPr>
        <w:t>爱沙尼亚、格鲁吉亚、德国、日本、立陶宛、荷兰、波兰、斯洛文尼亚、西班牙、乌克兰、</w:t>
      </w:r>
      <w:r w:rsidR="00DC4CBD" w:rsidRPr="007F3CC7">
        <w:rPr>
          <w:rFonts w:cs="Calibri" w:hint="eastAsia"/>
          <w:lang w:eastAsia="zh-CN"/>
        </w:rPr>
        <w:t>英国</w:t>
      </w:r>
      <w:r w:rsidR="00B16B05" w:rsidRPr="007F3CC7">
        <w:rPr>
          <w:rFonts w:cs="Calibri" w:hint="eastAsia"/>
          <w:lang w:eastAsia="zh-CN"/>
        </w:rPr>
        <w:t>和美国。</w:t>
      </w:r>
      <w:r w:rsidR="00DC4CBD" w:rsidRPr="007F3CC7">
        <w:rPr>
          <w:rFonts w:cs="Calibri" w:hint="eastAsia"/>
          <w:lang w:eastAsia="zh-CN"/>
        </w:rPr>
        <w:t>估计</w:t>
      </w:r>
      <w:r w:rsidR="00B16B05" w:rsidRPr="007F3CC7">
        <w:rPr>
          <w:rFonts w:cs="Calibri" w:hint="eastAsia"/>
          <w:lang w:eastAsia="zh-CN"/>
        </w:rPr>
        <w:t>认捐总</w:t>
      </w:r>
      <w:r w:rsidR="00DC4CBD" w:rsidRPr="007F3CC7">
        <w:rPr>
          <w:rFonts w:cs="Calibri" w:hint="eastAsia"/>
          <w:lang w:eastAsia="zh-CN"/>
        </w:rPr>
        <w:t>金额</w:t>
      </w:r>
      <w:r w:rsidR="00B16B05" w:rsidRPr="007F3CC7">
        <w:rPr>
          <w:rFonts w:cs="Calibri" w:hint="eastAsia"/>
          <w:lang w:eastAsia="zh-CN"/>
        </w:rPr>
        <w:t>超过</w:t>
      </w:r>
      <w:r w:rsidR="00B16B05" w:rsidRPr="007F3CC7">
        <w:rPr>
          <w:rFonts w:cs="Calibri" w:hint="eastAsia"/>
          <w:lang w:eastAsia="zh-CN"/>
        </w:rPr>
        <w:t>1.4</w:t>
      </w:r>
      <w:r w:rsidR="00B16B05" w:rsidRPr="007F3CC7">
        <w:rPr>
          <w:rFonts w:cs="Calibri" w:hint="eastAsia"/>
          <w:lang w:eastAsia="zh-CN"/>
        </w:rPr>
        <w:t>亿美元。</w:t>
      </w:r>
    </w:p>
    <w:p w14:paraId="7B6C1CF1" w14:textId="5AD83201" w:rsidR="00B16B05" w:rsidRPr="007F3CC7" w:rsidRDefault="00B16B05" w:rsidP="000A21B8">
      <w:pPr>
        <w:spacing w:after="120"/>
        <w:ind w:firstLineChars="200" w:firstLine="482"/>
        <w:jc w:val="both"/>
        <w:rPr>
          <w:rFonts w:cs="Calibri"/>
          <w:lang w:eastAsia="zh-CN"/>
        </w:rPr>
      </w:pPr>
      <w:r w:rsidRPr="007F3CC7">
        <w:rPr>
          <w:rFonts w:cs="Calibri" w:hint="eastAsia"/>
          <w:b/>
          <w:bCs/>
          <w:lang w:eastAsia="zh-CN"/>
        </w:rPr>
        <w:lastRenderedPageBreak/>
        <w:t>国际电联欧洲区域发展论坛</w:t>
      </w:r>
      <w:r w:rsidRPr="007F3CC7">
        <w:rPr>
          <w:rFonts w:cs="Calibri" w:hint="eastAsia"/>
          <w:lang w:eastAsia="zh-CN"/>
        </w:rPr>
        <w:t>（</w:t>
      </w:r>
      <w:r w:rsidRPr="007F3CC7">
        <w:rPr>
          <w:rFonts w:cs="Calibri" w:hint="eastAsia"/>
          <w:lang w:eastAsia="zh-CN"/>
        </w:rPr>
        <w:t>2023</w:t>
      </w:r>
      <w:r w:rsidRPr="007F3CC7">
        <w:rPr>
          <w:rFonts w:cs="Calibri" w:hint="eastAsia"/>
          <w:lang w:eastAsia="zh-CN"/>
        </w:rPr>
        <w:t>年</w:t>
      </w:r>
      <w:r w:rsidRPr="007F3CC7">
        <w:rPr>
          <w:rFonts w:cs="Calibri" w:hint="eastAsia"/>
          <w:lang w:eastAsia="zh-CN"/>
        </w:rPr>
        <w:t>5</w:t>
      </w:r>
      <w:r w:rsidRPr="007F3CC7">
        <w:rPr>
          <w:rFonts w:cs="Calibri" w:hint="eastAsia"/>
          <w:lang w:eastAsia="zh-CN"/>
        </w:rPr>
        <w:t>月</w:t>
      </w:r>
      <w:r w:rsidRPr="007F3CC7">
        <w:rPr>
          <w:rFonts w:cs="Calibri" w:hint="eastAsia"/>
          <w:lang w:eastAsia="zh-CN"/>
        </w:rPr>
        <w:t>23</w:t>
      </w:r>
      <w:r w:rsidRPr="007F3CC7">
        <w:rPr>
          <w:rFonts w:cs="Calibri" w:hint="eastAsia"/>
          <w:lang w:eastAsia="zh-CN"/>
        </w:rPr>
        <w:t>日）为</w:t>
      </w:r>
      <w:r w:rsidR="00DC4CBD" w:rsidRPr="007F3CC7">
        <w:rPr>
          <w:rFonts w:cs="Calibri" w:hint="eastAsia"/>
          <w:lang w:eastAsia="zh-CN"/>
        </w:rPr>
        <w:t>召开</w:t>
      </w:r>
      <w:r w:rsidRPr="007F3CC7">
        <w:rPr>
          <w:rFonts w:cs="Calibri" w:hint="eastAsia"/>
          <w:lang w:eastAsia="zh-CN"/>
        </w:rPr>
        <w:t>特别会议提供了机会，介绍了德国、立陶宛、波兰、西班牙、瑞典和</w:t>
      </w:r>
      <w:r w:rsidR="00DC4CBD" w:rsidRPr="007F3CC7">
        <w:rPr>
          <w:rFonts w:cs="Calibri" w:hint="eastAsia"/>
          <w:lang w:eastAsia="zh-CN"/>
        </w:rPr>
        <w:t>英</w:t>
      </w:r>
      <w:r w:rsidRPr="007F3CC7">
        <w:rPr>
          <w:rFonts w:cs="Calibri" w:hint="eastAsia"/>
          <w:lang w:eastAsia="zh-CN"/>
        </w:rPr>
        <w:t>国</w:t>
      </w:r>
      <w:r w:rsidR="00DC4CBD" w:rsidRPr="007F3CC7">
        <w:rPr>
          <w:rFonts w:cs="Calibri" w:hint="eastAsia"/>
          <w:lang w:eastAsia="zh-CN"/>
        </w:rPr>
        <w:t>做出的</w:t>
      </w:r>
      <w:r w:rsidRPr="007F3CC7">
        <w:rPr>
          <w:rFonts w:cs="Calibri" w:hint="eastAsia"/>
          <w:lang w:eastAsia="zh-CN"/>
        </w:rPr>
        <w:t>一些新承诺。</w:t>
      </w:r>
      <w:r w:rsidR="00DC4CBD" w:rsidRPr="007F3CC7">
        <w:rPr>
          <w:rFonts w:cs="Calibri" w:hint="eastAsia"/>
          <w:lang w:eastAsia="zh-CN"/>
        </w:rPr>
        <w:t>估计</w:t>
      </w:r>
      <w:r w:rsidR="00416201">
        <w:rPr>
          <w:rFonts w:cs="Calibri" w:hint="eastAsia"/>
          <w:lang w:eastAsia="zh-CN"/>
        </w:rPr>
        <w:t>资金</w:t>
      </w:r>
      <w:r w:rsidR="00DC4CBD" w:rsidRPr="007F3CC7">
        <w:rPr>
          <w:rFonts w:cs="Calibri" w:hint="eastAsia"/>
          <w:lang w:eastAsia="zh-CN"/>
        </w:rPr>
        <w:t>总价</w:t>
      </w:r>
      <w:r w:rsidRPr="007F3CC7">
        <w:rPr>
          <w:rFonts w:cs="Calibri" w:hint="eastAsia"/>
          <w:lang w:eastAsia="zh-CN"/>
        </w:rPr>
        <w:t>值超过</w:t>
      </w:r>
      <w:r w:rsidRPr="007F3CC7">
        <w:rPr>
          <w:rFonts w:cs="Calibri" w:hint="eastAsia"/>
          <w:lang w:eastAsia="zh-CN"/>
        </w:rPr>
        <w:t>4</w:t>
      </w:r>
      <w:r w:rsidR="00DC4CBD" w:rsidRPr="007F3CC7">
        <w:rPr>
          <w:rFonts w:cs="Calibri"/>
          <w:lang w:eastAsia="zh-CN"/>
        </w:rPr>
        <w:t xml:space="preserve"> </w:t>
      </w:r>
      <w:r w:rsidRPr="007F3CC7">
        <w:rPr>
          <w:rFonts w:cs="Calibri" w:hint="eastAsia"/>
          <w:lang w:eastAsia="zh-CN"/>
        </w:rPr>
        <w:t>300</w:t>
      </w:r>
      <w:r w:rsidRPr="007F3CC7">
        <w:rPr>
          <w:rFonts w:cs="Calibri" w:hint="eastAsia"/>
          <w:lang w:eastAsia="zh-CN"/>
        </w:rPr>
        <w:t>万美元。</w:t>
      </w:r>
    </w:p>
    <w:p w14:paraId="6F63CB27" w14:textId="2A6816B4" w:rsidR="00B16B05" w:rsidRPr="007F3CC7" w:rsidRDefault="00B16B05" w:rsidP="000A21B8">
      <w:pPr>
        <w:spacing w:after="120"/>
        <w:ind w:firstLineChars="200" w:firstLine="480"/>
        <w:jc w:val="both"/>
        <w:rPr>
          <w:rFonts w:asciiTheme="minorHAnsi" w:hAnsiTheme="minorHAnsi" w:cstheme="minorBidi"/>
          <w:lang w:eastAsia="zh-CN"/>
        </w:rPr>
      </w:pPr>
      <w:r w:rsidRPr="007F3CC7">
        <w:rPr>
          <w:rFonts w:cs="Calibri" w:hint="eastAsia"/>
          <w:lang w:eastAsia="zh-CN"/>
        </w:rPr>
        <w:t>国际电联期待为</w:t>
      </w:r>
      <w:r w:rsidRPr="007F3CC7">
        <w:rPr>
          <w:rFonts w:cs="Calibri" w:hint="eastAsia"/>
          <w:lang w:eastAsia="zh-CN"/>
        </w:rPr>
        <w:t>2023</w:t>
      </w:r>
      <w:r w:rsidRPr="007F3CC7">
        <w:rPr>
          <w:rFonts w:cs="Calibri" w:hint="eastAsia"/>
          <w:lang w:eastAsia="zh-CN"/>
        </w:rPr>
        <w:t>年</w:t>
      </w:r>
      <w:r w:rsidRPr="007F3CC7">
        <w:rPr>
          <w:rFonts w:cs="Calibri" w:hint="eastAsia"/>
          <w:lang w:eastAsia="zh-CN"/>
        </w:rPr>
        <w:t>6</w:t>
      </w:r>
      <w:r w:rsidRPr="007F3CC7">
        <w:rPr>
          <w:rFonts w:cs="Calibri" w:hint="eastAsia"/>
          <w:lang w:eastAsia="zh-CN"/>
        </w:rPr>
        <w:t>月</w:t>
      </w:r>
      <w:r w:rsidRPr="007F3CC7">
        <w:rPr>
          <w:rFonts w:cs="Calibri" w:hint="eastAsia"/>
          <w:lang w:eastAsia="zh-CN"/>
        </w:rPr>
        <w:t>21</w:t>
      </w:r>
      <w:r w:rsidRPr="007F3CC7">
        <w:rPr>
          <w:rFonts w:cs="Calibri" w:hint="eastAsia"/>
          <w:lang w:eastAsia="zh-CN"/>
        </w:rPr>
        <w:t>日至</w:t>
      </w:r>
      <w:r w:rsidRPr="007F3CC7">
        <w:rPr>
          <w:rFonts w:cs="Calibri" w:hint="eastAsia"/>
          <w:lang w:eastAsia="zh-CN"/>
        </w:rPr>
        <w:t>22</w:t>
      </w:r>
      <w:r w:rsidRPr="007F3CC7">
        <w:rPr>
          <w:rFonts w:cs="Calibri" w:hint="eastAsia"/>
          <w:lang w:eastAsia="zh-CN"/>
        </w:rPr>
        <w:t>日在伦敦（英国）举</w:t>
      </w:r>
      <w:r w:rsidR="00DC4CBD" w:rsidRPr="007F3CC7">
        <w:rPr>
          <w:rFonts w:cs="Calibri" w:hint="eastAsia"/>
          <w:lang w:eastAsia="zh-CN"/>
        </w:rPr>
        <w:t>办</w:t>
      </w:r>
      <w:r w:rsidRPr="007F3CC7">
        <w:rPr>
          <w:rFonts w:cs="Calibri" w:hint="eastAsia"/>
          <w:lang w:eastAsia="zh-CN"/>
        </w:rPr>
        <w:t>的</w:t>
      </w:r>
      <w:r w:rsidRPr="007F3CC7">
        <w:rPr>
          <w:rFonts w:cs="Calibri" w:hint="eastAsia"/>
          <w:b/>
          <w:bCs/>
          <w:lang w:eastAsia="zh-CN"/>
        </w:rPr>
        <w:t>乌克兰重建</w:t>
      </w:r>
      <w:r w:rsidR="00DC4CBD" w:rsidRPr="007F3CC7">
        <w:rPr>
          <w:rFonts w:cs="Calibri" w:hint="eastAsia"/>
          <w:b/>
          <w:bCs/>
          <w:lang w:eastAsia="zh-CN"/>
        </w:rPr>
        <w:t>大</w:t>
      </w:r>
      <w:r w:rsidRPr="007F3CC7">
        <w:rPr>
          <w:rFonts w:cs="Calibri" w:hint="eastAsia"/>
          <w:b/>
          <w:bCs/>
          <w:lang w:eastAsia="zh-CN"/>
        </w:rPr>
        <w:t>会</w:t>
      </w:r>
      <w:r w:rsidR="00DC4CBD" w:rsidRPr="007F3CC7">
        <w:rPr>
          <w:rFonts w:cs="Calibri" w:hint="eastAsia"/>
          <w:b/>
          <w:bCs/>
          <w:lang w:eastAsia="zh-CN"/>
        </w:rPr>
        <w:t>（</w:t>
      </w:r>
      <w:r w:rsidR="00DC4CBD" w:rsidRPr="007F3CC7">
        <w:rPr>
          <w:rFonts w:cs="Calibri" w:hint="eastAsia"/>
          <w:b/>
          <w:bCs/>
          <w:lang w:eastAsia="zh-CN"/>
        </w:rPr>
        <w:t>U</w:t>
      </w:r>
      <w:r w:rsidR="00DC4CBD" w:rsidRPr="007F3CC7">
        <w:rPr>
          <w:rFonts w:cs="Calibri"/>
          <w:b/>
          <w:bCs/>
          <w:lang w:eastAsia="zh-CN"/>
        </w:rPr>
        <w:t>RC</w:t>
      </w:r>
      <w:r w:rsidR="00DC4CBD" w:rsidRPr="007F3CC7">
        <w:rPr>
          <w:rFonts w:cs="Calibri" w:hint="eastAsia"/>
          <w:b/>
          <w:bCs/>
          <w:lang w:eastAsia="zh-CN"/>
        </w:rPr>
        <w:t>）</w:t>
      </w:r>
      <w:r w:rsidRPr="007F3CC7">
        <w:rPr>
          <w:rFonts w:cs="Calibri" w:hint="eastAsia"/>
          <w:lang w:eastAsia="zh-CN"/>
        </w:rPr>
        <w:t>做出贡献。国际电联将</w:t>
      </w:r>
      <w:r w:rsidR="00DC4CBD" w:rsidRPr="007F3CC7">
        <w:rPr>
          <w:rFonts w:cs="Calibri" w:hint="eastAsia"/>
          <w:lang w:eastAsia="zh-CN"/>
        </w:rPr>
        <w:t>借此</w:t>
      </w:r>
      <w:r w:rsidRPr="007F3CC7">
        <w:rPr>
          <w:rFonts w:cs="Calibri" w:hint="eastAsia"/>
          <w:lang w:eastAsia="zh-CN"/>
        </w:rPr>
        <w:t>机会呼吁</w:t>
      </w:r>
      <w:r w:rsidR="00DC4CBD" w:rsidRPr="007F3CC7">
        <w:rPr>
          <w:rFonts w:cs="Calibri" w:hint="eastAsia"/>
          <w:lang w:eastAsia="zh-CN"/>
        </w:rPr>
        <w:t>相关方</w:t>
      </w:r>
      <w:r w:rsidRPr="007F3CC7">
        <w:rPr>
          <w:rFonts w:cs="Calibri" w:hint="eastAsia"/>
          <w:lang w:eastAsia="zh-CN"/>
        </w:rPr>
        <w:t>进一步参与与国际电联理事会第</w:t>
      </w:r>
      <w:r w:rsidRPr="007F3CC7">
        <w:rPr>
          <w:rFonts w:cs="Calibri" w:hint="eastAsia"/>
          <w:lang w:eastAsia="zh-CN"/>
        </w:rPr>
        <w:t>1408</w:t>
      </w:r>
      <w:r w:rsidRPr="007F3CC7">
        <w:rPr>
          <w:rFonts w:cs="Calibri" w:hint="eastAsia"/>
          <w:lang w:eastAsia="zh-CN"/>
        </w:rPr>
        <w:t>号决议有关的活动。</w:t>
      </w:r>
    </w:p>
    <w:p w14:paraId="2F85CB90" w14:textId="543B20A9" w:rsidR="003832D8" w:rsidRPr="007F3CC7" w:rsidRDefault="003832D8" w:rsidP="000A21B8">
      <w:pPr>
        <w:spacing w:after="120"/>
        <w:ind w:firstLineChars="200" w:firstLine="480"/>
        <w:jc w:val="both"/>
        <w:rPr>
          <w:lang w:eastAsia="zh-CN"/>
        </w:rPr>
      </w:pPr>
      <w:r w:rsidRPr="007F3CC7">
        <w:rPr>
          <w:rFonts w:hint="eastAsia"/>
          <w:lang w:eastAsia="zh-CN"/>
        </w:rPr>
        <w:t>目前正在与成员国和其他利益攸关方开展专门</w:t>
      </w:r>
      <w:r w:rsidR="00B16B05" w:rsidRPr="007F3CC7">
        <w:rPr>
          <w:rFonts w:hint="eastAsia"/>
          <w:lang w:eastAsia="zh-CN"/>
        </w:rPr>
        <w:t>的</w:t>
      </w:r>
      <w:r w:rsidRPr="007F3CC7">
        <w:rPr>
          <w:rFonts w:hint="eastAsia"/>
          <w:lang w:eastAsia="zh-CN"/>
        </w:rPr>
        <w:t>跟进工作，同时敲定新的承诺。</w:t>
      </w:r>
    </w:p>
    <w:p w14:paraId="2622EC11" w14:textId="77777777" w:rsidR="003832D8" w:rsidRPr="007F3CC7" w:rsidRDefault="003832D8" w:rsidP="003832D8">
      <w:pPr>
        <w:pStyle w:val="Heading1"/>
        <w:rPr>
          <w:lang w:eastAsia="zh-CN"/>
        </w:rPr>
      </w:pPr>
      <w:bookmarkStart w:id="15" w:name="lt_pId072"/>
      <w:r w:rsidRPr="007F3CC7">
        <w:rPr>
          <w:lang w:eastAsia="zh-CN"/>
        </w:rPr>
        <w:t>5</w:t>
      </w:r>
      <w:r w:rsidRPr="007F3CC7">
        <w:rPr>
          <w:lang w:eastAsia="zh-CN"/>
        </w:rPr>
        <w:tab/>
      </w:r>
      <w:r w:rsidRPr="007F3CC7">
        <w:rPr>
          <w:rFonts w:hint="eastAsia"/>
          <w:lang w:eastAsia="zh-CN"/>
        </w:rPr>
        <w:t>资源筹措</w:t>
      </w:r>
    </w:p>
    <w:bookmarkEnd w:id="15"/>
    <w:p w14:paraId="476A5CB1" w14:textId="33032F99" w:rsidR="003832D8" w:rsidRPr="007F3CC7" w:rsidRDefault="003832D8" w:rsidP="003832D8">
      <w:pPr>
        <w:ind w:firstLineChars="200" w:firstLine="480"/>
        <w:rPr>
          <w:lang w:eastAsia="zh-CN"/>
        </w:rPr>
      </w:pPr>
      <w:r w:rsidRPr="007F3CC7">
        <w:rPr>
          <w:rFonts w:hint="eastAsia"/>
          <w:lang w:eastAsia="zh-CN"/>
        </w:rPr>
        <w:t>为确保第</w:t>
      </w:r>
      <w:r w:rsidRPr="007F3CC7">
        <w:rPr>
          <w:lang w:eastAsia="zh-CN"/>
        </w:rPr>
        <w:t>1408</w:t>
      </w:r>
      <w:r w:rsidRPr="007F3CC7">
        <w:rPr>
          <w:rFonts w:hint="eastAsia"/>
          <w:lang w:eastAsia="zh-CN"/>
        </w:rPr>
        <w:t>号决议</w:t>
      </w:r>
      <w:r w:rsidRPr="007F3CC7">
        <w:rPr>
          <w:rFonts w:ascii="SimSun" w:hAnsi="SimSun" w:hint="eastAsia"/>
          <w:lang w:eastAsia="zh-CN"/>
        </w:rPr>
        <w:t>“</w:t>
      </w:r>
      <w:r w:rsidRPr="007F3CC7">
        <w:rPr>
          <w:rFonts w:ascii="STKaiti" w:eastAsia="STKaiti" w:hAnsi="STKaiti" w:hint="eastAsia"/>
          <w:lang w:eastAsia="zh-CN"/>
        </w:rPr>
        <w:t>做出决议</w:t>
      </w:r>
      <w:r w:rsidRPr="007F3CC7">
        <w:rPr>
          <w:rFonts w:ascii="SimSun" w:hAnsi="SimSun" w:hint="eastAsia"/>
          <w:lang w:eastAsia="zh-CN"/>
        </w:rPr>
        <w:t>”</w:t>
      </w:r>
      <w:r w:rsidRPr="007F3CC7">
        <w:rPr>
          <w:rFonts w:hint="eastAsia"/>
          <w:lang w:eastAsia="zh-CN"/>
        </w:rPr>
        <w:t>部分获得所需的充足财务和人力资源，现已开展了一系列行动：</w:t>
      </w:r>
    </w:p>
    <w:p w14:paraId="0378B1F1" w14:textId="3B9FCC66" w:rsidR="00DC4CBD" w:rsidRPr="007F3CC7" w:rsidRDefault="00912B4F" w:rsidP="00912B4F">
      <w:pPr>
        <w:pStyle w:val="enumlev1"/>
        <w:rPr>
          <w:lang w:eastAsia="zh-CN"/>
        </w:rPr>
      </w:pPr>
      <w:r w:rsidRPr="000A21B8">
        <w:rPr>
          <w:rFonts w:cs="Arial"/>
          <w:lang w:eastAsia="zh-CN"/>
        </w:rPr>
        <w:t>•</w:t>
      </w:r>
      <w:r>
        <w:rPr>
          <w:rFonts w:cs="Arial"/>
          <w:lang w:eastAsia="zh-CN"/>
        </w:rPr>
        <w:tab/>
      </w:r>
      <w:r w:rsidR="00D4797E" w:rsidRPr="007F3CC7">
        <w:rPr>
          <w:rFonts w:hint="eastAsia"/>
          <w:lang w:eastAsia="zh-CN"/>
        </w:rPr>
        <w:t>审查了</w:t>
      </w:r>
      <w:r w:rsidR="00DC4CBD" w:rsidRPr="007F3CC7">
        <w:rPr>
          <w:rFonts w:hint="eastAsia"/>
          <w:lang w:eastAsia="zh-CN"/>
        </w:rPr>
        <w:t>内部预算</w:t>
      </w:r>
      <w:r w:rsidR="00D4797E" w:rsidRPr="007F3CC7">
        <w:rPr>
          <w:rFonts w:hint="eastAsia"/>
          <w:lang w:eastAsia="zh-CN"/>
        </w:rPr>
        <w:t>且电信发展局（</w:t>
      </w:r>
      <w:r w:rsidR="00DC4CBD" w:rsidRPr="007F3CC7">
        <w:rPr>
          <w:rFonts w:hint="eastAsia"/>
          <w:lang w:eastAsia="zh-CN"/>
        </w:rPr>
        <w:t>BDT</w:t>
      </w:r>
      <w:r w:rsidR="00D4797E" w:rsidRPr="007F3CC7">
        <w:rPr>
          <w:rFonts w:hint="eastAsia"/>
          <w:lang w:eastAsia="zh-CN"/>
        </w:rPr>
        <w:t>）额外划拨了</w:t>
      </w:r>
      <w:r w:rsidR="00DC4CBD" w:rsidRPr="007F3CC7">
        <w:rPr>
          <w:rFonts w:hint="eastAsia"/>
          <w:lang w:eastAsia="zh-CN"/>
        </w:rPr>
        <w:t>资源（</w:t>
      </w:r>
      <w:r w:rsidR="00D4797E" w:rsidRPr="007F3CC7">
        <w:rPr>
          <w:lang w:eastAsia="zh-CN"/>
        </w:rPr>
        <w:t>20 000</w:t>
      </w:r>
      <w:r w:rsidR="00D4797E" w:rsidRPr="007F3CC7">
        <w:rPr>
          <w:rFonts w:hint="eastAsia"/>
          <w:lang w:eastAsia="zh-CN"/>
        </w:rPr>
        <w:t>瑞郎</w:t>
      </w:r>
      <w:r w:rsidR="00DC4CBD" w:rsidRPr="007F3CC7">
        <w:rPr>
          <w:rFonts w:hint="eastAsia"/>
          <w:lang w:eastAsia="zh-CN"/>
        </w:rPr>
        <w:t>），以加强国际电联欧洲</w:t>
      </w:r>
      <w:r w:rsidR="00D4797E" w:rsidRPr="007F3CC7">
        <w:rPr>
          <w:rFonts w:hint="eastAsia"/>
          <w:lang w:eastAsia="zh-CN"/>
        </w:rPr>
        <w:t>代表</w:t>
      </w:r>
      <w:r w:rsidR="00DC4CBD" w:rsidRPr="007F3CC7">
        <w:rPr>
          <w:rFonts w:hint="eastAsia"/>
          <w:lang w:eastAsia="zh-CN"/>
        </w:rPr>
        <w:t>处</w:t>
      </w:r>
      <w:r w:rsidR="00D4797E" w:rsidRPr="007F3CC7">
        <w:rPr>
          <w:rFonts w:hint="eastAsia"/>
          <w:lang w:eastAsia="zh-CN"/>
        </w:rPr>
        <w:t>执行</w:t>
      </w:r>
      <w:r w:rsidR="00DC4CBD" w:rsidRPr="007F3CC7">
        <w:rPr>
          <w:rFonts w:hint="eastAsia"/>
          <w:lang w:eastAsia="zh-CN"/>
        </w:rPr>
        <w:t>国际电联理事会第</w:t>
      </w:r>
      <w:r w:rsidR="00DC4CBD" w:rsidRPr="007F3CC7">
        <w:rPr>
          <w:rFonts w:hint="eastAsia"/>
          <w:lang w:eastAsia="zh-CN"/>
        </w:rPr>
        <w:t>1408</w:t>
      </w:r>
      <w:r w:rsidR="00DC4CBD" w:rsidRPr="007F3CC7">
        <w:rPr>
          <w:rFonts w:hint="eastAsia"/>
          <w:lang w:eastAsia="zh-CN"/>
        </w:rPr>
        <w:t>号决议的能力；</w:t>
      </w:r>
    </w:p>
    <w:p w14:paraId="484F1DCD" w14:textId="1A3307F3" w:rsidR="00DC4CBD" w:rsidRPr="007F3CC7" w:rsidRDefault="00912B4F" w:rsidP="00912B4F">
      <w:pPr>
        <w:pStyle w:val="enumlev1"/>
        <w:rPr>
          <w:lang w:eastAsia="zh-CN"/>
        </w:rPr>
      </w:pPr>
      <w:r w:rsidRPr="000A21B8">
        <w:rPr>
          <w:rFonts w:cs="Arial"/>
          <w:lang w:eastAsia="zh-CN"/>
        </w:rPr>
        <w:t>•</w:t>
      </w:r>
      <w:r>
        <w:rPr>
          <w:rFonts w:cs="Arial"/>
          <w:lang w:eastAsia="zh-CN"/>
        </w:rPr>
        <w:tab/>
      </w:r>
      <w:r w:rsidR="00DC4CBD" w:rsidRPr="007F3CC7">
        <w:rPr>
          <w:rFonts w:hint="eastAsia"/>
          <w:lang w:eastAsia="zh-CN"/>
        </w:rPr>
        <w:t>再次呼吁向专门用于执行第</w:t>
      </w:r>
      <w:r w:rsidR="00DC4CBD" w:rsidRPr="007F3CC7">
        <w:rPr>
          <w:rFonts w:hint="eastAsia"/>
          <w:lang w:eastAsia="zh-CN"/>
        </w:rPr>
        <w:t>1408</w:t>
      </w:r>
      <w:r w:rsidR="00DC4CBD" w:rsidRPr="007F3CC7">
        <w:rPr>
          <w:rFonts w:hint="eastAsia"/>
          <w:lang w:eastAsia="zh-CN"/>
        </w:rPr>
        <w:t>号决议的特别信托基金捐款，并将其纳入国际电联的常规信息</w:t>
      </w:r>
      <w:r w:rsidR="00D4797E" w:rsidRPr="007F3CC7">
        <w:rPr>
          <w:rFonts w:hint="eastAsia"/>
          <w:lang w:eastAsia="zh-CN"/>
        </w:rPr>
        <w:t>传递</w:t>
      </w:r>
      <w:r w:rsidR="00DC4CBD" w:rsidRPr="007F3CC7">
        <w:rPr>
          <w:rFonts w:hint="eastAsia"/>
          <w:lang w:eastAsia="zh-CN"/>
        </w:rPr>
        <w:t>；</w:t>
      </w:r>
    </w:p>
    <w:p w14:paraId="59858EB7" w14:textId="32C4A4C8" w:rsidR="00DC4CBD" w:rsidRPr="007F3CC7" w:rsidRDefault="00912B4F" w:rsidP="00912B4F">
      <w:pPr>
        <w:pStyle w:val="enumlev1"/>
        <w:rPr>
          <w:lang w:eastAsia="zh-CN"/>
        </w:rPr>
      </w:pPr>
      <w:r w:rsidRPr="000A21B8">
        <w:rPr>
          <w:rFonts w:cs="Arial"/>
          <w:lang w:eastAsia="zh-CN"/>
        </w:rPr>
        <w:t>•</w:t>
      </w:r>
      <w:r>
        <w:rPr>
          <w:rFonts w:cs="Arial"/>
          <w:lang w:eastAsia="zh-CN"/>
        </w:rPr>
        <w:tab/>
      </w:r>
      <w:r w:rsidR="00D4797E" w:rsidRPr="007F3CC7">
        <w:rPr>
          <w:rFonts w:hint="eastAsia"/>
          <w:lang w:eastAsia="zh-CN"/>
        </w:rPr>
        <w:t>正在将</w:t>
      </w:r>
      <w:r w:rsidR="00DC4CBD" w:rsidRPr="007F3CC7">
        <w:rPr>
          <w:rFonts w:hint="eastAsia"/>
          <w:lang w:eastAsia="zh-CN"/>
        </w:rPr>
        <w:t>从日本（</w:t>
      </w:r>
      <w:r w:rsidR="00DC4CBD" w:rsidRPr="007F3CC7">
        <w:rPr>
          <w:rFonts w:hint="eastAsia"/>
          <w:lang w:eastAsia="zh-CN"/>
        </w:rPr>
        <w:t>100 000</w:t>
      </w:r>
      <w:r w:rsidR="00D4797E" w:rsidRPr="007F3CC7">
        <w:rPr>
          <w:rFonts w:hint="eastAsia"/>
          <w:lang w:eastAsia="zh-CN"/>
        </w:rPr>
        <w:t>瑞郎</w:t>
      </w:r>
      <w:r w:rsidR="00DC4CBD" w:rsidRPr="007F3CC7">
        <w:rPr>
          <w:rFonts w:hint="eastAsia"/>
          <w:lang w:eastAsia="zh-CN"/>
        </w:rPr>
        <w:t>）和立陶宛（价值</w:t>
      </w:r>
      <w:r w:rsidR="00DC4CBD" w:rsidRPr="007F3CC7">
        <w:rPr>
          <w:rFonts w:hint="eastAsia"/>
          <w:lang w:eastAsia="zh-CN"/>
        </w:rPr>
        <w:t>20 000</w:t>
      </w:r>
      <w:r w:rsidR="00D4797E" w:rsidRPr="007F3CC7">
        <w:rPr>
          <w:rFonts w:hint="eastAsia"/>
          <w:lang w:eastAsia="zh-CN"/>
        </w:rPr>
        <w:t>瑞郎</w:t>
      </w:r>
      <w:r w:rsidR="00DC4CBD" w:rsidRPr="007F3CC7">
        <w:rPr>
          <w:rFonts w:hint="eastAsia"/>
          <w:lang w:eastAsia="zh-CN"/>
        </w:rPr>
        <w:t>的实物捐助）收到的资源用于实施行动。</w:t>
      </w:r>
    </w:p>
    <w:p w14:paraId="386C6CC6" w14:textId="77777777" w:rsidR="003832D8" w:rsidRPr="007F3CC7" w:rsidRDefault="003832D8" w:rsidP="003832D8">
      <w:pPr>
        <w:pStyle w:val="Heading1"/>
        <w:rPr>
          <w:lang w:eastAsia="zh-CN"/>
        </w:rPr>
      </w:pPr>
      <w:bookmarkStart w:id="16" w:name="lt_pId078"/>
      <w:r w:rsidRPr="007F3CC7">
        <w:rPr>
          <w:lang w:eastAsia="zh-CN"/>
        </w:rPr>
        <w:t>6</w:t>
      </w:r>
      <w:r w:rsidRPr="007F3CC7">
        <w:rPr>
          <w:lang w:eastAsia="zh-CN"/>
        </w:rPr>
        <w:tab/>
      </w:r>
      <w:r w:rsidRPr="007F3CC7">
        <w:rPr>
          <w:rFonts w:hint="eastAsia"/>
          <w:lang w:eastAsia="zh-CN"/>
        </w:rPr>
        <w:t>结论</w:t>
      </w:r>
    </w:p>
    <w:bookmarkEnd w:id="16"/>
    <w:p w14:paraId="5238F492" w14:textId="0AA6AFAC" w:rsidR="003832D8" w:rsidRPr="007F3CC7" w:rsidRDefault="00DC4CBD" w:rsidP="00912B4F">
      <w:pPr>
        <w:spacing w:after="120"/>
        <w:ind w:firstLineChars="200" w:firstLine="472"/>
        <w:jc w:val="both"/>
        <w:rPr>
          <w:lang w:eastAsia="zh-CN"/>
        </w:rPr>
      </w:pPr>
      <w:r w:rsidRPr="007F3CC7">
        <w:rPr>
          <w:rFonts w:hint="eastAsia"/>
          <w:spacing w:val="-2"/>
          <w:lang w:eastAsia="zh-CN"/>
        </w:rPr>
        <w:t>考虑到</w:t>
      </w:r>
      <w:r w:rsidR="00D4797E" w:rsidRPr="007F3CC7">
        <w:rPr>
          <w:rFonts w:hint="eastAsia"/>
          <w:spacing w:val="-2"/>
          <w:lang w:eastAsia="zh-CN"/>
        </w:rPr>
        <w:t>乌克兰电信基础设施的受损程度和</w:t>
      </w:r>
      <w:r w:rsidRPr="007F3CC7">
        <w:rPr>
          <w:rFonts w:hint="eastAsia"/>
          <w:spacing w:val="-2"/>
          <w:lang w:eastAsia="zh-CN"/>
        </w:rPr>
        <w:t>恢复电信基础设施</w:t>
      </w:r>
      <w:r w:rsidR="00D4797E" w:rsidRPr="007F3CC7">
        <w:rPr>
          <w:rFonts w:hint="eastAsia"/>
          <w:spacing w:val="-2"/>
          <w:lang w:eastAsia="zh-CN"/>
        </w:rPr>
        <w:t>以及</w:t>
      </w:r>
      <w:r w:rsidRPr="007F3CC7">
        <w:rPr>
          <w:rFonts w:hint="eastAsia"/>
          <w:spacing w:val="-2"/>
          <w:lang w:eastAsia="zh-CN"/>
        </w:rPr>
        <w:t>加强国家数字复原力的资金需求，恳请所有利益攸关方支持国际电联根据第</w:t>
      </w:r>
      <w:r w:rsidRPr="007F3CC7">
        <w:rPr>
          <w:rFonts w:hint="eastAsia"/>
          <w:spacing w:val="-2"/>
          <w:lang w:eastAsia="zh-CN"/>
        </w:rPr>
        <w:t>1408</w:t>
      </w:r>
      <w:r w:rsidRPr="007F3CC7">
        <w:rPr>
          <w:rFonts w:hint="eastAsia"/>
          <w:spacing w:val="-2"/>
          <w:lang w:eastAsia="zh-CN"/>
        </w:rPr>
        <w:t>号决议开展的活动，特别是以下活动：</w:t>
      </w:r>
    </w:p>
    <w:p w14:paraId="2BD1E4A6" w14:textId="77777777" w:rsidR="003832D8" w:rsidRPr="007F3CC7" w:rsidRDefault="003832D8" w:rsidP="003832D8">
      <w:pPr>
        <w:pStyle w:val="enumlev1"/>
        <w:rPr>
          <w:lang w:eastAsia="zh-CN"/>
        </w:rPr>
      </w:pPr>
      <w:bookmarkStart w:id="17" w:name="lt_pId080"/>
      <w:r w:rsidRPr="007F3CC7">
        <w:rPr>
          <w:lang w:eastAsia="zh-CN"/>
        </w:rPr>
        <w:t>•</w:t>
      </w:r>
      <w:r w:rsidRPr="007F3CC7">
        <w:rPr>
          <w:lang w:eastAsia="zh-CN"/>
        </w:rPr>
        <w:tab/>
      </w:r>
      <w:r w:rsidRPr="007F3CC7">
        <w:rPr>
          <w:rFonts w:hint="eastAsia"/>
          <w:lang w:eastAsia="zh-CN"/>
        </w:rPr>
        <w:t>承诺为乌克兰重建电信行业提供技术援助和支持；</w:t>
      </w:r>
    </w:p>
    <w:p w14:paraId="458B8C2D" w14:textId="298D7E0D" w:rsidR="003832D8" w:rsidRPr="007F3CC7" w:rsidRDefault="003832D8" w:rsidP="003832D8">
      <w:pPr>
        <w:pStyle w:val="enumlev1"/>
        <w:rPr>
          <w:szCs w:val="24"/>
          <w:lang w:eastAsia="zh-CN"/>
        </w:rPr>
      </w:pPr>
      <w:r w:rsidRPr="007F3CC7">
        <w:rPr>
          <w:lang w:eastAsia="zh-CN"/>
        </w:rPr>
        <w:t>•</w:t>
      </w:r>
      <w:r w:rsidRPr="007F3CC7">
        <w:rPr>
          <w:lang w:eastAsia="zh-CN"/>
        </w:rPr>
        <w:tab/>
      </w:r>
      <w:bookmarkEnd w:id="17"/>
      <w:r w:rsidRPr="00912B4F">
        <w:rPr>
          <w:rFonts w:hint="eastAsia"/>
          <w:spacing w:val="2"/>
          <w:lang w:eastAsia="zh-CN"/>
        </w:rPr>
        <w:t>加入</w:t>
      </w:r>
      <w:r w:rsidR="001F0EEB" w:rsidRPr="00912B4F">
        <w:rPr>
          <w:rFonts w:hint="eastAsia"/>
          <w:spacing w:val="2"/>
          <w:lang w:eastAsia="zh-CN"/>
        </w:rPr>
        <w:t>“</w:t>
      </w:r>
      <w:r w:rsidRPr="00912B4F">
        <w:rPr>
          <w:rFonts w:hint="eastAsia"/>
          <w:spacing w:val="2"/>
          <w:lang w:eastAsia="zh-CN"/>
        </w:rPr>
        <w:t>伙伴关系促进互联互通</w:t>
      </w:r>
      <w:r w:rsidR="001F0EEB" w:rsidRPr="00912B4F">
        <w:rPr>
          <w:rFonts w:hint="eastAsia"/>
          <w:spacing w:val="2"/>
          <w:lang w:eastAsia="zh-CN"/>
        </w:rPr>
        <w:t>”</w:t>
      </w:r>
      <w:r w:rsidRPr="00912B4F">
        <w:rPr>
          <w:rFonts w:hint="eastAsia"/>
          <w:spacing w:val="2"/>
          <w:lang w:eastAsia="zh-CN"/>
        </w:rPr>
        <w:t>举措，并通过在线系统聚焦为乌克兰提供捐助</w:t>
      </w:r>
      <w:r w:rsidR="00392429" w:rsidRPr="00912B4F">
        <w:rPr>
          <w:rStyle w:val="FootnoteReference"/>
          <w:spacing w:val="2"/>
          <w:szCs w:val="24"/>
        </w:rPr>
        <w:footnoteReference w:id="3"/>
      </w:r>
      <w:r w:rsidRPr="00912B4F">
        <w:rPr>
          <w:rFonts w:hint="eastAsia"/>
          <w:spacing w:val="2"/>
          <w:lang w:eastAsia="zh-CN"/>
        </w:rPr>
        <w:t>；并</w:t>
      </w:r>
    </w:p>
    <w:p w14:paraId="158D7FE1" w14:textId="265FE0E7" w:rsidR="003832D8" w:rsidRPr="007F3CC7" w:rsidRDefault="003832D8" w:rsidP="003832D8">
      <w:pPr>
        <w:pStyle w:val="enumlev1"/>
        <w:rPr>
          <w:rFonts w:cstheme="minorHAnsi"/>
          <w:szCs w:val="24"/>
          <w:lang w:eastAsia="zh-CN"/>
        </w:rPr>
      </w:pPr>
      <w:bookmarkStart w:id="18" w:name="lt_pId081"/>
      <w:r w:rsidRPr="007F3CC7">
        <w:rPr>
          <w:lang w:eastAsia="zh-CN"/>
        </w:rPr>
        <w:t>•</w:t>
      </w:r>
      <w:r w:rsidRPr="007F3CC7">
        <w:rPr>
          <w:lang w:eastAsia="zh-CN"/>
        </w:rPr>
        <w:tab/>
      </w:r>
      <w:bookmarkEnd w:id="18"/>
      <w:r w:rsidRPr="007F3CC7">
        <w:rPr>
          <w:rFonts w:asciiTheme="minorHAnsi" w:eastAsiaTheme="minorEastAsia" w:hAnsiTheme="minorHAnsi" w:cstheme="minorHAnsi"/>
          <w:lang w:eastAsia="zh-CN"/>
        </w:rPr>
        <w:t>向特别信托基金提供财务捐助，支持加大</w:t>
      </w:r>
      <w:r w:rsidR="00392429" w:rsidRPr="007F3CC7">
        <w:rPr>
          <w:rFonts w:asciiTheme="minorHAnsi" w:eastAsiaTheme="minorEastAsia" w:hAnsiTheme="minorHAnsi" w:cstheme="minorHAnsi" w:hint="eastAsia"/>
          <w:lang w:eastAsia="zh-CN"/>
        </w:rPr>
        <w:t>对国际电联理事会</w:t>
      </w:r>
      <w:r w:rsidRPr="007F3CC7">
        <w:rPr>
          <w:rFonts w:asciiTheme="minorHAnsi" w:eastAsiaTheme="minorEastAsia" w:hAnsiTheme="minorHAnsi" w:cstheme="minorHAnsi"/>
          <w:lang w:eastAsia="zh-CN"/>
        </w:rPr>
        <w:t>第</w:t>
      </w:r>
      <w:r w:rsidRPr="007F3CC7">
        <w:rPr>
          <w:rFonts w:asciiTheme="minorHAnsi" w:eastAsiaTheme="minorEastAsia" w:hAnsiTheme="minorHAnsi" w:cstheme="minorHAnsi"/>
          <w:lang w:eastAsia="zh-CN"/>
        </w:rPr>
        <w:t>1408</w:t>
      </w:r>
      <w:r w:rsidRPr="007F3CC7">
        <w:rPr>
          <w:rFonts w:asciiTheme="minorHAnsi" w:eastAsiaTheme="minorEastAsia" w:hAnsiTheme="minorHAnsi" w:cstheme="minorHAnsi"/>
          <w:lang w:eastAsia="zh-CN"/>
        </w:rPr>
        <w:t>号决议的执行力度。</w:t>
      </w:r>
    </w:p>
    <w:p w14:paraId="4F46B2DF" w14:textId="77777777" w:rsidR="00A135FD" w:rsidRPr="007F3CC7" w:rsidRDefault="00A135FD" w:rsidP="00411C49">
      <w:pPr>
        <w:pStyle w:val="Reasons"/>
        <w:rPr>
          <w:lang w:eastAsia="zh-CN"/>
        </w:rPr>
      </w:pPr>
    </w:p>
    <w:p w14:paraId="49056A36" w14:textId="46D92FEB" w:rsidR="00AE195F" w:rsidRPr="00E24D59" w:rsidRDefault="00A135FD" w:rsidP="00A135FD">
      <w:pPr>
        <w:jc w:val="center"/>
      </w:pPr>
      <w:r w:rsidRPr="007F3CC7">
        <w:t>______________</w:t>
      </w:r>
    </w:p>
    <w:sectPr w:rsidR="00AE195F" w:rsidRPr="00E24D59"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454E" w14:textId="77777777" w:rsidR="00385B78" w:rsidRDefault="00385B78">
      <w:r>
        <w:separator/>
      </w:r>
    </w:p>
  </w:endnote>
  <w:endnote w:type="continuationSeparator" w:id="0">
    <w:p w14:paraId="096CFF19" w14:textId="77777777" w:rsidR="00385B78" w:rsidRDefault="0038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B39015D" w14:textId="77777777" w:rsidTr="00E31DCE">
      <w:trPr>
        <w:jc w:val="center"/>
      </w:trPr>
      <w:tc>
        <w:tcPr>
          <w:tcW w:w="1803" w:type="dxa"/>
          <w:vAlign w:val="center"/>
        </w:tcPr>
        <w:p w14:paraId="6C4A1783" w14:textId="3A3B00E9" w:rsidR="00E24D59" w:rsidRDefault="00E24D59" w:rsidP="00E24D59">
          <w:pPr>
            <w:pStyle w:val="Header"/>
            <w:jc w:val="left"/>
            <w:rPr>
              <w:noProof/>
            </w:rPr>
          </w:pPr>
          <w:r>
            <w:rPr>
              <w:noProof/>
            </w:rPr>
            <w:t xml:space="preserve">DPS </w:t>
          </w:r>
          <w:r w:rsidR="00A135FD">
            <w:rPr>
              <w:noProof/>
            </w:rPr>
            <w:t>521093</w:t>
          </w:r>
        </w:p>
      </w:tc>
      <w:tc>
        <w:tcPr>
          <w:tcW w:w="8261" w:type="dxa"/>
        </w:tcPr>
        <w:p w14:paraId="7174DC6C" w14:textId="7A9F608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135FD">
            <w:rPr>
              <w:bCs/>
            </w:rPr>
            <w:t>59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4F6167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CB1F23B" w14:textId="77777777" w:rsidTr="00E31DCE">
      <w:trPr>
        <w:jc w:val="center"/>
      </w:trPr>
      <w:tc>
        <w:tcPr>
          <w:tcW w:w="1803" w:type="dxa"/>
          <w:vAlign w:val="center"/>
        </w:tcPr>
        <w:p w14:paraId="3F1AA68C" w14:textId="77777777" w:rsidR="00E24D59" w:rsidRDefault="00000000" w:rsidP="00E24D59">
          <w:pPr>
            <w:pStyle w:val="Header"/>
            <w:jc w:val="left"/>
            <w:rPr>
              <w:noProof/>
            </w:rPr>
          </w:pPr>
          <w:hyperlink r:id="rId1" w:history="1">
            <w:r w:rsidR="00E24D59" w:rsidRPr="00A514A4">
              <w:rPr>
                <w:rStyle w:val="Hyperlink"/>
                <w:szCs w:val="14"/>
              </w:rPr>
              <w:t>www.itu.int/council</w:t>
            </w:r>
          </w:hyperlink>
        </w:p>
      </w:tc>
      <w:tc>
        <w:tcPr>
          <w:tcW w:w="8261" w:type="dxa"/>
        </w:tcPr>
        <w:p w14:paraId="7C741762" w14:textId="5CDF5E7C"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135FD">
            <w:rPr>
              <w:bCs/>
            </w:rPr>
            <w:t>59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1A67D01"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562D" w14:textId="77777777" w:rsidR="00385B78" w:rsidRDefault="00385B78">
      <w:r>
        <w:t>____________________</w:t>
      </w:r>
    </w:p>
  </w:footnote>
  <w:footnote w:type="continuationSeparator" w:id="0">
    <w:p w14:paraId="4536300A" w14:textId="77777777" w:rsidR="00385B78" w:rsidRDefault="00385B78">
      <w:r>
        <w:continuationSeparator/>
      </w:r>
    </w:p>
  </w:footnote>
  <w:footnote w:id="1">
    <w:p w14:paraId="0473B3C1" w14:textId="77777777" w:rsidR="00E96444" w:rsidRDefault="00E96444" w:rsidP="00E96444">
      <w:pPr>
        <w:pStyle w:val="FootnoteText"/>
        <w:rPr>
          <w:rFonts w:ascii="Arial" w:eastAsia="Arial" w:hAnsi="Arial" w:cs="Arial"/>
          <w:sz w:val="18"/>
          <w:szCs w:val="18"/>
        </w:rPr>
      </w:pPr>
      <w:r w:rsidRPr="0E6CA706">
        <w:rPr>
          <w:rStyle w:val="FootnoteReference"/>
        </w:rPr>
        <w:footnoteRef/>
      </w:r>
      <w:r>
        <w:t xml:space="preserve"> </w:t>
      </w:r>
      <w:r>
        <w:tab/>
      </w:r>
      <w:hyperlink r:id="rId1" w:history="1">
        <w:r w:rsidRPr="0053368B">
          <w:rPr>
            <w:rStyle w:val="Hyperlink"/>
            <w:sz w:val="20"/>
          </w:rPr>
          <w:t>https://www.itu.int/en/ITU-D/Regional-Presence/Europe/Documents/Interim%20assessment%20on%20damages%20to%20telecommunication%20infrastructure%20and%20resilience%20of%20the%20ICT%20ecosystem%20in%20Ukraine%20-2022-12-22_FINAL.pdf</w:t>
        </w:r>
      </w:hyperlink>
    </w:p>
  </w:footnote>
  <w:footnote w:id="2">
    <w:p w14:paraId="36749055" w14:textId="77777777" w:rsidR="00F21122" w:rsidRDefault="00F21122" w:rsidP="00F21122">
      <w:pPr>
        <w:pStyle w:val="FootnoteText"/>
      </w:pPr>
      <w:r w:rsidRPr="0E6CA706">
        <w:rPr>
          <w:rStyle w:val="FootnoteReference"/>
        </w:rPr>
        <w:footnoteRef/>
      </w:r>
      <w:r>
        <w:t xml:space="preserve"> </w:t>
      </w:r>
      <w:r>
        <w:tab/>
      </w:r>
      <w:hyperlink r:id="rId2" w:history="1">
        <w:r w:rsidRPr="009101F1">
          <w:rPr>
            <w:rStyle w:val="Hyperlink"/>
            <w:sz w:val="20"/>
          </w:rPr>
          <w:t>https://www.itu.int/en/ITU-D/Regional-Presence/Europe/Documents/Publications/2023/RDNA%20-%20Ukraine.pdf</w:t>
        </w:r>
      </w:hyperlink>
      <w:r>
        <w:t xml:space="preserve"> </w:t>
      </w:r>
    </w:p>
  </w:footnote>
  <w:footnote w:id="3">
    <w:p w14:paraId="46F12DE0" w14:textId="77777777" w:rsidR="00392429" w:rsidRPr="008F0A74" w:rsidRDefault="00392429" w:rsidP="00392429">
      <w:pPr>
        <w:pStyle w:val="FootnoteText"/>
        <w:rPr>
          <w:lang w:val="en-US"/>
        </w:rPr>
      </w:pPr>
      <w:r>
        <w:rPr>
          <w:rStyle w:val="FootnoteReference"/>
        </w:rPr>
        <w:footnoteRef/>
      </w:r>
      <w:r>
        <w:t xml:space="preserve"> </w:t>
      </w:r>
      <w:r w:rsidRPr="008F0A74">
        <w:rPr>
          <w:sz w:val="20"/>
          <w:lang w:val="en-US"/>
        </w:rPr>
        <w:t>https://www.itu.int/partner2connect-pledges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EDCAC83" w14:textId="77777777" w:rsidTr="00E31DCE">
      <w:trPr>
        <w:trHeight w:val="1104"/>
        <w:jc w:val="center"/>
      </w:trPr>
      <w:tc>
        <w:tcPr>
          <w:tcW w:w="4390" w:type="dxa"/>
          <w:vAlign w:val="center"/>
        </w:tcPr>
        <w:p w14:paraId="1B93A81E" w14:textId="77777777" w:rsidR="00E24D59" w:rsidRPr="009621F8" w:rsidRDefault="00E24D59" w:rsidP="00E24D59">
          <w:pPr>
            <w:pStyle w:val="Header"/>
            <w:jc w:val="left"/>
            <w:rPr>
              <w:rFonts w:ascii="Arial" w:hAnsi="Arial" w:cs="Arial"/>
              <w:b/>
              <w:bCs/>
              <w:color w:val="009CD6"/>
              <w:sz w:val="36"/>
              <w:szCs w:val="36"/>
            </w:rPr>
          </w:pPr>
          <w:bookmarkStart w:id="19" w:name="_Hlk133422111"/>
          <w:r>
            <w:rPr>
              <w:noProof/>
            </w:rPr>
            <w:drawing>
              <wp:inline distT="0" distB="0" distL="0" distR="0" wp14:anchorId="3600620D" wp14:editId="47BE5BC6">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AA550EE" w14:textId="77777777" w:rsidR="00E24D59" w:rsidRDefault="00E24D59" w:rsidP="00E24D59">
          <w:pPr>
            <w:pStyle w:val="Header"/>
            <w:jc w:val="right"/>
            <w:rPr>
              <w:rFonts w:ascii="Arial" w:hAnsi="Arial" w:cs="Arial"/>
              <w:b/>
              <w:bCs/>
              <w:color w:val="009CD6"/>
              <w:szCs w:val="18"/>
            </w:rPr>
          </w:pPr>
        </w:p>
        <w:p w14:paraId="031E7FA0" w14:textId="77777777" w:rsidR="00E24D59" w:rsidRDefault="00E24D59" w:rsidP="00E24D59">
          <w:pPr>
            <w:pStyle w:val="Header"/>
            <w:jc w:val="right"/>
            <w:rPr>
              <w:rFonts w:ascii="Arial" w:hAnsi="Arial" w:cs="Arial"/>
              <w:b/>
              <w:bCs/>
              <w:color w:val="009CD6"/>
              <w:szCs w:val="18"/>
            </w:rPr>
          </w:pPr>
        </w:p>
        <w:p w14:paraId="4412C357"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12D2E826"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CD3869B" wp14:editId="09DFD3AF">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52B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B4D29"/>
    <w:multiLevelType w:val="hybridMultilevel"/>
    <w:tmpl w:val="A72CC49C"/>
    <w:lvl w:ilvl="0" w:tplc="61847492">
      <w:start w:val="1"/>
      <w:numFmt w:val="bullet"/>
      <w:lvlText w:val=""/>
      <w:lvlJc w:val="left"/>
      <w:pPr>
        <w:ind w:left="720" w:hanging="360"/>
      </w:pPr>
      <w:rPr>
        <w:rFonts w:ascii="Symbol" w:hAnsi="Symbol" w:hint="default"/>
      </w:rPr>
    </w:lvl>
    <w:lvl w:ilvl="1" w:tplc="8736CBB6">
      <w:start w:val="1"/>
      <w:numFmt w:val="bullet"/>
      <w:lvlText w:val="o"/>
      <w:lvlJc w:val="left"/>
      <w:pPr>
        <w:ind w:left="1440" w:hanging="360"/>
      </w:pPr>
      <w:rPr>
        <w:rFonts w:ascii="Courier New" w:hAnsi="Courier New" w:cs="Courier New" w:hint="default"/>
      </w:rPr>
    </w:lvl>
    <w:lvl w:ilvl="2" w:tplc="AF060BEE" w:tentative="1">
      <w:start w:val="1"/>
      <w:numFmt w:val="bullet"/>
      <w:lvlText w:val=""/>
      <w:lvlJc w:val="left"/>
      <w:pPr>
        <w:ind w:left="2160" w:hanging="360"/>
      </w:pPr>
      <w:rPr>
        <w:rFonts w:ascii="Wingdings" w:hAnsi="Wingdings" w:hint="default"/>
      </w:rPr>
    </w:lvl>
    <w:lvl w:ilvl="3" w:tplc="FA6A4EBE" w:tentative="1">
      <w:start w:val="1"/>
      <w:numFmt w:val="bullet"/>
      <w:lvlText w:val=""/>
      <w:lvlJc w:val="left"/>
      <w:pPr>
        <w:ind w:left="2880" w:hanging="360"/>
      </w:pPr>
      <w:rPr>
        <w:rFonts w:ascii="Symbol" w:hAnsi="Symbol" w:hint="default"/>
      </w:rPr>
    </w:lvl>
    <w:lvl w:ilvl="4" w:tplc="5A9CA764" w:tentative="1">
      <w:start w:val="1"/>
      <w:numFmt w:val="bullet"/>
      <w:lvlText w:val="o"/>
      <w:lvlJc w:val="left"/>
      <w:pPr>
        <w:ind w:left="3600" w:hanging="360"/>
      </w:pPr>
      <w:rPr>
        <w:rFonts w:ascii="Courier New" w:hAnsi="Courier New" w:cs="Courier New" w:hint="default"/>
      </w:rPr>
    </w:lvl>
    <w:lvl w:ilvl="5" w:tplc="352AD460" w:tentative="1">
      <w:start w:val="1"/>
      <w:numFmt w:val="bullet"/>
      <w:lvlText w:val=""/>
      <w:lvlJc w:val="left"/>
      <w:pPr>
        <w:ind w:left="4320" w:hanging="360"/>
      </w:pPr>
      <w:rPr>
        <w:rFonts w:ascii="Wingdings" w:hAnsi="Wingdings" w:hint="default"/>
      </w:rPr>
    </w:lvl>
    <w:lvl w:ilvl="6" w:tplc="125CBF60" w:tentative="1">
      <w:start w:val="1"/>
      <w:numFmt w:val="bullet"/>
      <w:lvlText w:val=""/>
      <w:lvlJc w:val="left"/>
      <w:pPr>
        <w:ind w:left="5040" w:hanging="360"/>
      </w:pPr>
      <w:rPr>
        <w:rFonts w:ascii="Symbol" w:hAnsi="Symbol" w:hint="default"/>
      </w:rPr>
    </w:lvl>
    <w:lvl w:ilvl="7" w:tplc="61600976" w:tentative="1">
      <w:start w:val="1"/>
      <w:numFmt w:val="bullet"/>
      <w:lvlText w:val="o"/>
      <w:lvlJc w:val="left"/>
      <w:pPr>
        <w:ind w:left="5760" w:hanging="360"/>
      </w:pPr>
      <w:rPr>
        <w:rFonts w:ascii="Courier New" w:hAnsi="Courier New" w:cs="Courier New" w:hint="default"/>
      </w:rPr>
    </w:lvl>
    <w:lvl w:ilvl="8" w:tplc="5134AB10"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84FF8"/>
    <w:multiLevelType w:val="hybridMultilevel"/>
    <w:tmpl w:val="FFFFFFFF"/>
    <w:lvl w:ilvl="0" w:tplc="444C63C0">
      <w:start w:val="1"/>
      <w:numFmt w:val="bullet"/>
      <w:lvlText w:val=""/>
      <w:lvlJc w:val="left"/>
      <w:pPr>
        <w:ind w:left="720" w:hanging="360"/>
      </w:pPr>
      <w:rPr>
        <w:rFonts w:ascii="Symbol" w:hAnsi="Symbol" w:hint="default"/>
      </w:rPr>
    </w:lvl>
    <w:lvl w:ilvl="1" w:tplc="4A064A8A">
      <w:start w:val="1"/>
      <w:numFmt w:val="bullet"/>
      <w:lvlText w:val="o"/>
      <w:lvlJc w:val="left"/>
      <w:pPr>
        <w:ind w:left="1440" w:hanging="360"/>
      </w:pPr>
      <w:rPr>
        <w:rFonts w:ascii="Courier New" w:hAnsi="Courier New" w:hint="default"/>
      </w:rPr>
    </w:lvl>
    <w:lvl w:ilvl="2" w:tplc="FF20F2CC">
      <w:start w:val="1"/>
      <w:numFmt w:val="bullet"/>
      <w:lvlText w:val=""/>
      <w:lvlJc w:val="left"/>
      <w:pPr>
        <w:ind w:left="2160" w:hanging="360"/>
      </w:pPr>
      <w:rPr>
        <w:rFonts w:ascii="Wingdings" w:hAnsi="Wingdings" w:hint="default"/>
      </w:rPr>
    </w:lvl>
    <w:lvl w:ilvl="3" w:tplc="1E48F47C">
      <w:start w:val="1"/>
      <w:numFmt w:val="bullet"/>
      <w:lvlText w:val=""/>
      <w:lvlJc w:val="left"/>
      <w:pPr>
        <w:ind w:left="2880" w:hanging="360"/>
      </w:pPr>
      <w:rPr>
        <w:rFonts w:ascii="Symbol" w:hAnsi="Symbol" w:hint="default"/>
      </w:rPr>
    </w:lvl>
    <w:lvl w:ilvl="4" w:tplc="E9E0D150">
      <w:start w:val="1"/>
      <w:numFmt w:val="bullet"/>
      <w:lvlText w:val="o"/>
      <w:lvlJc w:val="left"/>
      <w:pPr>
        <w:ind w:left="3600" w:hanging="360"/>
      </w:pPr>
      <w:rPr>
        <w:rFonts w:ascii="Courier New" w:hAnsi="Courier New" w:hint="default"/>
      </w:rPr>
    </w:lvl>
    <w:lvl w:ilvl="5" w:tplc="AAFC0DA4">
      <w:start w:val="1"/>
      <w:numFmt w:val="bullet"/>
      <w:lvlText w:val=""/>
      <w:lvlJc w:val="left"/>
      <w:pPr>
        <w:ind w:left="4320" w:hanging="360"/>
      </w:pPr>
      <w:rPr>
        <w:rFonts w:ascii="Wingdings" w:hAnsi="Wingdings" w:hint="default"/>
      </w:rPr>
    </w:lvl>
    <w:lvl w:ilvl="6" w:tplc="87183EE8">
      <w:start w:val="1"/>
      <w:numFmt w:val="bullet"/>
      <w:lvlText w:val=""/>
      <w:lvlJc w:val="left"/>
      <w:pPr>
        <w:ind w:left="5040" w:hanging="360"/>
      </w:pPr>
      <w:rPr>
        <w:rFonts w:ascii="Symbol" w:hAnsi="Symbol" w:hint="default"/>
      </w:rPr>
    </w:lvl>
    <w:lvl w:ilvl="7" w:tplc="9F2E3564">
      <w:start w:val="1"/>
      <w:numFmt w:val="bullet"/>
      <w:lvlText w:val="o"/>
      <w:lvlJc w:val="left"/>
      <w:pPr>
        <w:ind w:left="5760" w:hanging="360"/>
      </w:pPr>
      <w:rPr>
        <w:rFonts w:ascii="Courier New" w:hAnsi="Courier New" w:hint="default"/>
      </w:rPr>
    </w:lvl>
    <w:lvl w:ilvl="8" w:tplc="AE6E5B5E">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C030FF"/>
    <w:multiLevelType w:val="hybridMultilevel"/>
    <w:tmpl w:val="FFFFFFFF"/>
    <w:lvl w:ilvl="0" w:tplc="2E5848E2">
      <w:start w:val="1"/>
      <w:numFmt w:val="bullet"/>
      <w:lvlText w:val=""/>
      <w:lvlJc w:val="left"/>
      <w:pPr>
        <w:ind w:left="720" w:hanging="360"/>
      </w:pPr>
      <w:rPr>
        <w:rFonts w:ascii="Symbol" w:hAnsi="Symbol" w:hint="default"/>
      </w:rPr>
    </w:lvl>
    <w:lvl w:ilvl="1" w:tplc="5B80D18C">
      <w:start w:val="1"/>
      <w:numFmt w:val="bullet"/>
      <w:lvlText w:val="o"/>
      <w:lvlJc w:val="left"/>
      <w:pPr>
        <w:ind w:left="1440" w:hanging="360"/>
      </w:pPr>
      <w:rPr>
        <w:rFonts w:ascii="Courier New" w:hAnsi="Courier New" w:hint="default"/>
      </w:rPr>
    </w:lvl>
    <w:lvl w:ilvl="2" w:tplc="63F0898C">
      <w:start w:val="1"/>
      <w:numFmt w:val="bullet"/>
      <w:lvlText w:val=""/>
      <w:lvlJc w:val="left"/>
      <w:pPr>
        <w:ind w:left="2160" w:hanging="360"/>
      </w:pPr>
      <w:rPr>
        <w:rFonts w:ascii="Wingdings" w:hAnsi="Wingdings" w:hint="default"/>
      </w:rPr>
    </w:lvl>
    <w:lvl w:ilvl="3" w:tplc="49F4A990">
      <w:start w:val="1"/>
      <w:numFmt w:val="bullet"/>
      <w:lvlText w:val=""/>
      <w:lvlJc w:val="left"/>
      <w:pPr>
        <w:ind w:left="2880" w:hanging="360"/>
      </w:pPr>
      <w:rPr>
        <w:rFonts w:ascii="Symbol" w:hAnsi="Symbol" w:hint="default"/>
      </w:rPr>
    </w:lvl>
    <w:lvl w:ilvl="4" w:tplc="A85C6A6E">
      <w:start w:val="1"/>
      <w:numFmt w:val="bullet"/>
      <w:lvlText w:val="o"/>
      <w:lvlJc w:val="left"/>
      <w:pPr>
        <w:ind w:left="3600" w:hanging="360"/>
      </w:pPr>
      <w:rPr>
        <w:rFonts w:ascii="Courier New" w:hAnsi="Courier New" w:hint="default"/>
      </w:rPr>
    </w:lvl>
    <w:lvl w:ilvl="5" w:tplc="944A5B96">
      <w:start w:val="1"/>
      <w:numFmt w:val="bullet"/>
      <w:lvlText w:val=""/>
      <w:lvlJc w:val="left"/>
      <w:pPr>
        <w:ind w:left="4320" w:hanging="360"/>
      </w:pPr>
      <w:rPr>
        <w:rFonts w:ascii="Wingdings" w:hAnsi="Wingdings" w:hint="default"/>
      </w:rPr>
    </w:lvl>
    <w:lvl w:ilvl="6" w:tplc="EDA44FD2">
      <w:start w:val="1"/>
      <w:numFmt w:val="bullet"/>
      <w:lvlText w:val=""/>
      <w:lvlJc w:val="left"/>
      <w:pPr>
        <w:ind w:left="5040" w:hanging="360"/>
      </w:pPr>
      <w:rPr>
        <w:rFonts w:ascii="Symbol" w:hAnsi="Symbol" w:hint="default"/>
      </w:rPr>
    </w:lvl>
    <w:lvl w:ilvl="7" w:tplc="9294DF32">
      <w:start w:val="1"/>
      <w:numFmt w:val="bullet"/>
      <w:lvlText w:val="o"/>
      <w:lvlJc w:val="left"/>
      <w:pPr>
        <w:ind w:left="5760" w:hanging="360"/>
      </w:pPr>
      <w:rPr>
        <w:rFonts w:ascii="Courier New" w:hAnsi="Courier New" w:hint="default"/>
      </w:rPr>
    </w:lvl>
    <w:lvl w:ilvl="8" w:tplc="1316ACEC">
      <w:start w:val="1"/>
      <w:numFmt w:val="bullet"/>
      <w:lvlText w:val=""/>
      <w:lvlJc w:val="left"/>
      <w:pPr>
        <w:ind w:left="6480" w:hanging="360"/>
      </w:pPr>
      <w:rPr>
        <w:rFonts w:ascii="Wingdings" w:hAnsi="Wingdings" w:hint="default"/>
      </w:rPr>
    </w:lvl>
  </w:abstractNum>
  <w:abstractNum w:abstractNumId="7" w15:restartNumberingAfterBreak="0">
    <w:nsid w:val="5E000668"/>
    <w:multiLevelType w:val="hybridMultilevel"/>
    <w:tmpl w:val="FFFFFFFF"/>
    <w:lvl w:ilvl="0" w:tplc="46382F5E">
      <w:start w:val="1"/>
      <w:numFmt w:val="decimal"/>
      <w:lvlText w:val="%1."/>
      <w:lvlJc w:val="left"/>
      <w:pPr>
        <w:ind w:left="720" w:hanging="360"/>
      </w:pPr>
    </w:lvl>
    <w:lvl w:ilvl="1" w:tplc="7BA00AA2">
      <w:start w:val="1"/>
      <w:numFmt w:val="lowerLetter"/>
      <w:lvlText w:val="%2."/>
      <w:lvlJc w:val="left"/>
      <w:pPr>
        <w:ind w:left="1440" w:hanging="360"/>
      </w:pPr>
    </w:lvl>
    <w:lvl w:ilvl="2" w:tplc="678E16B0">
      <w:start w:val="1"/>
      <w:numFmt w:val="lowerRoman"/>
      <w:lvlText w:val="%3."/>
      <w:lvlJc w:val="right"/>
      <w:pPr>
        <w:ind w:left="2160" w:hanging="180"/>
      </w:pPr>
    </w:lvl>
    <w:lvl w:ilvl="3" w:tplc="CFC2F700">
      <w:start w:val="1"/>
      <w:numFmt w:val="decimal"/>
      <w:lvlText w:val="%4."/>
      <w:lvlJc w:val="left"/>
      <w:pPr>
        <w:ind w:left="2880" w:hanging="360"/>
      </w:pPr>
    </w:lvl>
    <w:lvl w:ilvl="4" w:tplc="86F01262">
      <w:start w:val="1"/>
      <w:numFmt w:val="lowerLetter"/>
      <w:lvlText w:val="%5."/>
      <w:lvlJc w:val="left"/>
      <w:pPr>
        <w:ind w:left="3600" w:hanging="360"/>
      </w:pPr>
    </w:lvl>
    <w:lvl w:ilvl="5" w:tplc="B38A2DD0">
      <w:start w:val="1"/>
      <w:numFmt w:val="lowerRoman"/>
      <w:lvlText w:val="%6."/>
      <w:lvlJc w:val="right"/>
      <w:pPr>
        <w:ind w:left="4320" w:hanging="180"/>
      </w:pPr>
    </w:lvl>
    <w:lvl w:ilvl="6" w:tplc="DB18B9F8">
      <w:start w:val="1"/>
      <w:numFmt w:val="decimal"/>
      <w:lvlText w:val="%7."/>
      <w:lvlJc w:val="left"/>
      <w:pPr>
        <w:ind w:left="5040" w:hanging="360"/>
      </w:pPr>
    </w:lvl>
    <w:lvl w:ilvl="7" w:tplc="D334FCA2">
      <w:start w:val="1"/>
      <w:numFmt w:val="lowerLetter"/>
      <w:lvlText w:val="%8."/>
      <w:lvlJc w:val="left"/>
      <w:pPr>
        <w:ind w:left="5760" w:hanging="360"/>
      </w:pPr>
    </w:lvl>
    <w:lvl w:ilvl="8" w:tplc="A126A87A">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8"/>
  </w:num>
  <w:num w:numId="5" w16cid:durableId="2033219779">
    <w:abstractNumId w:val="10"/>
  </w:num>
  <w:num w:numId="6" w16cid:durableId="349645790">
    <w:abstractNumId w:val="9"/>
  </w:num>
  <w:num w:numId="7" w16cid:durableId="1451586466">
    <w:abstractNumId w:val="2"/>
  </w:num>
  <w:num w:numId="8" w16cid:durableId="211160445">
    <w:abstractNumId w:val="1"/>
  </w:num>
  <w:num w:numId="9" w16cid:durableId="969898289">
    <w:abstractNumId w:val="7"/>
  </w:num>
  <w:num w:numId="10" w16cid:durableId="306323192">
    <w:abstractNumId w:val="6"/>
  </w:num>
  <w:num w:numId="11" w16cid:durableId="1107044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44"/>
    <w:rsid w:val="00001B77"/>
    <w:rsid w:val="0000517A"/>
    <w:rsid w:val="00031E72"/>
    <w:rsid w:val="000404D2"/>
    <w:rsid w:val="000853C0"/>
    <w:rsid w:val="0009409E"/>
    <w:rsid w:val="000A1C21"/>
    <w:rsid w:val="000A21B8"/>
    <w:rsid w:val="000B6FF9"/>
    <w:rsid w:val="000C0BC5"/>
    <w:rsid w:val="000D15EA"/>
    <w:rsid w:val="000F0DF4"/>
    <w:rsid w:val="00100D84"/>
    <w:rsid w:val="00124C9D"/>
    <w:rsid w:val="00157773"/>
    <w:rsid w:val="00161FC2"/>
    <w:rsid w:val="0018251A"/>
    <w:rsid w:val="00190272"/>
    <w:rsid w:val="00193244"/>
    <w:rsid w:val="00193FEE"/>
    <w:rsid w:val="00195C6C"/>
    <w:rsid w:val="00195FED"/>
    <w:rsid w:val="001A4BD6"/>
    <w:rsid w:val="001A5DDF"/>
    <w:rsid w:val="001D5A18"/>
    <w:rsid w:val="001F0EEB"/>
    <w:rsid w:val="00280EB8"/>
    <w:rsid w:val="002A6670"/>
    <w:rsid w:val="00303502"/>
    <w:rsid w:val="00325C25"/>
    <w:rsid w:val="00372C8F"/>
    <w:rsid w:val="00380ECE"/>
    <w:rsid w:val="003832D8"/>
    <w:rsid w:val="00385B78"/>
    <w:rsid w:val="00392429"/>
    <w:rsid w:val="00393DDF"/>
    <w:rsid w:val="00397F55"/>
    <w:rsid w:val="003B4454"/>
    <w:rsid w:val="003C2E37"/>
    <w:rsid w:val="003F1415"/>
    <w:rsid w:val="0040144C"/>
    <w:rsid w:val="00403EB7"/>
    <w:rsid w:val="00416201"/>
    <w:rsid w:val="00430BF0"/>
    <w:rsid w:val="004672E6"/>
    <w:rsid w:val="00474ED1"/>
    <w:rsid w:val="00493085"/>
    <w:rsid w:val="004A36EC"/>
    <w:rsid w:val="004D163F"/>
    <w:rsid w:val="004E4BFF"/>
    <w:rsid w:val="004F2598"/>
    <w:rsid w:val="0053188D"/>
    <w:rsid w:val="005403F7"/>
    <w:rsid w:val="00540632"/>
    <w:rsid w:val="00541CF4"/>
    <w:rsid w:val="005451E8"/>
    <w:rsid w:val="005507F2"/>
    <w:rsid w:val="005759CC"/>
    <w:rsid w:val="00580944"/>
    <w:rsid w:val="005A72E1"/>
    <w:rsid w:val="005B7F56"/>
    <w:rsid w:val="005C6632"/>
    <w:rsid w:val="005D1C9E"/>
    <w:rsid w:val="00654257"/>
    <w:rsid w:val="0065435A"/>
    <w:rsid w:val="006A2DD3"/>
    <w:rsid w:val="006A5AF8"/>
    <w:rsid w:val="006C36CD"/>
    <w:rsid w:val="006F602F"/>
    <w:rsid w:val="00700D1F"/>
    <w:rsid w:val="007205CB"/>
    <w:rsid w:val="00726073"/>
    <w:rsid w:val="00734FE8"/>
    <w:rsid w:val="007360CE"/>
    <w:rsid w:val="00772315"/>
    <w:rsid w:val="00775157"/>
    <w:rsid w:val="007813AE"/>
    <w:rsid w:val="007A37DB"/>
    <w:rsid w:val="007E189D"/>
    <w:rsid w:val="007F3CC7"/>
    <w:rsid w:val="00811259"/>
    <w:rsid w:val="00813AA2"/>
    <w:rsid w:val="008173A3"/>
    <w:rsid w:val="008418F5"/>
    <w:rsid w:val="0086059C"/>
    <w:rsid w:val="00864589"/>
    <w:rsid w:val="00890AFB"/>
    <w:rsid w:val="00890FC4"/>
    <w:rsid w:val="00895905"/>
    <w:rsid w:val="00911867"/>
    <w:rsid w:val="00912B4F"/>
    <w:rsid w:val="009164A9"/>
    <w:rsid w:val="009258CB"/>
    <w:rsid w:val="0093362E"/>
    <w:rsid w:val="00944563"/>
    <w:rsid w:val="00953160"/>
    <w:rsid w:val="009625D8"/>
    <w:rsid w:val="0098459B"/>
    <w:rsid w:val="00997185"/>
    <w:rsid w:val="009C2458"/>
    <w:rsid w:val="009C4A7B"/>
    <w:rsid w:val="009C6123"/>
    <w:rsid w:val="009F1E3E"/>
    <w:rsid w:val="00A1213C"/>
    <w:rsid w:val="00A135FD"/>
    <w:rsid w:val="00A272FF"/>
    <w:rsid w:val="00A5354B"/>
    <w:rsid w:val="00A71B57"/>
    <w:rsid w:val="00AB42C1"/>
    <w:rsid w:val="00AC516F"/>
    <w:rsid w:val="00AE195F"/>
    <w:rsid w:val="00AE2926"/>
    <w:rsid w:val="00B0184B"/>
    <w:rsid w:val="00B035CD"/>
    <w:rsid w:val="00B0769D"/>
    <w:rsid w:val="00B16B05"/>
    <w:rsid w:val="00B217F8"/>
    <w:rsid w:val="00B332EA"/>
    <w:rsid w:val="00B40A53"/>
    <w:rsid w:val="00B45365"/>
    <w:rsid w:val="00B46A65"/>
    <w:rsid w:val="00B60184"/>
    <w:rsid w:val="00B62D20"/>
    <w:rsid w:val="00B81E75"/>
    <w:rsid w:val="00B95615"/>
    <w:rsid w:val="00BD1A5A"/>
    <w:rsid w:val="00BD7A9B"/>
    <w:rsid w:val="00BD7BE1"/>
    <w:rsid w:val="00BF416B"/>
    <w:rsid w:val="00C63B5A"/>
    <w:rsid w:val="00C64E4E"/>
    <w:rsid w:val="00C66E64"/>
    <w:rsid w:val="00C70727"/>
    <w:rsid w:val="00C761A0"/>
    <w:rsid w:val="00C85F7E"/>
    <w:rsid w:val="00C90D53"/>
    <w:rsid w:val="00CA0B2E"/>
    <w:rsid w:val="00CD47F0"/>
    <w:rsid w:val="00CD5566"/>
    <w:rsid w:val="00CD64D7"/>
    <w:rsid w:val="00CE6F22"/>
    <w:rsid w:val="00CF41F6"/>
    <w:rsid w:val="00CF7D3E"/>
    <w:rsid w:val="00D02B4E"/>
    <w:rsid w:val="00D21F11"/>
    <w:rsid w:val="00D36817"/>
    <w:rsid w:val="00D453EE"/>
    <w:rsid w:val="00D4797E"/>
    <w:rsid w:val="00D5666C"/>
    <w:rsid w:val="00D666BC"/>
    <w:rsid w:val="00D7031E"/>
    <w:rsid w:val="00D83542"/>
    <w:rsid w:val="00D92F45"/>
    <w:rsid w:val="00D94637"/>
    <w:rsid w:val="00D9725C"/>
    <w:rsid w:val="00DA7006"/>
    <w:rsid w:val="00DB3621"/>
    <w:rsid w:val="00DC4CBD"/>
    <w:rsid w:val="00DC6427"/>
    <w:rsid w:val="00DD66A1"/>
    <w:rsid w:val="00DE196D"/>
    <w:rsid w:val="00DF6B49"/>
    <w:rsid w:val="00E067C5"/>
    <w:rsid w:val="00E24D59"/>
    <w:rsid w:val="00E265BF"/>
    <w:rsid w:val="00E378D8"/>
    <w:rsid w:val="00E43A12"/>
    <w:rsid w:val="00E67C67"/>
    <w:rsid w:val="00E77476"/>
    <w:rsid w:val="00E8228B"/>
    <w:rsid w:val="00E84831"/>
    <w:rsid w:val="00E96444"/>
    <w:rsid w:val="00EE5706"/>
    <w:rsid w:val="00EF373D"/>
    <w:rsid w:val="00F11595"/>
    <w:rsid w:val="00F13BC9"/>
    <w:rsid w:val="00F21122"/>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3B4FF"/>
  <w15:docId w15:val="{54B89CFB-6343-41BD-83E9-72CE9CE1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paragraph">
    <w:name w:val="paragraph"/>
    <w:basedOn w:val="Normal"/>
    <w:rsid w:val="003832D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ListParagraphChar">
    <w:name w:val="List Paragraph Char"/>
    <w:link w:val="ListParagraph"/>
    <w:uiPriority w:val="34"/>
    <w:locked/>
    <w:rsid w:val="003832D8"/>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E9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36513946">
      <w:bodyDiv w:val="1"/>
      <w:marLeft w:val="0"/>
      <w:marRight w:val="0"/>
      <w:marTop w:val="0"/>
      <w:marBottom w:val="0"/>
      <w:divBdr>
        <w:top w:val="none" w:sz="0" w:space="0" w:color="auto"/>
        <w:left w:val="none" w:sz="0" w:space="0" w:color="auto"/>
        <w:bottom w:val="none" w:sz="0" w:space="0" w:color="auto"/>
        <w:right w:val="none" w:sz="0" w:space="0" w:color="auto"/>
      </w:divBdr>
    </w:div>
    <w:div w:id="83434108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11704416">
      <w:bodyDiv w:val="1"/>
      <w:marLeft w:val="0"/>
      <w:marRight w:val="0"/>
      <w:marTop w:val="0"/>
      <w:marBottom w:val="0"/>
      <w:divBdr>
        <w:top w:val="none" w:sz="0" w:space="0" w:color="auto"/>
        <w:left w:val="none" w:sz="0" w:space="0" w:color="auto"/>
        <w:bottom w:val="none" w:sz="0" w:space="0" w:color="auto"/>
        <w:right w:val="none" w:sz="0" w:space="0" w:color="auto"/>
      </w:divBdr>
    </w:div>
    <w:div w:id="1159729711">
      <w:bodyDiv w:val="1"/>
      <w:marLeft w:val="0"/>
      <w:marRight w:val="0"/>
      <w:marTop w:val="0"/>
      <w:marBottom w:val="0"/>
      <w:divBdr>
        <w:top w:val="none" w:sz="0" w:space="0" w:color="auto"/>
        <w:left w:val="none" w:sz="0" w:space="0" w:color="auto"/>
        <w:bottom w:val="none" w:sz="0" w:space="0" w:color="auto"/>
        <w:right w:val="none" w:sz="0" w:space="0" w:color="auto"/>
      </w:divBdr>
    </w:div>
    <w:div w:id="1251237092">
      <w:bodyDiv w:val="1"/>
      <w:marLeft w:val="0"/>
      <w:marRight w:val="0"/>
      <w:marTop w:val="0"/>
      <w:marBottom w:val="0"/>
      <w:divBdr>
        <w:top w:val="none" w:sz="0" w:space="0" w:color="auto"/>
        <w:left w:val="none" w:sz="0" w:space="0" w:color="auto"/>
        <w:bottom w:val="none" w:sz="0" w:space="0" w:color="auto"/>
        <w:right w:val="none" w:sz="0" w:space="0" w:color="auto"/>
      </w:divBdr>
    </w:div>
    <w:div w:id="126217966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20548441">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91847867">
      <w:bodyDiv w:val="1"/>
      <w:marLeft w:val="0"/>
      <w:marRight w:val="0"/>
      <w:marTop w:val="0"/>
      <w:marBottom w:val="0"/>
      <w:divBdr>
        <w:top w:val="none" w:sz="0" w:space="0" w:color="auto"/>
        <w:left w:val="none" w:sz="0" w:space="0" w:color="auto"/>
        <w:bottom w:val="none" w:sz="0" w:space="0" w:color="auto"/>
        <w:right w:val="none" w:sz="0" w:space="0" w:color="auto"/>
      </w:divBdr>
    </w:div>
    <w:div w:id="2097900961">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ResDec/Council-RES-1408-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ResDec/Council-RES-1408-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PP-C-0070/en" TargetMode="External"/><Relationship Id="rId4" Type="http://schemas.openxmlformats.org/officeDocument/2006/relationships/settings" Target="settings.xml"/><Relationship Id="rId9" Type="http://schemas.openxmlformats.org/officeDocument/2006/relationships/hyperlink" Target="https://www.itu.int/md/S22-PP-C-007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Regional-Presence/Europe/Documents/Publications/2023/RDNA%20-%20Ukraine.pdf" TargetMode="External"/><Relationship Id="rId1"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implementation of the ITU Council Resolution 1408 on assistance and support to Ukraine for rebuilding their telecommunication sector</dc:title>
  <dc:subject>Council 2023</dc:subject>
  <dc:creator>Li, Jianying</dc:creator>
  <cp:keywords>C2023, C23, Council-23</cp:keywords>
  <dc:description/>
  <cp:lastModifiedBy>Xue, Kun</cp:lastModifiedBy>
  <cp:revision>3</cp:revision>
  <cp:lastPrinted>2015-02-24T13:23:00Z</cp:lastPrinted>
  <dcterms:created xsi:type="dcterms:W3CDTF">2023-06-19T06:56:00Z</dcterms:created>
  <dcterms:modified xsi:type="dcterms:W3CDTF">2023-06-19T06:56:00Z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