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8A18AAE">
        <w:trPr>
          <w:cantSplit/>
          <w:trHeight w:val="23"/>
        </w:trPr>
        <w:tc>
          <w:tcPr>
            <w:tcW w:w="3969" w:type="dxa"/>
            <w:vMerge w:val="restart"/>
            <w:tcMar>
              <w:left w:w="0" w:type="dxa"/>
            </w:tcMar>
          </w:tcPr>
          <w:p w14:paraId="4F2DE73B" w14:textId="45A2608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8C02F7">
              <w:rPr>
                <w:b/>
              </w:rPr>
              <w:t>PL 2</w:t>
            </w:r>
          </w:p>
        </w:tc>
        <w:tc>
          <w:tcPr>
            <w:tcW w:w="5245" w:type="dxa"/>
          </w:tcPr>
          <w:p w14:paraId="2F0CB53A" w14:textId="69E0A858" w:rsidR="00AD3606" w:rsidRPr="00E85629" w:rsidRDefault="00AD3606" w:rsidP="00472BAD">
            <w:pPr>
              <w:tabs>
                <w:tab w:val="left" w:pos="851"/>
              </w:tabs>
              <w:spacing w:before="0" w:line="240" w:lineRule="atLeast"/>
              <w:jc w:val="right"/>
              <w:rPr>
                <w:b/>
              </w:rPr>
            </w:pPr>
            <w:r>
              <w:rPr>
                <w:b/>
              </w:rPr>
              <w:t>Document C23/</w:t>
            </w:r>
            <w:r w:rsidR="00B3032D">
              <w:rPr>
                <w:b/>
              </w:rPr>
              <w:t>59</w:t>
            </w:r>
            <w:r>
              <w:rPr>
                <w:b/>
              </w:rPr>
              <w:t>-E</w:t>
            </w:r>
          </w:p>
        </w:tc>
      </w:tr>
      <w:tr w:rsidR="00AD3606" w:rsidRPr="00813E5E" w14:paraId="777833CB" w14:textId="77777777" w:rsidTr="08A18AAE">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8A24613" w:rsidR="00AD3606" w:rsidRPr="00E85629" w:rsidRDefault="00715D7B" w:rsidP="00AD3606">
            <w:pPr>
              <w:tabs>
                <w:tab w:val="left" w:pos="851"/>
              </w:tabs>
              <w:spacing w:before="0"/>
              <w:jc w:val="right"/>
              <w:rPr>
                <w:b/>
              </w:rPr>
            </w:pPr>
            <w:r>
              <w:rPr>
                <w:b/>
              </w:rPr>
              <w:t>12</w:t>
            </w:r>
            <w:r w:rsidR="004B65E8">
              <w:rPr>
                <w:b/>
              </w:rPr>
              <w:t xml:space="preserve"> June</w:t>
            </w:r>
            <w:r w:rsidR="00AD3606">
              <w:rPr>
                <w:b/>
              </w:rPr>
              <w:t xml:space="preserve"> 2023</w:t>
            </w:r>
          </w:p>
        </w:tc>
      </w:tr>
      <w:tr w:rsidR="00AD3606" w:rsidRPr="00813E5E" w14:paraId="082C2282" w14:textId="77777777" w:rsidTr="08A18AAE">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8A18AAE">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8A18AAE">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8A18AAE">
        <w:trPr>
          <w:cantSplit/>
        </w:trPr>
        <w:tc>
          <w:tcPr>
            <w:tcW w:w="9214" w:type="dxa"/>
            <w:gridSpan w:val="2"/>
            <w:tcMar>
              <w:left w:w="0" w:type="dxa"/>
            </w:tcMar>
          </w:tcPr>
          <w:p w14:paraId="556A1BCF" w14:textId="18B46A55" w:rsidR="00AD3606" w:rsidRPr="00813E5E" w:rsidRDefault="004B65E8" w:rsidP="00DF0189">
            <w:pPr>
              <w:pStyle w:val="Subtitle1"/>
              <w:framePr w:hSpace="0" w:wrap="auto" w:hAnchor="text" w:xAlign="left" w:yAlign="inline"/>
            </w:pPr>
            <w:bookmarkStart w:id="5" w:name="_Hlk137124864"/>
            <w:bookmarkStart w:id="6" w:name="dtitle1" w:colFirst="0" w:colLast="0"/>
            <w:bookmarkEnd w:id="4"/>
            <w:r w:rsidRPr="004B65E8">
              <w:t>UPDATE ON THE IMPLEMENTATION OF ITU COUNCIL RESOLUTION</w:t>
            </w:r>
            <w:r w:rsidR="008C02F7">
              <w:t> </w:t>
            </w:r>
            <w:r w:rsidRPr="004B65E8">
              <w:t>1408 ON ASSISTANCE AND SUPPORT TO UKRAINE FOR REBUILDING THEIR TELECOMMUNICATION SECTOR</w:t>
            </w:r>
            <w:bookmarkEnd w:id="5"/>
          </w:p>
        </w:tc>
      </w:tr>
      <w:tr w:rsidR="00AD3606" w:rsidRPr="00813E5E" w14:paraId="59287389" w14:textId="77777777" w:rsidTr="08A18AAE">
        <w:trPr>
          <w:cantSplit/>
        </w:trPr>
        <w:tc>
          <w:tcPr>
            <w:tcW w:w="9214" w:type="dxa"/>
            <w:gridSpan w:val="2"/>
            <w:tcBorders>
              <w:top w:val="single" w:sz="4" w:space="0" w:color="auto"/>
              <w:bottom w:val="single" w:sz="4" w:space="0" w:color="auto"/>
            </w:tcBorders>
            <w:tcMar>
              <w:left w:w="0" w:type="dxa"/>
            </w:tcMar>
          </w:tcPr>
          <w:p w14:paraId="0B6A23DF" w14:textId="2742F1F6" w:rsidR="00AD3606" w:rsidRPr="00F16BAB" w:rsidRDefault="00F16BAB" w:rsidP="00F16BAB">
            <w:pPr>
              <w:spacing w:before="160"/>
              <w:rPr>
                <w:b/>
                <w:bCs/>
                <w:sz w:val="26"/>
                <w:szCs w:val="26"/>
              </w:rPr>
            </w:pPr>
            <w:r w:rsidRPr="00F16BAB">
              <w:rPr>
                <w:b/>
                <w:bCs/>
                <w:sz w:val="26"/>
                <w:szCs w:val="26"/>
              </w:rPr>
              <w:t>Purpose</w:t>
            </w:r>
          </w:p>
          <w:p w14:paraId="01EEEAC5" w14:textId="1AAC799B" w:rsidR="00AD3606" w:rsidRPr="00813E5E" w:rsidRDefault="004B65E8" w:rsidP="00F16BAB">
            <w:r w:rsidRPr="004B65E8">
              <w:t xml:space="preserve">This report outlines the activities and developments since the Plenipotentiary Conference (Bucharest, 2022), on assistance and support to Ukraine for rebuilding their telecommunication sector in response to the </w:t>
            </w:r>
            <w:r w:rsidRPr="002D6B34">
              <w:rPr>
                <w:i/>
                <w:iCs/>
              </w:rPr>
              <w:t>resolves</w:t>
            </w:r>
            <w:r w:rsidRPr="004B65E8">
              <w:t xml:space="preserve"> of the ITU Council Resolution</w:t>
            </w:r>
            <w:r w:rsidR="001E7866">
              <w:t> </w:t>
            </w:r>
            <w:r w:rsidRPr="004B65E8">
              <w:t>1408</w:t>
            </w:r>
            <w:r w:rsidR="001E7866">
              <w:t xml:space="preserve"> (C22)</w:t>
            </w:r>
            <w:r w:rsidRPr="004B65E8">
              <w:t xml:space="preserve">, </w:t>
            </w:r>
            <w:proofErr w:type="gramStart"/>
            <w:r w:rsidRPr="004B65E8">
              <w:t>in</w:t>
            </w:r>
            <w:r>
              <w:t> </w:t>
            </w:r>
            <w:r w:rsidRPr="004B65E8">
              <w:t>particular focusing</w:t>
            </w:r>
            <w:proofErr w:type="gramEnd"/>
            <w:r w:rsidRPr="004B65E8">
              <w:t xml:space="preserve"> on monitoring and reporting, coordination mechanisms, facilitation of technical assistance, and mobilization of resources.</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46601DD9" w:rsidR="00AD3606" w:rsidRPr="00484009" w:rsidRDefault="004B65E8" w:rsidP="00AD3606">
            <w:r w:rsidRPr="004B65E8">
              <w:t xml:space="preserve">The Council is invited </w:t>
            </w:r>
            <w:r w:rsidRPr="004B65E8">
              <w:rPr>
                <w:b/>
                <w:bCs/>
              </w:rPr>
              <w:t>to note</w:t>
            </w:r>
            <w:r w:rsidRPr="004B65E8">
              <w:t xml:space="preserve"> this report.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460799FE" w:rsidR="00F16BAB" w:rsidRPr="00F16BAB" w:rsidRDefault="002D6B34" w:rsidP="00F16BAB">
            <w:r w:rsidRPr="002D6B34">
              <w:t>Provision of Technical Assistance.</w:t>
            </w:r>
          </w:p>
          <w:p w14:paraId="74189BBD" w14:textId="425AEA08" w:rsidR="00F16BAB" w:rsidRDefault="00F16BAB" w:rsidP="00F16BAB">
            <w:pPr>
              <w:spacing w:before="160"/>
              <w:rPr>
                <w:szCs w:val="24"/>
              </w:rPr>
            </w:pPr>
            <w:r>
              <w:rPr>
                <w:b/>
                <w:bCs/>
                <w:sz w:val="26"/>
                <w:szCs w:val="26"/>
              </w:rPr>
              <w:t xml:space="preserve">Financial implications: </w:t>
            </w:r>
          </w:p>
          <w:p w14:paraId="55742CEF" w14:textId="489558F8" w:rsidR="002D6B34" w:rsidRDefault="144F2F80" w:rsidP="00F16BAB">
            <w:pPr>
              <w:spacing w:before="160"/>
              <w:rPr>
                <w:b/>
                <w:bCs/>
                <w:sz w:val="26"/>
                <w:szCs w:val="26"/>
              </w:rPr>
            </w:pPr>
            <w:r>
              <w:t xml:space="preserve">140,000 CHF, including 20,000 CHF from the ITU budget, 100,000 CHF in monetary voluntary contributions, and 20,000 CHF in-kind </w:t>
            </w:r>
            <w:proofErr w:type="gramStart"/>
            <w:r>
              <w:t>contribution</w:t>
            </w:r>
            <w:proofErr w:type="gramEnd"/>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5E478BD0" w:rsidR="00AD3606" w:rsidRDefault="004B65E8" w:rsidP="00F16BAB">
            <w:pPr>
              <w:spacing w:after="160"/>
            </w:pPr>
            <w:r>
              <w:t xml:space="preserve">Council </w:t>
            </w:r>
            <w:hyperlink r:id="rId11" w:history="1">
              <w:r w:rsidRPr="001C5421">
                <w:rPr>
                  <w:rStyle w:val="Hyperlink"/>
                </w:rPr>
                <w:t>Resolution 1408 (C22)</w:t>
              </w:r>
            </w:hyperlink>
            <w:r>
              <w:t xml:space="preserve">; document </w:t>
            </w:r>
            <w:hyperlink r:id="rId12" w:history="1">
              <w:r w:rsidRPr="004B65E8">
                <w:rPr>
                  <w:rStyle w:val="Hyperlink"/>
                </w:rPr>
                <w:t>PP-22/70</w:t>
              </w:r>
            </w:hyperlink>
            <w:r>
              <w:t xml:space="preserve"> of the Plenipotentiary Conference</w:t>
            </w:r>
          </w:p>
        </w:tc>
      </w:tr>
      <w:bookmarkEnd w:id="6"/>
    </w:tbl>
    <w:p w14:paraId="7FE52F59" w14:textId="77777777" w:rsidR="0090147A" w:rsidRPr="000057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05754">
        <w:br w:type="page"/>
      </w:r>
    </w:p>
    <w:p w14:paraId="1EEEFC31" w14:textId="77777777" w:rsidR="004B65E8" w:rsidRPr="007D3E5C" w:rsidRDefault="004B65E8" w:rsidP="0053368B">
      <w:pPr>
        <w:pStyle w:val="paragraph"/>
        <w:numPr>
          <w:ilvl w:val="0"/>
          <w:numId w:val="3"/>
        </w:numPr>
        <w:spacing w:before="120" w:beforeAutospacing="0" w:after="120" w:afterAutospacing="0"/>
        <w:ind w:left="0" w:firstLine="0"/>
        <w:jc w:val="both"/>
        <w:textAlignment w:val="baseline"/>
        <w:rPr>
          <w:rFonts w:asciiTheme="minorHAnsi" w:hAnsiTheme="minorHAnsi" w:cstheme="minorBidi"/>
          <w:b/>
          <w:lang w:val="en-US" w:eastAsia="zh-CN"/>
        </w:rPr>
      </w:pPr>
      <w:r w:rsidRPr="007D3E5C">
        <w:rPr>
          <w:rFonts w:asciiTheme="minorHAnsi" w:hAnsiTheme="minorHAnsi" w:cstheme="minorBidi"/>
          <w:b/>
          <w:lang w:val="en-US" w:eastAsia="zh-CN"/>
        </w:rPr>
        <w:lastRenderedPageBreak/>
        <w:t>Introduction</w:t>
      </w:r>
    </w:p>
    <w:p w14:paraId="514DA776" w14:textId="42F17026" w:rsidR="004B65E8" w:rsidRDefault="004B65E8" w:rsidP="0053368B">
      <w:pPr>
        <w:tabs>
          <w:tab w:val="clear" w:pos="567"/>
          <w:tab w:val="clear" w:pos="1134"/>
          <w:tab w:val="clear" w:pos="1701"/>
          <w:tab w:val="clear" w:pos="2268"/>
          <w:tab w:val="clear" w:pos="2835"/>
        </w:tabs>
        <w:spacing w:after="120"/>
        <w:jc w:val="both"/>
        <w:rPr>
          <w:rFonts w:cs="Calibri"/>
          <w:lang w:eastAsia="zh-CN"/>
        </w:rPr>
      </w:pPr>
      <w:r w:rsidRPr="004C3DDE">
        <w:rPr>
          <w:rFonts w:cs="Segoe UI"/>
        </w:rPr>
        <w:t xml:space="preserve">This report summarizes the actions </w:t>
      </w:r>
      <w:r>
        <w:rPr>
          <w:rFonts w:cs="Segoe UI"/>
        </w:rPr>
        <w:t xml:space="preserve">the </w:t>
      </w:r>
      <w:r w:rsidRPr="004C3DDE">
        <w:rPr>
          <w:rFonts w:cs="Segoe UI"/>
        </w:rPr>
        <w:t>ITU</w:t>
      </w:r>
      <w:r>
        <w:rPr>
          <w:rFonts w:cs="Segoe UI"/>
        </w:rPr>
        <w:t xml:space="preserve"> secretariat</w:t>
      </w:r>
      <w:r w:rsidRPr="004C3DDE">
        <w:rPr>
          <w:rFonts w:cs="Segoe UI"/>
        </w:rPr>
        <w:t xml:space="preserve"> has </w:t>
      </w:r>
      <w:r>
        <w:rPr>
          <w:rFonts w:cs="Segoe UI"/>
        </w:rPr>
        <w:t>been under</w:t>
      </w:r>
      <w:r w:rsidRPr="004C3DDE">
        <w:rPr>
          <w:rFonts w:cs="Segoe UI"/>
        </w:rPr>
        <w:t>tak</w:t>
      </w:r>
      <w:r>
        <w:rPr>
          <w:rFonts w:cs="Segoe UI"/>
        </w:rPr>
        <w:t>ing</w:t>
      </w:r>
      <w:r w:rsidRPr="004C3DDE">
        <w:rPr>
          <w:rFonts w:cs="Segoe UI"/>
        </w:rPr>
        <w:t xml:space="preserve"> </w:t>
      </w:r>
      <w:r>
        <w:rPr>
          <w:rFonts w:cs="Segoe UI"/>
        </w:rPr>
        <w:t xml:space="preserve">to address the </w:t>
      </w:r>
      <w:r w:rsidRPr="00645A2D">
        <w:rPr>
          <w:rFonts w:cs="Segoe UI"/>
          <w:i/>
          <w:iCs/>
        </w:rPr>
        <w:t>resolves</w:t>
      </w:r>
      <w:r>
        <w:rPr>
          <w:rFonts w:cs="Segoe UI"/>
        </w:rPr>
        <w:t xml:space="preserve"> of </w:t>
      </w:r>
      <w:r w:rsidRPr="00983145">
        <w:t xml:space="preserve">ITU Council </w:t>
      </w:r>
      <w:hyperlink r:id="rId13" w:history="1">
        <w:r w:rsidRPr="00166600">
          <w:rPr>
            <w:rStyle w:val="Hyperlink"/>
            <w:rFonts w:asciiTheme="minorHAnsi" w:hAnsiTheme="minorHAnsi" w:cstheme="minorHAnsi"/>
            <w:szCs w:val="24"/>
          </w:rPr>
          <w:t>Resolution 1408</w:t>
        </w:r>
      </w:hyperlink>
      <w:r w:rsidRPr="00983145">
        <w:t xml:space="preserve"> on “</w:t>
      </w:r>
      <w:r w:rsidRPr="00983145">
        <w:rPr>
          <w:b/>
          <w:bCs/>
        </w:rPr>
        <w:t>Assistance and support to Ukraine for rebuilding their telecommunication sector</w:t>
      </w:r>
      <w:r w:rsidRPr="00983145">
        <w:t>”</w:t>
      </w:r>
      <w:r>
        <w:t xml:space="preserve">, </w:t>
      </w:r>
      <w:r>
        <w:rPr>
          <w:rFonts w:cs="Segoe UI"/>
        </w:rPr>
        <w:t xml:space="preserve">in particular focusing on monitoring and reporting, coordination mechanisms, facilitation of technical assistance, and mobilization of resources, being carried out since the last reporting to the ITU Plenipotentiary Conference </w:t>
      </w:r>
      <w:r w:rsidR="00457D53">
        <w:rPr>
          <w:rFonts w:cs="Segoe UI"/>
        </w:rPr>
        <w:t>(</w:t>
      </w:r>
      <w:r w:rsidRPr="001E7866">
        <w:rPr>
          <w:rFonts w:asciiTheme="minorHAnsi" w:hAnsiTheme="minorHAnsi" w:cstheme="minorHAnsi"/>
          <w:szCs w:val="24"/>
          <w:bdr w:val="none" w:sz="0" w:space="0" w:color="auto" w:frame="1"/>
        </w:rPr>
        <w:t xml:space="preserve">Document </w:t>
      </w:r>
      <w:hyperlink r:id="rId14" w:history="1">
        <w:r w:rsidRPr="001E7866">
          <w:rPr>
            <w:rStyle w:val="Hyperlink"/>
            <w:rFonts w:asciiTheme="minorHAnsi" w:hAnsiTheme="minorHAnsi" w:cstheme="minorHAnsi"/>
            <w:szCs w:val="24"/>
            <w:bdr w:val="none" w:sz="0" w:space="0" w:color="auto" w:frame="1"/>
          </w:rPr>
          <w:t>PP-22/70</w:t>
        </w:r>
      </w:hyperlink>
      <w:r w:rsidR="00457D53" w:rsidRPr="00457D53">
        <w:rPr>
          <w:rStyle w:val="Hyperlink"/>
          <w:rFonts w:asciiTheme="minorHAnsi" w:hAnsiTheme="minorHAnsi" w:cstheme="minorHAnsi"/>
          <w:color w:val="auto"/>
          <w:szCs w:val="24"/>
          <w:u w:val="none"/>
          <w:bdr w:val="none" w:sz="0" w:space="0" w:color="auto" w:frame="1"/>
        </w:rPr>
        <w:t>)</w:t>
      </w:r>
      <w:r w:rsidRPr="004C3DDE">
        <w:rPr>
          <w:rFonts w:cs="Calibri"/>
          <w:lang w:eastAsia="zh-CN"/>
        </w:rPr>
        <w:t>.</w:t>
      </w:r>
      <w:r>
        <w:rPr>
          <w:rFonts w:cs="Calibri"/>
          <w:lang w:eastAsia="zh-CN"/>
        </w:rPr>
        <w:t xml:space="preserve"> </w:t>
      </w:r>
    </w:p>
    <w:p w14:paraId="2B1E3488" w14:textId="77777777" w:rsidR="004B65E8" w:rsidRPr="007D3E5C" w:rsidRDefault="004B65E8" w:rsidP="00645A2D">
      <w:pPr>
        <w:pStyle w:val="Heading2"/>
        <w:tabs>
          <w:tab w:val="clear" w:pos="567"/>
          <w:tab w:val="clear" w:pos="1134"/>
          <w:tab w:val="clear" w:pos="1701"/>
          <w:tab w:val="clear" w:pos="2268"/>
          <w:tab w:val="clear" w:pos="2835"/>
        </w:tabs>
        <w:spacing w:before="240" w:after="120"/>
        <w:rPr>
          <w:rFonts w:cs="Calibri"/>
          <w:szCs w:val="24"/>
          <w:lang w:eastAsia="zh-CN"/>
        </w:rPr>
      </w:pPr>
      <w:r w:rsidRPr="007D3E5C">
        <w:rPr>
          <w:rFonts w:cs="Calibri"/>
          <w:szCs w:val="24"/>
          <w:lang w:eastAsia="zh-CN"/>
        </w:rPr>
        <w:t>2.</w:t>
      </w:r>
      <w:r w:rsidRPr="007D3E5C">
        <w:rPr>
          <w:rFonts w:cs="Calibri"/>
          <w:szCs w:val="24"/>
          <w:lang w:eastAsia="zh-CN"/>
        </w:rPr>
        <w:tab/>
      </w:r>
      <w:r w:rsidRPr="007D3E5C">
        <w:rPr>
          <w:szCs w:val="24"/>
        </w:rPr>
        <w:t>Monitoring and reporting</w:t>
      </w:r>
    </w:p>
    <w:p w14:paraId="40D21701" w14:textId="1DAC0887" w:rsidR="004B65E8" w:rsidRDefault="004B65E8" w:rsidP="0053368B">
      <w:pPr>
        <w:tabs>
          <w:tab w:val="clear" w:pos="567"/>
          <w:tab w:val="clear" w:pos="1134"/>
          <w:tab w:val="clear" w:pos="1701"/>
          <w:tab w:val="clear" w:pos="2268"/>
          <w:tab w:val="clear" w:pos="2835"/>
        </w:tabs>
        <w:spacing w:after="120"/>
        <w:jc w:val="both"/>
        <w:rPr>
          <w:rFonts w:cs="Calibri"/>
          <w:lang w:eastAsia="zh-CN"/>
        </w:rPr>
      </w:pPr>
      <w:r>
        <w:t>With the aim of facilitating effective technical assistance, a constant monitoring of digital resilience in Ukraine was continued. A s</w:t>
      </w:r>
      <w:r w:rsidRPr="1077333B">
        <w:rPr>
          <w:rFonts w:cs="Calibri"/>
          <w:lang w:eastAsia="zh-CN"/>
        </w:rPr>
        <w:t xml:space="preserve">pecial website, dedicated to the implementation of </w:t>
      </w:r>
      <w:r w:rsidR="002B353E" w:rsidRPr="1077333B">
        <w:rPr>
          <w:rFonts w:cs="Calibri"/>
          <w:lang w:eastAsia="zh-CN"/>
        </w:rPr>
        <w:t>Council</w:t>
      </w:r>
      <w:r w:rsidRPr="1077333B">
        <w:rPr>
          <w:rFonts w:cs="Calibri"/>
          <w:lang w:eastAsia="zh-CN"/>
        </w:rPr>
        <w:t xml:space="preserve"> Resolution 1408, was constantly updated and is available </w:t>
      </w:r>
      <w:hyperlink r:id="rId15">
        <w:r w:rsidRPr="1077333B">
          <w:rPr>
            <w:rStyle w:val="Hyperlink"/>
            <w:rFonts w:cs="Calibri"/>
            <w:lang w:eastAsia="zh-CN"/>
          </w:rPr>
          <w:t>he</w:t>
        </w:r>
        <w:r w:rsidRPr="1077333B">
          <w:rPr>
            <w:rStyle w:val="Hyperlink"/>
            <w:rFonts w:cs="Calibri"/>
            <w:lang w:eastAsia="zh-CN"/>
          </w:rPr>
          <w:t>r</w:t>
        </w:r>
        <w:r w:rsidRPr="1077333B">
          <w:rPr>
            <w:rStyle w:val="Hyperlink"/>
            <w:rFonts w:cs="Calibri"/>
            <w:lang w:eastAsia="zh-CN"/>
          </w:rPr>
          <w:t>e</w:t>
        </w:r>
      </w:hyperlink>
      <w:r w:rsidRPr="1077333B">
        <w:rPr>
          <w:rFonts w:cs="Calibri"/>
          <w:lang w:eastAsia="zh-CN"/>
        </w:rPr>
        <w:t>.</w:t>
      </w:r>
    </w:p>
    <w:p w14:paraId="56C953C9" w14:textId="77777777" w:rsidR="004B65E8" w:rsidRDefault="004B65E8" w:rsidP="007D3E5C">
      <w:pPr>
        <w:tabs>
          <w:tab w:val="clear" w:pos="567"/>
          <w:tab w:val="clear" w:pos="1134"/>
          <w:tab w:val="clear" w:pos="1701"/>
          <w:tab w:val="clear" w:pos="2268"/>
          <w:tab w:val="clear" w:pos="2835"/>
        </w:tabs>
        <w:spacing w:before="240" w:after="120"/>
        <w:jc w:val="both"/>
        <w:rPr>
          <w:rFonts w:cs="Calibri"/>
          <w:lang w:eastAsia="zh-CN"/>
        </w:rPr>
      </w:pPr>
      <w:r w:rsidRPr="7F7AB213">
        <w:rPr>
          <w:b/>
          <w:bCs/>
        </w:rPr>
        <w:t xml:space="preserve">A. </w:t>
      </w:r>
      <w:r w:rsidRPr="0E6CA706">
        <w:rPr>
          <w:b/>
          <w:bCs/>
        </w:rPr>
        <w:t>The interim assessment on damages to telecommunication infrastructure and resilience of the ICT ecosystem in Ukraine</w:t>
      </w:r>
      <w:r>
        <w:rPr>
          <w:rFonts w:ascii="Arial" w:hAnsi="Arial" w:cs="Arial"/>
          <w:color w:val="444444"/>
          <w:sz w:val="18"/>
          <w:szCs w:val="18"/>
          <w:bdr w:val="none" w:sz="0" w:space="0" w:color="auto" w:frame="1"/>
        </w:rPr>
        <w:t xml:space="preserve"> </w:t>
      </w:r>
      <w:r w:rsidRPr="00350E2C">
        <w:rPr>
          <w:rFonts w:cs="Calibri"/>
          <w:lang w:eastAsia="zh-CN"/>
        </w:rPr>
        <w:t xml:space="preserve">was </w:t>
      </w:r>
      <w:r>
        <w:rPr>
          <w:rFonts w:cs="Calibri"/>
          <w:lang w:eastAsia="zh-CN"/>
        </w:rPr>
        <w:t xml:space="preserve">published in December 2022 </w:t>
      </w:r>
      <w:r w:rsidRPr="00350E2C">
        <w:rPr>
          <w:rFonts w:cs="Calibri"/>
          <w:lang w:eastAsia="zh-CN"/>
        </w:rPr>
        <w:t>to serve the purpose of programming effective assistance to Ukraine and of facilitating resource mobilization to rebuild the telecommunication infrastructure in Ukraine</w:t>
      </w:r>
      <w:r w:rsidRPr="002B353E">
        <w:rPr>
          <w:rStyle w:val="FootnoteReference"/>
          <w:rFonts w:cs="Calibri"/>
          <w:sz w:val="18"/>
          <w:szCs w:val="18"/>
          <w:vertAlign w:val="superscript"/>
          <w:lang w:eastAsia="zh-CN"/>
        </w:rPr>
        <w:footnoteReference w:id="1"/>
      </w:r>
      <w:r w:rsidRPr="00350E2C">
        <w:rPr>
          <w:rFonts w:cs="Calibri"/>
          <w:lang w:eastAsia="zh-CN"/>
        </w:rPr>
        <w:t xml:space="preserve">. </w:t>
      </w:r>
    </w:p>
    <w:p w14:paraId="04A0185F" w14:textId="77777777" w:rsidR="004B65E8" w:rsidRPr="004C3DDE" w:rsidRDefault="004B65E8" w:rsidP="0053368B">
      <w:pPr>
        <w:tabs>
          <w:tab w:val="clear" w:pos="567"/>
          <w:tab w:val="clear" w:pos="1134"/>
          <w:tab w:val="clear" w:pos="1701"/>
          <w:tab w:val="clear" w:pos="2268"/>
          <w:tab w:val="clear" w:pos="2835"/>
        </w:tabs>
        <w:spacing w:after="120"/>
        <w:jc w:val="both"/>
        <w:rPr>
          <w:rFonts w:cs="Calibri"/>
          <w:szCs w:val="24"/>
          <w:lang w:eastAsia="zh-CN"/>
        </w:rPr>
      </w:pPr>
      <w:r w:rsidRPr="7F7AB213">
        <w:rPr>
          <w:rFonts w:cs="Calibri"/>
          <w:lang w:eastAsia="zh-CN"/>
        </w:rPr>
        <w:t xml:space="preserve">The report </w:t>
      </w:r>
      <w:r>
        <w:rPr>
          <w:rFonts w:cs="Calibri"/>
          <w:lang w:eastAsia="zh-CN"/>
        </w:rPr>
        <w:t xml:space="preserve">covers the period of first six months of the war and </w:t>
      </w:r>
      <w:r w:rsidRPr="7F7AB213">
        <w:rPr>
          <w:rFonts w:cs="Calibri"/>
          <w:lang w:eastAsia="zh-CN"/>
        </w:rPr>
        <w:t xml:space="preserve">states that at the level of public and private policies, and emergency measures, the Ukraine telecommunication sector has proven to be resilient, however: </w:t>
      </w:r>
    </w:p>
    <w:p w14:paraId="0CD39988" w14:textId="77777777" w:rsidR="004B65E8" w:rsidRPr="004C3DDE" w:rsidRDefault="004B65E8" w:rsidP="00645A2D">
      <w:pPr>
        <w:pStyle w:val="ListParagraph"/>
        <w:numPr>
          <w:ilvl w:val="0"/>
          <w:numId w:val="5"/>
        </w:numPr>
        <w:spacing w:before="40" w:after="60" w:line="240" w:lineRule="auto"/>
        <w:ind w:hanging="436"/>
        <w:contextualSpacing w:val="0"/>
        <w:jc w:val="both"/>
        <w:rPr>
          <w:rFonts w:ascii="Calibri" w:eastAsia="SimSun" w:hAnsi="Calibri" w:cs="Arial"/>
          <w:lang w:val="en-GB"/>
        </w:rPr>
      </w:pPr>
      <w:r w:rsidRPr="7F7AB213">
        <w:rPr>
          <w:rFonts w:ascii="Calibri" w:eastAsia="SimSun" w:hAnsi="Calibri" w:cs="Calibri"/>
          <w:sz w:val="24"/>
          <w:szCs w:val="24"/>
          <w:lang w:val="en-GB"/>
        </w:rPr>
        <w:t xml:space="preserve">ICT networks of operators were partially and, in some instances, fully destroyed or </w:t>
      </w:r>
      <w:proofErr w:type="gramStart"/>
      <w:r w:rsidRPr="7F7AB213">
        <w:rPr>
          <w:rFonts w:ascii="Calibri" w:eastAsia="SimSun" w:hAnsi="Calibri" w:cs="Calibri"/>
          <w:sz w:val="24"/>
          <w:szCs w:val="24"/>
          <w:lang w:val="en-GB"/>
        </w:rPr>
        <w:t>occupied;</w:t>
      </w:r>
      <w:proofErr w:type="gramEnd"/>
    </w:p>
    <w:p w14:paraId="2CB59F8B" w14:textId="77777777" w:rsidR="004B65E8" w:rsidRPr="004C3DDE" w:rsidRDefault="004B65E8" w:rsidP="00645A2D">
      <w:pPr>
        <w:pStyle w:val="ListParagraph"/>
        <w:numPr>
          <w:ilvl w:val="0"/>
          <w:numId w:val="5"/>
        </w:numPr>
        <w:spacing w:before="40" w:after="60" w:line="240" w:lineRule="auto"/>
        <w:ind w:hanging="436"/>
        <w:contextualSpacing w:val="0"/>
        <w:jc w:val="both"/>
        <w:rPr>
          <w:rFonts w:ascii="Calibri" w:eastAsia="SimSun" w:hAnsi="Calibri" w:cs="Arial"/>
          <w:lang w:val="en-GB"/>
        </w:rPr>
      </w:pPr>
      <w:r w:rsidRPr="7F7AB213">
        <w:rPr>
          <w:rFonts w:ascii="Calibri" w:eastAsia="SimSun" w:hAnsi="Calibri" w:cs="Calibri"/>
          <w:sz w:val="24"/>
          <w:szCs w:val="24"/>
          <w:lang w:val="en-GB"/>
        </w:rPr>
        <w:t xml:space="preserve">within a period of six months of war, 1123 cyberattacks were reported, targeting all the sectors of the economy of Ukraine, including IT and </w:t>
      </w:r>
      <w:proofErr w:type="gramStart"/>
      <w:r w:rsidRPr="7F7AB213">
        <w:rPr>
          <w:rFonts w:ascii="Calibri" w:eastAsia="SimSun" w:hAnsi="Calibri" w:cs="Calibri"/>
          <w:sz w:val="24"/>
          <w:szCs w:val="24"/>
          <w:lang w:val="en-GB"/>
        </w:rPr>
        <w:t>telecommunications;</w:t>
      </w:r>
      <w:proofErr w:type="gramEnd"/>
    </w:p>
    <w:p w14:paraId="4EB6669F" w14:textId="77777777" w:rsidR="004B65E8" w:rsidRPr="004C3DDE" w:rsidRDefault="004B65E8" w:rsidP="00645A2D">
      <w:pPr>
        <w:pStyle w:val="ListParagraph"/>
        <w:numPr>
          <w:ilvl w:val="0"/>
          <w:numId w:val="5"/>
        </w:numPr>
        <w:spacing w:before="40" w:after="60" w:line="240" w:lineRule="auto"/>
        <w:ind w:hanging="436"/>
        <w:contextualSpacing w:val="0"/>
        <w:jc w:val="both"/>
        <w:rPr>
          <w:rFonts w:ascii="Calibri" w:eastAsia="SimSun" w:hAnsi="Calibri" w:cs="Arial"/>
          <w:lang w:val="en-GB"/>
        </w:rPr>
      </w:pPr>
      <w:r w:rsidRPr="7F7AB213">
        <w:rPr>
          <w:rFonts w:ascii="Calibri" w:eastAsia="SimSun" w:hAnsi="Calibri" w:cs="Calibri"/>
          <w:sz w:val="24"/>
          <w:szCs w:val="24"/>
          <w:lang w:val="en-GB"/>
        </w:rPr>
        <w:t xml:space="preserve">as of July 2022, 12.2 per cent of homes lost access to mobile communications services (3.1 per cent partially), 11 per cent of base stations of mobile operators were out of service and 20 per cent of the country's telecommunication infrastructure was damaged or </w:t>
      </w:r>
      <w:proofErr w:type="gramStart"/>
      <w:r w:rsidRPr="7F7AB213">
        <w:rPr>
          <w:rFonts w:ascii="Calibri" w:eastAsia="SimSun" w:hAnsi="Calibri" w:cs="Calibri"/>
          <w:sz w:val="24"/>
          <w:szCs w:val="24"/>
          <w:lang w:val="en-GB"/>
        </w:rPr>
        <w:t>destroyed;</w:t>
      </w:r>
      <w:proofErr w:type="gramEnd"/>
    </w:p>
    <w:p w14:paraId="468BB468" w14:textId="77777777" w:rsidR="004B65E8" w:rsidRPr="004C3DDE" w:rsidRDefault="004B65E8" w:rsidP="00645A2D">
      <w:pPr>
        <w:pStyle w:val="ListParagraph"/>
        <w:numPr>
          <w:ilvl w:val="0"/>
          <w:numId w:val="5"/>
        </w:numPr>
        <w:spacing w:before="40" w:after="60" w:line="240" w:lineRule="auto"/>
        <w:ind w:hanging="436"/>
        <w:contextualSpacing w:val="0"/>
        <w:jc w:val="both"/>
        <w:rPr>
          <w:rFonts w:ascii="Calibri" w:eastAsia="SimSun" w:hAnsi="Calibri" w:cs="Arial"/>
          <w:lang w:val="en-GB"/>
        </w:rPr>
      </w:pPr>
      <w:r w:rsidRPr="7F7AB213">
        <w:rPr>
          <w:rFonts w:ascii="Calibri" w:eastAsia="SimSun" w:hAnsi="Calibri" w:cs="Calibri"/>
          <w:sz w:val="24"/>
          <w:szCs w:val="24"/>
          <w:lang w:val="en-GB"/>
        </w:rPr>
        <w:t xml:space="preserve">the economic losses of the telecommunication sector have been estimated to be more than USD 0.1 </w:t>
      </w:r>
      <w:proofErr w:type="gramStart"/>
      <w:r w:rsidRPr="7F7AB213">
        <w:rPr>
          <w:rFonts w:ascii="Calibri" w:eastAsia="SimSun" w:hAnsi="Calibri" w:cs="Calibri"/>
          <w:sz w:val="24"/>
          <w:szCs w:val="24"/>
          <w:lang w:val="en-GB"/>
        </w:rPr>
        <w:t>billion;</w:t>
      </w:r>
      <w:proofErr w:type="gramEnd"/>
      <w:r w:rsidRPr="7F7AB213">
        <w:rPr>
          <w:rFonts w:ascii="Calibri" w:eastAsia="SimSun" w:hAnsi="Calibri" w:cs="Calibri"/>
          <w:sz w:val="24"/>
          <w:szCs w:val="24"/>
          <w:lang w:val="en-GB"/>
        </w:rPr>
        <w:t xml:space="preserve"> </w:t>
      </w:r>
    </w:p>
    <w:p w14:paraId="7894E108" w14:textId="77777777" w:rsidR="004B65E8" w:rsidRPr="004C3DDE" w:rsidRDefault="004B65E8" w:rsidP="00645A2D">
      <w:pPr>
        <w:pStyle w:val="ListParagraph"/>
        <w:numPr>
          <w:ilvl w:val="0"/>
          <w:numId w:val="5"/>
        </w:numPr>
        <w:spacing w:before="40" w:after="60" w:line="240" w:lineRule="auto"/>
        <w:ind w:hanging="436"/>
        <w:contextualSpacing w:val="0"/>
        <w:jc w:val="both"/>
        <w:rPr>
          <w:rFonts w:ascii="Calibri" w:eastAsia="SimSun" w:hAnsi="Calibri" w:cs="Arial"/>
          <w:lang w:val="en-GB"/>
        </w:rPr>
      </w:pPr>
      <w:r w:rsidRPr="7F7AB213">
        <w:rPr>
          <w:rFonts w:ascii="Calibri" w:eastAsia="SimSun" w:hAnsi="Calibri" w:cs="Calibri"/>
          <w:sz w:val="24"/>
          <w:szCs w:val="24"/>
          <w:lang w:val="en-GB"/>
        </w:rPr>
        <w:t xml:space="preserve">telecommunication companies provide 22 per cent fewer services, which has resulted in reduced income and </w:t>
      </w:r>
      <w:proofErr w:type="gramStart"/>
      <w:r w:rsidRPr="7F7AB213">
        <w:rPr>
          <w:rFonts w:ascii="Calibri" w:eastAsia="SimSun" w:hAnsi="Calibri" w:cs="Calibri"/>
          <w:sz w:val="24"/>
          <w:szCs w:val="24"/>
          <w:lang w:val="en-GB"/>
        </w:rPr>
        <w:t>revenues;</w:t>
      </w:r>
      <w:proofErr w:type="gramEnd"/>
      <w:r w:rsidRPr="7F7AB213">
        <w:rPr>
          <w:rFonts w:ascii="Calibri" w:eastAsia="SimSun" w:hAnsi="Calibri" w:cs="Calibri"/>
          <w:sz w:val="24"/>
          <w:szCs w:val="24"/>
          <w:lang w:val="en-GB"/>
        </w:rPr>
        <w:t xml:space="preserve"> </w:t>
      </w:r>
    </w:p>
    <w:p w14:paraId="0289D54A" w14:textId="77777777" w:rsidR="004B65E8" w:rsidRPr="004C3DDE" w:rsidRDefault="004B65E8" w:rsidP="00645A2D">
      <w:pPr>
        <w:pStyle w:val="ListParagraph"/>
        <w:numPr>
          <w:ilvl w:val="0"/>
          <w:numId w:val="5"/>
        </w:numPr>
        <w:spacing w:before="40" w:after="120" w:line="240" w:lineRule="auto"/>
        <w:ind w:hanging="436"/>
        <w:contextualSpacing w:val="0"/>
        <w:jc w:val="both"/>
        <w:rPr>
          <w:rFonts w:ascii="Calibri" w:eastAsia="SimSun" w:hAnsi="Calibri" w:cs="Arial"/>
          <w:lang w:val="en-GB"/>
        </w:rPr>
      </w:pPr>
      <w:r w:rsidRPr="0E6CA706">
        <w:rPr>
          <w:rFonts w:ascii="Calibri" w:eastAsia="SimSun" w:hAnsi="Calibri" w:cs="Calibri"/>
          <w:sz w:val="24"/>
          <w:szCs w:val="24"/>
          <w:lang w:val="en-GB"/>
        </w:rPr>
        <w:t>USD 1.79 billion is needed to restore the telecommunication sector.</w:t>
      </w:r>
    </w:p>
    <w:p w14:paraId="7CC82237" w14:textId="77777777" w:rsidR="004B65E8" w:rsidRDefault="004B65E8" w:rsidP="007D3E5C">
      <w:pPr>
        <w:tabs>
          <w:tab w:val="clear" w:pos="567"/>
          <w:tab w:val="clear" w:pos="1134"/>
          <w:tab w:val="clear" w:pos="1701"/>
          <w:tab w:val="clear" w:pos="2268"/>
          <w:tab w:val="clear" w:pos="2835"/>
        </w:tabs>
        <w:spacing w:before="240" w:after="120"/>
        <w:jc w:val="both"/>
      </w:pPr>
      <w:r w:rsidRPr="2733A3C0">
        <w:rPr>
          <w:b/>
          <w:bCs/>
        </w:rPr>
        <w:t xml:space="preserve">B. </w:t>
      </w:r>
      <w:r w:rsidRPr="2733A3C0">
        <w:rPr>
          <w:b/>
        </w:rPr>
        <w:t>Digital Development Country Profile for Ukraine</w:t>
      </w:r>
      <w:r>
        <w:t xml:space="preserve"> was elaborated jointly ITU, the UN Resident Coordinator Office and all members of the UN Digital Transformation Group for Europe and Central Asia. It was used as the input to the UN Common Country Analysis and the Interim Sustainable Development Framework (2023-2024). </w:t>
      </w:r>
    </w:p>
    <w:p w14:paraId="24D589E0" w14:textId="42F917DC" w:rsidR="004B65E8" w:rsidRDefault="00335D82" w:rsidP="0053368B">
      <w:pPr>
        <w:tabs>
          <w:tab w:val="clear" w:pos="567"/>
          <w:tab w:val="clear" w:pos="1134"/>
          <w:tab w:val="clear" w:pos="1701"/>
          <w:tab w:val="clear" w:pos="2268"/>
          <w:tab w:val="clear" w:pos="2835"/>
        </w:tabs>
        <w:spacing w:after="120"/>
        <w:jc w:val="both"/>
      </w:pPr>
      <w:r>
        <w:lastRenderedPageBreak/>
        <w:t>The r</w:t>
      </w:r>
      <w:r w:rsidR="004B65E8">
        <w:t xml:space="preserve">eport provides the diagnostic of the digital resilience of the country following the digital transformation wheel methodology, including access, </w:t>
      </w:r>
      <w:proofErr w:type="gramStart"/>
      <w:r w:rsidR="004B65E8">
        <w:t>adoption</w:t>
      </w:r>
      <w:proofErr w:type="gramEnd"/>
      <w:r w:rsidR="004B65E8">
        <w:t xml:space="preserve"> and value creation. Each of the building block is equipped with the analysis of the effect of the war.</w:t>
      </w:r>
    </w:p>
    <w:p w14:paraId="2F172487" w14:textId="70CA2AC5" w:rsidR="004B65E8" w:rsidRDefault="5EE1E762" w:rsidP="007D3E5C">
      <w:pPr>
        <w:tabs>
          <w:tab w:val="clear" w:pos="567"/>
          <w:tab w:val="clear" w:pos="1134"/>
          <w:tab w:val="clear" w:pos="1701"/>
          <w:tab w:val="clear" w:pos="2268"/>
          <w:tab w:val="clear" w:pos="2835"/>
        </w:tabs>
        <w:spacing w:before="240" w:after="120"/>
        <w:jc w:val="both"/>
      </w:pPr>
      <w:r w:rsidRPr="0E6CA706">
        <w:rPr>
          <w:b/>
          <w:bCs/>
        </w:rPr>
        <w:t>C.</w:t>
      </w:r>
      <w:r>
        <w:t xml:space="preserve"> ITU joined the consortium led by United Nations, World Bank and European Commission, carrying out the regular </w:t>
      </w:r>
      <w:r w:rsidRPr="0E6CA706">
        <w:rPr>
          <w:b/>
          <w:bCs/>
        </w:rPr>
        <w:t>Rapid Damage and Needs Assessments</w:t>
      </w:r>
      <w:r>
        <w:t>, and provided input for its 2</w:t>
      </w:r>
      <w:r w:rsidRPr="0E6CA706">
        <w:rPr>
          <w:vertAlign w:val="superscript"/>
        </w:rPr>
        <w:t>nd</w:t>
      </w:r>
      <w:r>
        <w:t xml:space="preserve"> edition released in March 2023</w:t>
      </w:r>
      <w:r w:rsidR="004B65E8" w:rsidRPr="007D3E5C">
        <w:rPr>
          <w:rStyle w:val="FootnoteReference"/>
          <w:sz w:val="18"/>
          <w:szCs w:val="18"/>
          <w:vertAlign w:val="superscript"/>
        </w:rPr>
        <w:footnoteReference w:id="2"/>
      </w:r>
      <w:r>
        <w:t>. Below the summary of damage, losses and needs are presented:</w:t>
      </w:r>
    </w:p>
    <w:p w14:paraId="25E113D4" w14:textId="77777777" w:rsidR="004B65E8" w:rsidRDefault="004B65E8" w:rsidP="007D3E5C">
      <w:pPr>
        <w:pStyle w:val="ListParagraph"/>
        <w:numPr>
          <w:ilvl w:val="0"/>
          <w:numId w:val="4"/>
        </w:numPr>
        <w:spacing w:before="120" w:after="60" w:line="240" w:lineRule="auto"/>
        <w:ind w:hanging="436"/>
        <w:contextualSpacing w:val="0"/>
        <w:jc w:val="both"/>
        <w:rPr>
          <w:lang w:val="en-GB"/>
        </w:rPr>
      </w:pPr>
      <w:r w:rsidRPr="2733A3C0">
        <w:rPr>
          <w:rFonts w:ascii="Calibri" w:eastAsia="SimSun" w:hAnsi="Calibri" w:cs="Times New Roman"/>
          <w:sz w:val="24"/>
          <w:szCs w:val="24"/>
          <w:lang w:val="en-GB" w:eastAsia="en-US"/>
        </w:rPr>
        <w:t>The total damage across sectors covered in the RDNA2 is estimated at approximately US</w:t>
      </w:r>
      <w:r>
        <w:rPr>
          <w:rFonts w:ascii="Calibri" w:eastAsia="SimSun" w:hAnsi="Calibri" w:cs="Times New Roman"/>
          <w:sz w:val="24"/>
          <w:szCs w:val="24"/>
          <w:lang w:val="en-GB" w:eastAsia="en-US"/>
        </w:rPr>
        <w:t xml:space="preserve">D </w:t>
      </w:r>
      <w:r w:rsidRPr="2733A3C0">
        <w:rPr>
          <w:rFonts w:ascii="Calibri" w:eastAsia="SimSun" w:hAnsi="Calibri" w:cs="Times New Roman"/>
          <w:sz w:val="24"/>
          <w:szCs w:val="24"/>
          <w:lang w:val="en-GB" w:eastAsia="en-US"/>
        </w:rPr>
        <w:t xml:space="preserve">135 </w:t>
      </w:r>
      <w:proofErr w:type="gramStart"/>
      <w:r w:rsidRPr="2733A3C0">
        <w:rPr>
          <w:rFonts w:ascii="Calibri" w:eastAsia="SimSun" w:hAnsi="Calibri" w:cs="Times New Roman"/>
          <w:sz w:val="24"/>
          <w:szCs w:val="24"/>
          <w:lang w:val="en-GB" w:eastAsia="en-US"/>
        </w:rPr>
        <w:t>billion;</w:t>
      </w:r>
      <w:proofErr w:type="gramEnd"/>
    </w:p>
    <w:p w14:paraId="46C27C1D" w14:textId="77777777" w:rsidR="004B65E8" w:rsidRDefault="004B65E8" w:rsidP="007D3E5C">
      <w:pPr>
        <w:pStyle w:val="ListParagraph"/>
        <w:numPr>
          <w:ilvl w:val="0"/>
          <w:numId w:val="4"/>
        </w:numPr>
        <w:spacing w:before="60" w:after="60" w:line="240" w:lineRule="auto"/>
        <w:ind w:hanging="436"/>
        <w:contextualSpacing w:val="0"/>
        <w:jc w:val="both"/>
        <w:rPr>
          <w:lang w:val="en-GB"/>
        </w:rPr>
      </w:pPr>
      <w:r w:rsidRPr="2733A3C0">
        <w:rPr>
          <w:rFonts w:ascii="Calibri" w:eastAsia="SimSun" w:hAnsi="Calibri" w:cs="Times New Roman"/>
          <w:sz w:val="24"/>
          <w:szCs w:val="24"/>
          <w:lang w:val="en-GB" w:eastAsia="en-US"/>
        </w:rPr>
        <w:t>Aggregate economic, social, and other monetary loss totals almost US</w:t>
      </w:r>
      <w:r>
        <w:rPr>
          <w:rFonts w:ascii="Calibri" w:eastAsia="SimSun" w:hAnsi="Calibri" w:cs="Times New Roman"/>
          <w:sz w:val="24"/>
          <w:szCs w:val="24"/>
          <w:lang w:val="en-GB" w:eastAsia="en-US"/>
        </w:rPr>
        <w:t xml:space="preserve">D </w:t>
      </w:r>
      <w:r w:rsidRPr="2733A3C0">
        <w:rPr>
          <w:rFonts w:ascii="Calibri" w:eastAsia="SimSun" w:hAnsi="Calibri" w:cs="Times New Roman"/>
          <w:sz w:val="24"/>
          <w:szCs w:val="24"/>
          <w:lang w:val="en-GB" w:eastAsia="en-US"/>
        </w:rPr>
        <w:t xml:space="preserve">290 </w:t>
      </w:r>
      <w:proofErr w:type="gramStart"/>
      <w:r w:rsidRPr="2733A3C0">
        <w:rPr>
          <w:rFonts w:ascii="Calibri" w:eastAsia="SimSun" w:hAnsi="Calibri" w:cs="Times New Roman"/>
          <w:sz w:val="24"/>
          <w:szCs w:val="24"/>
          <w:lang w:val="en-GB" w:eastAsia="en-US"/>
        </w:rPr>
        <w:t>billion;</w:t>
      </w:r>
      <w:proofErr w:type="gramEnd"/>
    </w:p>
    <w:p w14:paraId="2E20450B" w14:textId="77777777" w:rsidR="004B65E8" w:rsidRPr="00D84732" w:rsidRDefault="004B65E8" w:rsidP="007D3E5C">
      <w:pPr>
        <w:pStyle w:val="ListParagraph"/>
        <w:numPr>
          <w:ilvl w:val="0"/>
          <w:numId w:val="4"/>
        </w:numPr>
        <w:spacing w:before="60" w:after="60" w:line="240" w:lineRule="auto"/>
        <w:ind w:hanging="436"/>
        <w:contextualSpacing w:val="0"/>
        <w:jc w:val="both"/>
        <w:rPr>
          <w:rFonts w:ascii="Calibri" w:eastAsia="SimSun" w:hAnsi="Calibri" w:cs="Times New Roman"/>
          <w:sz w:val="24"/>
          <w:szCs w:val="24"/>
          <w:lang w:val="en-GB" w:eastAsia="en-US"/>
        </w:rPr>
      </w:pPr>
      <w:r w:rsidRPr="0E6CA706">
        <w:rPr>
          <w:rFonts w:ascii="Calibri" w:eastAsia="SimSun" w:hAnsi="Calibri" w:cs="Times New Roman"/>
          <w:sz w:val="24"/>
          <w:szCs w:val="24"/>
          <w:lang w:val="en-GB" w:eastAsia="en-US"/>
        </w:rPr>
        <w:t xml:space="preserve">The total reconstruction and recovery needs are estimated at about USD 411 </w:t>
      </w:r>
      <w:proofErr w:type="gramStart"/>
      <w:r w:rsidRPr="0E6CA706">
        <w:rPr>
          <w:rFonts w:ascii="Calibri" w:eastAsia="SimSun" w:hAnsi="Calibri" w:cs="Times New Roman"/>
          <w:sz w:val="24"/>
          <w:szCs w:val="24"/>
          <w:lang w:val="en-GB" w:eastAsia="en-US"/>
        </w:rPr>
        <w:t>billion;</w:t>
      </w:r>
      <w:proofErr w:type="gramEnd"/>
    </w:p>
    <w:p w14:paraId="27058F0A" w14:textId="4427DA11" w:rsidR="004B65E8" w:rsidRPr="00AA741F" w:rsidRDefault="5EE1E762" w:rsidP="08A18AAE">
      <w:pPr>
        <w:pStyle w:val="ListParagraph"/>
        <w:numPr>
          <w:ilvl w:val="0"/>
          <w:numId w:val="4"/>
        </w:numPr>
        <w:spacing w:before="60" w:after="120" w:line="240" w:lineRule="auto"/>
        <w:ind w:hanging="436"/>
        <w:jc w:val="both"/>
        <w:rPr>
          <w:rFonts w:ascii="Calibri" w:eastAsia="SimSun" w:hAnsi="Calibri" w:cs="Times New Roman"/>
          <w:sz w:val="24"/>
          <w:szCs w:val="24"/>
          <w:lang w:val="en-GB" w:eastAsia="en-US"/>
        </w:rPr>
      </w:pPr>
      <w:r w:rsidRPr="08A18AAE">
        <w:rPr>
          <w:rFonts w:ascii="Calibri" w:eastAsia="SimSun" w:hAnsi="Calibri" w:cs="Times New Roman"/>
          <w:sz w:val="24"/>
          <w:szCs w:val="24"/>
          <w:lang w:val="en-GB" w:eastAsia="en-US"/>
        </w:rPr>
        <w:t xml:space="preserve">The priority short-term </w:t>
      </w:r>
      <w:r w:rsidR="3C3D153A" w:rsidRPr="08A18AAE">
        <w:rPr>
          <w:rFonts w:ascii="Calibri" w:eastAsia="SimSun" w:hAnsi="Calibri" w:cs="Times New Roman"/>
          <w:sz w:val="24"/>
          <w:szCs w:val="24"/>
          <w:lang w:val="en-GB" w:eastAsia="en-US"/>
        </w:rPr>
        <w:t xml:space="preserve">ICT sector </w:t>
      </w:r>
      <w:r w:rsidRPr="08A18AAE">
        <w:rPr>
          <w:rFonts w:ascii="Calibri" w:eastAsia="SimSun" w:hAnsi="Calibri" w:cs="Times New Roman"/>
          <w:sz w:val="24"/>
          <w:szCs w:val="24"/>
          <w:lang w:val="en-GB" w:eastAsia="en-US"/>
        </w:rPr>
        <w:t>recovery needs amount to USD 3.1 billion; of this amount, USD</w:t>
      </w:r>
      <w:r w:rsidR="0F6E3FB6" w:rsidRPr="08A18AAE">
        <w:rPr>
          <w:rFonts w:ascii="Calibri" w:eastAsia="SimSun" w:hAnsi="Calibri" w:cs="Times New Roman"/>
          <w:sz w:val="24"/>
          <w:szCs w:val="24"/>
          <w:lang w:val="en-GB" w:eastAsia="en-US"/>
        </w:rPr>
        <w:t> </w:t>
      </w:r>
      <w:r w:rsidRPr="08A18AAE">
        <w:rPr>
          <w:rFonts w:ascii="Calibri" w:eastAsia="SimSun" w:hAnsi="Calibri" w:cs="Times New Roman"/>
          <w:sz w:val="24"/>
          <w:szCs w:val="24"/>
          <w:lang w:val="en-GB" w:eastAsia="en-US"/>
        </w:rPr>
        <w:t xml:space="preserve">1.8 billion is for reconstruction needs, and </w:t>
      </w:r>
      <w:r>
        <w:t xml:space="preserve">USD </w:t>
      </w:r>
      <w:r w:rsidRPr="08A18AAE">
        <w:rPr>
          <w:rFonts w:ascii="Calibri" w:eastAsia="SimSun" w:hAnsi="Calibri" w:cs="Times New Roman"/>
          <w:sz w:val="24"/>
          <w:szCs w:val="24"/>
          <w:lang w:val="en-GB" w:eastAsia="en-US"/>
        </w:rPr>
        <w:t>1.3 billion is for needs related to service delivery restoration</w:t>
      </w:r>
      <w:r>
        <w:t>.</w:t>
      </w:r>
    </w:p>
    <w:p w14:paraId="1B4D3685" w14:textId="27338F2C" w:rsidR="004B65E8" w:rsidRDefault="004B65E8" w:rsidP="00645A2D">
      <w:pPr>
        <w:pStyle w:val="Heading2"/>
        <w:tabs>
          <w:tab w:val="clear" w:pos="567"/>
          <w:tab w:val="clear" w:pos="1134"/>
          <w:tab w:val="clear" w:pos="1701"/>
          <w:tab w:val="clear" w:pos="2268"/>
          <w:tab w:val="clear" w:pos="2835"/>
        </w:tabs>
        <w:spacing w:before="240" w:after="120"/>
      </w:pPr>
      <w:r>
        <w:t>3.</w:t>
      </w:r>
      <w:r>
        <w:tab/>
        <w:t>Coordination mechanisms for effective implementation</w:t>
      </w:r>
    </w:p>
    <w:p w14:paraId="7C315585" w14:textId="2133ADED" w:rsidR="004B65E8" w:rsidRDefault="004B65E8" w:rsidP="0053368B">
      <w:pPr>
        <w:tabs>
          <w:tab w:val="clear" w:pos="567"/>
          <w:tab w:val="clear" w:pos="1134"/>
          <w:tab w:val="clear" w:pos="1701"/>
          <w:tab w:val="clear" w:pos="2268"/>
          <w:tab w:val="clear" w:pos="2835"/>
        </w:tabs>
        <w:spacing w:after="120"/>
        <w:jc w:val="both"/>
      </w:pPr>
      <w:r w:rsidRPr="007D3E5C">
        <w:rPr>
          <w:spacing w:val="-2"/>
        </w:rPr>
        <w:t>With the aim of ensuring coordinated approach for ITU activities in response to Resolution</w:t>
      </w:r>
      <w:r w:rsidR="007D3E5C" w:rsidRPr="007D3E5C">
        <w:rPr>
          <w:spacing w:val="-2"/>
        </w:rPr>
        <w:t> </w:t>
      </w:r>
      <w:r w:rsidRPr="007D3E5C">
        <w:rPr>
          <w:spacing w:val="-2"/>
        </w:rPr>
        <w:t>1408,</w:t>
      </w:r>
      <w:r>
        <w:t xml:space="preserve"> ITU continued to carry out the following actions:</w:t>
      </w:r>
    </w:p>
    <w:p w14:paraId="0BAABAEB" w14:textId="72FEA4C9" w:rsidR="004B65E8" w:rsidRDefault="004B65E8" w:rsidP="007D3E5C">
      <w:pPr>
        <w:pStyle w:val="ListParagraph"/>
        <w:numPr>
          <w:ilvl w:val="0"/>
          <w:numId w:val="2"/>
        </w:numPr>
        <w:spacing w:before="120" w:after="60" w:line="240" w:lineRule="auto"/>
        <w:ind w:hanging="436"/>
        <w:contextualSpacing w:val="0"/>
        <w:jc w:val="both"/>
        <w:rPr>
          <w:rFonts w:cstheme="minorHAnsi"/>
          <w:sz w:val="24"/>
          <w:szCs w:val="24"/>
        </w:rPr>
      </w:pPr>
      <w:r>
        <w:rPr>
          <w:rFonts w:cstheme="minorHAnsi"/>
          <w:sz w:val="24"/>
          <w:szCs w:val="24"/>
        </w:rPr>
        <w:t>A</w:t>
      </w:r>
      <w:r w:rsidRPr="00CB0000">
        <w:rPr>
          <w:rFonts w:cstheme="minorHAnsi"/>
          <w:sz w:val="24"/>
          <w:szCs w:val="24"/>
        </w:rPr>
        <w:t xml:space="preserve">t the </w:t>
      </w:r>
      <w:r w:rsidRPr="00EC1911">
        <w:rPr>
          <w:rFonts w:cstheme="minorHAnsi"/>
          <w:b/>
          <w:bCs/>
          <w:sz w:val="24"/>
          <w:szCs w:val="24"/>
        </w:rPr>
        <w:t>level of ITU</w:t>
      </w:r>
      <w:r>
        <w:rPr>
          <w:rFonts w:cstheme="minorHAnsi"/>
          <w:sz w:val="24"/>
          <w:szCs w:val="24"/>
        </w:rPr>
        <w:t>, from January 2023 the Deputy Secretary</w:t>
      </w:r>
      <w:r w:rsidR="002B353E">
        <w:rPr>
          <w:rFonts w:cstheme="minorHAnsi"/>
          <w:sz w:val="24"/>
          <w:szCs w:val="24"/>
        </w:rPr>
        <w:t>-</w:t>
      </w:r>
      <w:r>
        <w:rPr>
          <w:rFonts w:cstheme="minorHAnsi"/>
          <w:sz w:val="24"/>
          <w:szCs w:val="24"/>
        </w:rPr>
        <w:t xml:space="preserve">General was designated to lead </w:t>
      </w:r>
      <w:r w:rsidRPr="00CB0000">
        <w:rPr>
          <w:rFonts w:cstheme="minorHAnsi"/>
          <w:sz w:val="24"/>
          <w:szCs w:val="24"/>
        </w:rPr>
        <w:t>a Special Task Force on Resolution 1408</w:t>
      </w:r>
      <w:r>
        <w:rPr>
          <w:rFonts w:cstheme="minorHAnsi"/>
          <w:sz w:val="24"/>
          <w:szCs w:val="24"/>
        </w:rPr>
        <w:t xml:space="preserve">, composed by the General Secretariat and </w:t>
      </w:r>
      <w:r w:rsidR="002B353E">
        <w:rPr>
          <w:rFonts w:cstheme="minorHAnsi"/>
          <w:sz w:val="24"/>
          <w:szCs w:val="24"/>
        </w:rPr>
        <w:t>the t</w:t>
      </w:r>
      <w:r>
        <w:rPr>
          <w:rFonts w:cstheme="minorHAnsi"/>
          <w:sz w:val="24"/>
          <w:szCs w:val="24"/>
        </w:rPr>
        <w:t xml:space="preserve">hree Sectors, which was meeting on </w:t>
      </w:r>
      <w:r w:rsidR="002B353E">
        <w:rPr>
          <w:rFonts w:cstheme="minorHAnsi"/>
          <w:sz w:val="24"/>
          <w:szCs w:val="24"/>
        </w:rPr>
        <w:t>a</w:t>
      </w:r>
      <w:r>
        <w:rPr>
          <w:rFonts w:cstheme="minorHAnsi"/>
          <w:sz w:val="24"/>
          <w:szCs w:val="24"/>
        </w:rPr>
        <w:t xml:space="preserve"> regular basis and providing the platform for intersectoral coordination. ITU Office for Europe has been designated to provide secretariat and lead on the operationalization of all actions carried out in the context of Resolution </w:t>
      </w:r>
      <w:proofErr w:type="gramStart"/>
      <w:r>
        <w:rPr>
          <w:rFonts w:cstheme="minorHAnsi"/>
          <w:sz w:val="24"/>
          <w:szCs w:val="24"/>
        </w:rPr>
        <w:t>1408;</w:t>
      </w:r>
      <w:proofErr w:type="gramEnd"/>
      <w:r>
        <w:rPr>
          <w:rFonts w:cstheme="minorHAnsi"/>
          <w:sz w:val="24"/>
          <w:szCs w:val="24"/>
        </w:rPr>
        <w:t xml:space="preserve"> </w:t>
      </w:r>
    </w:p>
    <w:p w14:paraId="2FD1768E" w14:textId="77777777" w:rsidR="004B65E8" w:rsidRPr="00CB0000" w:rsidRDefault="004B65E8" w:rsidP="007D3E5C">
      <w:pPr>
        <w:pStyle w:val="ListParagraph"/>
        <w:numPr>
          <w:ilvl w:val="0"/>
          <w:numId w:val="2"/>
        </w:numPr>
        <w:spacing w:before="60" w:after="60" w:line="240" w:lineRule="auto"/>
        <w:ind w:hanging="436"/>
        <w:contextualSpacing w:val="0"/>
        <w:jc w:val="both"/>
        <w:rPr>
          <w:rFonts w:cstheme="minorHAnsi"/>
          <w:sz w:val="24"/>
          <w:szCs w:val="24"/>
        </w:rPr>
      </w:pPr>
      <w:r>
        <w:rPr>
          <w:rFonts w:cstheme="minorHAnsi"/>
          <w:sz w:val="24"/>
          <w:szCs w:val="24"/>
        </w:rPr>
        <w:t xml:space="preserve">At the </w:t>
      </w:r>
      <w:r w:rsidRPr="00EC1911">
        <w:rPr>
          <w:rFonts w:cstheme="minorHAnsi"/>
          <w:b/>
          <w:bCs/>
          <w:sz w:val="24"/>
          <w:szCs w:val="24"/>
        </w:rPr>
        <w:t>country level</w:t>
      </w:r>
      <w:r>
        <w:rPr>
          <w:rFonts w:cstheme="minorHAnsi"/>
          <w:sz w:val="24"/>
          <w:szCs w:val="24"/>
        </w:rPr>
        <w:t>, r</w:t>
      </w:r>
      <w:r w:rsidRPr="00CB0000">
        <w:rPr>
          <w:rFonts w:cstheme="minorHAnsi"/>
          <w:sz w:val="24"/>
          <w:szCs w:val="24"/>
        </w:rPr>
        <w:t>egular coordination calls with the Administration of Ukraine</w:t>
      </w:r>
      <w:r>
        <w:rPr>
          <w:rFonts w:cstheme="minorHAnsi"/>
          <w:sz w:val="24"/>
          <w:szCs w:val="24"/>
        </w:rPr>
        <w:t xml:space="preserve"> and other public institutions were carried </w:t>
      </w:r>
      <w:proofErr w:type="gramStart"/>
      <w:r>
        <w:rPr>
          <w:rFonts w:cstheme="minorHAnsi"/>
          <w:sz w:val="24"/>
          <w:szCs w:val="24"/>
        </w:rPr>
        <w:t>out</w:t>
      </w:r>
      <w:r w:rsidRPr="00CB0000">
        <w:rPr>
          <w:rFonts w:cstheme="minorHAnsi"/>
          <w:sz w:val="24"/>
          <w:szCs w:val="24"/>
        </w:rPr>
        <w:t>;</w:t>
      </w:r>
      <w:proofErr w:type="gramEnd"/>
    </w:p>
    <w:p w14:paraId="11BDED5F" w14:textId="77777777" w:rsidR="004B65E8" w:rsidRPr="00EC1911" w:rsidRDefault="004B65E8" w:rsidP="007D3E5C">
      <w:pPr>
        <w:pStyle w:val="ListParagraph"/>
        <w:numPr>
          <w:ilvl w:val="0"/>
          <w:numId w:val="2"/>
        </w:numPr>
        <w:spacing w:before="60" w:after="120" w:line="240" w:lineRule="auto"/>
        <w:ind w:hanging="436"/>
        <w:contextualSpacing w:val="0"/>
        <w:jc w:val="both"/>
        <w:rPr>
          <w:sz w:val="24"/>
          <w:szCs w:val="24"/>
        </w:rPr>
      </w:pPr>
      <w:r w:rsidRPr="2733A3C0">
        <w:rPr>
          <w:sz w:val="24"/>
          <w:szCs w:val="24"/>
        </w:rPr>
        <w:t xml:space="preserve">At the </w:t>
      </w:r>
      <w:r w:rsidRPr="2733A3C0">
        <w:rPr>
          <w:b/>
          <w:sz w:val="24"/>
          <w:szCs w:val="24"/>
        </w:rPr>
        <w:t>level of the UN system</w:t>
      </w:r>
      <w:r w:rsidRPr="2733A3C0">
        <w:rPr>
          <w:sz w:val="24"/>
          <w:szCs w:val="24"/>
        </w:rPr>
        <w:t xml:space="preserve">, ITU continued to support the works of the UN Resident Coordinator in Ukraine and the UN Country Team, contributing to the elaboration of the UN Common Country Assessment, the Transitional UN Sustainable Development </w:t>
      </w:r>
      <w:proofErr w:type="gramStart"/>
      <w:r w:rsidRPr="2733A3C0">
        <w:rPr>
          <w:sz w:val="24"/>
          <w:szCs w:val="24"/>
        </w:rPr>
        <w:t>Framework</w:t>
      </w:r>
      <w:proofErr w:type="gramEnd"/>
      <w:r w:rsidRPr="2733A3C0">
        <w:rPr>
          <w:sz w:val="24"/>
          <w:szCs w:val="24"/>
        </w:rPr>
        <w:t xml:space="preserve"> and consultations on EU accession. </w:t>
      </w:r>
    </w:p>
    <w:p w14:paraId="3E480970" w14:textId="2661FB9B" w:rsidR="004B65E8" w:rsidRDefault="004B65E8" w:rsidP="00645A2D">
      <w:pPr>
        <w:pStyle w:val="Heading2"/>
        <w:tabs>
          <w:tab w:val="clear" w:pos="567"/>
          <w:tab w:val="clear" w:pos="1134"/>
          <w:tab w:val="clear" w:pos="1701"/>
          <w:tab w:val="clear" w:pos="2268"/>
          <w:tab w:val="clear" w:pos="2835"/>
        </w:tabs>
        <w:spacing w:before="240" w:after="120"/>
      </w:pPr>
      <w:r>
        <w:t>4.</w:t>
      </w:r>
      <w:r>
        <w:tab/>
      </w:r>
      <w:r w:rsidRPr="006B7E85">
        <w:t>F</w:t>
      </w:r>
      <w:r w:rsidRPr="00297010">
        <w:t>acilitating technical assistance</w:t>
      </w:r>
    </w:p>
    <w:p w14:paraId="6C9EE2CE" w14:textId="7CC6B9C2" w:rsidR="004B65E8" w:rsidRDefault="5EE1E762" w:rsidP="0053368B">
      <w:pPr>
        <w:tabs>
          <w:tab w:val="clear" w:pos="567"/>
          <w:tab w:val="clear" w:pos="1134"/>
          <w:tab w:val="clear" w:pos="1701"/>
          <w:tab w:val="clear" w:pos="2268"/>
          <w:tab w:val="clear" w:pos="2835"/>
        </w:tabs>
        <w:spacing w:after="120"/>
        <w:jc w:val="both"/>
      </w:pPr>
      <w:r>
        <w:t xml:space="preserve">Building upon the findings of the Interim Assessment and following coordination with Ukraine, rebuilding and reconstruction of </w:t>
      </w:r>
      <w:r w:rsidRPr="08A18AAE">
        <w:rPr>
          <w:b/>
          <w:bCs/>
        </w:rPr>
        <w:t>broadcasting systems</w:t>
      </w:r>
      <w:r>
        <w:t xml:space="preserve"> has been identified as the immediate priority for the country. Level of damages of fifteen broadcasting stations was considered and five stations were selected for the immediate assessment, leading towards the development of technical specification including financial dimension of investment needed and implementation timeline. As </w:t>
      </w:r>
      <w:proofErr w:type="gramStart"/>
      <w:r>
        <w:t>a final result</w:t>
      </w:r>
      <w:proofErr w:type="gramEnd"/>
      <w:r>
        <w:t xml:space="preserve"> of this activity</w:t>
      </w:r>
      <w:r w:rsidR="0F6E3FB6">
        <w:t>,</w:t>
      </w:r>
      <w:r>
        <w:t xml:space="preserve"> it is expected to equip the country with project documents </w:t>
      </w:r>
      <w:r w:rsidR="64A70AB8">
        <w:t xml:space="preserve">to </w:t>
      </w:r>
      <w:r>
        <w:t>facilitate attract</w:t>
      </w:r>
      <w:r w:rsidR="4009EB54">
        <w:t>ing funding from the</w:t>
      </w:r>
      <w:r>
        <w:t xml:space="preserve"> international donor community. </w:t>
      </w:r>
    </w:p>
    <w:p w14:paraId="266FDFDD" w14:textId="77777777" w:rsidR="004B65E8" w:rsidRDefault="004B65E8" w:rsidP="0053368B">
      <w:pPr>
        <w:tabs>
          <w:tab w:val="clear" w:pos="567"/>
          <w:tab w:val="clear" w:pos="1134"/>
          <w:tab w:val="clear" w:pos="1701"/>
          <w:tab w:val="clear" w:pos="2268"/>
          <w:tab w:val="clear" w:pos="2835"/>
        </w:tabs>
        <w:spacing w:after="120"/>
        <w:jc w:val="both"/>
      </w:pPr>
      <w:r>
        <w:lastRenderedPageBreak/>
        <w:t xml:space="preserve">In addition, initial discussions have been held regarding a special assistance directed towards elaboration of the </w:t>
      </w:r>
      <w:r w:rsidRPr="006531CF">
        <w:rPr>
          <w:b/>
          <w:bCs/>
        </w:rPr>
        <w:t>enabling environment</w:t>
      </w:r>
      <w:r>
        <w:t xml:space="preserve"> and the national framework for the roll out of digital infrastructure relying on the public aid. </w:t>
      </w:r>
    </w:p>
    <w:p w14:paraId="2CEBF1D6" w14:textId="01519204" w:rsidR="004B65E8" w:rsidRDefault="004B65E8" w:rsidP="0053368B">
      <w:pPr>
        <w:tabs>
          <w:tab w:val="clear" w:pos="567"/>
          <w:tab w:val="clear" w:pos="1134"/>
          <w:tab w:val="clear" w:pos="1701"/>
          <w:tab w:val="clear" w:pos="2268"/>
          <w:tab w:val="clear" w:pos="2835"/>
        </w:tabs>
        <w:spacing w:after="120"/>
        <w:jc w:val="both"/>
        <w:rPr>
          <w:rFonts w:asciiTheme="minorHAnsi" w:hAnsiTheme="minorHAnsi" w:cstheme="minorBidi"/>
        </w:rPr>
      </w:pPr>
      <w:r>
        <w:t xml:space="preserve">Moreover, following the </w:t>
      </w:r>
      <w:r w:rsidRPr="0E6CA706">
        <w:rPr>
          <w:b/>
          <w:bCs/>
        </w:rPr>
        <w:t>Partner2Connect mechanism</w:t>
      </w:r>
      <w:r>
        <w:t xml:space="preserve">, ITU Office for Europe reiterated the </w:t>
      </w:r>
      <w:r w:rsidRPr="0E6CA706">
        <w:rPr>
          <w:rFonts w:cstheme="minorBidi"/>
        </w:rPr>
        <w:t xml:space="preserve">call for </w:t>
      </w:r>
      <w:r>
        <w:t>pledges</w:t>
      </w:r>
      <w:r w:rsidRPr="0E6CA706">
        <w:rPr>
          <w:rFonts w:cstheme="minorBidi"/>
        </w:rPr>
        <w:t xml:space="preserve"> </w:t>
      </w:r>
      <w:r w:rsidRPr="0E6CA706">
        <w:rPr>
          <w:rFonts w:asciiTheme="minorHAnsi" w:hAnsiTheme="minorHAnsi" w:cstheme="minorBidi"/>
        </w:rPr>
        <w:t xml:space="preserve">inviting all stakeholders to submit their pledges and commitments on concrete actions carried out by countries specifically related to implementation of Resolution 1408. </w:t>
      </w:r>
    </w:p>
    <w:p w14:paraId="72A95C55" w14:textId="6ED14893" w:rsidR="004B65E8" w:rsidRDefault="004B65E8" w:rsidP="0053368B">
      <w:pPr>
        <w:tabs>
          <w:tab w:val="clear" w:pos="567"/>
          <w:tab w:val="clear" w:pos="1134"/>
          <w:tab w:val="clear" w:pos="1701"/>
          <w:tab w:val="clear" w:pos="2268"/>
          <w:tab w:val="clear" w:pos="2835"/>
        </w:tabs>
        <w:spacing w:after="120"/>
        <w:jc w:val="both"/>
        <w:rPr>
          <w:szCs w:val="24"/>
        </w:rPr>
      </w:pPr>
      <w:r w:rsidRPr="00D84732">
        <w:t xml:space="preserve">As of today, </w:t>
      </w:r>
      <w:r>
        <w:t>the following countries have contributed to the Partner2Connect pledging system</w:t>
      </w:r>
      <w:r w:rsidR="002B353E">
        <w:t>:</w:t>
      </w:r>
      <w:r>
        <w:t xml:space="preserve"> </w:t>
      </w:r>
      <w:r w:rsidRPr="0F599D47">
        <w:rPr>
          <w:szCs w:val="24"/>
        </w:rPr>
        <w:t>Estonia</w:t>
      </w:r>
      <w:r w:rsidRPr="69DC6779">
        <w:rPr>
          <w:szCs w:val="24"/>
        </w:rPr>
        <w:t xml:space="preserve">, Georgia, Germany, Japan, Lithuania, </w:t>
      </w:r>
      <w:r w:rsidRPr="2733A3C0">
        <w:rPr>
          <w:szCs w:val="24"/>
        </w:rPr>
        <w:t xml:space="preserve">Netherlands, Poland, Slovenia, Spain, Ukraine, United Kingdom, </w:t>
      </w:r>
      <w:r w:rsidR="002B353E">
        <w:rPr>
          <w:szCs w:val="24"/>
        </w:rPr>
        <w:t xml:space="preserve">and </w:t>
      </w:r>
      <w:r w:rsidRPr="2733A3C0">
        <w:rPr>
          <w:szCs w:val="24"/>
        </w:rPr>
        <w:t>United States</w:t>
      </w:r>
      <w:r>
        <w:rPr>
          <w:szCs w:val="24"/>
        </w:rPr>
        <w:t xml:space="preserve">. The </w:t>
      </w:r>
      <w:r w:rsidRPr="2733A3C0">
        <w:rPr>
          <w:szCs w:val="24"/>
        </w:rPr>
        <w:t xml:space="preserve">total estimated financial value </w:t>
      </w:r>
      <w:r>
        <w:rPr>
          <w:szCs w:val="24"/>
        </w:rPr>
        <w:t xml:space="preserve">of all pledges exceeds </w:t>
      </w:r>
      <w:r w:rsidRPr="39E79EDE">
        <w:rPr>
          <w:szCs w:val="24"/>
        </w:rPr>
        <w:t xml:space="preserve">USD </w:t>
      </w:r>
      <w:r>
        <w:rPr>
          <w:szCs w:val="24"/>
        </w:rPr>
        <w:t>1</w:t>
      </w:r>
      <w:r w:rsidR="00A97FEC">
        <w:rPr>
          <w:szCs w:val="24"/>
        </w:rPr>
        <w:t>40</w:t>
      </w:r>
      <w:r>
        <w:rPr>
          <w:szCs w:val="24"/>
        </w:rPr>
        <w:t xml:space="preserve"> </w:t>
      </w:r>
      <w:r w:rsidR="007D3E5C">
        <w:rPr>
          <w:szCs w:val="24"/>
        </w:rPr>
        <w:t>m</w:t>
      </w:r>
      <w:r w:rsidRPr="39E79EDE">
        <w:rPr>
          <w:szCs w:val="24"/>
        </w:rPr>
        <w:t>illion</w:t>
      </w:r>
      <w:r>
        <w:rPr>
          <w:szCs w:val="24"/>
        </w:rPr>
        <w:t>.</w:t>
      </w:r>
    </w:p>
    <w:p w14:paraId="66480E8E" w14:textId="390327A8" w:rsidR="004B65E8" w:rsidRDefault="5EE1E762" w:rsidP="08A18AAE">
      <w:pPr>
        <w:tabs>
          <w:tab w:val="clear" w:pos="567"/>
          <w:tab w:val="clear" w:pos="1134"/>
          <w:tab w:val="clear" w:pos="1701"/>
          <w:tab w:val="clear" w:pos="2268"/>
          <w:tab w:val="clear" w:pos="2835"/>
        </w:tabs>
        <w:spacing w:after="120"/>
        <w:jc w:val="both"/>
        <w:rPr>
          <w:rFonts w:asciiTheme="minorHAnsi" w:hAnsiTheme="minorHAnsi" w:cstheme="minorBidi"/>
        </w:rPr>
      </w:pPr>
      <w:r w:rsidRPr="08A18AAE">
        <w:rPr>
          <w:rFonts w:asciiTheme="minorHAnsi" w:hAnsiTheme="minorHAnsi" w:cstheme="minorBidi"/>
          <w:b/>
          <w:bCs/>
        </w:rPr>
        <w:t>ITU Regional Development Forum for Europe</w:t>
      </w:r>
      <w:r w:rsidRPr="08A18AAE">
        <w:rPr>
          <w:rFonts w:asciiTheme="minorHAnsi" w:hAnsiTheme="minorHAnsi" w:cstheme="minorBidi"/>
        </w:rPr>
        <w:t xml:space="preserve"> (23 May 2023) served as an opportunity to hold a special session and present some new commitments coming from Germany, Lithuania, Poland, Spain, Sweden, </w:t>
      </w:r>
      <w:r w:rsidR="7AAA0968" w:rsidRPr="08A18AAE">
        <w:rPr>
          <w:rFonts w:asciiTheme="minorHAnsi" w:hAnsiTheme="minorHAnsi" w:cstheme="minorBidi"/>
        </w:rPr>
        <w:t xml:space="preserve">and </w:t>
      </w:r>
      <w:r w:rsidR="7AAA0968">
        <w:t>United Kingdom</w:t>
      </w:r>
      <w:r w:rsidRPr="08A18AAE">
        <w:rPr>
          <w:rFonts w:asciiTheme="minorHAnsi" w:hAnsiTheme="minorHAnsi" w:cstheme="minorBidi"/>
        </w:rPr>
        <w:t xml:space="preserve">. </w:t>
      </w:r>
      <w:r w:rsidR="00E251AC">
        <w:rPr>
          <w:rFonts w:asciiTheme="minorHAnsi" w:hAnsiTheme="minorHAnsi" w:cstheme="minorBidi"/>
        </w:rPr>
        <w:t xml:space="preserve">Their total estimated </w:t>
      </w:r>
      <w:r w:rsidR="00E251AC" w:rsidRPr="2733A3C0">
        <w:rPr>
          <w:szCs w:val="24"/>
        </w:rPr>
        <w:t xml:space="preserve">financial value </w:t>
      </w:r>
      <w:r w:rsidR="00E251AC">
        <w:rPr>
          <w:szCs w:val="24"/>
        </w:rPr>
        <w:t xml:space="preserve">exceeds </w:t>
      </w:r>
      <w:r w:rsidR="00E251AC" w:rsidRPr="39E79EDE">
        <w:rPr>
          <w:szCs w:val="24"/>
        </w:rPr>
        <w:t xml:space="preserve">USD </w:t>
      </w:r>
      <w:r w:rsidR="00E251AC">
        <w:rPr>
          <w:szCs w:val="24"/>
        </w:rPr>
        <w:t>43 m</w:t>
      </w:r>
      <w:r w:rsidR="00E251AC" w:rsidRPr="39E79EDE">
        <w:rPr>
          <w:szCs w:val="24"/>
        </w:rPr>
        <w:t>illion</w:t>
      </w:r>
      <w:r w:rsidR="00E251AC">
        <w:rPr>
          <w:szCs w:val="24"/>
        </w:rPr>
        <w:t>.</w:t>
      </w:r>
    </w:p>
    <w:p w14:paraId="75634A27" w14:textId="43135E71" w:rsidR="004B65E8" w:rsidRDefault="3D4BBEA3" w:rsidP="44B55006">
      <w:pPr>
        <w:tabs>
          <w:tab w:val="clear" w:pos="567"/>
          <w:tab w:val="clear" w:pos="1134"/>
          <w:tab w:val="clear" w:pos="1701"/>
          <w:tab w:val="clear" w:pos="2268"/>
          <w:tab w:val="clear" w:pos="2835"/>
        </w:tabs>
        <w:spacing w:after="120"/>
        <w:jc w:val="both"/>
        <w:rPr>
          <w:rFonts w:asciiTheme="minorHAnsi" w:hAnsiTheme="minorHAnsi" w:cstheme="minorBidi"/>
        </w:rPr>
      </w:pPr>
      <w:r w:rsidRPr="44B55006">
        <w:rPr>
          <w:rFonts w:asciiTheme="minorHAnsi" w:hAnsiTheme="minorHAnsi" w:cstheme="minorBidi"/>
        </w:rPr>
        <w:t>ITU looks forward to contributing to the</w:t>
      </w:r>
      <w:r w:rsidR="004B65E8" w:rsidRPr="44B55006">
        <w:rPr>
          <w:rFonts w:asciiTheme="minorHAnsi" w:hAnsiTheme="minorHAnsi" w:cstheme="minorBidi"/>
        </w:rPr>
        <w:t xml:space="preserve"> </w:t>
      </w:r>
      <w:r w:rsidR="004B65E8" w:rsidRPr="44B55006">
        <w:rPr>
          <w:rFonts w:asciiTheme="minorHAnsi" w:hAnsiTheme="minorHAnsi" w:cstheme="minorBidi"/>
          <w:b/>
          <w:bCs/>
        </w:rPr>
        <w:t>Ukraine Reconstruction Conference (URC)</w:t>
      </w:r>
      <w:r w:rsidR="004B65E8" w:rsidRPr="44B55006">
        <w:rPr>
          <w:rFonts w:asciiTheme="minorHAnsi" w:hAnsiTheme="minorHAnsi" w:cstheme="minorBidi"/>
        </w:rPr>
        <w:t xml:space="preserve">, </w:t>
      </w:r>
      <w:r w:rsidR="008C02F7" w:rsidRPr="44B55006">
        <w:rPr>
          <w:rFonts w:asciiTheme="minorHAnsi" w:hAnsiTheme="minorHAnsi" w:cstheme="minorBidi"/>
        </w:rPr>
        <w:t xml:space="preserve">from </w:t>
      </w:r>
      <w:r w:rsidR="004B65E8" w:rsidRPr="44B55006">
        <w:rPr>
          <w:rFonts w:asciiTheme="minorHAnsi" w:hAnsiTheme="minorHAnsi" w:cstheme="minorBidi"/>
        </w:rPr>
        <w:t>21 to 22 June 2023, London</w:t>
      </w:r>
      <w:r w:rsidR="008C02F7" w:rsidRPr="44B55006">
        <w:rPr>
          <w:rFonts w:asciiTheme="minorHAnsi" w:hAnsiTheme="minorHAnsi" w:cstheme="minorBidi"/>
        </w:rPr>
        <w:t xml:space="preserve"> (</w:t>
      </w:r>
      <w:r w:rsidR="008C02F7">
        <w:t>United Kingdom)</w:t>
      </w:r>
      <w:r w:rsidR="004B65E8" w:rsidRPr="44B55006">
        <w:rPr>
          <w:rFonts w:asciiTheme="minorHAnsi" w:hAnsiTheme="minorHAnsi" w:cstheme="minorBidi"/>
        </w:rPr>
        <w:t xml:space="preserve">. ITU will use this </w:t>
      </w:r>
      <w:r w:rsidR="002E0693" w:rsidRPr="44B55006">
        <w:rPr>
          <w:rFonts w:asciiTheme="minorHAnsi" w:hAnsiTheme="minorHAnsi" w:cstheme="minorBidi"/>
        </w:rPr>
        <w:t>opportunity to</w:t>
      </w:r>
      <w:r w:rsidR="004B65E8" w:rsidRPr="44B55006">
        <w:rPr>
          <w:rFonts w:asciiTheme="minorHAnsi" w:hAnsiTheme="minorHAnsi" w:cstheme="minorBidi"/>
        </w:rPr>
        <w:t xml:space="preserve"> call for </w:t>
      </w:r>
      <w:r w:rsidR="05D0B202" w:rsidRPr="44B55006">
        <w:rPr>
          <w:rFonts w:asciiTheme="minorHAnsi" w:hAnsiTheme="minorHAnsi" w:cstheme="minorBidi"/>
        </w:rPr>
        <w:t xml:space="preserve">further </w:t>
      </w:r>
      <w:r w:rsidR="004B65E8" w:rsidRPr="44B55006">
        <w:rPr>
          <w:rFonts w:asciiTheme="minorHAnsi" w:hAnsiTheme="minorHAnsi" w:cstheme="minorBidi"/>
        </w:rPr>
        <w:t>engagements in the activities related to ITU Council Resolution 1408.</w:t>
      </w:r>
    </w:p>
    <w:p w14:paraId="7D20C1EF" w14:textId="77777777" w:rsidR="004B65E8" w:rsidRDefault="004B65E8" w:rsidP="0053368B">
      <w:pPr>
        <w:tabs>
          <w:tab w:val="clear" w:pos="567"/>
          <w:tab w:val="clear" w:pos="1134"/>
          <w:tab w:val="clear" w:pos="1701"/>
          <w:tab w:val="clear" w:pos="2268"/>
          <w:tab w:val="clear" w:pos="2835"/>
        </w:tabs>
        <w:spacing w:after="120"/>
        <w:jc w:val="both"/>
        <w:rPr>
          <w:rFonts w:asciiTheme="minorHAnsi" w:hAnsiTheme="minorHAnsi" w:cstheme="minorBidi"/>
        </w:rPr>
      </w:pPr>
      <w:r w:rsidRPr="2D5FFE23">
        <w:rPr>
          <w:rFonts w:asciiTheme="minorHAnsi" w:hAnsiTheme="minorHAnsi" w:cstheme="minorBidi"/>
        </w:rPr>
        <w:t xml:space="preserve">Dedicated follow-up with the Member States and other stakeholders is still ongoing and new commitments are being identified. </w:t>
      </w:r>
    </w:p>
    <w:p w14:paraId="6CBCF31F" w14:textId="77777777" w:rsidR="004B65E8" w:rsidRPr="006B7E85" w:rsidRDefault="004B65E8" w:rsidP="00645A2D">
      <w:pPr>
        <w:pStyle w:val="Heading2"/>
        <w:tabs>
          <w:tab w:val="clear" w:pos="567"/>
          <w:tab w:val="clear" w:pos="1134"/>
          <w:tab w:val="clear" w:pos="1701"/>
          <w:tab w:val="clear" w:pos="2268"/>
          <w:tab w:val="clear" w:pos="2835"/>
        </w:tabs>
        <w:spacing w:before="240" w:after="120"/>
      </w:pPr>
      <w:r>
        <w:t>5.</w:t>
      </w:r>
      <w:r>
        <w:tab/>
      </w:r>
      <w:r w:rsidRPr="006B7E85">
        <w:t xml:space="preserve">Mobilization of </w:t>
      </w:r>
      <w:r>
        <w:t>resources</w:t>
      </w:r>
    </w:p>
    <w:p w14:paraId="27C7CB7F" w14:textId="77777777" w:rsidR="004B65E8" w:rsidRDefault="004B65E8" w:rsidP="0053368B">
      <w:pPr>
        <w:tabs>
          <w:tab w:val="clear" w:pos="567"/>
          <w:tab w:val="clear" w:pos="1134"/>
          <w:tab w:val="clear" w:pos="1701"/>
          <w:tab w:val="clear" w:pos="2268"/>
          <w:tab w:val="clear" w:pos="2835"/>
        </w:tabs>
        <w:spacing w:after="120"/>
        <w:jc w:val="both"/>
      </w:pPr>
      <w:r>
        <w:t xml:space="preserve">With the aim of ensuring adequate </w:t>
      </w:r>
      <w:r w:rsidRPr="006B7E85">
        <w:t>financial and human resources</w:t>
      </w:r>
      <w:r>
        <w:t xml:space="preserve"> needed for addressing the </w:t>
      </w:r>
      <w:r w:rsidRPr="008C02F7">
        <w:rPr>
          <w:i/>
          <w:iCs/>
        </w:rPr>
        <w:t>resolves</w:t>
      </w:r>
      <w:r>
        <w:t xml:space="preserve"> of Resolution 1408, a series of actions have been undertaken:</w:t>
      </w:r>
    </w:p>
    <w:p w14:paraId="36D69BE2" w14:textId="6C820624" w:rsidR="004B65E8" w:rsidRDefault="004B65E8" w:rsidP="007D3E5C">
      <w:pPr>
        <w:pStyle w:val="ListParagraph"/>
        <w:numPr>
          <w:ilvl w:val="0"/>
          <w:numId w:val="2"/>
        </w:numPr>
        <w:spacing w:before="120" w:after="60" w:line="240" w:lineRule="auto"/>
        <w:ind w:hanging="436"/>
        <w:contextualSpacing w:val="0"/>
        <w:jc w:val="both"/>
        <w:rPr>
          <w:rFonts w:cstheme="minorHAnsi"/>
          <w:sz w:val="24"/>
          <w:szCs w:val="24"/>
        </w:rPr>
      </w:pPr>
      <w:r w:rsidRPr="2733A3C0">
        <w:rPr>
          <w:sz w:val="24"/>
          <w:szCs w:val="24"/>
        </w:rPr>
        <w:t>a review of internal budget has been done and additional resources have been allocated by BDT (20</w:t>
      </w:r>
      <w:r w:rsidR="008C02F7">
        <w:rPr>
          <w:sz w:val="24"/>
          <w:szCs w:val="24"/>
        </w:rPr>
        <w:t> </w:t>
      </w:r>
      <w:r w:rsidRPr="2733A3C0">
        <w:rPr>
          <w:sz w:val="24"/>
          <w:szCs w:val="24"/>
        </w:rPr>
        <w:t xml:space="preserve">000 CHF) to strengthen the implementation capacity of the ITU Office for Europe related to ITU Council Resolution </w:t>
      </w:r>
      <w:proofErr w:type="gramStart"/>
      <w:r w:rsidRPr="2733A3C0">
        <w:rPr>
          <w:sz w:val="24"/>
          <w:szCs w:val="24"/>
        </w:rPr>
        <w:t>1408;</w:t>
      </w:r>
      <w:proofErr w:type="gramEnd"/>
    </w:p>
    <w:p w14:paraId="6226F149" w14:textId="744756A6" w:rsidR="004B65E8" w:rsidRPr="00645A2D" w:rsidRDefault="004B65E8" w:rsidP="44B55006">
      <w:pPr>
        <w:pStyle w:val="ListParagraph"/>
        <w:numPr>
          <w:ilvl w:val="0"/>
          <w:numId w:val="2"/>
        </w:numPr>
        <w:spacing w:before="60" w:after="60" w:line="240" w:lineRule="auto"/>
        <w:ind w:hanging="436"/>
        <w:jc w:val="both"/>
        <w:rPr>
          <w:spacing w:val="-2"/>
          <w:sz w:val="24"/>
          <w:szCs w:val="24"/>
        </w:rPr>
      </w:pPr>
      <w:r w:rsidRPr="00645A2D">
        <w:rPr>
          <w:spacing w:val="-2"/>
          <w:sz w:val="24"/>
          <w:szCs w:val="24"/>
        </w:rPr>
        <w:t xml:space="preserve">a call to contribute to a Special Fund in Trust dedicated to the implementation of Resolution 1408 was reiterated and integrated into the regular messaging of the </w:t>
      </w:r>
      <w:proofErr w:type="gramStart"/>
      <w:r w:rsidRPr="00645A2D">
        <w:rPr>
          <w:spacing w:val="-2"/>
          <w:sz w:val="24"/>
          <w:szCs w:val="24"/>
        </w:rPr>
        <w:t>ITU;</w:t>
      </w:r>
      <w:proofErr w:type="gramEnd"/>
    </w:p>
    <w:p w14:paraId="0B03629A" w14:textId="61D92A57" w:rsidR="004B65E8" w:rsidRPr="00662D32" w:rsidRDefault="004B65E8" w:rsidP="44B55006">
      <w:pPr>
        <w:pStyle w:val="ListParagraph"/>
        <w:numPr>
          <w:ilvl w:val="0"/>
          <w:numId w:val="2"/>
        </w:numPr>
        <w:spacing w:before="60" w:after="0" w:line="240" w:lineRule="auto"/>
        <w:ind w:hanging="436"/>
        <w:jc w:val="both"/>
        <w:rPr>
          <w:sz w:val="24"/>
          <w:szCs w:val="24"/>
        </w:rPr>
      </w:pPr>
      <w:r w:rsidRPr="2733A3C0">
        <w:rPr>
          <w:spacing w:val="-2"/>
          <w:sz w:val="24"/>
          <w:szCs w:val="24"/>
        </w:rPr>
        <w:t>resources received from Japan (100</w:t>
      </w:r>
      <w:r w:rsidR="008C02F7">
        <w:rPr>
          <w:spacing w:val="-2"/>
          <w:sz w:val="24"/>
          <w:szCs w:val="24"/>
        </w:rPr>
        <w:t> </w:t>
      </w:r>
      <w:r w:rsidRPr="2733A3C0">
        <w:rPr>
          <w:spacing w:val="-2"/>
          <w:sz w:val="24"/>
          <w:szCs w:val="24"/>
        </w:rPr>
        <w:t>000 CHF) and Lithuania</w:t>
      </w:r>
      <w:r w:rsidRPr="2733A3C0">
        <w:rPr>
          <w:sz w:val="24"/>
          <w:szCs w:val="24"/>
        </w:rPr>
        <w:t xml:space="preserve"> (in-kind contribution of the value of 20</w:t>
      </w:r>
      <w:r w:rsidR="008C02F7">
        <w:rPr>
          <w:sz w:val="24"/>
          <w:szCs w:val="24"/>
        </w:rPr>
        <w:t> </w:t>
      </w:r>
      <w:r w:rsidRPr="2733A3C0">
        <w:rPr>
          <w:sz w:val="24"/>
          <w:szCs w:val="24"/>
        </w:rPr>
        <w:t>000 CHF) are being used for the implementation of operations.</w:t>
      </w:r>
    </w:p>
    <w:p w14:paraId="1BEA62B3" w14:textId="77777777" w:rsidR="004B65E8" w:rsidRPr="00B71F00" w:rsidRDefault="004B65E8" w:rsidP="00645A2D">
      <w:pPr>
        <w:pStyle w:val="Heading2"/>
        <w:tabs>
          <w:tab w:val="clear" w:pos="567"/>
          <w:tab w:val="clear" w:pos="1134"/>
          <w:tab w:val="clear" w:pos="1701"/>
          <w:tab w:val="clear" w:pos="2268"/>
          <w:tab w:val="clear" w:pos="2835"/>
        </w:tabs>
        <w:spacing w:before="240" w:after="120"/>
      </w:pPr>
      <w:r>
        <w:t>6.</w:t>
      </w:r>
      <w:r>
        <w:tab/>
      </w:r>
      <w:r w:rsidRPr="00B71F00">
        <w:t>Conclusions</w:t>
      </w:r>
    </w:p>
    <w:p w14:paraId="09D91BB6" w14:textId="633A43A4" w:rsidR="004B65E8" w:rsidRDefault="004B65E8" w:rsidP="0053368B">
      <w:pPr>
        <w:tabs>
          <w:tab w:val="clear" w:pos="567"/>
          <w:tab w:val="clear" w:pos="1134"/>
          <w:tab w:val="clear" w:pos="1701"/>
          <w:tab w:val="clear" w:pos="2268"/>
          <w:tab w:val="clear" w:pos="2835"/>
        </w:tabs>
        <w:spacing w:after="120"/>
        <w:jc w:val="both"/>
      </w:pPr>
      <w:proofErr w:type="gramStart"/>
      <w:r>
        <w:t>Taking into account</w:t>
      </w:r>
      <w:proofErr w:type="gramEnd"/>
      <w:r>
        <w:t xml:space="preserve"> the level of damages and financial needs to restore telecommunication </w:t>
      </w:r>
      <w:r w:rsidRPr="00645A2D">
        <w:rPr>
          <w:spacing w:val="-2"/>
        </w:rPr>
        <w:t>infrastructure and strengthen digital resilience of the country, all stakeholders are kindly invited to support activities of ITU in response to Resolution 1408, in particular the following:</w:t>
      </w:r>
    </w:p>
    <w:p w14:paraId="6908CECF" w14:textId="77777777" w:rsidR="004B65E8" w:rsidRPr="002D30B9" w:rsidRDefault="004B65E8" w:rsidP="007D3E5C">
      <w:pPr>
        <w:pStyle w:val="ListParagraph"/>
        <w:numPr>
          <w:ilvl w:val="0"/>
          <w:numId w:val="2"/>
        </w:numPr>
        <w:spacing w:before="60" w:after="60" w:line="240" w:lineRule="auto"/>
        <w:ind w:hanging="436"/>
        <w:contextualSpacing w:val="0"/>
        <w:jc w:val="both"/>
        <w:rPr>
          <w:rFonts w:cstheme="minorHAnsi"/>
          <w:sz w:val="24"/>
          <w:szCs w:val="24"/>
        </w:rPr>
      </w:pPr>
      <w:r w:rsidRPr="2733A3C0">
        <w:rPr>
          <w:sz w:val="24"/>
          <w:szCs w:val="24"/>
        </w:rPr>
        <w:t xml:space="preserve">committing to providing technical assistance and support to Ukraine for rebuilding of their telecommunication </w:t>
      </w:r>
      <w:proofErr w:type="gramStart"/>
      <w:r w:rsidRPr="2733A3C0">
        <w:rPr>
          <w:sz w:val="24"/>
          <w:szCs w:val="24"/>
        </w:rPr>
        <w:t>sector;</w:t>
      </w:r>
      <w:proofErr w:type="gramEnd"/>
    </w:p>
    <w:p w14:paraId="11F2D629" w14:textId="0532D493" w:rsidR="004B65E8" w:rsidRPr="00CD1FCA" w:rsidRDefault="5EE1E762" w:rsidP="08A18AAE">
      <w:pPr>
        <w:pStyle w:val="ListParagraph"/>
        <w:numPr>
          <w:ilvl w:val="0"/>
          <w:numId w:val="2"/>
        </w:numPr>
        <w:spacing w:before="60" w:after="60" w:line="240" w:lineRule="auto"/>
        <w:ind w:hanging="436"/>
        <w:jc w:val="both"/>
        <w:rPr>
          <w:sz w:val="24"/>
          <w:szCs w:val="24"/>
        </w:rPr>
      </w:pPr>
      <w:r w:rsidRPr="08A18AAE">
        <w:rPr>
          <w:sz w:val="24"/>
          <w:szCs w:val="24"/>
        </w:rPr>
        <w:t xml:space="preserve">joining </w:t>
      </w:r>
      <w:r w:rsidR="7AAA0968" w:rsidRPr="08A18AAE">
        <w:rPr>
          <w:sz w:val="24"/>
          <w:szCs w:val="24"/>
        </w:rPr>
        <w:t xml:space="preserve">the </w:t>
      </w:r>
      <w:r w:rsidRPr="08A18AAE">
        <w:rPr>
          <w:sz w:val="24"/>
          <w:szCs w:val="24"/>
        </w:rPr>
        <w:t>Partner2Connect initiative and providing pledges focusing on Ukraine through online system</w:t>
      </w:r>
      <w:r w:rsidR="00A97FEC">
        <w:rPr>
          <w:rStyle w:val="FootnoteReference"/>
          <w:szCs w:val="24"/>
        </w:rPr>
        <w:footnoteReference w:id="3"/>
      </w:r>
    </w:p>
    <w:p w14:paraId="2C0E9925" w14:textId="25D01B33" w:rsidR="004B65E8" w:rsidRPr="002D30B9" w:rsidRDefault="004B65E8" w:rsidP="007D3E5C">
      <w:pPr>
        <w:pStyle w:val="ListParagraph"/>
        <w:numPr>
          <w:ilvl w:val="0"/>
          <w:numId w:val="2"/>
        </w:numPr>
        <w:spacing w:before="60" w:after="60" w:line="240" w:lineRule="auto"/>
        <w:ind w:hanging="436"/>
        <w:contextualSpacing w:val="0"/>
        <w:jc w:val="both"/>
        <w:rPr>
          <w:rFonts w:cstheme="minorHAnsi"/>
          <w:sz w:val="24"/>
          <w:szCs w:val="24"/>
        </w:rPr>
      </w:pPr>
      <w:r w:rsidRPr="2733A3C0">
        <w:rPr>
          <w:sz w:val="24"/>
          <w:szCs w:val="24"/>
        </w:rPr>
        <w:lastRenderedPageBreak/>
        <w:t xml:space="preserve">providing a financial contribution to the Special Fund in Trust, enabling the scaling-up of the implementation of </w:t>
      </w:r>
      <w:r w:rsidR="008C02F7">
        <w:rPr>
          <w:sz w:val="24"/>
          <w:szCs w:val="24"/>
        </w:rPr>
        <w:t>ITU Council</w:t>
      </w:r>
      <w:r w:rsidRPr="2733A3C0">
        <w:rPr>
          <w:sz w:val="24"/>
          <w:szCs w:val="24"/>
        </w:rPr>
        <w:t xml:space="preserve"> Resolution 1408.</w:t>
      </w:r>
    </w:p>
    <w:p w14:paraId="16566EB5" w14:textId="2E5B0E6B" w:rsidR="00A514A4" w:rsidRPr="0090147A" w:rsidRDefault="004B65E8" w:rsidP="005B38C8">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sidRPr="001A2FD1">
        <w:t>____________________</w:t>
      </w:r>
    </w:p>
    <w:sectPr w:rsidR="00A514A4" w:rsidRPr="0090147A"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2A78" w14:textId="77777777" w:rsidR="002027B4" w:rsidRDefault="002027B4">
      <w:r>
        <w:separator/>
      </w:r>
    </w:p>
  </w:endnote>
  <w:endnote w:type="continuationSeparator" w:id="0">
    <w:p w14:paraId="3CB8DC81" w14:textId="77777777" w:rsidR="002027B4" w:rsidRDefault="0020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F9F542E" w:rsidR="00EE49E8" w:rsidRDefault="00EE49E8" w:rsidP="00EE49E8">
          <w:pPr>
            <w:pStyle w:val="Header"/>
            <w:jc w:val="left"/>
            <w:rPr>
              <w:noProof/>
            </w:rPr>
          </w:pPr>
          <w:r>
            <w:rPr>
              <w:noProof/>
            </w:rPr>
            <w:t xml:space="preserve">DPS </w:t>
          </w:r>
          <w:r w:rsidR="00B3032D" w:rsidRPr="00B3032D">
            <w:rPr>
              <w:noProof/>
            </w:rPr>
            <w:t>521093</w:t>
          </w:r>
        </w:p>
      </w:tc>
      <w:tc>
        <w:tcPr>
          <w:tcW w:w="8261" w:type="dxa"/>
        </w:tcPr>
        <w:p w14:paraId="35709C74" w14:textId="7961231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3032D">
            <w:rPr>
              <w:bCs/>
            </w:rPr>
            <w:t>59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715D7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8EAC65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3032D">
            <w:rPr>
              <w:bCs/>
            </w:rPr>
            <w:t>59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85B8" w14:textId="77777777" w:rsidR="002027B4" w:rsidRDefault="002027B4">
      <w:r>
        <w:t>____________________</w:t>
      </w:r>
    </w:p>
  </w:footnote>
  <w:footnote w:type="continuationSeparator" w:id="0">
    <w:p w14:paraId="2C84487B" w14:textId="77777777" w:rsidR="002027B4" w:rsidRDefault="002027B4">
      <w:r>
        <w:continuationSeparator/>
      </w:r>
    </w:p>
  </w:footnote>
  <w:footnote w:id="1">
    <w:p w14:paraId="7644FAF4" w14:textId="1F2E9218" w:rsidR="004B65E8" w:rsidRDefault="004B65E8" w:rsidP="004B65E8">
      <w:pPr>
        <w:pStyle w:val="FootnoteText"/>
        <w:rPr>
          <w:rFonts w:ascii="Arial" w:eastAsia="Arial" w:hAnsi="Arial" w:cs="Arial"/>
          <w:sz w:val="18"/>
          <w:szCs w:val="18"/>
        </w:rPr>
      </w:pPr>
      <w:r w:rsidRPr="0E6CA706">
        <w:rPr>
          <w:rStyle w:val="FootnoteReference"/>
        </w:rPr>
        <w:footnoteRef/>
      </w:r>
      <w:r>
        <w:t xml:space="preserve"> </w:t>
      </w:r>
      <w:r w:rsidR="001E7866">
        <w:tab/>
      </w:r>
      <w:hyperlink r:id="rId1" w:history="1">
        <w:r w:rsidR="001E7866" w:rsidRPr="0053368B">
          <w:rPr>
            <w:rStyle w:val="Hyperlink"/>
            <w:sz w:val="20"/>
          </w:rPr>
          <w:t>https://www.itu.int/en/ITU-D/Regional-Presence/Europe/Documents/Interim%20assessment%20on%20damages%20to%20telecommunication%20infrastructure%20and%20resilience%20of%20the%20ICT%20ecosystem%20in%20Ukraine%20-2022-12-22_FINAL.pdf</w:t>
        </w:r>
      </w:hyperlink>
    </w:p>
  </w:footnote>
  <w:footnote w:id="2">
    <w:p w14:paraId="4F5C6BE9" w14:textId="6EF2ED02" w:rsidR="004B65E8" w:rsidRDefault="004B65E8" w:rsidP="004B65E8">
      <w:pPr>
        <w:pStyle w:val="FootnoteText"/>
      </w:pPr>
      <w:r w:rsidRPr="0E6CA706">
        <w:rPr>
          <w:rStyle w:val="FootnoteReference"/>
        </w:rPr>
        <w:footnoteRef/>
      </w:r>
      <w:r>
        <w:t xml:space="preserve"> </w:t>
      </w:r>
      <w:r w:rsidR="0053368B">
        <w:tab/>
      </w:r>
      <w:hyperlink r:id="rId2" w:history="1">
        <w:r w:rsidR="0053368B" w:rsidRPr="009101F1">
          <w:rPr>
            <w:rStyle w:val="Hyperlink"/>
            <w:sz w:val="20"/>
          </w:rPr>
          <w:t>https://www.itu.int/en/ITU-D/Regional-Presence/Europe/Documents/Publications/2023/RDNA%20-%20Ukraine.pdf</w:t>
        </w:r>
      </w:hyperlink>
      <w:r>
        <w:t xml:space="preserve"> </w:t>
      </w:r>
    </w:p>
  </w:footnote>
  <w:footnote w:id="3">
    <w:p w14:paraId="4CF066AC" w14:textId="1CAF86CC" w:rsidR="00A97FEC" w:rsidRPr="008F0A74" w:rsidRDefault="00A97FEC">
      <w:pPr>
        <w:pStyle w:val="FootnoteText"/>
        <w:rPr>
          <w:lang w:val="en-US"/>
        </w:rPr>
      </w:pPr>
      <w:r>
        <w:rPr>
          <w:rStyle w:val="FootnoteReference"/>
        </w:rPr>
        <w:footnoteRef/>
      </w:r>
      <w:r>
        <w:t xml:space="preserve"> </w:t>
      </w:r>
      <w:r w:rsidRPr="008F0A74">
        <w:rPr>
          <w:sz w:val="20"/>
          <w:lang w:val="en-US"/>
        </w:rPr>
        <w:t>https://www.itu.int/partner2connect-pledges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61EF37">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4D29"/>
    <w:multiLevelType w:val="hybridMultilevel"/>
    <w:tmpl w:val="A72CC4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084FF8"/>
    <w:multiLevelType w:val="hybridMultilevel"/>
    <w:tmpl w:val="FFFFFFFF"/>
    <w:lvl w:ilvl="0" w:tplc="8CDA0BB0">
      <w:start w:val="1"/>
      <w:numFmt w:val="bullet"/>
      <w:lvlText w:val=""/>
      <w:lvlJc w:val="left"/>
      <w:pPr>
        <w:ind w:left="720" w:hanging="360"/>
      </w:pPr>
      <w:rPr>
        <w:rFonts w:ascii="Symbol" w:hAnsi="Symbol" w:hint="default"/>
      </w:rPr>
    </w:lvl>
    <w:lvl w:ilvl="1" w:tplc="D41AAA2E">
      <w:start w:val="1"/>
      <w:numFmt w:val="bullet"/>
      <w:lvlText w:val="o"/>
      <w:lvlJc w:val="left"/>
      <w:pPr>
        <w:ind w:left="1440" w:hanging="360"/>
      </w:pPr>
      <w:rPr>
        <w:rFonts w:ascii="Courier New" w:hAnsi="Courier New" w:hint="default"/>
      </w:rPr>
    </w:lvl>
    <w:lvl w:ilvl="2" w:tplc="33E2DDBA">
      <w:start w:val="1"/>
      <w:numFmt w:val="bullet"/>
      <w:lvlText w:val=""/>
      <w:lvlJc w:val="left"/>
      <w:pPr>
        <w:ind w:left="2160" w:hanging="360"/>
      </w:pPr>
      <w:rPr>
        <w:rFonts w:ascii="Wingdings" w:hAnsi="Wingdings" w:hint="default"/>
      </w:rPr>
    </w:lvl>
    <w:lvl w:ilvl="3" w:tplc="D38C1BBE">
      <w:start w:val="1"/>
      <w:numFmt w:val="bullet"/>
      <w:lvlText w:val=""/>
      <w:lvlJc w:val="left"/>
      <w:pPr>
        <w:ind w:left="2880" w:hanging="360"/>
      </w:pPr>
      <w:rPr>
        <w:rFonts w:ascii="Symbol" w:hAnsi="Symbol" w:hint="default"/>
      </w:rPr>
    </w:lvl>
    <w:lvl w:ilvl="4" w:tplc="AA16AE9C">
      <w:start w:val="1"/>
      <w:numFmt w:val="bullet"/>
      <w:lvlText w:val="o"/>
      <w:lvlJc w:val="left"/>
      <w:pPr>
        <w:ind w:left="3600" w:hanging="360"/>
      </w:pPr>
      <w:rPr>
        <w:rFonts w:ascii="Courier New" w:hAnsi="Courier New" w:hint="default"/>
      </w:rPr>
    </w:lvl>
    <w:lvl w:ilvl="5" w:tplc="263AE586">
      <w:start w:val="1"/>
      <w:numFmt w:val="bullet"/>
      <w:lvlText w:val=""/>
      <w:lvlJc w:val="left"/>
      <w:pPr>
        <w:ind w:left="4320" w:hanging="360"/>
      </w:pPr>
      <w:rPr>
        <w:rFonts w:ascii="Wingdings" w:hAnsi="Wingdings" w:hint="default"/>
      </w:rPr>
    </w:lvl>
    <w:lvl w:ilvl="6" w:tplc="025258AC">
      <w:start w:val="1"/>
      <w:numFmt w:val="bullet"/>
      <w:lvlText w:val=""/>
      <w:lvlJc w:val="left"/>
      <w:pPr>
        <w:ind w:left="5040" w:hanging="360"/>
      </w:pPr>
      <w:rPr>
        <w:rFonts w:ascii="Symbol" w:hAnsi="Symbol" w:hint="default"/>
      </w:rPr>
    </w:lvl>
    <w:lvl w:ilvl="7" w:tplc="4F2819CC">
      <w:start w:val="1"/>
      <w:numFmt w:val="bullet"/>
      <w:lvlText w:val="o"/>
      <w:lvlJc w:val="left"/>
      <w:pPr>
        <w:ind w:left="5760" w:hanging="360"/>
      </w:pPr>
      <w:rPr>
        <w:rFonts w:ascii="Courier New" w:hAnsi="Courier New" w:hint="default"/>
      </w:rPr>
    </w:lvl>
    <w:lvl w:ilvl="8" w:tplc="EBD4B884">
      <w:start w:val="1"/>
      <w:numFmt w:val="bullet"/>
      <w:lvlText w:val=""/>
      <w:lvlJc w:val="left"/>
      <w:pPr>
        <w:ind w:left="6480" w:hanging="360"/>
      </w:pPr>
      <w:rPr>
        <w:rFonts w:ascii="Wingdings" w:hAnsi="Wingdings" w:hint="default"/>
      </w:rPr>
    </w:lvl>
  </w:abstractNum>
  <w:abstractNum w:abstractNumId="3" w15:restartNumberingAfterBreak="0">
    <w:nsid w:val="38C030FF"/>
    <w:multiLevelType w:val="hybridMultilevel"/>
    <w:tmpl w:val="FFFFFFFF"/>
    <w:lvl w:ilvl="0" w:tplc="DA047170">
      <w:start w:val="1"/>
      <w:numFmt w:val="bullet"/>
      <w:lvlText w:val=""/>
      <w:lvlJc w:val="left"/>
      <w:pPr>
        <w:ind w:left="720" w:hanging="360"/>
      </w:pPr>
      <w:rPr>
        <w:rFonts w:ascii="Symbol" w:hAnsi="Symbol" w:hint="default"/>
      </w:rPr>
    </w:lvl>
    <w:lvl w:ilvl="1" w:tplc="7696F6B0">
      <w:start w:val="1"/>
      <w:numFmt w:val="bullet"/>
      <w:lvlText w:val="o"/>
      <w:lvlJc w:val="left"/>
      <w:pPr>
        <w:ind w:left="1440" w:hanging="360"/>
      </w:pPr>
      <w:rPr>
        <w:rFonts w:ascii="Courier New" w:hAnsi="Courier New" w:hint="default"/>
      </w:rPr>
    </w:lvl>
    <w:lvl w:ilvl="2" w:tplc="86F6FC9E">
      <w:start w:val="1"/>
      <w:numFmt w:val="bullet"/>
      <w:lvlText w:val=""/>
      <w:lvlJc w:val="left"/>
      <w:pPr>
        <w:ind w:left="2160" w:hanging="360"/>
      </w:pPr>
      <w:rPr>
        <w:rFonts w:ascii="Wingdings" w:hAnsi="Wingdings" w:hint="default"/>
      </w:rPr>
    </w:lvl>
    <w:lvl w:ilvl="3" w:tplc="0636C582">
      <w:start w:val="1"/>
      <w:numFmt w:val="bullet"/>
      <w:lvlText w:val=""/>
      <w:lvlJc w:val="left"/>
      <w:pPr>
        <w:ind w:left="2880" w:hanging="360"/>
      </w:pPr>
      <w:rPr>
        <w:rFonts w:ascii="Symbol" w:hAnsi="Symbol" w:hint="default"/>
      </w:rPr>
    </w:lvl>
    <w:lvl w:ilvl="4" w:tplc="C1128ACE">
      <w:start w:val="1"/>
      <w:numFmt w:val="bullet"/>
      <w:lvlText w:val="o"/>
      <w:lvlJc w:val="left"/>
      <w:pPr>
        <w:ind w:left="3600" w:hanging="360"/>
      </w:pPr>
      <w:rPr>
        <w:rFonts w:ascii="Courier New" w:hAnsi="Courier New" w:hint="default"/>
      </w:rPr>
    </w:lvl>
    <w:lvl w:ilvl="5" w:tplc="AAC82D7E">
      <w:start w:val="1"/>
      <w:numFmt w:val="bullet"/>
      <w:lvlText w:val=""/>
      <w:lvlJc w:val="left"/>
      <w:pPr>
        <w:ind w:left="4320" w:hanging="360"/>
      </w:pPr>
      <w:rPr>
        <w:rFonts w:ascii="Wingdings" w:hAnsi="Wingdings" w:hint="default"/>
      </w:rPr>
    </w:lvl>
    <w:lvl w:ilvl="6" w:tplc="A5A886FC">
      <w:start w:val="1"/>
      <w:numFmt w:val="bullet"/>
      <w:lvlText w:val=""/>
      <w:lvlJc w:val="left"/>
      <w:pPr>
        <w:ind w:left="5040" w:hanging="360"/>
      </w:pPr>
      <w:rPr>
        <w:rFonts w:ascii="Symbol" w:hAnsi="Symbol" w:hint="default"/>
      </w:rPr>
    </w:lvl>
    <w:lvl w:ilvl="7" w:tplc="EC449154">
      <w:start w:val="1"/>
      <w:numFmt w:val="bullet"/>
      <w:lvlText w:val="o"/>
      <w:lvlJc w:val="left"/>
      <w:pPr>
        <w:ind w:left="5760" w:hanging="360"/>
      </w:pPr>
      <w:rPr>
        <w:rFonts w:ascii="Courier New" w:hAnsi="Courier New" w:hint="default"/>
      </w:rPr>
    </w:lvl>
    <w:lvl w:ilvl="8" w:tplc="B00EA75E">
      <w:start w:val="1"/>
      <w:numFmt w:val="bullet"/>
      <w:lvlText w:val=""/>
      <w:lvlJc w:val="left"/>
      <w:pPr>
        <w:ind w:left="6480" w:hanging="360"/>
      </w:pPr>
      <w:rPr>
        <w:rFonts w:ascii="Wingdings" w:hAnsi="Wingdings" w:hint="default"/>
      </w:rPr>
    </w:lvl>
  </w:abstractNum>
  <w:abstractNum w:abstractNumId="4" w15:restartNumberingAfterBreak="0">
    <w:nsid w:val="5E000668"/>
    <w:multiLevelType w:val="hybridMultilevel"/>
    <w:tmpl w:val="FFFFFFFF"/>
    <w:lvl w:ilvl="0" w:tplc="8EC80CBA">
      <w:start w:val="1"/>
      <w:numFmt w:val="decimal"/>
      <w:lvlText w:val="%1."/>
      <w:lvlJc w:val="left"/>
      <w:pPr>
        <w:ind w:left="720" w:hanging="360"/>
      </w:pPr>
    </w:lvl>
    <w:lvl w:ilvl="1" w:tplc="76CAB014">
      <w:start w:val="1"/>
      <w:numFmt w:val="lowerLetter"/>
      <w:lvlText w:val="%2."/>
      <w:lvlJc w:val="left"/>
      <w:pPr>
        <w:ind w:left="1440" w:hanging="360"/>
      </w:pPr>
    </w:lvl>
    <w:lvl w:ilvl="2" w:tplc="8640B4FC">
      <w:start w:val="1"/>
      <w:numFmt w:val="lowerRoman"/>
      <w:lvlText w:val="%3."/>
      <w:lvlJc w:val="right"/>
      <w:pPr>
        <w:ind w:left="2160" w:hanging="180"/>
      </w:pPr>
    </w:lvl>
    <w:lvl w:ilvl="3" w:tplc="B3D44F58">
      <w:start w:val="1"/>
      <w:numFmt w:val="decimal"/>
      <w:lvlText w:val="%4."/>
      <w:lvlJc w:val="left"/>
      <w:pPr>
        <w:ind w:left="2880" w:hanging="360"/>
      </w:pPr>
    </w:lvl>
    <w:lvl w:ilvl="4" w:tplc="69544584">
      <w:start w:val="1"/>
      <w:numFmt w:val="lowerLetter"/>
      <w:lvlText w:val="%5."/>
      <w:lvlJc w:val="left"/>
      <w:pPr>
        <w:ind w:left="3600" w:hanging="360"/>
      </w:pPr>
    </w:lvl>
    <w:lvl w:ilvl="5" w:tplc="57FA954C">
      <w:start w:val="1"/>
      <w:numFmt w:val="lowerRoman"/>
      <w:lvlText w:val="%6."/>
      <w:lvlJc w:val="right"/>
      <w:pPr>
        <w:ind w:left="4320" w:hanging="180"/>
      </w:pPr>
    </w:lvl>
    <w:lvl w:ilvl="6" w:tplc="3226585C">
      <w:start w:val="1"/>
      <w:numFmt w:val="decimal"/>
      <w:lvlText w:val="%7."/>
      <w:lvlJc w:val="left"/>
      <w:pPr>
        <w:ind w:left="5040" w:hanging="360"/>
      </w:pPr>
    </w:lvl>
    <w:lvl w:ilvl="7" w:tplc="3B88579C">
      <w:start w:val="1"/>
      <w:numFmt w:val="lowerLetter"/>
      <w:lvlText w:val="%8."/>
      <w:lvlJc w:val="left"/>
      <w:pPr>
        <w:ind w:left="5760" w:hanging="360"/>
      </w:pPr>
    </w:lvl>
    <w:lvl w:ilvl="8" w:tplc="61A8D800">
      <w:start w:val="1"/>
      <w:numFmt w:val="lowerRoman"/>
      <w:lvlText w:val="%9."/>
      <w:lvlJc w:val="right"/>
      <w:pPr>
        <w:ind w:left="6480" w:hanging="180"/>
      </w:pPr>
    </w:lvl>
  </w:abstractNum>
  <w:num w:numId="1" w16cid:durableId="1374816267">
    <w:abstractNumId w:val="0"/>
  </w:num>
  <w:num w:numId="2" w16cid:durableId="1807890752">
    <w:abstractNumId w:val="1"/>
  </w:num>
  <w:num w:numId="3" w16cid:durableId="228005199">
    <w:abstractNumId w:val="4"/>
  </w:num>
  <w:num w:numId="4" w16cid:durableId="925260249">
    <w:abstractNumId w:val="3"/>
  </w:num>
  <w:num w:numId="5" w16cid:durableId="28261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DQ1NzU1MrMwMjRS0lEKTi0uzszPAykwrAUAU0T4wywAAAA="/>
  </w:docVars>
  <w:rsids>
    <w:rsidRoot w:val="00A54171"/>
    <w:rsid w:val="00005754"/>
    <w:rsid w:val="000210D4"/>
    <w:rsid w:val="00063016"/>
    <w:rsid w:val="00066795"/>
    <w:rsid w:val="00076AF6"/>
    <w:rsid w:val="00085CF2"/>
    <w:rsid w:val="000B1705"/>
    <w:rsid w:val="000C08B3"/>
    <w:rsid w:val="000D75B2"/>
    <w:rsid w:val="001121F5"/>
    <w:rsid w:val="001400DC"/>
    <w:rsid w:val="00140CE1"/>
    <w:rsid w:val="0017539C"/>
    <w:rsid w:val="00175AC2"/>
    <w:rsid w:val="0017609F"/>
    <w:rsid w:val="001A7D1D"/>
    <w:rsid w:val="001B51DD"/>
    <w:rsid w:val="001C5421"/>
    <w:rsid w:val="001C628E"/>
    <w:rsid w:val="001E0F7B"/>
    <w:rsid w:val="001E7866"/>
    <w:rsid w:val="002027B4"/>
    <w:rsid w:val="002119FD"/>
    <w:rsid w:val="002130E0"/>
    <w:rsid w:val="00226DDE"/>
    <w:rsid w:val="00264425"/>
    <w:rsid w:val="00265875"/>
    <w:rsid w:val="0027303B"/>
    <w:rsid w:val="0028109B"/>
    <w:rsid w:val="002A2188"/>
    <w:rsid w:val="002B1F58"/>
    <w:rsid w:val="002B353E"/>
    <w:rsid w:val="002C1C7A"/>
    <w:rsid w:val="002C54E2"/>
    <w:rsid w:val="002D6B34"/>
    <w:rsid w:val="002E0693"/>
    <w:rsid w:val="0030160F"/>
    <w:rsid w:val="00320223"/>
    <w:rsid w:val="00322D0D"/>
    <w:rsid w:val="00335D82"/>
    <w:rsid w:val="00361465"/>
    <w:rsid w:val="003877F5"/>
    <w:rsid w:val="003942D4"/>
    <w:rsid w:val="003958A8"/>
    <w:rsid w:val="003C2533"/>
    <w:rsid w:val="003D5A7F"/>
    <w:rsid w:val="0040435A"/>
    <w:rsid w:val="00416A24"/>
    <w:rsid w:val="00431D9E"/>
    <w:rsid w:val="00433CE8"/>
    <w:rsid w:val="00434A5C"/>
    <w:rsid w:val="004544D9"/>
    <w:rsid w:val="00457D53"/>
    <w:rsid w:val="00472BAD"/>
    <w:rsid w:val="00484009"/>
    <w:rsid w:val="00490E72"/>
    <w:rsid w:val="00491157"/>
    <w:rsid w:val="004921C8"/>
    <w:rsid w:val="00495B0B"/>
    <w:rsid w:val="004A1B8B"/>
    <w:rsid w:val="004B65E8"/>
    <w:rsid w:val="004D1851"/>
    <w:rsid w:val="004D599D"/>
    <w:rsid w:val="004E2EA5"/>
    <w:rsid w:val="004E3AEB"/>
    <w:rsid w:val="0050223C"/>
    <w:rsid w:val="005243FF"/>
    <w:rsid w:val="0053368B"/>
    <w:rsid w:val="00564FBC"/>
    <w:rsid w:val="005800BC"/>
    <w:rsid w:val="00582442"/>
    <w:rsid w:val="005B38C8"/>
    <w:rsid w:val="005F3269"/>
    <w:rsid w:val="00623AE3"/>
    <w:rsid w:val="00645A2D"/>
    <w:rsid w:val="0064737F"/>
    <w:rsid w:val="006535F1"/>
    <w:rsid w:val="0065557D"/>
    <w:rsid w:val="006573D0"/>
    <w:rsid w:val="00660D50"/>
    <w:rsid w:val="00662984"/>
    <w:rsid w:val="006716BB"/>
    <w:rsid w:val="006B1859"/>
    <w:rsid w:val="006B6680"/>
    <w:rsid w:val="006B6DCC"/>
    <w:rsid w:val="00702DEF"/>
    <w:rsid w:val="00706861"/>
    <w:rsid w:val="00715D7B"/>
    <w:rsid w:val="0075051B"/>
    <w:rsid w:val="007551C2"/>
    <w:rsid w:val="00793188"/>
    <w:rsid w:val="00794D34"/>
    <w:rsid w:val="007D3E5C"/>
    <w:rsid w:val="00813E5E"/>
    <w:rsid w:val="0083581B"/>
    <w:rsid w:val="00863874"/>
    <w:rsid w:val="00864AFF"/>
    <w:rsid w:val="00865925"/>
    <w:rsid w:val="008B4A6A"/>
    <w:rsid w:val="008C02F7"/>
    <w:rsid w:val="008C7E27"/>
    <w:rsid w:val="008F0A74"/>
    <w:rsid w:val="008F7448"/>
    <w:rsid w:val="0090147A"/>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97FEC"/>
    <w:rsid w:val="00AD15B3"/>
    <w:rsid w:val="00AD3606"/>
    <w:rsid w:val="00AD4A3D"/>
    <w:rsid w:val="00AF6E49"/>
    <w:rsid w:val="00B04A67"/>
    <w:rsid w:val="00B0583C"/>
    <w:rsid w:val="00B3032D"/>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D1FCA"/>
    <w:rsid w:val="00CE03FB"/>
    <w:rsid w:val="00CE433C"/>
    <w:rsid w:val="00CF0161"/>
    <w:rsid w:val="00CF33F3"/>
    <w:rsid w:val="00D06183"/>
    <w:rsid w:val="00D22C42"/>
    <w:rsid w:val="00D65041"/>
    <w:rsid w:val="00DB1936"/>
    <w:rsid w:val="00DB384B"/>
    <w:rsid w:val="00DF0189"/>
    <w:rsid w:val="00E06FD5"/>
    <w:rsid w:val="00E10E80"/>
    <w:rsid w:val="00E124F0"/>
    <w:rsid w:val="00E251AC"/>
    <w:rsid w:val="00E60F04"/>
    <w:rsid w:val="00E65B24"/>
    <w:rsid w:val="00E83F11"/>
    <w:rsid w:val="00E854E4"/>
    <w:rsid w:val="00E86DBF"/>
    <w:rsid w:val="00EB0D6F"/>
    <w:rsid w:val="00EB2232"/>
    <w:rsid w:val="00EC5337"/>
    <w:rsid w:val="00EE49E8"/>
    <w:rsid w:val="00EF71A5"/>
    <w:rsid w:val="00F16BAB"/>
    <w:rsid w:val="00F2150A"/>
    <w:rsid w:val="00F231D8"/>
    <w:rsid w:val="00F44C00"/>
    <w:rsid w:val="00F46C5F"/>
    <w:rsid w:val="00F632C0"/>
    <w:rsid w:val="00F94A63"/>
    <w:rsid w:val="00FA1C28"/>
    <w:rsid w:val="00FB1279"/>
    <w:rsid w:val="00FB6B76"/>
    <w:rsid w:val="00FB7596"/>
    <w:rsid w:val="00FE4077"/>
    <w:rsid w:val="00FE77D2"/>
    <w:rsid w:val="05D0B202"/>
    <w:rsid w:val="08A18AAE"/>
    <w:rsid w:val="0F6E3FB6"/>
    <w:rsid w:val="1077333B"/>
    <w:rsid w:val="144F2F80"/>
    <w:rsid w:val="172134CD"/>
    <w:rsid w:val="19DE0542"/>
    <w:rsid w:val="2B0D8CC4"/>
    <w:rsid w:val="3C3D153A"/>
    <w:rsid w:val="3D4BBEA3"/>
    <w:rsid w:val="4009EB54"/>
    <w:rsid w:val="44B55006"/>
    <w:rsid w:val="5197DB05"/>
    <w:rsid w:val="5EE1E762"/>
    <w:rsid w:val="64A70AB8"/>
    <w:rsid w:val="6E09EA07"/>
    <w:rsid w:val="73928022"/>
    <w:rsid w:val="752E5083"/>
    <w:rsid w:val="7AAA0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FootnoteTextChar">
    <w:name w:val="Footnote Text Char"/>
    <w:basedOn w:val="DefaultParagraphFont"/>
    <w:link w:val="FootnoteText"/>
    <w:uiPriority w:val="99"/>
    <w:rsid w:val="004B65E8"/>
    <w:rPr>
      <w:rFonts w:ascii="Calibri" w:hAnsi="Calibri"/>
      <w:sz w:val="24"/>
      <w:lang w:val="en-GB" w:eastAsia="en-US"/>
    </w:rPr>
  </w:style>
  <w:style w:type="paragraph" w:customStyle="1" w:styleId="paragraph">
    <w:name w:val="paragraph"/>
    <w:basedOn w:val="Normal"/>
    <w:rsid w:val="004B65E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link w:val="ListParagraphChar"/>
    <w:uiPriority w:val="34"/>
    <w:qFormat/>
    <w:rsid w:val="004B65E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4B65E8"/>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B65E8"/>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A97FEC"/>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A97FEC"/>
    <w:rPr>
      <w:b/>
      <w:bCs/>
    </w:rPr>
  </w:style>
  <w:style w:type="character" w:customStyle="1" w:styleId="CommentSubjectChar">
    <w:name w:val="Comment Subject Char"/>
    <w:basedOn w:val="CommentTextChar"/>
    <w:link w:val="CommentSubject"/>
    <w:semiHidden/>
    <w:rsid w:val="00A97FEC"/>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ResDec/Council-RES-1408-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PP-C-0070/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ResDec/Council-RES-1408-e.pdf" TargetMode="External"/><Relationship Id="rId5" Type="http://schemas.openxmlformats.org/officeDocument/2006/relationships/numbering" Target="numbering.xml"/><Relationship Id="rId15"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07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Regional-Presence/Europe/Documents/Publications/2023/RDNA%20-%20Ukraine.pdf" TargetMode="External"/><Relationship Id="rId1"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2713-B2C0-46C2-B728-FA30866E40C1}">
  <ds:schemaRefs>
    <ds:schemaRef ds:uri="http://schemas.microsoft.com/sharepoint/v3/contenttype/forms"/>
  </ds:schemaRefs>
</ds:datastoreItem>
</file>

<file path=customXml/itemProps2.xml><?xml version="1.0" encoding="utf-8"?>
<ds:datastoreItem xmlns:ds="http://schemas.openxmlformats.org/officeDocument/2006/customXml" ds:itemID="{E6522E29-6449-44E7-B5E7-650892BBA552}">
  <ds:schemaRefs>
    <ds:schemaRef ds:uri="http://schemas.microsoft.com/office/2006/metadata/properties"/>
    <ds:schemaRef ds:uri="http://schemas.microsoft.com/office/infopath/2007/PartnerControls"/>
    <ds:schemaRef ds:uri="5a9e730e-50ca-4fdd-8a7a-b4f5b57bd209"/>
  </ds:schemaRefs>
</ds:datastoreItem>
</file>

<file path=customXml/itemProps3.xml><?xml version="1.0" encoding="utf-8"?>
<ds:datastoreItem xmlns:ds="http://schemas.openxmlformats.org/officeDocument/2006/customXml" ds:itemID="{93BB2CB1-609F-4002-AD89-83666ED8F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1346</Words>
  <Characters>8362</Characters>
  <Application>Microsoft Office Word</Application>
  <DocSecurity>0</DocSecurity>
  <Lines>69</Lines>
  <Paragraphs>19</Paragraphs>
  <ScaleCrop>false</ScaleCrop>
  <Manager>General Secretariat - Pool</Manager>
  <Company>International Telecommunication Union (ITU)</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ITU Council Resolution 1408 on assistance and support to Ukraine for rebuilding their telecommunication sector</dc:title>
  <dc:subject>Council 2023</dc:subject>
  <dc:creator>Pluchon, Beatrice</dc:creator>
  <cp:keywords>C2023, C23, Council-23</cp:keywords>
  <dc:description/>
  <cp:lastModifiedBy>Xue, Kun</cp:lastModifiedBy>
  <cp:revision>3</cp:revision>
  <cp:lastPrinted>2000-07-18T13:30:00Z</cp:lastPrinted>
  <dcterms:created xsi:type="dcterms:W3CDTF">2023-06-11T14:53:00Z</dcterms:created>
  <dcterms:modified xsi:type="dcterms:W3CDTF">2023-06-11T14:58:00Z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