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ED78112" w14:textId="77777777" w:rsidTr="00C538FC">
        <w:trPr>
          <w:cantSplit/>
          <w:trHeight w:val="23"/>
        </w:trPr>
        <w:tc>
          <w:tcPr>
            <w:tcW w:w="3969" w:type="dxa"/>
            <w:vMerge w:val="restart"/>
            <w:tcMar>
              <w:left w:w="0" w:type="dxa"/>
            </w:tcMar>
          </w:tcPr>
          <w:p w14:paraId="06899910" w14:textId="5A3EDAD7" w:rsidR="00FE57F6" w:rsidRPr="00E85629" w:rsidRDefault="007C36DA" w:rsidP="007C36DA">
            <w:pPr>
              <w:tabs>
                <w:tab w:val="left" w:pos="851"/>
              </w:tabs>
              <w:spacing w:before="0" w:line="240" w:lineRule="atLeast"/>
              <w:rPr>
                <w:b/>
              </w:rPr>
            </w:pPr>
            <w:bookmarkStart w:id="0" w:name="_Hlk133421839"/>
            <w:r w:rsidRPr="007C36DA">
              <w:rPr>
                <w:b/>
                <w:lang w:val="es-ES"/>
              </w:rPr>
              <w:t>Punto del orden del día: ADM 1</w:t>
            </w:r>
          </w:p>
        </w:tc>
        <w:tc>
          <w:tcPr>
            <w:tcW w:w="5245" w:type="dxa"/>
          </w:tcPr>
          <w:p w14:paraId="67C1BF5F" w14:textId="64C31787" w:rsidR="00FE57F6" w:rsidRPr="007C36DA" w:rsidRDefault="00FE57F6" w:rsidP="00C538FC">
            <w:pPr>
              <w:tabs>
                <w:tab w:val="left" w:pos="851"/>
              </w:tabs>
              <w:spacing w:before="0" w:line="240" w:lineRule="atLeast"/>
              <w:jc w:val="right"/>
              <w:rPr>
                <w:b/>
                <w:lang w:val="es-ES"/>
              </w:rPr>
            </w:pPr>
            <w:r w:rsidRPr="007C36DA">
              <w:rPr>
                <w:b/>
                <w:lang w:val="es-ES"/>
              </w:rPr>
              <w:t>Document</w:t>
            </w:r>
            <w:r w:rsidR="00F24B71" w:rsidRPr="007C36DA">
              <w:rPr>
                <w:b/>
                <w:lang w:val="es-ES"/>
              </w:rPr>
              <w:t>o</w:t>
            </w:r>
            <w:r w:rsidRPr="007C36DA">
              <w:rPr>
                <w:b/>
                <w:lang w:val="es-ES"/>
              </w:rPr>
              <w:t xml:space="preserve"> C23/</w:t>
            </w:r>
            <w:r w:rsidR="007C36DA" w:rsidRPr="007C36DA">
              <w:rPr>
                <w:b/>
                <w:lang w:val="es-ES"/>
              </w:rPr>
              <w:t>62</w:t>
            </w:r>
            <w:r w:rsidRPr="007C36DA">
              <w:rPr>
                <w:b/>
                <w:lang w:val="es-ES"/>
              </w:rPr>
              <w:t>-</w:t>
            </w:r>
            <w:r w:rsidR="00F24B71" w:rsidRPr="007C36DA">
              <w:rPr>
                <w:b/>
                <w:lang w:val="es-ES"/>
              </w:rPr>
              <w:t>S</w:t>
            </w:r>
          </w:p>
        </w:tc>
      </w:tr>
      <w:tr w:rsidR="00FE57F6" w:rsidRPr="00813E5E" w14:paraId="08132F3F" w14:textId="77777777" w:rsidTr="00C538FC">
        <w:trPr>
          <w:cantSplit/>
        </w:trPr>
        <w:tc>
          <w:tcPr>
            <w:tcW w:w="3969" w:type="dxa"/>
            <w:vMerge/>
          </w:tcPr>
          <w:p w14:paraId="7C7F560B" w14:textId="77777777" w:rsidR="00FE57F6" w:rsidRPr="00813E5E" w:rsidRDefault="00FE57F6" w:rsidP="00C538FC">
            <w:pPr>
              <w:tabs>
                <w:tab w:val="left" w:pos="851"/>
              </w:tabs>
              <w:spacing w:line="240" w:lineRule="atLeast"/>
              <w:rPr>
                <w:b/>
              </w:rPr>
            </w:pPr>
          </w:p>
        </w:tc>
        <w:tc>
          <w:tcPr>
            <w:tcW w:w="5245" w:type="dxa"/>
          </w:tcPr>
          <w:p w14:paraId="3C14E147" w14:textId="2457977B" w:rsidR="00FE57F6" w:rsidRPr="007C36DA" w:rsidRDefault="007C36DA" w:rsidP="00C538FC">
            <w:pPr>
              <w:tabs>
                <w:tab w:val="left" w:pos="851"/>
              </w:tabs>
              <w:spacing w:before="0"/>
              <w:jc w:val="right"/>
              <w:rPr>
                <w:b/>
                <w:lang w:val="es-ES"/>
              </w:rPr>
            </w:pPr>
            <w:r w:rsidRPr="007C36DA">
              <w:rPr>
                <w:b/>
                <w:lang w:val="es-ES"/>
              </w:rPr>
              <w:t>9 de junio de 2023</w:t>
            </w:r>
          </w:p>
        </w:tc>
      </w:tr>
      <w:tr w:rsidR="00FE57F6" w:rsidRPr="00F24B71" w14:paraId="7A9251F1" w14:textId="77777777" w:rsidTr="00C538FC">
        <w:trPr>
          <w:cantSplit/>
          <w:trHeight w:val="23"/>
        </w:trPr>
        <w:tc>
          <w:tcPr>
            <w:tcW w:w="3969" w:type="dxa"/>
            <w:vMerge/>
          </w:tcPr>
          <w:p w14:paraId="63083E2E" w14:textId="77777777" w:rsidR="00FE57F6" w:rsidRPr="00813E5E" w:rsidRDefault="00FE57F6" w:rsidP="00C538FC">
            <w:pPr>
              <w:tabs>
                <w:tab w:val="left" w:pos="851"/>
              </w:tabs>
              <w:spacing w:line="240" w:lineRule="atLeast"/>
              <w:rPr>
                <w:b/>
              </w:rPr>
            </w:pPr>
          </w:p>
        </w:tc>
        <w:tc>
          <w:tcPr>
            <w:tcW w:w="5245" w:type="dxa"/>
          </w:tcPr>
          <w:p w14:paraId="4E4650B0" w14:textId="77777777" w:rsidR="00FE57F6" w:rsidRPr="007C36DA" w:rsidRDefault="00F24B71" w:rsidP="00C538FC">
            <w:pPr>
              <w:tabs>
                <w:tab w:val="left" w:pos="851"/>
              </w:tabs>
              <w:spacing w:before="0" w:line="240" w:lineRule="atLeast"/>
              <w:jc w:val="right"/>
              <w:rPr>
                <w:b/>
                <w:bCs/>
                <w:lang w:val="es-ES"/>
              </w:rPr>
            </w:pPr>
            <w:r w:rsidRPr="007C36DA">
              <w:rPr>
                <w:rFonts w:cstheme="minorHAnsi"/>
                <w:b/>
                <w:bCs/>
                <w:lang w:val="es-ES"/>
              </w:rPr>
              <w:t>Original: inglés</w:t>
            </w:r>
          </w:p>
        </w:tc>
      </w:tr>
      <w:tr w:rsidR="00FE57F6" w:rsidRPr="00813E5E" w14:paraId="0F322A76" w14:textId="77777777" w:rsidTr="00C538FC">
        <w:trPr>
          <w:cantSplit/>
          <w:trHeight w:val="23"/>
        </w:trPr>
        <w:tc>
          <w:tcPr>
            <w:tcW w:w="3969" w:type="dxa"/>
          </w:tcPr>
          <w:p w14:paraId="5A5E7ADE" w14:textId="77777777" w:rsidR="00FE57F6" w:rsidRPr="00813E5E" w:rsidRDefault="00FE57F6" w:rsidP="00C538FC">
            <w:pPr>
              <w:tabs>
                <w:tab w:val="left" w:pos="851"/>
              </w:tabs>
              <w:spacing w:line="240" w:lineRule="atLeast"/>
              <w:rPr>
                <w:b/>
              </w:rPr>
            </w:pPr>
          </w:p>
        </w:tc>
        <w:tc>
          <w:tcPr>
            <w:tcW w:w="5245" w:type="dxa"/>
          </w:tcPr>
          <w:p w14:paraId="759C7B46" w14:textId="77777777" w:rsidR="00FE57F6" w:rsidRPr="007C36DA" w:rsidRDefault="00FE57F6" w:rsidP="00C538FC">
            <w:pPr>
              <w:tabs>
                <w:tab w:val="left" w:pos="851"/>
              </w:tabs>
              <w:spacing w:before="0" w:line="240" w:lineRule="atLeast"/>
              <w:jc w:val="right"/>
              <w:rPr>
                <w:b/>
                <w:lang w:val="es-ES"/>
              </w:rPr>
            </w:pPr>
          </w:p>
        </w:tc>
      </w:tr>
      <w:tr w:rsidR="00FE57F6" w:rsidRPr="00FE57F6" w14:paraId="4816F2FB" w14:textId="77777777" w:rsidTr="00C538FC">
        <w:trPr>
          <w:cantSplit/>
        </w:trPr>
        <w:tc>
          <w:tcPr>
            <w:tcW w:w="9214" w:type="dxa"/>
            <w:gridSpan w:val="2"/>
            <w:tcMar>
              <w:left w:w="0" w:type="dxa"/>
            </w:tcMar>
          </w:tcPr>
          <w:p w14:paraId="1293B86D" w14:textId="77777777" w:rsidR="00FE57F6" w:rsidRPr="007C36DA" w:rsidRDefault="00F24B71" w:rsidP="00C538FC">
            <w:pPr>
              <w:pStyle w:val="Source"/>
              <w:jc w:val="left"/>
              <w:rPr>
                <w:sz w:val="34"/>
                <w:szCs w:val="34"/>
                <w:lang w:val="es-ES"/>
              </w:rPr>
            </w:pPr>
            <w:r w:rsidRPr="007C36DA">
              <w:rPr>
                <w:rFonts w:cstheme="minorHAnsi"/>
                <w:sz w:val="34"/>
                <w:szCs w:val="34"/>
                <w:lang w:val="es-ES"/>
              </w:rPr>
              <w:t>Informe de</w:t>
            </w:r>
            <w:r w:rsidR="004B5D49" w:rsidRPr="007C36DA">
              <w:rPr>
                <w:rFonts w:cstheme="minorHAnsi"/>
                <w:sz w:val="34"/>
                <w:szCs w:val="34"/>
                <w:lang w:val="es-ES"/>
              </w:rPr>
              <w:t xml:space="preserve"> </w:t>
            </w:r>
            <w:r w:rsidRPr="007C36DA">
              <w:rPr>
                <w:rFonts w:cstheme="minorHAnsi"/>
                <w:sz w:val="34"/>
                <w:szCs w:val="34"/>
                <w:lang w:val="es-ES"/>
              </w:rPr>
              <w:t>l</w:t>
            </w:r>
            <w:r w:rsidR="004B5D49" w:rsidRPr="007C36DA">
              <w:rPr>
                <w:rFonts w:cstheme="minorHAnsi"/>
                <w:sz w:val="34"/>
                <w:szCs w:val="34"/>
                <w:lang w:val="es-ES"/>
              </w:rPr>
              <w:t>a</w:t>
            </w:r>
            <w:r w:rsidRPr="007C36DA">
              <w:rPr>
                <w:rFonts w:cstheme="minorHAnsi"/>
                <w:sz w:val="34"/>
                <w:szCs w:val="34"/>
                <w:lang w:val="es-ES"/>
              </w:rPr>
              <w:t xml:space="preserve"> Secretari</w:t>
            </w:r>
            <w:r w:rsidR="004B5D49" w:rsidRPr="007C36DA">
              <w:rPr>
                <w:rFonts w:cstheme="minorHAnsi"/>
                <w:sz w:val="34"/>
                <w:szCs w:val="34"/>
                <w:lang w:val="es-ES"/>
              </w:rPr>
              <w:t>a</w:t>
            </w:r>
            <w:r w:rsidRPr="007C36DA">
              <w:rPr>
                <w:rFonts w:cstheme="minorHAnsi"/>
                <w:sz w:val="34"/>
                <w:szCs w:val="34"/>
                <w:lang w:val="es-ES"/>
              </w:rPr>
              <w:t xml:space="preserve"> General</w:t>
            </w:r>
          </w:p>
        </w:tc>
      </w:tr>
      <w:tr w:rsidR="00FE57F6" w:rsidRPr="00813E5E" w14:paraId="13E027AA" w14:textId="77777777" w:rsidTr="00C538FC">
        <w:trPr>
          <w:cantSplit/>
        </w:trPr>
        <w:tc>
          <w:tcPr>
            <w:tcW w:w="9214" w:type="dxa"/>
            <w:gridSpan w:val="2"/>
            <w:tcMar>
              <w:left w:w="0" w:type="dxa"/>
            </w:tcMar>
          </w:tcPr>
          <w:p w14:paraId="337468AB" w14:textId="7602770D" w:rsidR="00FE57F6" w:rsidRPr="007C36DA" w:rsidRDefault="007C36DA" w:rsidP="007C36DA">
            <w:pPr>
              <w:pStyle w:val="Subtitle"/>
              <w:framePr w:hSpace="0" w:wrap="auto" w:hAnchor="text" w:xAlign="left" w:yAlign="inline"/>
              <w:rPr>
                <w:lang w:val="es-ES"/>
              </w:rPr>
            </w:pPr>
            <w:bookmarkStart w:id="1" w:name="_Hlk138330016"/>
            <w:r w:rsidRPr="007C36DA">
              <w:rPr>
                <w:lang w:val="es-ES"/>
              </w:rPr>
              <w:t xml:space="preserve">HACIA UNA NUEVA ESTRATEGIA DE MOVILIZACIÓN </w:t>
            </w:r>
            <w:r w:rsidR="00DD3F59">
              <w:rPr>
                <w:lang w:val="es-ES"/>
              </w:rPr>
              <w:br/>
            </w:r>
            <w:r w:rsidRPr="007C36DA">
              <w:rPr>
                <w:lang w:val="es-ES"/>
              </w:rPr>
              <w:t xml:space="preserve">DE RECURSOS </w:t>
            </w:r>
            <w:r>
              <w:rPr>
                <w:lang w:val="es-ES"/>
              </w:rPr>
              <w:t>"</w:t>
            </w:r>
            <w:r w:rsidRPr="007C36DA">
              <w:rPr>
                <w:lang w:val="es-ES"/>
              </w:rPr>
              <w:t>UnaUIT</w:t>
            </w:r>
            <w:r>
              <w:rPr>
                <w:lang w:val="es-ES"/>
              </w:rPr>
              <w:t>"</w:t>
            </w:r>
            <w:bookmarkEnd w:id="1"/>
          </w:p>
        </w:tc>
      </w:tr>
      <w:tr w:rsidR="00FE57F6" w:rsidRPr="00813E5E" w14:paraId="1A308E28" w14:textId="77777777" w:rsidTr="00C538FC">
        <w:trPr>
          <w:cantSplit/>
        </w:trPr>
        <w:tc>
          <w:tcPr>
            <w:tcW w:w="9214" w:type="dxa"/>
            <w:gridSpan w:val="2"/>
            <w:tcBorders>
              <w:top w:val="single" w:sz="4" w:space="0" w:color="auto"/>
              <w:bottom w:val="single" w:sz="4" w:space="0" w:color="auto"/>
            </w:tcBorders>
            <w:tcMar>
              <w:left w:w="0" w:type="dxa"/>
            </w:tcMar>
          </w:tcPr>
          <w:p w14:paraId="195E596F" w14:textId="6C1ED7FD" w:rsidR="00FE57F6" w:rsidRPr="00F24B71" w:rsidRDefault="00F24B71" w:rsidP="00C538FC">
            <w:pPr>
              <w:spacing w:before="160"/>
              <w:rPr>
                <w:b/>
                <w:bCs/>
                <w:sz w:val="26"/>
                <w:szCs w:val="26"/>
                <w:lang w:val="es-ES"/>
              </w:rPr>
            </w:pPr>
            <w:r w:rsidRPr="00F24B71">
              <w:rPr>
                <w:b/>
                <w:bCs/>
                <w:sz w:val="26"/>
                <w:szCs w:val="26"/>
                <w:lang w:val="es-ES"/>
              </w:rPr>
              <w:t>Objetivo</w:t>
            </w:r>
          </w:p>
          <w:p w14:paraId="6F5BBE1C" w14:textId="77777777" w:rsidR="00804923" w:rsidRPr="00804923" w:rsidRDefault="00804923" w:rsidP="00804923">
            <w:pPr>
              <w:rPr>
                <w:lang w:val="es-ES"/>
              </w:rPr>
            </w:pPr>
            <w:r w:rsidRPr="00804923">
              <w:rPr>
                <w:lang w:val="es-ES"/>
              </w:rPr>
              <w:t>En su Decisión 5 (Rev. Bucarest, 2022) la Conferencia de Plenipotenciarios encargó a la Secretaria General que elaborase una estrategia de movilización de recursos a escala de toda la UIT para atender la necesidad de financiación adicional destinada a cumplir las prioridades institucionales y la sometiese al Consejo para su revisión y orientación con respecto a su aplicación.</w:t>
            </w:r>
          </w:p>
          <w:p w14:paraId="2D992019" w14:textId="44B94050" w:rsidR="00804923" w:rsidRPr="00804923" w:rsidRDefault="00804923" w:rsidP="00804923">
            <w:pPr>
              <w:rPr>
                <w:lang w:val="es-ES"/>
              </w:rPr>
            </w:pPr>
            <w:r w:rsidRPr="00804923">
              <w:rPr>
                <w:lang w:val="es-ES"/>
              </w:rPr>
              <w:t>Este documento representa un primer paso hacia esa estrategia. Se presentan los datos e informaciones de antecedentes básicos, además de los planes iniciales de la Secretaría y las recomendaciones al Consejo. El objetivo de este documento es identificar medios para reforzar tanto el presupuesto ordinario como los ingresos extrapresupuestarios. Con la información recibida del Consejo en su reunión de 2023, la Secretaría procederá a perfilar los conceptos aquí presentados y a desarrollar la estrategia a fin de presentarla a la reunión de</w:t>
            </w:r>
            <w:r>
              <w:rPr>
                <w:lang w:val="es-ES"/>
              </w:rPr>
              <w:t> </w:t>
            </w:r>
            <w:r w:rsidRPr="00804923">
              <w:rPr>
                <w:lang w:val="es-ES"/>
              </w:rPr>
              <w:t>2024.</w:t>
            </w:r>
          </w:p>
          <w:p w14:paraId="4D36BE3C"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82CD804" w14:textId="4528C9E1" w:rsidR="00FE57F6" w:rsidRPr="00F24B71" w:rsidRDefault="00804923" w:rsidP="00804923">
            <w:pPr>
              <w:rPr>
                <w:lang w:val="es-ES"/>
              </w:rPr>
            </w:pPr>
            <w:r w:rsidRPr="00804923">
              <w:rPr>
                <w:lang w:val="es-ES"/>
              </w:rPr>
              <w:t xml:space="preserve">Se invita al Consejo a </w:t>
            </w:r>
            <w:r w:rsidRPr="00804923">
              <w:rPr>
                <w:b/>
                <w:bCs/>
                <w:lang w:val="es-ES"/>
              </w:rPr>
              <w:t xml:space="preserve">tomar nota </w:t>
            </w:r>
            <w:r w:rsidRPr="00804923">
              <w:rPr>
                <w:lang w:val="es-ES"/>
              </w:rPr>
              <w:t>de este documento.</w:t>
            </w:r>
          </w:p>
          <w:p w14:paraId="7B67F195" w14:textId="46C77F0D" w:rsidR="00FE57F6" w:rsidRPr="00F24B71" w:rsidRDefault="00F24B71" w:rsidP="00C538FC">
            <w:pPr>
              <w:spacing w:before="160"/>
              <w:rPr>
                <w:b/>
                <w:bCs/>
                <w:sz w:val="26"/>
                <w:szCs w:val="26"/>
                <w:lang w:val="es-ES"/>
              </w:rPr>
            </w:pPr>
            <w:r w:rsidRPr="00F24B71">
              <w:rPr>
                <w:b/>
                <w:bCs/>
                <w:sz w:val="26"/>
                <w:szCs w:val="26"/>
                <w:lang w:val="es-ES"/>
              </w:rPr>
              <w:t>Vínculo</w:t>
            </w:r>
            <w:r w:rsidR="00C8053E">
              <w:rPr>
                <w:b/>
                <w:bCs/>
                <w:sz w:val="26"/>
                <w:szCs w:val="26"/>
                <w:lang w:val="es-ES"/>
              </w:rPr>
              <w:t>(</w:t>
            </w:r>
            <w:r w:rsidRPr="00F24B71">
              <w:rPr>
                <w:b/>
                <w:bCs/>
                <w:sz w:val="26"/>
                <w:szCs w:val="26"/>
                <w:lang w:val="es-ES"/>
              </w:rPr>
              <w:t>s</w:t>
            </w:r>
            <w:r w:rsidR="00C8053E">
              <w:rPr>
                <w:b/>
                <w:bCs/>
                <w:sz w:val="26"/>
                <w:szCs w:val="26"/>
                <w:lang w:val="es-ES"/>
              </w:rPr>
              <w:t>)</w:t>
            </w:r>
            <w:r w:rsidRPr="00F24B71">
              <w:rPr>
                <w:b/>
                <w:bCs/>
                <w:sz w:val="26"/>
                <w:szCs w:val="26"/>
                <w:lang w:val="es-ES"/>
              </w:rPr>
              <w:t xml:space="preserve"> pertinente</w:t>
            </w:r>
            <w:r w:rsidR="00C8053E">
              <w:rPr>
                <w:b/>
                <w:bCs/>
                <w:sz w:val="26"/>
                <w:szCs w:val="26"/>
                <w:lang w:val="es-ES"/>
              </w:rPr>
              <w:t>(</w:t>
            </w:r>
            <w:r w:rsidRPr="00F24B71">
              <w:rPr>
                <w:b/>
                <w:bCs/>
                <w:sz w:val="26"/>
                <w:szCs w:val="26"/>
                <w:lang w:val="es-ES"/>
              </w:rPr>
              <w:t>s</w:t>
            </w:r>
            <w:r w:rsidR="00C8053E">
              <w:rPr>
                <w:b/>
                <w:bCs/>
                <w:sz w:val="26"/>
                <w:szCs w:val="26"/>
                <w:lang w:val="es-ES"/>
              </w:rPr>
              <w:t>)</w:t>
            </w:r>
            <w:r w:rsidRPr="00F24B71">
              <w:rPr>
                <w:b/>
                <w:bCs/>
                <w:sz w:val="26"/>
                <w:szCs w:val="26"/>
                <w:lang w:val="es-ES"/>
              </w:rPr>
              <w:t xml:space="preserve"> con el Plan Estratégico</w:t>
            </w:r>
          </w:p>
          <w:p w14:paraId="5DABE30E" w14:textId="35C95518" w:rsidR="00FE57F6" w:rsidRPr="00F24B71" w:rsidRDefault="00804923" w:rsidP="00804923">
            <w:pPr>
              <w:rPr>
                <w:lang w:val="es-ES"/>
              </w:rPr>
            </w:pPr>
            <w:r w:rsidRPr="00804923">
              <w:rPr>
                <w:lang w:val="es-ES"/>
              </w:rPr>
              <w:t>Movilización de recursos.</w:t>
            </w:r>
          </w:p>
          <w:p w14:paraId="263268BA" w14:textId="205DA846" w:rsidR="00FE57F6" w:rsidRDefault="00804923" w:rsidP="00C538FC">
            <w:pPr>
              <w:spacing w:before="160"/>
              <w:rPr>
                <w:b/>
                <w:bCs/>
                <w:sz w:val="26"/>
                <w:szCs w:val="26"/>
              </w:rPr>
            </w:pPr>
            <w:r w:rsidRPr="00804923">
              <w:rPr>
                <w:b/>
                <w:bCs/>
                <w:sz w:val="26"/>
                <w:szCs w:val="26"/>
              </w:rPr>
              <w:t>Consecuencias financieras</w:t>
            </w:r>
          </w:p>
          <w:p w14:paraId="4FC66A7F" w14:textId="2521761B" w:rsidR="007C36DA" w:rsidRDefault="00804923" w:rsidP="00804923">
            <w:r w:rsidRPr="00804923">
              <w:rPr>
                <w:lang w:val="es-ES"/>
              </w:rPr>
              <w:t>Posible incremento del presupuesto ordinario y de los fondos extrapresupuestarios.</w:t>
            </w:r>
          </w:p>
          <w:p w14:paraId="76E87CD6" w14:textId="41C5792C" w:rsidR="00FE57F6" w:rsidRPr="00813E5E" w:rsidRDefault="00FE57F6" w:rsidP="007C36DA">
            <w:pPr>
              <w:rPr>
                <w:caps/>
              </w:rPr>
            </w:pPr>
            <w:r w:rsidRPr="00813E5E">
              <w:t>____________</w:t>
            </w:r>
            <w:r>
              <w:t>______</w:t>
            </w:r>
          </w:p>
          <w:p w14:paraId="500A12B4" w14:textId="27361214" w:rsidR="00FE57F6" w:rsidRDefault="00F24B71" w:rsidP="00C538FC">
            <w:pPr>
              <w:spacing w:before="160"/>
              <w:rPr>
                <w:b/>
                <w:bCs/>
                <w:sz w:val="26"/>
                <w:szCs w:val="26"/>
              </w:rPr>
            </w:pPr>
            <w:r w:rsidRPr="00F24B71">
              <w:rPr>
                <w:b/>
                <w:bCs/>
                <w:sz w:val="26"/>
                <w:szCs w:val="26"/>
              </w:rPr>
              <w:t>Referencia</w:t>
            </w:r>
            <w:r w:rsidR="00804923">
              <w:rPr>
                <w:b/>
                <w:bCs/>
                <w:sz w:val="26"/>
                <w:szCs w:val="26"/>
              </w:rPr>
              <w:t>s</w:t>
            </w:r>
          </w:p>
          <w:p w14:paraId="2D7C7210" w14:textId="795D1F5A" w:rsidR="00FE57F6" w:rsidRDefault="00472029" w:rsidP="00804923">
            <w:pPr>
              <w:spacing w:after="160"/>
            </w:pPr>
            <w:hyperlink r:id="rId8" w:history="1">
              <w:r w:rsidR="00804923" w:rsidRPr="00804923">
                <w:rPr>
                  <w:rStyle w:val="Hyperlink"/>
                  <w:i/>
                  <w:iCs/>
                  <w:lang w:val="es-ES"/>
                </w:rPr>
                <w:t>Decisión 5</w:t>
              </w:r>
            </w:hyperlink>
            <w:r w:rsidR="00804923" w:rsidRPr="00804923">
              <w:rPr>
                <w:i/>
                <w:iCs/>
                <w:lang w:val="es-ES"/>
              </w:rPr>
              <w:t xml:space="preserve"> (Rev. Bucarest, 2022) de la Conferencia de Plenipotenciarios; Documentos</w:t>
            </w:r>
            <w:r w:rsidR="007A221E">
              <w:rPr>
                <w:i/>
                <w:iCs/>
                <w:lang w:val="es-ES"/>
              </w:rPr>
              <w:t> </w:t>
            </w:r>
            <w:hyperlink r:id="rId9" w:history="1">
              <w:r w:rsidR="00804923" w:rsidRPr="00804923">
                <w:rPr>
                  <w:rStyle w:val="Hyperlink"/>
                  <w:i/>
                  <w:iCs/>
                  <w:lang w:val="es-ES"/>
                </w:rPr>
                <w:t>C17/67</w:t>
              </w:r>
            </w:hyperlink>
            <w:r w:rsidR="00804923" w:rsidRPr="00804923">
              <w:rPr>
                <w:i/>
                <w:iCs/>
                <w:lang w:val="es-ES"/>
              </w:rPr>
              <w:t xml:space="preserve"> y </w:t>
            </w:r>
            <w:hyperlink r:id="rId10" w:history="1">
              <w:r w:rsidR="00804923" w:rsidRPr="00804923">
                <w:rPr>
                  <w:rStyle w:val="Hyperlink"/>
                  <w:i/>
                  <w:iCs/>
                  <w:lang w:val="es-ES"/>
                </w:rPr>
                <w:t>C23/INF/12</w:t>
              </w:r>
            </w:hyperlink>
            <w:r w:rsidR="00804923" w:rsidRPr="00804923">
              <w:rPr>
                <w:i/>
                <w:iCs/>
                <w:lang w:val="es-ES"/>
              </w:rPr>
              <w:t xml:space="preserve"> del Consejo; </w:t>
            </w:r>
            <w:hyperlink r:id="rId11" w:history="1">
              <w:r w:rsidR="00804923" w:rsidRPr="00804923">
                <w:rPr>
                  <w:rStyle w:val="Hyperlink"/>
                  <w:i/>
                  <w:iCs/>
                  <w:lang w:val="es-ES"/>
                </w:rPr>
                <w:t>Plan de Acción de Kigali</w:t>
              </w:r>
            </w:hyperlink>
          </w:p>
        </w:tc>
      </w:tr>
      <w:bookmarkEnd w:id="0"/>
    </w:tbl>
    <w:p w14:paraId="12F13E20" w14:textId="77777777" w:rsidR="001559F5" w:rsidRDefault="001559F5" w:rsidP="007C36DA">
      <w:r>
        <w:br w:type="page"/>
      </w:r>
    </w:p>
    <w:p w14:paraId="6EF016AE" w14:textId="5C1E3921" w:rsidR="007C36DA" w:rsidRPr="00B7222C" w:rsidRDefault="007C36DA" w:rsidP="0016615B">
      <w:pPr>
        <w:pStyle w:val="Heading1"/>
        <w:rPr>
          <w:lang w:val="es-ES"/>
        </w:rPr>
      </w:pPr>
      <w:r w:rsidRPr="00B7222C">
        <w:rPr>
          <w:lang w:val="es-ES"/>
        </w:rPr>
        <w:lastRenderedPageBreak/>
        <w:t>1</w:t>
      </w:r>
      <w:r w:rsidRPr="00B7222C">
        <w:rPr>
          <w:lang w:val="es-ES"/>
        </w:rPr>
        <w:tab/>
        <w:t>Antecedentes</w:t>
      </w:r>
    </w:p>
    <w:p w14:paraId="0BA308BA" w14:textId="2F413B60" w:rsidR="007C36DA" w:rsidRPr="007C36DA" w:rsidRDefault="007C36DA" w:rsidP="007C36DA">
      <w:pPr>
        <w:rPr>
          <w:lang w:val="es-ES"/>
        </w:rPr>
      </w:pPr>
      <w:r w:rsidRPr="007C36DA">
        <w:rPr>
          <w:lang w:val="es-ES"/>
        </w:rPr>
        <w:t>1.1</w:t>
      </w:r>
      <w:r w:rsidRPr="007C36DA">
        <w:rPr>
          <w:lang w:val="es-ES"/>
        </w:rPr>
        <w:tab/>
        <w:t>En su Decisión</w:t>
      </w:r>
      <w:r w:rsidR="00C77220">
        <w:rPr>
          <w:lang w:val="es-ES"/>
        </w:rPr>
        <w:t> </w:t>
      </w:r>
      <w:r w:rsidRPr="007C36DA">
        <w:rPr>
          <w:lang w:val="es-ES"/>
        </w:rPr>
        <w:t>5 (Rev. Bucarest, 2022) la Conferencia de Plenipotenciarios encargó a la Secretaria General que elaborase una estrategia de movilización de recursos a escala de toda la UIT para atender la necesidad de financiación adicional destinada a cumplir las prioridades institucionales y la sometiese al Consejo para su revisión y orientación con respecto a su aplicación.</w:t>
      </w:r>
    </w:p>
    <w:p w14:paraId="08927043" w14:textId="7637D8A0" w:rsidR="007C36DA" w:rsidRPr="007C36DA" w:rsidRDefault="007C36DA" w:rsidP="007C36DA">
      <w:pPr>
        <w:rPr>
          <w:lang w:val="es-ES"/>
        </w:rPr>
      </w:pPr>
      <w:r w:rsidRPr="007C36DA">
        <w:rPr>
          <w:lang w:val="es-ES"/>
        </w:rPr>
        <w:t>1.2</w:t>
      </w:r>
      <w:r w:rsidRPr="007C36DA">
        <w:rPr>
          <w:lang w:val="es-ES"/>
        </w:rPr>
        <w:tab/>
        <w:t>Además, en el Plan Estratégico de la UIT para 2024-2027, aprobado por la PP-22, se señala lo siguiente:</w:t>
      </w:r>
    </w:p>
    <w:p w14:paraId="74E95FA7" w14:textId="13CFFF13" w:rsidR="007C36DA" w:rsidRPr="007C36DA" w:rsidRDefault="007C36DA" w:rsidP="0017774C">
      <w:pPr>
        <w:ind w:left="567"/>
        <w:rPr>
          <w:lang w:val="es-ES"/>
        </w:rPr>
      </w:pPr>
      <w:r w:rsidRPr="007C36DA">
        <w:rPr>
          <w:lang w:val="es-ES"/>
        </w:rPr>
        <w:t xml:space="preserve">A fin de lograr las metas de la Unión y mejorar el apoyo que la UIT brinda a sus </w:t>
      </w:r>
      <w:r w:rsidR="0017774C">
        <w:rPr>
          <w:lang w:val="es-ES"/>
        </w:rPr>
        <w:t>m</w:t>
      </w:r>
      <w:r w:rsidRPr="007C36DA">
        <w:rPr>
          <w:lang w:val="es-ES"/>
        </w:rPr>
        <w:t>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socios para complementar estos esfuerzos. La UIT elaborará marcos de compromiso financiero a largo plazo para planificar, programar y ejecutar los proyectos con eficacia e incrementar la previsibilidad de los flujos de recursos</w:t>
      </w:r>
      <w:r w:rsidRPr="007C36DA">
        <w:rPr>
          <w:i/>
          <w:iCs/>
          <w:lang w:val="es-ES"/>
        </w:rPr>
        <w:t>.</w:t>
      </w:r>
    </w:p>
    <w:p w14:paraId="3807750B" w14:textId="3D98DED4" w:rsidR="007C36DA" w:rsidRPr="007C36DA" w:rsidRDefault="007C36DA" w:rsidP="007C36DA">
      <w:pPr>
        <w:rPr>
          <w:lang w:val="es-ES"/>
        </w:rPr>
      </w:pPr>
      <w:r w:rsidRPr="007C36DA">
        <w:rPr>
          <w:lang w:val="es-ES"/>
        </w:rPr>
        <w:t>1.3</w:t>
      </w:r>
      <w:r w:rsidRPr="007C36DA">
        <w:rPr>
          <w:lang w:val="es-ES"/>
        </w:rPr>
        <w:tab/>
        <w:t xml:space="preserve">En su reunión de 2017 el Consejo acordó los principios para la movilización de recursos, que pueden consultarse </w:t>
      </w:r>
      <w:hyperlink r:id="rId12" w:anchor="/es">
        <w:r w:rsidRPr="007C36DA">
          <w:rPr>
            <w:rStyle w:val="Hyperlink"/>
            <w:lang w:val="es-ES"/>
          </w:rPr>
          <w:t>aquí</w:t>
        </w:r>
      </w:hyperlink>
      <w:r w:rsidRPr="007C36DA">
        <w:rPr>
          <w:lang w:val="es-ES"/>
        </w:rPr>
        <w:t>. Entre otras cosas, el Consejo acordó lo siguiente:</w:t>
      </w:r>
    </w:p>
    <w:p w14:paraId="1121E5B7" w14:textId="77777777" w:rsidR="007C36DA" w:rsidRPr="007C36DA" w:rsidRDefault="007C36DA" w:rsidP="0017774C">
      <w:pPr>
        <w:ind w:left="567"/>
        <w:rPr>
          <w:lang w:val="es-ES"/>
        </w:rPr>
      </w:pPr>
      <w:r w:rsidRPr="007C36DA">
        <w:rPr>
          <w:lang w:val="es-ES"/>
        </w:rPr>
        <w:t>Por ser la fuente principal de ingresos en la UIT, las contribuciones previstas de los Estados Miembros de la Unión son la prioridad absoluta de la movilización de recursos. Esas contribuciones se realizan para respaldar un Plan Estratégico acordado y para llevarlo a la práctica mediante Planes Operacionales y utilizando el presupuesto ordinario de la UIT. Se alienta a los Estados Miembros a considerar sus contribuciones previstas como el principal apoyo financiero a la UIT y, por lo tanto, a darles prioridad (tanto respetándolas como, si es posible, aumentándolas) antes de ofrecer recursos para actividades fuera del presupuesto ordinario de la UIT.</w:t>
      </w:r>
    </w:p>
    <w:p w14:paraId="5C76523B" w14:textId="1D606ACF" w:rsidR="007C36DA" w:rsidRPr="007C36DA" w:rsidRDefault="007C36DA" w:rsidP="007C36DA">
      <w:pPr>
        <w:rPr>
          <w:lang w:val="es-ES"/>
        </w:rPr>
      </w:pPr>
      <w:r w:rsidRPr="007C36DA">
        <w:rPr>
          <w:lang w:val="es-ES"/>
        </w:rPr>
        <w:t xml:space="preserve">También acordó que la Secretaría alentase en la medida de lo posible a los </w:t>
      </w:r>
      <w:r w:rsidR="0017774C">
        <w:rPr>
          <w:lang w:val="es-ES"/>
        </w:rPr>
        <w:t>m</w:t>
      </w:r>
      <w:r w:rsidRPr="007C36DA">
        <w:rPr>
          <w:lang w:val="es-ES"/>
        </w:rPr>
        <w:t>iembros y demás interesados a prestar apoyo extrapresupuestario y aportar contribuciones voluntarias para cumplir las prioridades institucionales.</w:t>
      </w:r>
    </w:p>
    <w:p w14:paraId="423D767A" w14:textId="7D26C072" w:rsidR="007C36DA" w:rsidRPr="007C36DA" w:rsidRDefault="007C36DA" w:rsidP="007C36DA">
      <w:pPr>
        <w:rPr>
          <w:lang w:val="es-ES"/>
        </w:rPr>
      </w:pPr>
      <w:r w:rsidRPr="007C36DA">
        <w:rPr>
          <w:lang w:val="es-ES"/>
        </w:rPr>
        <w:t>1.4</w:t>
      </w:r>
      <w:r w:rsidRPr="007C36DA">
        <w:rPr>
          <w:lang w:val="es-ES"/>
        </w:rPr>
        <w:tab/>
        <w:t>Como consecuencia de la Decisión</w:t>
      </w:r>
      <w:r w:rsidR="00E11EB6">
        <w:rPr>
          <w:lang w:val="es-ES"/>
        </w:rPr>
        <w:t> </w:t>
      </w:r>
      <w:r w:rsidRPr="007C36DA">
        <w:rPr>
          <w:lang w:val="es-ES"/>
        </w:rPr>
        <w:t>5 (Rev. Bucarest, 2022), la Secretaría planteó este tema para el debate durante el Ejercicio de Perspectiva de la UIT (Pilares</w:t>
      </w:r>
      <w:r w:rsidR="00492B99">
        <w:rPr>
          <w:lang w:val="es-ES"/>
        </w:rPr>
        <w:t> </w:t>
      </w:r>
      <w:r w:rsidRPr="007C36DA">
        <w:rPr>
          <w:lang w:val="es-ES"/>
        </w:rPr>
        <w:t>I y II) interno, que se celebró de noviembre de 2022 a febrero de 2023, y en el Retiro de la Alta Dirección de la</w:t>
      </w:r>
      <w:r w:rsidR="0017774C">
        <w:rPr>
          <w:lang w:val="es-ES"/>
        </w:rPr>
        <w:t> </w:t>
      </w:r>
      <w:r w:rsidRPr="007C36DA">
        <w:rPr>
          <w:lang w:val="es-ES"/>
        </w:rPr>
        <w:t xml:space="preserve">UIT, celebrado en febrero de 2023. Tras esos debates, la Secretaría contrató a la empresa Boston Consulting Group (BCG), cuyos servicios presta </w:t>
      </w:r>
      <w:r w:rsidRPr="007C36DA">
        <w:rPr>
          <w:i/>
          <w:iCs/>
          <w:lang w:val="es-ES"/>
        </w:rPr>
        <w:t>pro</w:t>
      </w:r>
      <w:r w:rsidR="00F21AC6">
        <w:rPr>
          <w:i/>
          <w:iCs/>
          <w:lang w:val="es-ES"/>
        </w:rPr>
        <w:t xml:space="preserve"> </w:t>
      </w:r>
      <w:r w:rsidRPr="007C36DA">
        <w:rPr>
          <w:i/>
          <w:iCs/>
          <w:lang w:val="es-ES"/>
        </w:rPr>
        <w:t>bono</w:t>
      </w:r>
      <w:r w:rsidRPr="007C36DA">
        <w:rPr>
          <w:lang w:val="es-ES"/>
        </w:rPr>
        <w:t>, para ayudar a la UIT a definir una estrategia de financiación y movilización de recursos a escala de toda la Unión, en cuyo primer proyecto se articulan la proposición de valor de la UIT y un modelo de compromiso centrado en:</w:t>
      </w:r>
    </w:p>
    <w:p w14:paraId="4AF70661" w14:textId="067E7C6E" w:rsidR="007C36DA" w:rsidRPr="007C36DA" w:rsidRDefault="0016615B" w:rsidP="0016615B">
      <w:pPr>
        <w:pStyle w:val="enumlev1"/>
        <w:rPr>
          <w:lang w:val="es-ES"/>
        </w:rPr>
      </w:pPr>
      <w:r w:rsidRPr="0016615B">
        <w:rPr>
          <w:lang w:val="es-ES"/>
        </w:rPr>
        <w:t>•</w:t>
      </w:r>
      <w:r>
        <w:rPr>
          <w:lang w:val="es-ES"/>
        </w:rPr>
        <w:tab/>
      </w:r>
      <w:r w:rsidR="0017774C">
        <w:rPr>
          <w:lang w:val="es-ES"/>
        </w:rPr>
        <w:t>l</w:t>
      </w:r>
      <w:r w:rsidR="007C36DA" w:rsidRPr="007C36DA">
        <w:rPr>
          <w:lang w:val="es-ES"/>
        </w:rPr>
        <w:t>a comprensión de la actual situación financiera de la UIT;</w:t>
      </w:r>
    </w:p>
    <w:p w14:paraId="01BC8BD6" w14:textId="0FE29616" w:rsidR="007C36DA" w:rsidRPr="007C36DA" w:rsidRDefault="0016615B" w:rsidP="0016615B">
      <w:pPr>
        <w:pStyle w:val="enumlev1"/>
        <w:rPr>
          <w:lang w:val="es-ES"/>
        </w:rPr>
      </w:pPr>
      <w:r w:rsidRPr="0016615B">
        <w:rPr>
          <w:lang w:val="es-ES"/>
        </w:rPr>
        <w:t>•</w:t>
      </w:r>
      <w:r>
        <w:rPr>
          <w:lang w:val="es-ES"/>
        </w:rPr>
        <w:tab/>
      </w:r>
      <w:r w:rsidR="0017774C">
        <w:rPr>
          <w:lang w:val="es-ES"/>
        </w:rPr>
        <w:t>a</w:t>
      </w:r>
      <w:r w:rsidR="007C36DA" w:rsidRPr="007C36DA">
        <w:rPr>
          <w:lang w:val="es-ES"/>
        </w:rPr>
        <w:t xml:space="preserve">rticular la proposición de valor de la UIT a partir de entrevistas con los </w:t>
      </w:r>
      <w:r w:rsidR="0017774C">
        <w:rPr>
          <w:lang w:val="es-ES"/>
        </w:rPr>
        <w:t>m</w:t>
      </w:r>
      <w:r w:rsidR="007C36DA" w:rsidRPr="007C36DA">
        <w:rPr>
          <w:lang w:val="es-ES"/>
        </w:rPr>
        <w:t>iembros y otros interesados a fin de instar una mayor movilización de recursos;</w:t>
      </w:r>
    </w:p>
    <w:p w14:paraId="394D46FE" w14:textId="30B924C5" w:rsidR="007C36DA" w:rsidRPr="007C36DA" w:rsidRDefault="0016615B" w:rsidP="0016615B">
      <w:pPr>
        <w:pStyle w:val="enumlev1"/>
        <w:rPr>
          <w:lang w:val="es-ES"/>
        </w:rPr>
      </w:pPr>
      <w:r w:rsidRPr="0016615B">
        <w:rPr>
          <w:lang w:val="es-ES"/>
        </w:rPr>
        <w:t>•</w:t>
      </w:r>
      <w:r>
        <w:rPr>
          <w:lang w:val="es-ES"/>
        </w:rPr>
        <w:tab/>
      </w:r>
      <w:r w:rsidR="0017774C">
        <w:rPr>
          <w:lang w:val="es-ES"/>
        </w:rPr>
        <w:t>p</w:t>
      </w:r>
      <w:r w:rsidR="007C36DA" w:rsidRPr="007C36DA">
        <w:rPr>
          <w:lang w:val="es-ES"/>
        </w:rPr>
        <w:t>roponer un nuevo modelo de compromiso y movilización de recursos y sus opciones de aplicación.</w:t>
      </w:r>
    </w:p>
    <w:p w14:paraId="64A9453B" w14:textId="297C2F96" w:rsidR="007C36DA" w:rsidRPr="007C36DA" w:rsidRDefault="007C36DA" w:rsidP="0016615B">
      <w:pPr>
        <w:pStyle w:val="Heading1"/>
        <w:rPr>
          <w:lang w:val="es-ES"/>
        </w:rPr>
      </w:pPr>
      <w:r w:rsidRPr="007C36DA">
        <w:rPr>
          <w:lang w:val="es-ES"/>
        </w:rPr>
        <w:lastRenderedPageBreak/>
        <w:t>2</w:t>
      </w:r>
      <w:r w:rsidRPr="007C36DA">
        <w:rPr>
          <w:lang w:val="es-ES"/>
        </w:rPr>
        <w:tab/>
        <w:t>Principales conclusiones del Ejercicio de Perspectiva, el Retiro de la Alta Dirección y el proyecto de movilización de recursos elaborado con ayuda de BCG</w:t>
      </w:r>
    </w:p>
    <w:p w14:paraId="4CD1D9CD" w14:textId="77777777" w:rsidR="007C36DA" w:rsidRPr="007C36DA" w:rsidRDefault="007C36DA" w:rsidP="0016615B">
      <w:pPr>
        <w:pStyle w:val="Heading2"/>
        <w:rPr>
          <w:lang w:val="es-ES"/>
        </w:rPr>
      </w:pPr>
      <w:r w:rsidRPr="007C36DA">
        <w:rPr>
          <w:lang w:val="es-ES"/>
        </w:rPr>
        <w:t>2.1</w:t>
      </w:r>
      <w:r w:rsidRPr="007C36DA">
        <w:rPr>
          <w:lang w:val="es-ES"/>
        </w:rPr>
        <w:tab/>
        <w:t>Análisis de la financiación de la UIT: situación actual y tendencias</w:t>
      </w:r>
    </w:p>
    <w:p w14:paraId="299D607F" w14:textId="5C25BCC2" w:rsidR="007C36DA" w:rsidRPr="007C36DA" w:rsidRDefault="007C36DA" w:rsidP="0016615B">
      <w:pPr>
        <w:pStyle w:val="Headingb"/>
        <w:rPr>
          <w:lang w:val="es-ES"/>
        </w:rPr>
      </w:pPr>
      <w:r w:rsidRPr="007C36DA">
        <w:rPr>
          <w:lang w:val="es-ES"/>
        </w:rPr>
        <w:t>a</w:t>
      </w:r>
      <w:r w:rsidR="0016615B">
        <w:rPr>
          <w:lang w:val="es-ES"/>
        </w:rPr>
        <w:t>)</w:t>
      </w:r>
      <w:r w:rsidRPr="007C36DA">
        <w:rPr>
          <w:lang w:val="es-ES"/>
        </w:rPr>
        <w:tab/>
        <w:t>Presupuesto ordinario e ingresos extrapresupuestarios</w:t>
      </w:r>
    </w:p>
    <w:p w14:paraId="158BA582" w14:textId="77777777" w:rsidR="007C36DA" w:rsidRPr="007C36DA" w:rsidRDefault="007C36DA" w:rsidP="007C36DA">
      <w:pPr>
        <w:rPr>
          <w:lang w:val="es-ES"/>
        </w:rPr>
      </w:pPr>
      <w:r w:rsidRPr="007C36DA">
        <w:rPr>
          <w:lang w:val="es-ES"/>
        </w:rPr>
        <w:t>Los ingresos procedentes de las unidades contributivas de los Estados Miembros se han mantenido estables durante los últimos cinco años. En 2022, las contribuciones previstas de los Estados Miembros representaban el 61% de los ingresos totales de la UIT.</w:t>
      </w:r>
    </w:p>
    <w:p w14:paraId="295916A3" w14:textId="39F642C5" w:rsidR="007C36DA" w:rsidRPr="007C36DA" w:rsidRDefault="007C36DA" w:rsidP="007C36DA">
      <w:pPr>
        <w:rPr>
          <w:lang w:val="es-ES"/>
        </w:rPr>
      </w:pPr>
      <w:r w:rsidRPr="007C36DA">
        <w:rPr>
          <w:lang w:val="es-ES"/>
        </w:rPr>
        <w:t xml:space="preserve">Los ingresos correspondientes a las contribuciones de los Miembros de Sector, incluidos los Asociados e Instituciones Académicas, </w:t>
      </w:r>
      <w:r w:rsidR="0016615B" w:rsidRPr="007C36DA">
        <w:rPr>
          <w:lang w:val="es-ES"/>
        </w:rPr>
        <w:t>representan</w:t>
      </w:r>
      <w:r w:rsidRPr="007C36DA">
        <w:rPr>
          <w:lang w:val="es-ES"/>
        </w:rPr>
        <w:t xml:space="preserve"> aproximadamente el 9% de los ingresos totales de la UIT. Si bien el número de Miembros de Sector es mayor que nunca, acercándose a las 1 000 entidades </w:t>
      </w:r>
      <w:r w:rsidR="00F21AC6">
        <w:rPr>
          <w:lang w:val="es-ES"/>
        </w:rPr>
        <w:t>m</w:t>
      </w:r>
      <w:r w:rsidRPr="007C36DA">
        <w:rPr>
          <w:lang w:val="es-ES"/>
        </w:rPr>
        <w:t>iembro, los ingresos correspondientes a sus contribuciones se ha</w:t>
      </w:r>
      <w:r w:rsidR="00F21AC6">
        <w:rPr>
          <w:lang w:val="es-ES"/>
        </w:rPr>
        <w:t>n</w:t>
      </w:r>
      <w:r w:rsidRPr="007C36DA">
        <w:rPr>
          <w:lang w:val="es-ES"/>
        </w:rPr>
        <w:t xml:space="preserve"> mantenido más o menos estable</w:t>
      </w:r>
      <w:r w:rsidR="00F21AC6">
        <w:rPr>
          <w:lang w:val="es-ES"/>
        </w:rPr>
        <w:t>s</w:t>
      </w:r>
      <w:r w:rsidRPr="007C36DA">
        <w:rPr>
          <w:lang w:val="es-ES"/>
        </w:rPr>
        <w:t xml:space="preserve"> durante más de una década, oscilando entre 16 millones CHF y 17 millones CHF, debido a que el mayor crecimiento se ha registrado en las categorías a las que se aplican tasas reducidas, como los Asociados, las Instituciones Académicas y, más recientemente, las pequeñas y medianas empresas, y a </w:t>
      </w:r>
      <w:r w:rsidR="00A05A8F">
        <w:rPr>
          <w:lang w:val="es-ES"/>
        </w:rPr>
        <w:t>q</w:t>
      </w:r>
      <w:r w:rsidRPr="007C36DA">
        <w:rPr>
          <w:lang w:val="es-ES"/>
        </w:rPr>
        <w:t>ue determinadas organizaciones de carácter internacional están exentas de contribución.</w:t>
      </w:r>
    </w:p>
    <w:p w14:paraId="59C63DB6" w14:textId="344A73B7" w:rsidR="007C36DA" w:rsidRPr="007C36DA" w:rsidRDefault="007C36DA" w:rsidP="007C36DA">
      <w:pPr>
        <w:rPr>
          <w:lang w:val="es-ES"/>
        </w:rPr>
      </w:pPr>
      <w:r w:rsidRPr="007C36DA">
        <w:rPr>
          <w:lang w:val="es-ES"/>
        </w:rPr>
        <w:t>Se ha aplicado la recuperación de costes a la tramitación de redes de satélites, la atribución de recursos de numeración y el apoyo a proyectos de la BDT. Otros ingresos presupuestarios, derivados de la venta de publicaciones, tienen un ciclo relativamente predecible, basado principalmente en las publicaciones periódicas de publicaciones esenciales de servicios de radiocomunicaciones marítimas. Los años en que los ingresos fueron más bajos durante este ciclo plantearon un reto para la planificación presupuestaria de la UIT.</w:t>
      </w:r>
    </w:p>
    <w:p w14:paraId="0B661DE7" w14:textId="77777777" w:rsidR="00351D8D" w:rsidRDefault="007C36DA" w:rsidP="00351D8D">
      <w:pPr>
        <w:pStyle w:val="TableNo"/>
        <w:rPr>
          <w:lang w:val="es-ES"/>
        </w:rPr>
      </w:pPr>
      <w:r w:rsidRPr="007C36DA">
        <w:rPr>
          <w:lang w:val="es-ES"/>
        </w:rPr>
        <w:t>Cuadro 1</w:t>
      </w:r>
    </w:p>
    <w:p w14:paraId="253A486F" w14:textId="64B83F6D" w:rsidR="007C36DA" w:rsidRPr="007C36DA" w:rsidRDefault="007C36DA" w:rsidP="00351D8D">
      <w:pPr>
        <w:pStyle w:val="Tabletitle"/>
        <w:rPr>
          <w:lang w:val="es-ES"/>
        </w:rPr>
      </w:pPr>
      <w:r w:rsidRPr="007C36DA">
        <w:rPr>
          <w:lang w:val="es-ES"/>
        </w:rPr>
        <w:t>Presupuesto ordinario e ingresos extrapresupuestarios</w:t>
      </w:r>
    </w:p>
    <w:tbl>
      <w:tblPr>
        <w:tblW w:w="5000" w:type="pct"/>
        <w:jc w:val="center"/>
        <w:tblLook w:val="0600" w:firstRow="0" w:lastRow="0" w:firstColumn="0" w:lastColumn="0" w:noHBand="1" w:noVBand="1"/>
      </w:tblPr>
      <w:tblGrid>
        <w:gridCol w:w="3387"/>
        <w:gridCol w:w="1134"/>
        <w:gridCol w:w="1135"/>
        <w:gridCol w:w="1135"/>
        <w:gridCol w:w="1135"/>
        <w:gridCol w:w="1135"/>
      </w:tblGrid>
      <w:tr w:rsidR="007C36DA" w:rsidRPr="007C36DA" w14:paraId="0E4E0A32" w14:textId="77777777" w:rsidTr="007876ED">
        <w:trPr>
          <w:jc w:val="center"/>
        </w:trPr>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9195" w14:textId="65A999E1" w:rsidR="007C36DA" w:rsidRPr="007C36DA" w:rsidRDefault="007C36DA" w:rsidP="00F21AC6">
            <w:pPr>
              <w:pStyle w:val="Tablehead"/>
              <w:rPr>
                <w:lang w:val="es-ES"/>
              </w:rPr>
            </w:pP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4C52D101" w14:textId="77777777" w:rsidR="007C36DA" w:rsidRPr="007C36DA" w:rsidRDefault="007C36DA" w:rsidP="00F21AC6">
            <w:pPr>
              <w:pStyle w:val="Tablehead"/>
              <w:rPr>
                <w:bCs/>
                <w:lang w:val="en-GB"/>
              </w:rPr>
            </w:pPr>
            <w:r w:rsidRPr="007C36DA">
              <w:rPr>
                <w:bCs/>
                <w:lang w:val="en-GB"/>
              </w:rPr>
              <w:t>2018</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2028DEF8" w14:textId="77777777" w:rsidR="007C36DA" w:rsidRPr="007C36DA" w:rsidRDefault="007C36DA" w:rsidP="00F21AC6">
            <w:pPr>
              <w:pStyle w:val="Tablehead"/>
              <w:rPr>
                <w:bCs/>
                <w:lang w:val="en-GB"/>
              </w:rPr>
            </w:pPr>
            <w:r w:rsidRPr="007C36DA">
              <w:rPr>
                <w:bCs/>
                <w:lang w:val="en-GB"/>
              </w:rPr>
              <w:t>2019</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5AFE8E22" w14:textId="77777777" w:rsidR="007C36DA" w:rsidRPr="007C36DA" w:rsidRDefault="007C36DA" w:rsidP="00F21AC6">
            <w:pPr>
              <w:pStyle w:val="Tablehead"/>
              <w:rPr>
                <w:bCs/>
                <w:lang w:val="en-GB"/>
              </w:rPr>
            </w:pPr>
            <w:r w:rsidRPr="007C36DA">
              <w:rPr>
                <w:bCs/>
                <w:lang w:val="en-GB"/>
              </w:rPr>
              <w:t>2020</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729F9779" w14:textId="77777777" w:rsidR="007C36DA" w:rsidRPr="007C36DA" w:rsidRDefault="007C36DA" w:rsidP="00F21AC6">
            <w:pPr>
              <w:pStyle w:val="Tablehead"/>
              <w:rPr>
                <w:bCs/>
                <w:lang w:val="en-GB"/>
              </w:rPr>
            </w:pPr>
            <w:r w:rsidRPr="007C36DA">
              <w:rPr>
                <w:bCs/>
                <w:lang w:val="en-GB"/>
              </w:rPr>
              <w:t>2021</w:t>
            </w:r>
          </w:p>
        </w:tc>
        <w:tc>
          <w:tcPr>
            <w:tcW w:w="1147" w:type="dxa"/>
            <w:tcBorders>
              <w:top w:val="single" w:sz="4" w:space="0" w:color="auto"/>
              <w:left w:val="nil"/>
              <w:bottom w:val="single" w:sz="4" w:space="0" w:color="auto"/>
              <w:right w:val="single" w:sz="4" w:space="0" w:color="auto"/>
            </w:tcBorders>
            <w:shd w:val="clear" w:color="auto" w:fill="BDD7EE"/>
            <w:vAlign w:val="center"/>
            <w:hideMark/>
          </w:tcPr>
          <w:p w14:paraId="6F82F716" w14:textId="77777777" w:rsidR="007C36DA" w:rsidRPr="007C36DA" w:rsidRDefault="007C36DA" w:rsidP="00F21AC6">
            <w:pPr>
              <w:pStyle w:val="Tablehead"/>
              <w:rPr>
                <w:bCs/>
                <w:lang w:val="en-GB"/>
              </w:rPr>
            </w:pPr>
            <w:r w:rsidRPr="007C36DA">
              <w:rPr>
                <w:bCs/>
                <w:lang w:val="en-GB"/>
              </w:rPr>
              <w:t>2022</w:t>
            </w:r>
          </w:p>
        </w:tc>
      </w:tr>
      <w:tr w:rsidR="007C36DA" w:rsidRPr="007C36DA" w14:paraId="6B19D774"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62E9D5BC" w14:textId="77777777" w:rsidR="007C36DA" w:rsidRPr="00A05A8F" w:rsidRDefault="007C36DA" w:rsidP="00F21AC6">
            <w:pPr>
              <w:pStyle w:val="Tabletext"/>
              <w:rPr>
                <w:lang w:val="es-ES"/>
              </w:rPr>
            </w:pPr>
            <w:r w:rsidRPr="00A05A8F">
              <w:rPr>
                <w:lang w:val="es-ES"/>
              </w:rPr>
              <w:t>Estados Miembros</w:t>
            </w:r>
          </w:p>
        </w:tc>
        <w:tc>
          <w:tcPr>
            <w:tcW w:w="1147" w:type="dxa"/>
            <w:tcBorders>
              <w:top w:val="nil"/>
              <w:left w:val="nil"/>
              <w:bottom w:val="single" w:sz="4" w:space="0" w:color="auto"/>
              <w:right w:val="single" w:sz="4" w:space="0" w:color="auto"/>
            </w:tcBorders>
            <w:shd w:val="clear" w:color="auto" w:fill="auto"/>
            <w:hideMark/>
          </w:tcPr>
          <w:p w14:paraId="3FB988A1" w14:textId="77777777" w:rsidR="007C36DA" w:rsidRPr="007C36DA" w:rsidRDefault="007C36DA" w:rsidP="00F21AC6">
            <w:pPr>
              <w:pStyle w:val="Tabletext"/>
              <w:jc w:val="center"/>
              <w:rPr>
                <w:lang w:val="en-GB"/>
              </w:rPr>
            </w:pPr>
            <w:r w:rsidRPr="007C36DA">
              <w:rPr>
                <w:lang w:val="en-GB"/>
              </w:rPr>
              <w:t>108,6</w:t>
            </w:r>
          </w:p>
        </w:tc>
        <w:tc>
          <w:tcPr>
            <w:tcW w:w="1147" w:type="dxa"/>
            <w:tcBorders>
              <w:top w:val="nil"/>
              <w:left w:val="nil"/>
              <w:bottom w:val="single" w:sz="4" w:space="0" w:color="auto"/>
              <w:right w:val="single" w:sz="4" w:space="0" w:color="auto"/>
            </w:tcBorders>
            <w:shd w:val="clear" w:color="auto" w:fill="auto"/>
            <w:hideMark/>
          </w:tcPr>
          <w:p w14:paraId="4BBB6194" w14:textId="77777777" w:rsidR="007C36DA" w:rsidRPr="007C36DA" w:rsidRDefault="007C36DA" w:rsidP="00F21AC6">
            <w:pPr>
              <w:pStyle w:val="Tabletext"/>
              <w:jc w:val="center"/>
              <w:rPr>
                <w:lang w:val="en-GB"/>
              </w:rPr>
            </w:pPr>
            <w:r w:rsidRPr="007C36DA">
              <w:rPr>
                <w:lang w:val="en-GB"/>
              </w:rPr>
              <w:t>109,9</w:t>
            </w:r>
          </w:p>
        </w:tc>
        <w:tc>
          <w:tcPr>
            <w:tcW w:w="1147" w:type="dxa"/>
            <w:tcBorders>
              <w:top w:val="nil"/>
              <w:left w:val="nil"/>
              <w:bottom w:val="single" w:sz="4" w:space="0" w:color="auto"/>
              <w:right w:val="single" w:sz="4" w:space="0" w:color="auto"/>
            </w:tcBorders>
            <w:shd w:val="clear" w:color="auto" w:fill="auto"/>
            <w:hideMark/>
          </w:tcPr>
          <w:p w14:paraId="6E9B437A" w14:textId="77777777" w:rsidR="007C36DA" w:rsidRPr="007C36DA" w:rsidRDefault="007C36DA" w:rsidP="00F21AC6">
            <w:pPr>
              <w:pStyle w:val="Tabletext"/>
              <w:jc w:val="center"/>
              <w:rPr>
                <w:lang w:val="en-GB"/>
              </w:rPr>
            </w:pPr>
            <w:r w:rsidRPr="007C36DA">
              <w:rPr>
                <w:lang w:val="en-GB"/>
              </w:rPr>
              <w:t>109,3</w:t>
            </w:r>
          </w:p>
        </w:tc>
        <w:tc>
          <w:tcPr>
            <w:tcW w:w="1147" w:type="dxa"/>
            <w:tcBorders>
              <w:top w:val="nil"/>
              <w:left w:val="nil"/>
              <w:bottom w:val="single" w:sz="4" w:space="0" w:color="auto"/>
              <w:right w:val="single" w:sz="4" w:space="0" w:color="auto"/>
            </w:tcBorders>
            <w:shd w:val="clear" w:color="auto" w:fill="auto"/>
            <w:hideMark/>
          </w:tcPr>
          <w:p w14:paraId="5578A1EB" w14:textId="77777777" w:rsidR="007C36DA" w:rsidRPr="007C36DA" w:rsidRDefault="007C36DA" w:rsidP="00F21AC6">
            <w:pPr>
              <w:pStyle w:val="Tabletext"/>
              <w:jc w:val="center"/>
              <w:rPr>
                <w:lang w:val="en-GB"/>
              </w:rPr>
            </w:pPr>
            <w:r w:rsidRPr="007C36DA">
              <w:rPr>
                <w:lang w:val="en-GB"/>
              </w:rPr>
              <w:t>109,3</w:t>
            </w:r>
          </w:p>
        </w:tc>
        <w:tc>
          <w:tcPr>
            <w:tcW w:w="1147" w:type="dxa"/>
            <w:tcBorders>
              <w:top w:val="nil"/>
              <w:left w:val="nil"/>
              <w:bottom w:val="single" w:sz="4" w:space="0" w:color="auto"/>
              <w:right w:val="single" w:sz="4" w:space="0" w:color="auto"/>
            </w:tcBorders>
            <w:shd w:val="clear" w:color="auto" w:fill="auto"/>
            <w:hideMark/>
          </w:tcPr>
          <w:p w14:paraId="0FE8A54B" w14:textId="77777777" w:rsidR="007C36DA" w:rsidRPr="007C36DA" w:rsidRDefault="007C36DA" w:rsidP="00F21AC6">
            <w:pPr>
              <w:pStyle w:val="Tabletext"/>
              <w:jc w:val="center"/>
              <w:rPr>
                <w:lang w:val="en-GB"/>
              </w:rPr>
            </w:pPr>
            <w:r w:rsidRPr="007C36DA">
              <w:rPr>
                <w:lang w:val="en-GB"/>
              </w:rPr>
              <w:t>109,2</w:t>
            </w:r>
          </w:p>
        </w:tc>
      </w:tr>
      <w:tr w:rsidR="007C36DA" w:rsidRPr="007C36DA" w14:paraId="3A3A8106"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596B7998" w14:textId="77777777" w:rsidR="007C36DA" w:rsidRPr="00A05A8F" w:rsidRDefault="007C36DA" w:rsidP="00F21AC6">
            <w:pPr>
              <w:pStyle w:val="Tabletext"/>
              <w:rPr>
                <w:lang w:val="es-ES"/>
              </w:rPr>
            </w:pPr>
            <w:r w:rsidRPr="00A05A8F">
              <w:rPr>
                <w:lang w:val="es-ES"/>
              </w:rPr>
              <w:t>Miembros de Sector</w:t>
            </w:r>
          </w:p>
        </w:tc>
        <w:tc>
          <w:tcPr>
            <w:tcW w:w="1147" w:type="dxa"/>
            <w:tcBorders>
              <w:top w:val="nil"/>
              <w:left w:val="nil"/>
              <w:bottom w:val="single" w:sz="4" w:space="0" w:color="auto"/>
              <w:right w:val="single" w:sz="4" w:space="0" w:color="auto"/>
            </w:tcBorders>
            <w:shd w:val="clear" w:color="auto" w:fill="auto"/>
            <w:hideMark/>
          </w:tcPr>
          <w:p w14:paraId="0B24B12F" w14:textId="77777777" w:rsidR="007C36DA" w:rsidRPr="007C36DA" w:rsidRDefault="007C36DA" w:rsidP="00F21AC6">
            <w:pPr>
              <w:pStyle w:val="Tabletext"/>
              <w:jc w:val="center"/>
              <w:rPr>
                <w:lang w:val="en-GB"/>
              </w:rPr>
            </w:pPr>
            <w:r w:rsidRPr="007C36DA">
              <w:rPr>
                <w:lang w:val="en-GB"/>
              </w:rPr>
              <w:t>16,3</w:t>
            </w:r>
          </w:p>
        </w:tc>
        <w:tc>
          <w:tcPr>
            <w:tcW w:w="1147" w:type="dxa"/>
            <w:tcBorders>
              <w:top w:val="nil"/>
              <w:left w:val="nil"/>
              <w:bottom w:val="single" w:sz="4" w:space="0" w:color="auto"/>
              <w:right w:val="single" w:sz="4" w:space="0" w:color="auto"/>
            </w:tcBorders>
            <w:shd w:val="clear" w:color="auto" w:fill="auto"/>
            <w:hideMark/>
          </w:tcPr>
          <w:p w14:paraId="19AE204F" w14:textId="77777777" w:rsidR="007C36DA" w:rsidRPr="007C36DA" w:rsidRDefault="007C36DA" w:rsidP="00F21AC6">
            <w:pPr>
              <w:pStyle w:val="Tabletext"/>
              <w:jc w:val="center"/>
              <w:rPr>
                <w:lang w:val="en-GB"/>
              </w:rPr>
            </w:pPr>
            <w:r w:rsidRPr="007C36DA">
              <w:rPr>
                <w:lang w:val="en-GB"/>
              </w:rPr>
              <w:t>16,6</w:t>
            </w:r>
          </w:p>
        </w:tc>
        <w:tc>
          <w:tcPr>
            <w:tcW w:w="1147" w:type="dxa"/>
            <w:tcBorders>
              <w:top w:val="nil"/>
              <w:left w:val="nil"/>
              <w:bottom w:val="single" w:sz="4" w:space="0" w:color="auto"/>
              <w:right w:val="single" w:sz="4" w:space="0" w:color="auto"/>
            </w:tcBorders>
            <w:shd w:val="clear" w:color="auto" w:fill="auto"/>
            <w:hideMark/>
          </w:tcPr>
          <w:p w14:paraId="481A2E12" w14:textId="77777777" w:rsidR="007C36DA" w:rsidRPr="007C36DA" w:rsidRDefault="007C36DA" w:rsidP="00F21AC6">
            <w:pPr>
              <w:pStyle w:val="Tabletext"/>
              <w:jc w:val="center"/>
              <w:rPr>
                <w:lang w:val="en-GB"/>
              </w:rPr>
            </w:pPr>
            <w:r w:rsidRPr="007C36DA">
              <w:rPr>
                <w:lang w:val="en-GB"/>
              </w:rPr>
              <w:t>16,4</w:t>
            </w:r>
          </w:p>
        </w:tc>
        <w:tc>
          <w:tcPr>
            <w:tcW w:w="1147" w:type="dxa"/>
            <w:tcBorders>
              <w:top w:val="nil"/>
              <w:left w:val="nil"/>
              <w:bottom w:val="single" w:sz="4" w:space="0" w:color="auto"/>
              <w:right w:val="single" w:sz="4" w:space="0" w:color="auto"/>
            </w:tcBorders>
            <w:shd w:val="clear" w:color="auto" w:fill="auto"/>
            <w:hideMark/>
          </w:tcPr>
          <w:p w14:paraId="2F664B4C" w14:textId="77777777" w:rsidR="007C36DA" w:rsidRPr="007C36DA" w:rsidRDefault="007C36DA" w:rsidP="00F21AC6">
            <w:pPr>
              <w:pStyle w:val="Tabletext"/>
              <w:jc w:val="center"/>
              <w:rPr>
                <w:lang w:val="en-GB"/>
              </w:rPr>
            </w:pPr>
            <w:r w:rsidRPr="007C36DA">
              <w:rPr>
                <w:lang w:val="en-GB"/>
              </w:rPr>
              <w:t>16,3</w:t>
            </w:r>
          </w:p>
        </w:tc>
        <w:tc>
          <w:tcPr>
            <w:tcW w:w="1147" w:type="dxa"/>
            <w:tcBorders>
              <w:top w:val="nil"/>
              <w:left w:val="nil"/>
              <w:bottom w:val="single" w:sz="4" w:space="0" w:color="auto"/>
              <w:right w:val="single" w:sz="4" w:space="0" w:color="auto"/>
            </w:tcBorders>
            <w:shd w:val="clear" w:color="auto" w:fill="auto"/>
            <w:hideMark/>
          </w:tcPr>
          <w:p w14:paraId="02636586" w14:textId="77777777" w:rsidR="007C36DA" w:rsidRPr="007C36DA" w:rsidRDefault="007C36DA" w:rsidP="00F21AC6">
            <w:pPr>
              <w:pStyle w:val="Tabletext"/>
              <w:jc w:val="center"/>
              <w:rPr>
                <w:lang w:val="en-GB"/>
              </w:rPr>
            </w:pPr>
            <w:r w:rsidRPr="007C36DA">
              <w:rPr>
                <w:lang w:val="en-GB"/>
              </w:rPr>
              <w:t>16,3</w:t>
            </w:r>
          </w:p>
        </w:tc>
      </w:tr>
      <w:tr w:rsidR="007C36DA" w:rsidRPr="007C36DA" w14:paraId="4AD07642"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717497A0" w14:textId="77777777" w:rsidR="007C36DA" w:rsidRPr="00A05A8F" w:rsidRDefault="007C36DA" w:rsidP="00F21AC6">
            <w:pPr>
              <w:pStyle w:val="Tabletext"/>
              <w:rPr>
                <w:lang w:val="es-ES"/>
              </w:rPr>
            </w:pPr>
            <w:r w:rsidRPr="00A05A8F">
              <w:rPr>
                <w:lang w:val="es-ES"/>
              </w:rPr>
              <w:t>Publicaciones</w:t>
            </w:r>
          </w:p>
        </w:tc>
        <w:tc>
          <w:tcPr>
            <w:tcW w:w="1147" w:type="dxa"/>
            <w:tcBorders>
              <w:top w:val="nil"/>
              <w:left w:val="nil"/>
              <w:bottom w:val="single" w:sz="4" w:space="0" w:color="auto"/>
              <w:right w:val="single" w:sz="4" w:space="0" w:color="auto"/>
            </w:tcBorders>
            <w:shd w:val="clear" w:color="auto" w:fill="auto"/>
            <w:hideMark/>
          </w:tcPr>
          <w:p w14:paraId="20E9BACE" w14:textId="77777777" w:rsidR="007C36DA" w:rsidRPr="007C36DA" w:rsidRDefault="007C36DA" w:rsidP="00F21AC6">
            <w:pPr>
              <w:pStyle w:val="Tabletext"/>
              <w:jc w:val="center"/>
              <w:rPr>
                <w:lang w:val="en-GB"/>
              </w:rPr>
            </w:pPr>
            <w:r w:rsidRPr="007C36DA">
              <w:rPr>
                <w:lang w:val="en-GB"/>
              </w:rPr>
              <w:t>13,9</w:t>
            </w:r>
          </w:p>
        </w:tc>
        <w:tc>
          <w:tcPr>
            <w:tcW w:w="1147" w:type="dxa"/>
            <w:tcBorders>
              <w:top w:val="nil"/>
              <w:left w:val="nil"/>
              <w:bottom w:val="single" w:sz="4" w:space="0" w:color="auto"/>
              <w:right w:val="single" w:sz="4" w:space="0" w:color="auto"/>
            </w:tcBorders>
            <w:shd w:val="clear" w:color="auto" w:fill="auto"/>
            <w:hideMark/>
          </w:tcPr>
          <w:p w14:paraId="41B0370B" w14:textId="77777777" w:rsidR="007C36DA" w:rsidRPr="007C36DA" w:rsidRDefault="007C36DA" w:rsidP="00F21AC6">
            <w:pPr>
              <w:pStyle w:val="Tabletext"/>
              <w:jc w:val="center"/>
              <w:rPr>
                <w:lang w:val="en-GB"/>
              </w:rPr>
            </w:pPr>
            <w:r w:rsidRPr="007C36DA">
              <w:rPr>
                <w:lang w:val="en-GB"/>
              </w:rPr>
              <w:t>15,6</w:t>
            </w:r>
          </w:p>
        </w:tc>
        <w:tc>
          <w:tcPr>
            <w:tcW w:w="1147" w:type="dxa"/>
            <w:tcBorders>
              <w:top w:val="nil"/>
              <w:left w:val="nil"/>
              <w:bottom w:val="single" w:sz="4" w:space="0" w:color="auto"/>
              <w:right w:val="single" w:sz="4" w:space="0" w:color="auto"/>
            </w:tcBorders>
            <w:shd w:val="clear" w:color="auto" w:fill="auto"/>
            <w:hideMark/>
          </w:tcPr>
          <w:p w14:paraId="203C8268" w14:textId="77777777" w:rsidR="007C36DA" w:rsidRPr="007C36DA" w:rsidRDefault="007C36DA" w:rsidP="00F21AC6">
            <w:pPr>
              <w:pStyle w:val="Tabletext"/>
              <w:jc w:val="center"/>
              <w:rPr>
                <w:lang w:val="en-GB"/>
              </w:rPr>
            </w:pPr>
            <w:r w:rsidRPr="007C36DA">
              <w:rPr>
                <w:lang w:val="en-GB"/>
              </w:rPr>
              <w:t>17,1</w:t>
            </w:r>
          </w:p>
        </w:tc>
        <w:tc>
          <w:tcPr>
            <w:tcW w:w="1147" w:type="dxa"/>
            <w:tcBorders>
              <w:top w:val="nil"/>
              <w:left w:val="nil"/>
              <w:bottom w:val="single" w:sz="4" w:space="0" w:color="auto"/>
              <w:right w:val="single" w:sz="4" w:space="0" w:color="auto"/>
            </w:tcBorders>
            <w:shd w:val="clear" w:color="auto" w:fill="auto"/>
            <w:hideMark/>
          </w:tcPr>
          <w:p w14:paraId="4C63885A" w14:textId="77777777" w:rsidR="007C36DA" w:rsidRPr="007C36DA" w:rsidRDefault="007C36DA" w:rsidP="00F21AC6">
            <w:pPr>
              <w:pStyle w:val="Tabletext"/>
              <w:jc w:val="center"/>
              <w:rPr>
                <w:lang w:val="en-GB"/>
              </w:rPr>
            </w:pPr>
            <w:r w:rsidRPr="007C36DA">
              <w:rPr>
                <w:lang w:val="en-GB"/>
              </w:rPr>
              <w:t>19,4</w:t>
            </w:r>
          </w:p>
        </w:tc>
        <w:tc>
          <w:tcPr>
            <w:tcW w:w="1147" w:type="dxa"/>
            <w:tcBorders>
              <w:top w:val="nil"/>
              <w:left w:val="nil"/>
              <w:bottom w:val="single" w:sz="4" w:space="0" w:color="auto"/>
              <w:right w:val="single" w:sz="4" w:space="0" w:color="auto"/>
            </w:tcBorders>
            <w:shd w:val="clear" w:color="auto" w:fill="auto"/>
            <w:hideMark/>
          </w:tcPr>
          <w:p w14:paraId="2172C3DB" w14:textId="77777777" w:rsidR="007C36DA" w:rsidRPr="007C36DA" w:rsidRDefault="007C36DA" w:rsidP="00F21AC6">
            <w:pPr>
              <w:pStyle w:val="Tabletext"/>
              <w:jc w:val="center"/>
              <w:rPr>
                <w:lang w:val="en-GB"/>
              </w:rPr>
            </w:pPr>
            <w:r w:rsidRPr="007C36DA">
              <w:rPr>
                <w:lang w:val="en-GB"/>
              </w:rPr>
              <w:t>14,6</w:t>
            </w:r>
          </w:p>
        </w:tc>
      </w:tr>
      <w:tr w:rsidR="007C36DA" w:rsidRPr="007C36DA" w14:paraId="5E5CEC4E"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3A55A9AE" w14:textId="77777777" w:rsidR="007C36DA" w:rsidRPr="00A05A8F" w:rsidRDefault="007C36DA" w:rsidP="00F21AC6">
            <w:pPr>
              <w:pStyle w:val="Tabletext"/>
              <w:rPr>
                <w:lang w:val="es-ES"/>
              </w:rPr>
            </w:pPr>
            <w:r w:rsidRPr="00A05A8F">
              <w:rPr>
                <w:lang w:val="es-ES"/>
              </w:rPr>
              <w:t>Notificaciones de satélites</w:t>
            </w:r>
          </w:p>
        </w:tc>
        <w:tc>
          <w:tcPr>
            <w:tcW w:w="1147" w:type="dxa"/>
            <w:tcBorders>
              <w:top w:val="nil"/>
              <w:left w:val="nil"/>
              <w:bottom w:val="single" w:sz="4" w:space="0" w:color="auto"/>
              <w:right w:val="single" w:sz="4" w:space="0" w:color="auto"/>
            </w:tcBorders>
            <w:shd w:val="clear" w:color="auto" w:fill="auto"/>
            <w:hideMark/>
          </w:tcPr>
          <w:p w14:paraId="035B3AAD" w14:textId="77777777" w:rsidR="007C36DA" w:rsidRPr="007C36DA" w:rsidRDefault="007C36DA" w:rsidP="00F21AC6">
            <w:pPr>
              <w:pStyle w:val="Tabletext"/>
              <w:jc w:val="center"/>
              <w:rPr>
                <w:lang w:val="en-GB"/>
              </w:rPr>
            </w:pPr>
            <w:r w:rsidRPr="007C36DA">
              <w:rPr>
                <w:lang w:val="en-GB"/>
              </w:rPr>
              <w:t>19,1</w:t>
            </w:r>
          </w:p>
        </w:tc>
        <w:tc>
          <w:tcPr>
            <w:tcW w:w="1147" w:type="dxa"/>
            <w:tcBorders>
              <w:top w:val="nil"/>
              <w:left w:val="nil"/>
              <w:bottom w:val="single" w:sz="4" w:space="0" w:color="auto"/>
              <w:right w:val="single" w:sz="4" w:space="0" w:color="auto"/>
            </w:tcBorders>
            <w:shd w:val="clear" w:color="auto" w:fill="auto"/>
            <w:hideMark/>
          </w:tcPr>
          <w:p w14:paraId="5DE6B6BE" w14:textId="77777777" w:rsidR="007C36DA" w:rsidRPr="007C36DA" w:rsidRDefault="007C36DA" w:rsidP="00F21AC6">
            <w:pPr>
              <w:pStyle w:val="Tabletext"/>
              <w:jc w:val="center"/>
              <w:rPr>
                <w:lang w:val="en-GB"/>
              </w:rPr>
            </w:pPr>
            <w:r w:rsidRPr="007C36DA">
              <w:rPr>
                <w:lang w:val="en-GB"/>
              </w:rPr>
              <w:t>12,1</w:t>
            </w:r>
          </w:p>
        </w:tc>
        <w:tc>
          <w:tcPr>
            <w:tcW w:w="1147" w:type="dxa"/>
            <w:tcBorders>
              <w:top w:val="nil"/>
              <w:left w:val="nil"/>
              <w:bottom w:val="single" w:sz="4" w:space="0" w:color="auto"/>
              <w:right w:val="single" w:sz="4" w:space="0" w:color="auto"/>
            </w:tcBorders>
            <w:shd w:val="clear" w:color="auto" w:fill="auto"/>
            <w:hideMark/>
          </w:tcPr>
          <w:p w14:paraId="76FD8431" w14:textId="77777777" w:rsidR="007C36DA" w:rsidRPr="007C36DA" w:rsidRDefault="007C36DA" w:rsidP="00F21AC6">
            <w:pPr>
              <w:pStyle w:val="Tabletext"/>
              <w:jc w:val="center"/>
              <w:rPr>
                <w:lang w:val="en-GB"/>
              </w:rPr>
            </w:pPr>
            <w:r w:rsidRPr="007C36DA">
              <w:rPr>
                <w:lang w:val="en-GB"/>
              </w:rPr>
              <w:t>13,6</w:t>
            </w:r>
          </w:p>
        </w:tc>
        <w:tc>
          <w:tcPr>
            <w:tcW w:w="1147" w:type="dxa"/>
            <w:tcBorders>
              <w:top w:val="nil"/>
              <w:left w:val="nil"/>
              <w:bottom w:val="single" w:sz="4" w:space="0" w:color="auto"/>
              <w:right w:val="single" w:sz="4" w:space="0" w:color="auto"/>
            </w:tcBorders>
            <w:shd w:val="clear" w:color="auto" w:fill="auto"/>
            <w:hideMark/>
          </w:tcPr>
          <w:p w14:paraId="76C53E97" w14:textId="77777777" w:rsidR="007C36DA" w:rsidRPr="007C36DA" w:rsidRDefault="007C36DA" w:rsidP="00F21AC6">
            <w:pPr>
              <w:pStyle w:val="Tabletext"/>
              <w:jc w:val="center"/>
              <w:rPr>
                <w:lang w:val="en-GB"/>
              </w:rPr>
            </w:pPr>
            <w:r w:rsidRPr="007C36DA">
              <w:rPr>
                <w:lang w:val="en-GB"/>
              </w:rPr>
              <w:t>11,2</w:t>
            </w:r>
          </w:p>
        </w:tc>
        <w:tc>
          <w:tcPr>
            <w:tcW w:w="1147" w:type="dxa"/>
            <w:tcBorders>
              <w:top w:val="nil"/>
              <w:left w:val="nil"/>
              <w:bottom w:val="single" w:sz="4" w:space="0" w:color="auto"/>
              <w:right w:val="single" w:sz="4" w:space="0" w:color="auto"/>
            </w:tcBorders>
            <w:shd w:val="clear" w:color="auto" w:fill="auto"/>
            <w:hideMark/>
          </w:tcPr>
          <w:p w14:paraId="07FF0B30" w14:textId="77777777" w:rsidR="007C36DA" w:rsidRPr="007C36DA" w:rsidRDefault="007C36DA" w:rsidP="00F21AC6">
            <w:pPr>
              <w:pStyle w:val="Tabletext"/>
              <w:jc w:val="center"/>
              <w:rPr>
                <w:lang w:val="en-GB"/>
              </w:rPr>
            </w:pPr>
            <w:r w:rsidRPr="007C36DA">
              <w:rPr>
                <w:lang w:val="en-GB"/>
              </w:rPr>
              <w:t>10,2</w:t>
            </w:r>
          </w:p>
        </w:tc>
      </w:tr>
      <w:tr w:rsidR="007C36DA" w:rsidRPr="007C36DA" w14:paraId="0B32354A"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2DE24B32" w14:textId="77777777" w:rsidR="007C36DA" w:rsidRPr="00A05A8F" w:rsidRDefault="007C36DA" w:rsidP="00F21AC6">
            <w:pPr>
              <w:pStyle w:val="Tabletext"/>
              <w:rPr>
                <w:lang w:val="es-ES"/>
              </w:rPr>
            </w:pPr>
            <w:r w:rsidRPr="00A05A8F">
              <w:rPr>
                <w:lang w:val="es-ES"/>
              </w:rPr>
              <w:t>Otros (numeración, apoyo a proyectos, ITU Telecom)</w:t>
            </w:r>
          </w:p>
        </w:tc>
        <w:tc>
          <w:tcPr>
            <w:tcW w:w="1147" w:type="dxa"/>
            <w:tcBorders>
              <w:top w:val="nil"/>
              <w:left w:val="nil"/>
              <w:bottom w:val="single" w:sz="4" w:space="0" w:color="auto"/>
              <w:right w:val="single" w:sz="4" w:space="0" w:color="auto"/>
            </w:tcBorders>
            <w:shd w:val="clear" w:color="auto" w:fill="auto"/>
            <w:hideMark/>
          </w:tcPr>
          <w:p w14:paraId="5D6B955A" w14:textId="77777777" w:rsidR="007C36DA" w:rsidRPr="007C36DA" w:rsidRDefault="007C36DA" w:rsidP="00F21AC6">
            <w:pPr>
              <w:pStyle w:val="Tabletext"/>
              <w:jc w:val="center"/>
              <w:rPr>
                <w:lang w:val="en-GB"/>
              </w:rPr>
            </w:pPr>
            <w:r w:rsidRPr="007C36DA">
              <w:rPr>
                <w:lang w:val="en-GB"/>
              </w:rPr>
              <w:t>3,4</w:t>
            </w:r>
          </w:p>
        </w:tc>
        <w:tc>
          <w:tcPr>
            <w:tcW w:w="1147" w:type="dxa"/>
            <w:tcBorders>
              <w:top w:val="nil"/>
              <w:left w:val="nil"/>
              <w:bottom w:val="single" w:sz="4" w:space="0" w:color="auto"/>
              <w:right w:val="single" w:sz="4" w:space="0" w:color="auto"/>
            </w:tcBorders>
            <w:shd w:val="clear" w:color="auto" w:fill="auto"/>
            <w:hideMark/>
          </w:tcPr>
          <w:p w14:paraId="034D95E2" w14:textId="77777777" w:rsidR="007C36DA" w:rsidRPr="007C36DA" w:rsidRDefault="007C36DA" w:rsidP="00F21AC6">
            <w:pPr>
              <w:pStyle w:val="Tabletext"/>
              <w:jc w:val="center"/>
              <w:rPr>
                <w:lang w:val="en-GB"/>
              </w:rPr>
            </w:pPr>
            <w:r w:rsidRPr="007C36DA">
              <w:rPr>
                <w:lang w:val="en-GB"/>
              </w:rPr>
              <w:t>2,6</w:t>
            </w:r>
          </w:p>
        </w:tc>
        <w:tc>
          <w:tcPr>
            <w:tcW w:w="1147" w:type="dxa"/>
            <w:tcBorders>
              <w:top w:val="nil"/>
              <w:left w:val="nil"/>
              <w:bottom w:val="single" w:sz="4" w:space="0" w:color="auto"/>
              <w:right w:val="single" w:sz="4" w:space="0" w:color="auto"/>
            </w:tcBorders>
            <w:shd w:val="clear" w:color="auto" w:fill="auto"/>
            <w:hideMark/>
          </w:tcPr>
          <w:p w14:paraId="527BC010" w14:textId="77777777" w:rsidR="007C36DA" w:rsidRPr="007C36DA" w:rsidRDefault="007C36DA" w:rsidP="00F21AC6">
            <w:pPr>
              <w:pStyle w:val="Tabletext"/>
              <w:jc w:val="center"/>
              <w:rPr>
                <w:lang w:val="en-GB"/>
              </w:rPr>
            </w:pPr>
            <w:r w:rsidRPr="007C36DA">
              <w:rPr>
                <w:lang w:val="en-GB"/>
              </w:rPr>
              <w:t>1</w:t>
            </w:r>
          </w:p>
        </w:tc>
        <w:tc>
          <w:tcPr>
            <w:tcW w:w="1147" w:type="dxa"/>
            <w:tcBorders>
              <w:top w:val="nil"/>
              <w:left w:val="nil"/>
              <w:bottom w:val="single" w:sz="4" w:space="0" w:color="auto"/>
              <w:right w:val="single" w:sz="4" w:space="0" w:color="auto"/>
            </w:tcBorders>
            <w:shd w:val="clear" w:color="auto" w:fill="auto"/>
            <w:hideMark/>
          </w:tcPr>
          <w:p w14:paraId="70841229" w14:textId="77777777" w:rsidR="007C36DA" w:rsidRPr="007C36DA" w:rsidRDefault="007C36DA" w:rsidP="00F21AC6">
            <w:pPr>
              <w:pStyle w:val="Tabletext"/>
              <w:jc w:val="center"/>
              <w:rPr>
                <w:lang w:val="en-GB"/>
              </w:rPr>
            </w:pPr>
            <w:r w:rsidRPr="007C36DA">
              <w:rPr>
                <w:lang w:val="en-GB"/>
              </w:rPr>
              <w:t>0,9</w:t>
            </w:r>
          </w:p>
        </w:tc>
        <w:tc>
          <w:tcPr>
            <w:tcW w:w="1147" w:type="dxa"/>
            <w:tcBorders>
              <w:top w:val="nil"/>
              <w:left w:val="nil"/>
              <w:bottom w:val="single" w:sz="4" w:space="0" w:color="auto"/>
              <w:right w:val="single" w:sz="4" w:space="0" w:color="auto"/>
            </w:tcBorders>
            <w:shd w:val="clear" w:color="auto" w:fill="auto"/>
            <w:hideMark/>
          </w:tcPr>
          <w:p w14:paraId="15B99267" w14:textId="77777777" w:rsidR="007C36DA" w:rsidRPr="007C36DA" w:rsidRDefault="007C36DA" w:rsidP="00F21AC6">
            <w:pPr>
              <w:pStyle w:val="Tabletext"/>
              <w:jc w:val="center"/>
              <w:rPr>
                <w:lang w:val="en-GB"/>
              </w:rPr>
            </w:pPr>
            <w:r w:rsidRPr="007C36DA">
              <w:rPr>
                <w:lang w:val="en-GB"/>
              </w:rPr>
              <w:t>1,25</w:t>
            </w:r>
          </w:p>
        </w:tc>
      </w:tr>
      <w:tr w:rsidR="007C36DA" w:rsidRPr="007C36DA" w14:paraId="258A9879" w14:textId="77777777" w:rsidTr="007876ED">
        <w:trPr>
          <w:jc w:val="center"/>
        </w:trPr>
        <w:tc>
          <w:tcPr>
            <w:tcW w:w="3442" w:type="dxa"/>
            <w:tcBorders>
              <w:top w:val="nil"/>
              <w:left w:val="single" w:sz="4" w:space="0" w:color="auto"/>
              <w:bottom w:val="single" w:sz="4" w:space="0" w:color="auto"/>
              <w:right w:val="single" w:sz="4" w:space="0" w:color="auto"/>
            </w:tcBorders>
            <w:shd w:val="clear" w:color="auto" w:fill="auto"/>
            <w:hideMark/>
          </w:tcPr>
          <w:p w14:paraId="20331062" w14:textId="77777777" w:rsidR="007C36DA" w:rsidRPr="00A05A8F" w:rsidRDefault="007C36DA" w:rsidP="00F21AC6">
            <w:pPr>
              <w:pStyle w:val="Tabletext"/>
              <w:rPr>
                <w:lang w:val="es-ES"/>
              </w:rPr>
            </w:pPr>
            <w:r w:rsidRPr="00A05A8F">
              <w:rPr>
                <w:lang w:val="es-ES"/>
              </w:rPr>
              <w:t>Contribuciones voluntarias</w:t>
            </w:r>
          </w:p>
        </w:tc>
        <w:tc>
          <w:tcPr>
            <w:tcW w:w="1147" w:type="dxa"/>
            <w:tcBorders>
              <w:top w:val="nil"/>
              <w:left w:val="nil"/>
              <w:bottom w:val="single" w:sz="4" w:space="0" w:color="auto"/>
              <w:right w:val="single" w:sz="4" w:space="0" w:color="auto"/>
            </w:tcBorders>
            <w:shd w:val="clear" w:color="auto" w:fill="auto"/>
            <w:hideMark/>
          </w:tcPr>
          <w:p w14:paraId="6208316D" w14:textId="77777777" w:rsidR="007C36DA" w:rsidRPr="007C36DA" w:rsidRDefault="007C36DA" w:rsidP="00F21AC6">
            <w:pPr>
              <w:pStyle w:val="Tabletext"/>
              <w:jc w:val="center"/>
              <w:rPr>
                <w:lang w:val="en-GB"/>
              </w:rPr>
            </w:pPr>
            <w:r w:rsidRPr="007C36DA">
              <w:rPr>
                <w:lang w:val="en-GB"/>
              </w:rPr>
              <w:t>13,8</w:t>
            </w:r>
          </w:p>
        </w:tc>
        <w:tc>
          <w:tcPr>
            <w:tcW w:w="1147" w:type="dxa"/>
            <w:tcBorders>
              <w:top w:val="nil"/>
              <w:left w:val="nil"/>
              <w:bottom w:val="single" w:sz="4" w:space="0" w:color="auto"/>
              <w:right w:val="single" w:sz="4" w:space="0" w:color="auto"/>
            </w:tcBorders>
            <w:shd w:val="clear" w:color="auto" w:fill="auto"/>
            <w:hideMark/>
          </w:tcPr>
          <w:p w14:paraId="6F5D1AC8" w14:textId="77777777" w:rsidR="007C36DA" w:rsidRPr="007C36DA" w:rsidRDefault="007C36DA" w:rsidP="00F21AC6">
            <w:pPr>
              <w:pStyle w:val="Tabletext"/>
              <w:jc w:val="center"/>
              <w:rPr>
                <w:lang w:val="en-GB"/>
              </w:rPr>
            </w:pPr>
            <w:r w:rsidRPr="007C36DA">
              <w:rPr>
                <w:lang w:val="en-GB"/>
              </w:rPr>
              <w:t>14</w:t>
            </w:r>
          </w:p>
        </w:tc>
        <w:tc>
          <w:tcPr>
            <w:tcW w:w="1147" w:type="dxa"/>
            <w:tcBorders>
              <w:top w:val="nil"/>
              <w:left w:val="nil"/>
              <w:bottom w:val="single" w:sz="4" w:space="0" w:color="auto"/>
              <w:right w:val="single" w:sz="4" w:space="0" w:color="auto"/>
            </w:tcBorders>
            <w:shd w:val="clear" w:color="auto" w:fill="auto"/>
            <w:hideMark/>
          </w:tcPr>
          <w:p w14:paraId="61D951FB" w14:textId="77777777" w:rsidR="007C36DA" w:rsidRPr="007C36DA" w:rsidRDefault="007C36DA" w:rsidP="00F21AC6">
            <w:pPr>
              <w:pStyle w:val="Tabletext"/>
              <w:jc w:val="center"/>
              <w:rPr>
                <w:lang w:val="en-GB"/>
              </w:rPr>
            </w:pPr>
            <w:r w:rsidRPr="007C36DA">
              <w:rPr>
                <w:lang w:val="en-GB"/>
              </w:rPr>
              <w:t>10,8</w:t>
            </w:r>
          </w:p>
        </w:tc>
        <w:tc>
          <w:tcPr>
            <w:tcW w:w="1147" w:type="dxa"/>
            <w:tcBorders>
              <w:top w:val="nil"/>
              <w:left w:val="nil"/>
              <w:bottom w:val="single" w:sz="4" w:space="0" w:color="auto"/>
              <w:right w:val="single" w:sz="4" w:space="0" w:color="auto"/>
            </w:tcBorders>
            <w:shd w:val="clear" w:color="auto" w:fill="auto"/>
            <w:hideMark/>
          </w:tcPr>
          <w:p w14:paraId="692AF69A" w14:textId="77777777" w:rsidR="007C36DA" w:rsidRPr="007C36DA" w:rsidRDefault="007C36DA" w:rsidP="00F21AC6">
            <w:pPr>
              <w:pStyle w:val="Tabletext"/>
              <w:jc w:val="center"/>
              <w:rPr>
                <w:lang w:val="en-GB"/>
              </w:rPr>
            </w:pPr>
            <w:r w:rsidRPr="007C36DA">
              <w:rPr>
                <w:lang w:val="en-GB"/>
              </w:rPr>
              <w:t>19,9</w:t>
            </w:r>
          </w:p>
        </w:tc>
        <w:tc>
          <w:tcPr>
            <w:tcW w:w="1147" w:type="dxa"/>
            <w:tcBorders>
              <w:top w:val="nil"/>
              <w:left w:val="nil"/>
              <w:bottom w:val="single" w:sz="4" w:space="0" w:color="auto"/>
              <w:right w:val="single" w:sz="4" w:space="0" w:color="auto"/>
            </w:tcBorders>
            <w:shd w:val="clear" w:color="auto" w:fill="auto"/>
            <w:hideMark/>
          </w:tcPr>
          <w:p w14:paraId="30436BC8" w14:textId="77777777" w:rsidR="007C36DA" w:rsidRPr="007C36DA" w:rsidRDefault="007C36DA" w:rsidP="00F21AC6">
            <w:pPr>
              <w:pStyle w:val="Tabletext"/>
              <w:jc w:val="center"/>
              <w:rPr>
                <w:lang w:val="en-GB"/>
              </w:rPr>
            </w:pPr>
            <w:r w:rsidRPr="007C36DA">
              <w:rPr>
                <w:lang w:val="en-GB"/>
              </w:rPr>
              <w:t>12,8</w:t>
            </w:r>
          </w:p>
        </w:tc>
      </w:tr>
    </w:tbl>
    <w:p w14:paraId="51081201" w14:textId="14EB1F58" w:rsidR="007C36DA" w:rsidRPr="007C36DA" w:rsidRDefault="007C36DA" w:rsidP="0016615B">
      <w:pPr>
        <w:pStyle w:val="Headingb"/>
        <w:rPr>
          <w:lang w:val="es-ES"/>
        </w:rPr>
      </w:pPr>
      <w:r w:rsidRPr="007C36DA">
        <w:rPr>
          <w:lang w:val="es-ES"/>
        </w:rPr>
        <w:lastRenderedPageBreak/>
        <w:t>b</w:t>
      </w:r>
      <w:r w:rsidR="0016615B">
        <w:rPr>
          <w:lang w:val="es-ES"/>
        </w:rPr>
        <w:t>)</w:t>
      </w:r>
      <w:r w:rsidRPr="007C36DA">
        <w:rPr>
          <w:lang w:val="es-ES"/>
        </w:rPr>
        <w:tab/>
      </w:r>
      <w:r w:rsidR="00F21AC6" w:rsidRPr="007C36DA">
        <w:rPr>
          <w:lang w:val="es-ES"/>
        </w:rPr>
        <w:t xml:space="preserve">Visión </w:t>
      </w:r>
      <w:r w:rsidRPr="007C36DA">
        <w:rPr>
          <w:lang w:val="es-ES"/>
        </w:rPr>
        <w:t>general de la financiación extrapresupuestaria</w:t>
      </w:r>
    </w:p>
    <w:p w14:paraId="3DA7851C" w14:textId="57575104" w:rsidR="007C36DA" w:rsidRPr="007C36DA" w:rsidRDefault="007C36DA" w:rsidP="00351D8D">
      <w:pPr>
        <w:keepNext/>
        <w:keepLines/>
        <w:rPr>
          <w:lang w:val="es-ES"/>
        </w:rPr>
      </w:pPr>
      <w:r w:rsidRPr="007C36DA">
        <w:rPr>
          <w:lang w:val="es-ES"/>
        </w:rPr>
        <w:t>En 2022 se recibieron en total 12,8 millones</w:t>
      </w:r>
      <w:r w:rsidR="00B251A3">
        <w:rPr>
          <w:lang w:val="es-ES"/>
        </w:rPr>
        <w:t> </w:t>
      </w:r>
      <w:r w:rsidRPr="007C36DA">
        <w:rPr>
          <w:lang w:val="es-ES"/>
        </w:rPr>
        <w:t>CHF en concepto de financiación extrapresupuestaria, de los cuales el 56% estaban destinados a proyectos, el 19% a cuestiones relacionadas con el personal, como cesiones o préstamos, el 15% al patrocinio de eventos (en particular, AI for Good, la CMSI, la Comisión de la Banda Ancha y la Cumbre de la Juventud) y el 10% a otros fines.</w:t>
      </w:r>
    </w:p>
    <w:p w14:paraId="5EAA475B" w14:textId="77777777" w:rsidR="007C36DA" w:rsidRPr="007C36DA" w:rsidRDefault="007C36DA" w:rsidP="007C36DA">
      <w:pPr>
        <w:rPr>
          <w:lang w:val="es-ES"/>
        </w:rPr>
      </w:pPr>
      <w:r w:rsidRPr="007C36DA">
        <w:rPr>
          <w:lang w:val="es-ES"/>
        </w:rPr>
        <w:t>La financiación extrapresupuestaria representa aproximadamente el 8% de los ingresos totales para 2022. Este porcentaje es bajo si se compara con el de muchos otros organismos de las Naciones Unidas, incluidos los organismos especializados que dependen principalmente de las contribuciones previstas.</w:t>
      </w:r>
    </w:p>
    <w:p w14:paraId="45805323" w14:textId="200B68EC" w:rsidR="007C36DA" w:rsidRPr="007C36DA" w:rsidRDefault="007C36DA" w:rsidP="007C36DA">
      <w:pPr>
        <w:rPr>
          <w:lang w:val="es-ES"/>
        </w:rPr>
      </w:pPr>
      <w:r w:rsidRPr="007C36DA">
        <w:rPr>
          <w:lang w:val="es-ES"/>
        </w:rPr>
        <w:t>En 2022 los fondos extrapresupuestarios se distribuyeron a toda la UIT, recibiendo la BDT el</w:t>
      </w:r>
      <w:r w:rsidR="007A221E">
        <w:rPr>
          <w:lang w:val="es-ES"/>
        </w:rPr>
        <w:t> </w:t>
      </w:r>
      <w:r w:rsidRPr="007C36DA">
        <w:rPr>
          <w:lang w:val="es-ES"/>
        </w:rPr>
        <w:t xml:space="preserve">64%, la TSB el 18%, la BR el 2% y la Secretaría General el 16%. Puede consultarse la lista de los principales donantes en 2022 en el </w:t>
      </w:r>
      <w:hyperlink w:anchor="Annex_1" w:history="1">
        <w:r w:rsidRPr="007C36DA">
          <w:rPr>
            <w:rStyle w:val="Hyperlink"/>
            <w:lang w:val="es-ES"/>
          </w:rPr>
          <w:t>Anexo</w:t>
        </w:r>
        <w:r w:rsidR="006B7A9F">
          <w:rPr>
            <w:rStyle w:val="Hyperlink"/>
            <w:lang w:val="es-ES"/>
          </w:rPr>
          <w:t> </w:t>
        </w:r>
        <w:r w:rsidRPr="007C36DA">
          <w:rPr>
            <w:rStyle w:val="Hyperlink"/>
            <w:lang w:val="es-ES"/>
          </w:rPr>
          <w:t>1</w:t>
        </w:r>
      </w:hyperlink>
      <w:r w:rsidRPr="007C36DA">
        <w:rPr>
          <w:lang w:val="es-ES"/>
        </w:rPr>
        <w:t>.</w:t>
      </w:r>
    </w:p>
    <w:p w14:paraId="670240D3" w14:textId="7DE90771" w:rsidR="007C36DA" w:rsidRPr="007C36DA" w:rsidRDefault="007C36DA" w:rsidP="007C36DA">
      <w:pPr>
        <w:rPr>
          <w:lang w:val="es-ES"/>
        </w:rPr>
      </w:pPr>
      <w:r w:rsidRPr="007C36DA">
        <w:rPr>
          <w:lang w:val="es-ES"/>
        </w:rPr>
        <w:t>En 2022 el 65% de los fondos extrapresupuestarios, es decir, 8,4 millones</w:t>
      </w:r>
      <w:r w:rsidR="00B251A3">
        <w:rPr>
          <w:lang w:val="es-ES"/>
        </w:rPr>
        <w:t> </w:t>
      </w:r>
      <w:r w:rsidRPr="007C36DA">
        <w:rPr>
          <w:lang w:val="es-ES"/>
        </w:rPr>
        <w:t>CHF, procedió de los Estados Miembros, de los cuales una gran parte, cerca de 3,8 millones</w:t>
      </w:r>
      <w:r w:rsidR="00B251A3">
        <w:rPr>
          <w:lang w:val="es-ES"/>
        </w:rPr>
        <w:t> </w:t>
      </w:r>
      <w:r w:rsidRPr="007C36DA">
        <w:rPr>
          <w:lang w:val="es-ES"/>
        </w:rPr>
        <w:t>CHF, procedió de organismos nacionales de desarrollo y ministerios de asuntos exteriores. Hay margen para intensificar la colaboración con las organizaciones oficiales de asistencia al desarrollo en proyectos y asistencia técnica, pues hasta ahora la UIT ha colaborado sólo con unas pocas de ellas. Véase el</w:t>
      </w:r>
      <w:r w:rsidRPr="007C36DA">
        <w:rPr>
          <w:b/>
          <w:bCs/>
          <w:lang w:val="es-ES"/>
        </w:rPr>
        <w:t xml:space="preserve"> </w:t>
      </w:r>
      <w:hyperlink w:anchor="Annex_2">
        <w:r w:rsidRPr="007C36DA">
          <w:rPr>
            <w:rStyle w:val="Hyperlink"/>
            <w:lang w:val="es-ES"/>
          </w:rPr>
          <w:t>Anexo</w:t>
        </w:r>
        <w:r w:rsidR="006B7A9F">
          <w:rPr>
            <w:rStyle w:val="Hyperlink"/>
            <w:lang w:val="es-ES"/>
          </w:rPr>
          <w:t> </w:t>
        </w:r>
        <w:r w:rsidRPr="007C36DA">
          <w:rPr>
            <w:rStyle w:val="Hyperlink"/>
            <w:lang w:val="es-ES"/>
          </w:rPr>
          <w:t>2</w:t>
        </w:r>
      </w:hyperlink>
      <w:r w:rsidRPr="007C36DA">
        <w:rPr>
          <w:lang w:val="es-ES"/>
        </w:rPr>
        <w:t>.</w:t>
      </w:r>
    </w:p>
    <w:p w14:paraId="5C7DDA0F" w14:textId="0956F8FF" w:rsidR="007C36DA" w:rsidRPr="007C36DA" w:rsidRDefault="007C36DA" w:rsidP="007C36DA">
      <w:pPr>
        <w:rPr>
          <w:lang w:val="es-ES"/>
        </w:rPr>
      </w:pPr>
      <w:r w:rsidRPr="007C36DA">
        <w:rPr>
          <w:lang w:val="es-ES"/>
        </w:rPr>
        <w:t>En cuanto a las contribuciones extrapresupuestarias del sector privado, la UIT movilizó 1,9</w:t>
      </w:r>
      <w:r w:rsidR="00A05A8F">
        <w:rPr>
          <w:lang w:val="es-ES"/>
        </w:rPr>
        <w:t> </w:t>
      </w:r>
      <w:r w:rsidRPr="007C36DA">
        <w:rPr>
          <w:lang w:val="es-ES"/>
        </w:rPr>
        <w:t>millones</w:t>
      </w:r>
      <w:r w:rsidR="00B251A3">
        <w:rPr>
          <w:lang w:val="es-ES"/>
        </w:rPr>
        <w:t> </w:t>
      </w:r>
      <w:r w:rsidRPr="007C36DA">
        <w:rPr>
          <w:lang w:val="es-ES"/>
        </w:rPr>
        <w:t>CHF de la industria (Miembros y no miembros) en 2022, lo que representa un</w:t>
      </w:r>
      <w:r w:rsidR="007A221E">
        <w:rPr>
          <w:lang w:val="es-ES"/>
        </w:rPr>
        <w:t> </w:t>
      </w:r>
      <w:r w:rsidRPr="007C36DA">
        <w:rPr>
          <w:lang w:val="es-ES"/>
        </w:rPr>
        <w:t>15% de la financiación extrapresupuestaria. Los principales donantes del sector privado en</w:t>
      </w:r>
      <w:r w:rsidR="00B251A3">
        <w:rPr>
          <w:lang w:val="es-ES"/>
        </w:rPr>
        <w:t> </w:t>
      </w:r>
      <w:r w:rsidRPr="007C36DA">
        <w:rPr>
          <w:lang w:val="es-ES"/>
        </w:rPr>
        <w:t>2022 fueron Huawei, ZTE Corporation, Microsoft, Meta, Technology Innovation Institute e IBM, que aportaron cada uno como mínimo</w:t>
      </w:r>
      <w:r w:rsidR="00B251A3">
        <w:rPr>
          <w:lang w:val="es-ES"/>
        </w:rPr>
        <w:t xml:space="preserve"> </w:t>
      </w:r>
      <w:r w:rsidRPr="007C36DA">
        <w:rPr>
          <w:lang w:val="es-ES"/>
        </w:rPr>
        <w:t>150 000</w:t>
      </w:r>
      <w:r w:rsidR="00B251A3">
        <w:rPr>
          <w:lang w:val="es-ES"/>
        </w:rPr>
        <w:t> </w:t>
      </w:r>
      <w:r w:rsidRPr="007C36DA">
        <w:rPr>
          <w:lang w:val="es-ES"/>
        </w:rPr>
        <w:t>CHF.</w:t>
      </w:r>
    </w:p>
    <w:p w14:paraId="63235181" w14:textId="13D85145" w:rsidR="007C36DA" w:rsidRPr="007C36DA" w:rsidRDefault="007C36DA" w:rsidP="007C36DA">
      <w:pPr>
        <w:rPr>
          <w:lang w:val="es-ES"/>
        </w:rPr>
      </w:pPr>
      <w:r w:rsidRPr="007C36DA">
        <w:rPr>
          <w:lang w:val="es-ES"/>
        </w:rPr>
        <w:t>En la actualidad la UIT no obtiene mucha financiación de las fundaciones. Las contribuciones más recientes proceden de la Botnar Foundation (442 000</w:t>
      </w:r>
      <w:r w:rsidR="00B251A3">
        <w:rPr>
          <w:lang w:val="es-ES"/>
        </w:rPr>
        <w:t> </w:t>
      </w:r>
      <w:r w:rsidRPr="007C36DA">
        <w:rPr>
          <w:lang w:val="es-ES"/>
        </w:rPr>
        <w:t>CHF en 2022). Se trata de una vía que cabe explorar, pues las esferas de competencia de la UIT resultan cada vez más interesantes para las fundaciones e instituciones filantrópicas.</w:t>
      </w:r>
    </w:p>
    <w:p w14:paraId="5CFABCD2" w14:textId="77777777" w:rsidR="007C36DA" w:rsidRPr="007C36DA" w:rsidRDefault="007C36DA" w:rsidP="00FC71A9">
      <w:pPr>
        <w:pStyle w:val="Heading2"/>
        <w:rPr>
          <w:lang w:val="es-ES"/>
        </w:rPr>
      </w:pPr>
      <w:r w:rsidRPr="007C36DA">
        <w:rPr>
          <w:lang w:val="es-ES"/>
        </w:rPr>
        <w:t>2.2</w:t>
      </w:r>
      <w:r w:rsidRPr="007C36DA">
        <w:rPr>
          <w:lang w:val="es-ES"/>
        </w:rPr>
        <w:tab/>
        <w:t>Modelos de financiación en el sistema de las Naciones Unidas</w:t>
      </w:r>
    </w:p>
    <w:p w14:paraId="1A2AA0E7" w14:textId="77777777" w:rsidR="007C36DA" w:rsidRPr="007C36DA" w:rsidRDefault="007C36DA" w:rsidP="007C36DA">
      <w:pPr>
        <w:rPr>
          <w:lang w:val="es-ES"/>
        </w:rPr>
      </w:pPr>
      <w:r w:rsidRPr="007C36DA">
        <w:rPr>
          <w:lang w:val="es-ES"/>
        </w:rPr>
        <w:t>A lo largo del sistema de las Naciones Unidas pueden encontrarse muy diversos modelos de financiación, que dependen del mandato y las actividades principales de cada organización. Algunas organizaciones, como la UNICEF, el ACNUR y el PMA, dependen esencialmente de las contribuciones voluntarias, generalmente destinadas a proyectos e iniciativas específicos. Los fondos recaudados en caso de emergencia tienden a representar un porcentaje importante de los fondos totales. Esas organizaciones llevan a cabo operaciones de recaudación profesionales de gran calado entre gobiernos, el sector privado, las fundaciones, particulares con grandes patrimonios e incluso el público en general.</w:t>
      </w:r>
    </w:p>
    <w:p w14:paraId="706B84DF" w14:textId="77777777" w:rsidR="007C36DA" w:rsidRPr="007C36DA" w:rsidRDefault="007C36DA" w:rsidP="007C36DA">
      <w:pPr>
        <w:rPr>
          <w:lang w:val="es-ES"/>
        </w:rPr>
      </w:pPr>
      <w:r w:rsidRPr="007C36DA">
        <w:rPr>
          <w:lang w:val="es-ES"/>
        </w:rPr>
        <w:t>Por otra parte, organizaciones como la UIT, la UPU, la OIEA, la OIT, la UNESCO y la OMM dependen principalmente de las contribuciones previstas para financiar sus operaciones y llevar a cabo los programas de trabajo acordados, suplementados en ocasiones con contribuciones voluntarias para proyectos e iniciativas especiales. La OMPI es un caso aparte, pues aplica un modelo comercial que genera la gran mayoría de sus ingresos gracias a sus servicios relacionados con las patentes.</w:t>
      </w:r>
    </w:p>
    <w:p w14:paraId="67D55FBD" w14:textId="6CB284A7" w:rsidR="007C36DA" w:rsidRPr="007C36DA" w:rsidRDefault="007C36DA" w:rsidP="007C36DA">
      <w:pPr>
        <w:rPr>
          <w:lang w:val="es-ES"/>
        </w:rPr>
      </w:pPr>
      <w:r w:rsidRPr="007C36DA">
        <w:rPr>
          <w:lang w:val="es-ES"/>
        </w:rPr>
        <w:lastRenderedPageBreak/>
        <w:t>Varios organismos de las Naciones Unidas, incluidas la OIM, la OMS y la OMM, han visto aumentar su presupuesto en los últimos tiempos:</w:t>
      </w:r>
    </w:p>
    <w:p w14:paraId="7FC6B1E5" w14:textId="440E481F" w:rsidR="007C36DA" w:rsidRPr="007C36DA" w:rsidRDefault="007C36DA" w:rsidP="00FC71A9">
      <w:pPr>
        <w:pStyle w:val="enumlev1"/>
        <w:rPr>
          <w:lang w:val="es-ES"/>
        </w:rPr>
      </w:pPr>
      <w:r w:rsidRPr="007C36DA">
        <w:rPr>
          <w:lang w:val="es-ES"/>
        </w:rPr>
        <w:t>•</w:t>
      </w:r>
      <w:r w:rsidRPr="007C36DA">
        <w:rPr>
          <w:lang w:val="es-ES"/>
        </w:rPr>
        <w:tab/>
        <w:t>En la OIM, en su 113 reunión el Consejo de la OIM (octubre de 2022) aprobó un aumento de la parte administrativa del presupuesto de 12</w:t>
      </w:r>
      <w:r w:rsidR="00E371C3">
        <w:rPr>
          <w:lang w:val="es-ES"/>
        </w:rPr>
        <w:t> </w:t>
      </w:r>
      <w:r w:rsidRPr="007C36DA">
        <w:rPr>
          <w:lang w:val="es-ES"/>
        </w:rPr>
        <w:t>millones</w:t>
      </w:r>
      <w:r w:rsidR="00E371C3">
        <w:rPr>
          <w:lang w:val="es-ES"/>
        </w:rPr>
        <w:t> </w:t>
      </w:r>
      <w:r w:rsidRPr="007C36DA">
        <w:rPr>
          <w:lang w:val="es-ES"/>
        </w:rPr>
        <w:t>USD al año durante un periodo de cinco años, financiado a partir de las contribuciones previstas de los Estados Miembros, lo que en 2027 debería suponer un total adicional de 60</w:t>
      </w:r>
      <w:r w:rsidR="00A05A8F">
        <w:rPr>
          <w:lang w:val="es-ES"/>
        </w:rPr>
        <w:t> </w:t>
      </w:r>
      <w:r w:rsidRPr="007C36DA">
        <w:rPr>
          <w:lang w:val="es-ES"/>
        </w:rPr>
        <w:t>millones</w:t>
      </w:r>
      <w:r w:rsidR="00A05A8F">
        <w:rPr>
          <w:lang w:val="es-ES"/>
        </w:rPr>
        <w:t> </w:t>
      </w:r>
      <w:r w:rsidRPr="007C36DA">
        <w:rPr>
          <w:lang w:val="es-ES"/>
        </w:rPr>
        <w:t>USD al año.</w:t>
      </w:r>
      <w:r w:rsidR="00A05A8F">
        <w:rPr>
          <w:rStyle w:val="FootnoteReference"/>
          <w:lang w:val="es-ES"/>
        </w:rPr>
        <w:footnoteReference w:id="1"/>
      </w:r>
    </w:p>
    <w:p w14:paraId="04A38F0A" w14:textId="42B5A4C8" w:rsidR="007C36DA" w:rsidRPr="007C36DA" w:rsidRDefault="007C36DA" w:rsidP="00FC71A9">
      <w:pPr>
        <w:pStyle w:val="enumlev1"/>
        <w:rPr>
          <w:lang w:val="es-ES"/>
        </w:rPr>
      </w:pPr>
      <w:r w:rsidRPr="007C36DA">
        <w:rPr>
          <w:lang w:val="es-ES"/>
        </w:rPr>
        <w:t>•</w:t>
      </w:r>
      <w:r w:rsidRPr="007C36DA">
        <w:rPr>
          <w:lang w:val="es-ES"/>
        </w:rPr>
        <w:tab/>
      </w:r>
      <w:r w:rsidR="00E371C3" w:rsidRPr="007C36DA">
        <w:rPr>
          <w:lang w:val="es-ES"/>
        </w:rPr>
        <w:t xml:space="preserve">En </w:t>
      </w:r>
      <w:r w:rsidRPr="007C36DA">
        <w:rPr>
          <w:lang w:val="es-ES"/>
        </w:rPr>
        <w:t>la OMS, la 76ª Asamblea Mundial de la Salud (mayo de 2023) aprobó el presupuesto programático de la OMS para 2024-2025 con un aumento del 20% de las contribuciones previstas. Esa decisión elevará el presupuesto de la OMS a 6 830</w:t>
      </w:r>
      <w:r w:rsidR="00A05A8F">
        <w:rPr>
          <w:lang w:val="es-ES"/>
        </w:rPr>
        <w:t> </w:t>
      </w:r>
      <w:r w:rsidRPr="007C36DA">
        <w:rPr>
          <w:lang w:val="es-ES"/>
        </w:rPr>
        <w:t>millones USD.</w:t>
      </w:r>
      <w:r w:rsidR="00A05A8F">
        <w:rPr>
          <w:rStyle w:val="FootnoteReference"/>
          <w:lang w:val="es-ES"/>
        </w:rPr>
        <w:footnoteReference w:id="2"/>
      </w:r>
    </w:p>
    <w:p w14:paraId="11B31507" w14:textId="7F62477D" w:rsidR="007C36DA" w:rsidRPr="007C36DA" w:rsidRDefault="007C36DA" w:rsidP="00FC71A9">
      <w:pPr>
        <w:pStyle w:val="enumlev1"/>
        <w:rPr>
          <w:lang w:val="es-ES"/>
        </w:rPr>
      </w:pPr>
      <w:r w:rsidRPr="007C36DA">
        <w:rPr>
          <w:lang w:val="es-ES"/>
        </w:rPr>
        <w:t>•</w:t>
      </w:r>
      <w:r w:rsidRPr="007C36DA">
        <w:rPr>
          <w:lang w:val="es-ES"/>
        </w:rPr>
        <w:tab/>
      </w:r>
      <w:r w:rsidR="00E371C3" w:rsidRPr="007C36DA">
        <w:rPr>
          <w:lang w:val="es-ES"/>
        </w:rPr>
        <w:t xml:space="preserve">En </w:t>
      </w:r>
      <w:r w:rsidRPr="007C36DA">
        <w:rPr>
          <w:lang w:val="es-ES"/>
        </w:rPr>
        <w:t>la OMM, el Congreso Meteorológico Mundial (junio de 2023) aprobó un presupuesto ordinario ligeramente superior a 278 millones</w:t>
      </w:r>
      <w:r w:rsidR="00E371C3">
        <w:rPr>
          <w:lang w:val="es-ES"/>
        </w:rPr>
        <w:t> </w:t>
      </w:r>
      <w:r w:rsidRPr="007C36DA">
        <w:rPr>
          <w:lang w:val="es-ES"/>
        </w:rPr>
        <w:t>CHF para el ejercicio financiero 2024-2027, lo que supone un aumento del 2,4% con respecto al ejercicio 2020-2023.</w:t>
      </w:r>
      <w:r w:rsidR="00A05A8F">
        <w:rPr>
          <w:rStyle w:val="FootnoteReference"/>
          <w:lang w:val="es-ES"/>
        </w:rPr>
        <w:footnoteReference w:id="3"/>
      </w:r>
    </w:p>
    <w:p w14:paraId="1E3A6F55" w14:textId="77777777" w:rsidR="007C36DA" w:rsidRPr="007C36DA" w:rsidRDefault="007C36DA" w:rsidP="00FC71A9">
      <w:pPr>
        <w:pStyle w:val="Heading2"/>
        <w:rPr>
          <w:lang w:val="es-ES"/>
        </w:rPr>
      </w:pPr>
      <w:r w:rsidRPr="007C36DA">
        <w:rPr>
          <w:lang w:val="es-ES"/>
        </w:rPr>
        <w:t>2.3</w:t>
      </w:r>
      <w:r w:rsidRPr="007C36DA">
        <w:rPr>
          <w:lang w:val="es-ES"/>
        </w:rPr>
        <w:tab/>
        <w:t>Evaluación de la percepción que los principales interesados tienen de la UIT</w:t>
      </w:r>
    </w:p>
    <w:p w14:paraId="42CDD5CA" w14:textId="4A279422" w:rsidR="007C36DA" w:rsidRPr="007C36DA" w:rsidRDefault="007C36DA" w:rsidP="007C36DA">
      <w:pPr>
        <w:rPr>
          <w:lang w:val="es-ES"/>
        </w:rPr>
      </w:pPr>
      <w:r w:rsidRPr="007C36DA">
        <w:rPr>
          <w:lang w:val="es-ES"/>
        </w:rPr>
        <w:t>Desde febrero de 2023 la UIT y BCG han estado recabando información de los interesados internos y externos, incluidos los Estados Miembros, el sector privado, el sector social y otros organismos de las Naciones Unidas a partir de más de 70 entrevistas, y han analizado más de 100</w:t>
      </w:r>
      <w:r w:rsidR="00E371C3">
        <w:rPr>
          <w:lang w:val="es-ES"/>
        </w:rPr>
        <w:t> </w:t>
      </w:r>
      <w:r w:rsidRPr="007C36DA">
        <w:rPr>
          <w:lang w:val="es-ES"/>
        </w:rPr>
        <w:t xml:space="preserve">documentos e informes. De este ejercicio se </w:t>
      </w:r>
      <w:r w:rsidR="00E371C3">
        <w:rPr>
          <w:lang w:val="es-ES"/>
        </w:rPr>
        <w:t xml:space="preserve">han </w:t>
      </w:r>
      <w:r w:rsidRPr="007C36DA">
        <w:rPr>
          <w:lang w:val="es-ES"/>
        </w:rPr>
        <w:t>extraído varias lecciones de interés, que hacen eco de los resultados del Ejercicio de Perspectiva y el Retiro de la Alta Dirección, destacando esferas de oportunidad clave para aumentar el valor y la repercusión de la UIT:</w:t>
      </w:r>
    </w:p>
    <w:p w14:paraId="6D8F6BEA" w14:textId="11C86E10" w:rsidR="007C36DA" w:rsidRPr="007C36DA" w:rsidRDefault="00FC71A9" w:rsidP="00FC71A9">
      <w:pPr>
        <w:pStyle w:val="enumlev1"/>
        <w:rPr>
          <w:lang w:val="es-ES"/>
        </w:rPr>
      </w:pPr>
      <w:r w:rsidRPr="005F72FC">
        <w:rPr>
          <w:lang w:val="es-ES"/>
        </w:rPr>
        <w:t>•</w:t>
      </w:r>
      <w:r>
        <w:rPr>
          <w:lang w:val="es-ES"/>
        </w:rPr>
        <w:tab/>
      </w:r>
      <w:r w:rsidR="00E371C3" w:rsidRPr="007C36DA">
        <w:rPr>
          <w:lang w:val="es-ES"/>
        </w:rPr>
        <w:t>p</w:t>
      </w:r>
      <w:r w:rsidR="007C36DA" w:rsidRPr="007C36DA">
        <w:rPr>
          <w:lang w:val="es-ES"/>
        </w:rPr>
        <w:t>osicionar la UIT como organización más fuerte y adecuada a sus fines, haciendo gala de su influencia;</w:t>
      </w:r>
    </w:p>
    <w:p w14:paraId="322BDF6D" w14:textId="2F73D4D5" w:rsidR="007C36DA" w:rsidRPr="007C36DA" w:rsidRDefault="00FC71A9" w:rsidP="00FC71A9">
      <w:pPr>
        <w:pStyle w:val="enumlev1"/>
        <w:rPr>
          <w:lang w:val="es-ES"/>
        </w:rPr>
      </w:pPr>
      <w:r w:rsidRPr="005F72FC">
        <w:rPr>
          <w:lang w:val="es-ES"/>
        </w:rPr>
        <w:t>•</w:t>
      </w:r>
      <w:r>
        <w:rPr>
          <w:lang w:val="es-ES"/>
        </w:rPr>
        <w:tab/>
      </w:r>
      <w:r w:rsidR="00E371C3" w:rsidRPr="007C36DA">
        <w:rPr>
          <w:lang w:val="es-ES"/>
        </w:rPr>
        <w:t>a</w:t>
      </w:r>
      <w:r w:rsidR="007C36DA" w:rsidRPr="007C36DA">
        <w:rPr>
          <w:lang w:val="es-ES"/>
        </w:rPr>
        <w:t>umentar la implicación del sector privado;</w:t>
      </w:r>
    </w:p>
    <w:p w14:paraId="58273655" w14:textId="0D9CA298" w:rsidR="007C36DA" w:rsidRPr="007C36DA" w:rsidRDefault="00FC71A9" w:rsidP="00FC71A9">
      <w:pPr>
        <w:pStyle w:val="enumlev1"/>
        <w:rPr>
          <w:lang w:val="es-ES"/>
        </w:rPr>
      </w:pPr>
      <w:r w:rsidRPr="005F72FC">
        <w:rPr>
          <w:lang w:val="es-ES"/>
        </w:rPr>
        <w:t>•</w:t>
      </w:r>
      <w:r>
        <w:rPr>
          <w:lang w:val="es-ES"/>
        </w:rPr>
        <w:tab/>
      </w:r>
      <w:r w:rsidR="00E371C3" w:rsidRPr="007C36DA">
        <w:rPr>
          <w:lang w:val="es-ES"/>
        </w:rPr>
        <w:t>m</w:t>
      </w:r>
      <w:r w:rsidR="007C36DA" w:rsidRPr="007C36DA">
        <w:rPr>
          <w:lang w:val="es-ES"/>
        </w:rPr>
        <w:t>odernizar las estructuras heredadas y simplificar los procesos;</w:t>
      </w:r>
    </w:p>
    <w:p w14:paraId="735C3DA2" w14:textId="6BED0BA5" w:rsidR="007C36DA" w:rsidRPr="007C36DA" w:rsidRDefault="00FC71A9" w:rsidP="00FC71A9">
      <w:pPr>
        <w:pStyle w:val="enumlev1"/>
        <w:rPr>
          <w:lang w:val="es-ES"/>
        </w:rPr>
      </w:pPr>
      <w:r w:rsidRPr="005F72FC">
        <w:rPr>
          <w:lang w:val="es-ES"/>
        </w:rPr>
        <w:t>•</w:t>
      </w:r>
      <w:r>
        <w:rPr>
          <w:lang w:val="es-ES"/>
        </w:rPr>
        <w:tab/>
      </w:r>
      <w:r w:rsidR="00E371C3" w:rsidRPr="007C36DA">
        <w:rPr>
          <w:lang w:val="es-ES"/>
        </w:rPr>
        <w:t>e</w:t>
      </w:r>
      <w:r w:rsidR="007C36DA" w:rsidRPr="007C36DA">
        <w:rPr>
          <w:lang w:val="es-ES"/>
        </w:rPr>
        <w:t>structurar mejor los datos y compartir conocimientos;</w:t>
      </w:r>
    </w:p>
    <w:p w14:paraId="34B55920" w14:textId="0307648E" w:rsidR="007C36DA" w:rsidRPr="007C36DA" w:rsidRDefault="00FC71A9" w:rsidP="00FC71A9">
      <w:pPr>
        <w:pStyle w:val="enumlev1"/>
        <w:rPr>
          <w:lang w:val="es-ES"/>
        </w:rPr>
      </w:pPr>
      <w:r w:rsidRPr="005F72FC">
        <w:rPr>
          <w:lang w:val="es-ES"/>
        </w:rPr>
        <w:t>•</w:t>
      </w:r>
      <w:r>
        <w:rPr>
          <w:lang w:val="es-ES"/>
        </w:rPr>
        <w:tab/>
      </w:r>
      <w:r w:rsidR="00E371C3" w:rsidRPr="007C36DA">
        <w:rPr>
          <w:lang w:val="es-ES"/>
        </w:rPr>
        <w:t>p</w:t>
      </w:r>
      <w:r w:rsidR="007C36DA" w:rsidRPr="007C36DA">
        <w:rPr>
          <w:lang w:val="es-ES"/>
        </w:rPr>
        <w:t>otenciar la divulgación coordinada con las partes interesadas.</w:t>
      </w:r>
    </w:p>
    <w:p w14:paraId="2C290268" w14:textId="4FCCF40A" w:rsidR="007C36DA" w:rsidRPr="007C36DA" w:rsidRDefault="007C36DA" w:rsidP="00FC71A9">
      <w:pPr>
        <w:pStyle w:val="Heading2"/>
        <w:rPr>
          <w:lang w:val="es-ES"/>
        </w:rPr>
      </w:pPr>
      <w:r w:rsidRPr="007C36DA">
        <w:rPr>
          <w:lang w:val="es-ES"/>
        </w:rPr>
        <w:t>2.4</w:t>
      </w:r>
      <w:r w:rsidRPr="007C36DA">
        <w:rPr>
          <w:lang w:val="es-ES"/>
        </w:rPr>
        <w:tab/>
        <w:t xml:space="preserve">Marco de posicionamiento </w:t>
      </w:r>
      <w:r w:rsidR="00FC71A9">
        <w:rPr>
          <w:lang w:val="es-ES"/>
        </w:rPr>
        <w:t>"</w:t>
      </w:r>
      <w:r w:rsidRPr="007C36DA">
        <w:rPr>
          <w:lang w:val="es-ES"/>
        </w:rPr>
        <w:t>UnaUIT</w:t>
      </w:r>
      <w:r w:rsidR="00FC71A9">
        <w:rPr>
          <w:lang w:val="es-ES"/>
        </w:rPr>
        <w:t>"</w:t>
      </w:r>
    </w:p>
    <w:p w14:paraId="3C4E2B32" w14:textId="532D9F98" w:rsidR="007C36DA" w:rsidRPr="007C36DA" w:rsidRDefault="007C36DA" w:rsidP="007C36DA">
      <w:pPr>
        <w:rPr>
          <w:lang w:val="es-ES"/>
        </w:rPr>
      </w:pPr>
      <w:r w:rsidRPr="007C36DA">
        <w:rPr>
          <w:lang w:val="es-ES"/>
        </w:rPr>
        <w:t xml:space="preserve">Sobre la base del análisis anterior, la Secretaría de la UIT y BCG colaboraron en la definición del marco de posicionamiento </w:t>
      </w:r>
      <w:r w:rsidR="00FC71A9">
        <w:rPr>
          <w:lang w:val="es-ES"/>
        </w:rPr>
        <w:t>"</w:t>
      </w:r>
      <w:r w:rsidRPr="007C36DA">
        <w:rPr>
          <w:lang w:val="es-ES"/>
        </w:rPr>
        <w:t>UnaUIT</w:t>
      </w:r>
      <w:r w:rsidR="00FC71A9">
        <w:rPr>
          <w:lang w:val="es-ES"/>
        </w:rPr>
        <w:t>"</w:t>
      </w:r>
      <w:r w:rsidRPr="007C36DA">
        <w:rPr>
          <w:lang w:val="es-ES"/>
        </w:rPr>
        <w:t xml:space="preserve"> sustentado en cinco pilares de valor clave (véase</w:t>
      </w:r>
      <w:r w:rsidR="00A05A8F">
        <w:rPr>
          <w:lang w:val="es-ES"/>
        </w:rPr>
        <w:t xml:space="preserve"> </w:t>
      </w:r>
      <w:r w:rsidRPr="007C36DA">
        <w:rPr>
          <w:lang w:val="es-ES"/>
        </w:rPr>
        <w:t>el Cuadro</w:t>
      </w:r>
      <w:r w:rsidR="00962E1E">
        <w:rPr>
          <w:lang w:val="es-ES"/>
        </w:rPr>
        <w:t> </w:t>
      </w:r>
      <w:r w:rsidRPr="007C36DA">
        <w:rPr>
          <w:lang w:val="es-ES"/>
        </w:rPr>
        <w:t xml:space="preserve">2), de acuerdo con los objetivos del Plan Estratégico de la UIT, y cimentado en temas clave para una estrategia integral de movilización de recursos. El marco propuesto ofrece el potencial necesario para aumentar también la coherencia en la comunicación externa de lo que la UIT ofrece a sus </w:t>
      </w:r>
      <w:r w:rsidR="00962E1E">
        <w:rPr>
          <w:lang w:val="es-ES"/>
        </w:rPr>
        <w:t>m</w:t>
      </w:r>
      <w:r w:rsidRPr="007C36DA">
        <w:rPr>
          <w:lang w:val="es-ES"/>
        </w:rPr>
        <w:t>iembros y demás partes interesadas.</w:t>
      </w:r>
    </w:p>
    <w:p w14:paraId="1DDBE7B8" w14:textId="29C631CD" w:rsidR="007C36DA" w:rsidRPr="007C36DA" w:rsidRDefault="007C36DA" w:rsidP="007C36DA">
      <w:pPr>
        <w:rPr>
          <w:lang w:val="es-ES"/>
        </w:rPr>
      </w:pPr>
      <w:r w:rsidRPr="007C36DA">
        <w:rPr>
          <w:lang w:val="es-ES"/>
        </w:rPr>
        <w:lastRenderedPageBreak/>
        <w:t xml:space="preserve">Los cinco pilares de valor clave del marco de posicionamiento </w:t>
      </w:r>
      <w:r w:rsidR="00FC71A9">
        <w:rPr>
          <w:lang w:val="es-ES"/>
        </w:rPr>
        <w:t>"</w:t>
      </w:r>
      <w:r w:rsidRPr="007C36DA">
        <w:rPr>
          <w:lang w:val="es-ES"/>
        </w:rPr>
        <w:t>UnaUIT</w:t>
      </w:r>
      <w:r w:rsidR="00FC71A9">
        <w:rPr>
          <w:lang w:val="es-ES"/>
        </w:rPr>
        <w:t>"</w:t>
      </w:r>
      <w:r w:rsidRPr="007C36DA">
        <w:rPr>
          <w:lang w:val="es-ES"/>
        </w:rPr>
        <w:t xml:space="preserve"> se basan en las capacidades ya demostradas de la UIT para:</w:t>
      </w:r>
    </w:p>
    <w:p w14:paraId="18554D6C" w14:textId="62C75AD4" w:rsidR="007C36DA" w:rsidRPr="007C36DA" w:rsidRDefault="00FC71A9" w:rsidP="00FC71A9">
      <w:pPr>
        <w:pStyle w:val="enumlev1"/>
        <w:rPr>
          <w:lang w:val="es-ES"/>
        </w:rPr>
      </w:pPr>
      <w:r>
        <w:rPr>
          <w:lang w:val="es-ES"/>
        </w:rPr>
        <w:t>1)</w:t>
      </w:r>
      <w:r>
        <w:rPr>
          <w:lang w:val="es-ES"/>
        </w:rPr>
        <w:tab/>
      </w:r>
      <w:r w:rsidR="00962E1E">
        <w:rPr>
          <w:lang w:val="es-ES"/>
        </w:rPr>
        <w:t>c</w:t>
      </w:r>
      <w:r w:rsidR="007C36DA" w:rsidRPr="007C36DA">
        <w:rPr>
          <w:lang w:val="es-ES"/>
        </w:rPr>
        <w:t>rear una plataforma de convocación;</w:t>
      </w:r>
    </w:p>
    <w:p w14:paraId="1B87D7F7" w14:textId="00C25A34" w:rsidR="007C36DA" w:rsidRPr="007C36DA" w:rsidRDefault="00FC71A9" w:rsidP="00FC71A9">
      <w:pPr>
        <w:pStyle w:val="enumlev1"/>
        <w:rPr>
          <w:lang w:val="es-ES"/>
        </w:rPr>
      </w:pPr>
      <w:r>
        <w:rPr>
          <w:lang w:val="es-ES"/>
        </w:rPr>
        <w:t>2)</w:t>
      </w:r>
      <w:r>
        <w:rPr>
          <w:lang w:val="es-ES"/>
        </w:rPr>
        <w:tab/>
      </w:r>
      <w:r w:rsidR="00962E1E">
        <w:rPr>
          <w:lang w:val="es-ES"/>
        </w:rPr>
        <w:t>d</w:t>
      </w:r>
      <w:r w:rsidR="007C36DA" w:rsidRPr="007C36DA">
        <w:rPr>
          <w:lang w:val="es-ES"/>
        </w:rPr>
        <w:t>efinir políticas de mercado y orientar decisiones en materia de inversión;</w:t>
      </w:r>
    </w:p>
    <w:p w14:paraId="4574ED41" w14:textId="3515114D" w:rsidR="007C36DA" w:rsidRPr="007C36DA" w:rsidRDefault="00FC71A9" w:rsidP="00FC71A9">
      <w:pPr>
        <w:pStyle w:val="enumlev1"/>
        <w:rPr>
          <w:lang w:val="es-ES"/>
        </w:rPr>
      </w:pPr>
      <w:r>
        <w:rPr>
          <w:lang w:val="es-ES"/>
        </w:rPr>
        <w:t>3)</w:t>
      </w:r>
      <w:r>
        <w:rPr>
          <w:lang w:val="es-ES"/>
        </w:rPr>
        <w:tab/>
      </w:r>
      <w:r w:rsidR="00962E1E">
        <w:rPr>
          <w:lang w:val="es-ES"/>
        </w:rPr>
        <w:t>g</w:t>
      </w:r>
      <w:r w:rsidR="007C36DA" w:rsidRPr="007C36DA">
        <w:rPr>
          <w:lang w:val="es-ES"/>
        </w:rPr>
        <w:t>enerar economías de escala gracias a la normalización;</w:t>
      </w:r>
    </w:p>
    <w:p w14:paraId="31BEBE3E" w14:textId="1968A31E" w:rsidR="007C36DA" w:rsidRPr="007C36DA" w:rsidRDefault="00FC71A9" w:rsidP="00FC71A9">
      <w:pPr>
        <w:pStyle w:val="enumlev1"/>
        <w:rPr>
          <w:lang w:val="es-ES"/>
        </w:rPr>
      </w:pPr>
      <w:r>
        <w:rPr>
          <w:lang w:val="es-ES"/>
        </w:rPr>
        <w:t>4)</w:t>
      </w:r>
      <w:r>
        <w:rPr>
          <w:lang w:val="es-ES"/>
        </w:rPr>
        <w:tab/>
      </w:r>
      <w:r w:rsidR="00962E1E">
        <w:rPr>
          <w:lang w:val="es-ES"/>
        </w:rPr>
        <w:t>o</w:t>
      </w:r>
      <w:r w:rsidR="007C36DA" w:rsidRPr="007C36DA">
        <w:rPr>
          <w:lang w:val="es-ES"/>
        </w:rPr>
        <w:t>frecer datos y conocimientos fiables, y</w:t>
      </w:r>
    </w:p>
    <w:p w14:paraId="7D950C03" w14:textId="3E0B368F" w:rsidR="007C36DA" w:rsidRPr="007C36DA" w:rsidRDefault="00FC71A9" w:rsidP="00FC71A9">
      <w:pPr>
        <w:pStyle w:val="enumlev1"/>
        <w:rPr>
          <w:lang w:val="es-ES"/>
        </w:rPr>
      </w:pPr>
      <w:r>
        <w:rPr>
          <w:lang w:val="es-ES"/>
        </w:rPr>
        <w:t>5)</w:t>
      </w:r>
      <w:r>
        <w:rPr>
          <w:lang w:val="es-ES"/>
        </w:rPr>
        <w:tab/>
      </w:r>
      <w:r w:rsidR="00962E1E">
        <w:rPr>
          <w:lang w:val="es-ES"/>
        </w:rPr>
        <w:t>o</w:t>
      </w:r>
      <w:r w:rsidR="007C36DA" w:rsidRPr="007C36DA">
        <w:rPr>
          <w:lang w:val="es-ES"/>
        </w:rPr>
        <w:t>rquestar proyectos multipartitos.</w:t>
      </w:r>
    </w:p>
    <w:p w14:paraId="59FAD7D5" w14:textId="449D20F5" w:rsidR="007C36DA" w:rsidRPr="007C36DA" w:rsidRDefault="007C36DA" w:rsidP="007C36DA">
      <w:pPr>
        <w:rPr>
          <w:lang w:val="es-ES"/>
        </w:rPr>
      </w:pPr>
      <w:r w:rsidRPr="007C36DA">
        <w:rPr>
          <w:lang w:val="es-ES"/>
        </w:rPr>
        <w:t xml:space="preserve">La Secretaría propone asentar en estos cinco pilares de valor la construcción de una propuesta de valor para la movilización de recursos </w:t>
      </w:r>
      <w:r w:rsidR="00FC71A9">
        <w:rPr>
          <w:lang w:val="es-ES"/>
        </w:rPr>
        <w:t>"</w:t>
      </w:r>
      <w:r w:rsidRPr="007C36DA">
        <w:rPr>
          <w:lang w:val="es-ES"/>
        </w:rPr>
        <w:t>UnaUIT</w:t>
      </w:r>
      <w:r w:rsidR="00FC71A9">
        <w:rPr>
          <w:lang w:val="es-ES"/>
        </w:rPr>
        <w:t>"</w:t>
      </w:r>
      <w:r w:rsidRPr="007C36DA">
        <w:rPr>
          <w:lang w:val="es-ES"/>
        </w:rPr>
        <w:t>.</w:t>
      </w:r>
    </w:p>
    <w:p w14:paraId="69CD2FB3" w14:textId="77777777" w:rsidR="00351D8D" w:rsidRDefault="007C36DA" w:rsidP="00351D8D">
      <w:pPr>
        <w:pStyle w:val="TableNo"/>
        <w:rPr>
          <w:lang w:val="es-ES"/>
        </w:rPr>
      </w:pPr>
      <w:r w:rsidRPr="007C36DA">
        <w:rPr>
          <w:lang w:val="es-ES"/>
        </w:rPr>
        <w:t>Cuadro 2</w:t>
      </w:r>
    </w:p>
    <w:p w14:paraId="0736F341" w14:textId="093C4FC7" w:rsidR="007C36DA" w:rsidRPr="007C36DA" w:rsidRDefault="007C36DA" w:rsidP="00351D8D">
      <w:pPr>
        <w:pStyle w:val="Tabletitle"/>
        <w:rPr>
          <w:lang w:val="es-ES"/>
        </w:rPr>
      </w:pPr>
      <w:r w:rsidRPr="007C36DA">
        <w:rPr>
          <w:lang w:val="es-ES"/>
        </w:rPr>
        <w:t xml:space="preserve">Marco de posicionamiento </w:t>
      </w:r>
      <w:r w:rsidR="00FC71A9">
        <w:rPr>
          <w:lang w:val="es-ES"/>
        </w:rPr>
        <w:t>"</w:t>
      </w:r>
      <w:r w:rsidRPr="007C36DA">
        <w:rPr>
          <w:lang w:val="es-ES"/>
        </w:rPr>
        <w:t>UnaUIT</w:t>
      </w:r>
      <w:r w:rsidR="00FC71A9">
        <w:rPr>
          <w:lang w:val="es-ES"/>
        </w:rPr>
        <w:t>"</w:t>
      </w:r>
      <w:r w:rsidRPr="007C36DA">
        <w:rPr>
          <w:lang w:val="es-ES"/>
        </w:rPr>
        <w:t>: cinco pilares de valor y temas horizontales</w:t>
      </w:r>
    </w:p>
    <w:p w14:paraId="4BF97932" w14:textId="73B34866" w:rsidR="00962E1E" w:rsidRPr="00962E1E" w:rsidRDefault="00962E1E" w:rsidP="00962E1E">
      <w:pPr>
        <w:pStyle w:val="Figuretitle"/>
        <w:rPr>
          <w:lang w:val="es-ES"/>
        </w:rPr>
      </w:pPr>
      <w:r>
        <w:rPr>
          <w:noProof/>
          <w:lang w:val="es-ES"/>
        </w:rPr>
        <w:drawing>
          <wp:inline distT="0" distB="0" distL="0" distR="0" wp14:anchorId="3514237F" wp14:editId="3FED548F">
            <wp:extent cx="5907600" cy="332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600" cy="3322800"/>
                    </a:xfrm>
                    <a:prstGeom prst="rect">
                      <a:avLst/>
                    </a:prstGeom>
                    <a:noFill/>
                  </pic:spPr>
                </pic:pic>
              </a:graphicData>
            </a:graphic>
          </wp:inline>
        </w:drawing>
      </w:r>
    </w:p>
    <w:p w14:paraId="0D4AF033" w14:textId="77777777" w:rsidR="007C36DA" w:rsidRPr="007C36DA" w:rsidRDefault="007C36DA" w:rsidP="00FC71A9">
      <w:pPr>
        <w:pStyle w:val="Heading2"/>
        <w:rPr>
          <w:lang w:val="es-ES"/>
        </w:rPr>
      </w:pPr>
      <w:r w:rsidRPr="007C36DA">
        <w:rPr>
          <w:lang w:val="es-ES"/>
        </w:rPr>
        <w:t>2.5</w:t>
      </w:r>
      <w:r w:rsidRPr="007C36DA">
        <w:rPr>
          <w:lang w:val="es-ES"/>
        </w:rPr>
        <w:tab/>
        <w:t>Gestión de riesgos</w:t>
      </w:r>
    </w:p>
    <w:p w14:paraId="0EED9425" w14:textId="57382DF0" w:rsidR="007C36DA" w:rsidRPr="007C36DA" w:rsidRDefault="007C36DA" w:rsidP="007C36DA">
      <w:pPr>
        <w:rPr>
          <w:lang w:val="es-ES"/>
        </w:rPr>
      </w:pPr>
      <w:r w:rsidRPr="007C36DA">
        <w:rPr>
          <w:lang w:val="es-ES"/>
        </w:rPr>
        <w:t xml:space="preserve">Dado que la UIT intensifica sus esfuerzos por obtener financiación extrapresupuestaria, cada vez más de entidades que no son miembros de la Unión, es esencial tomar medidas para minimizar los riesgos y proteger la reputación y la neutralidad de la Unión. Para ello, la UIT aplica políticas y procedimientos para gestionar mejor los </w:t>
      </w:r>
      <w:r w:rsidR="00962E1E" w:rsidRPr="007C36DA">
        <w:rPr>
          <w:lang w:val="es-ES"/>
        </w:rPr>
        <w:t>riesgos</w:t>
      </w:r>
      <w:r w:rsidRPr="007C36DA">
        <w:rPr>
          <w:lang w:val="es-ES"/>
        </w:rPr>
        <w:t xml:space="preserve"> relacionados con las asociaciones y la recaudación de fondos, entre las que se cuentan la Orden de Servicio</w:t>
      </w:r>
      <w:r w:rsidR="00351D8D">
        <w:rPr>
          <w:lang w:val="es-ES"/>
        </w:rPr>
        <w:t> </w:t>
      </w:r>
      <w:r w:rsidRPr="007C36DA">
        <w:rPr>
          <w:lang w:val="es-ES"/>
        </w:rPr>
        <w:t>20/03, Directrices de la UIT para el patrocinio de eventos, adoptada en 2020, y la Orden de Servicio</w:t>
      </w:r>
      <w:r w:rsidR="00962E1E">
        <w:rPr>
          <w:lang w:val="es-ES"/>
        </w:rPr>
        <w:t> </w:t>
      </w:r>
      <w:r w:rsidRPr="007C36DA">
        <w:rPr>
          <w:lang w:val="es-ES"/>
        </w:rPr>
        <w:t xml:space="preserve">22/12, Directrices de la UIT sobre diligencia debida para entidades del sector privado no miembros, adoptada a finales de 2022 y que exige al personal de la UIT hacer un examen completo de toda entidad no miembro de la UIT antes de concluir un acuerdo formal. Este procedimiento de diligencia debida responde a las recomendaciones de </w:t>
      </w:r>
      <w:r w:rsidRPr="007C36DA">
        <w:rPr>
          <w:lang w:val="es-ES"/>
        </w:rPr>
        <w:lastRenderedPageBreak/>
        <w:t>los auditores interno y externo y se basa en las prácticas idóneas del sistema de las Naciones Unidas, adaptadas a la situación de la UIT.</w:t>
      </w:r>
    </w:p>
    <w:p w14:paraId="4B590B15" w14:textId="77777777" w:rsidR="007C36DA" w:rsidRPr="007C36DA" w:rsidRDefault="007C36DA" w:rsidP="004F781D">
      <w:pPr>
        <w:pStyle w:val="Heading2"/>
        <w:rPr>
          <w:lang w:val="es-ES"/>
        </w:rPr>
      </w:pPr>
      <w:r w:rsidRPr="007C36DA">
        <w:rPr>
          <w:lang w:val="es-ES"/>
        </w:rPr>
        <w:t>2.6</w:t>
      </w:r>
      <w:r w:rsidRPr="007C36DA">
        <w:rPr>
          <w:lang w:val="es-ES"/>
        </w:rPr>
        <w:tab/>
        <w:t>Posibles estrategias de futuro</w:t>
      </w:r>
    </w:p>
    <w:p w14:paraId="320B14F3" w14:textId="77777777" w:rsidR="007C36DA" w:rsidRPr="007C36DA" w:rsidRDefault="007C36DA" w:rsidP="007C36DA">
      <w:pPr>
        <w:rPr>
          <w:lang w:val="es-ES"/>
        </w:rPr>
      </w:pPr>
      <w:r w:rsidRPr="007C36DA">
        <w:rPr>
          <w:lang w:val="es-ES"/>
        </w:rPr>
        <w:t>En un primer momento se han identificado tres esferas de interés:</w:t>
      </w:r>
    </w:p>
    <w:p w14:paraId="6E2F6C77" w14:textId="24F29D43" w:rsidR="007C36DA" w:rsidRPr="007A221E" w:rsidRDefault="007C36DA" w:rsidP="007A221E">
      <w:pPr>
        <w:pStyle w:val="enumlev1"/>
        <w:rPr>
          <w:b/>
          <w:bCs/>
          <w:lang w:val="es-ES"/>
        </w:rPr>
      </w:pPr>
      <w:r w:rsidRPr="007A221E">
        <w:rPr>
          <w:b/>
          <w:bCs/>
          <w:lang w:val="es-ES"/>
        </w:rPr>
        <w:t>a</w:t>
      </w:r>
      <w:r w:rsidR="004F781D" w:rsidRPr="007A221E">
        <w:rPr>
          <w:b/>
          <w:bCs/>
          <w:lang w:val="es-ES"/>
        </w:rPr>
        <w:t>)</w:t>
      </w:r>
      <w:r w:rsidRPr="007A221E">
        <w:rPr>
          <w:b/>
          <w:bCs/>
          <w:lang w:val="es-ES"/>
        </w:rPr>
        <w:tab/>
        <w:t xml:space="preserve">Fortalecimiento de la oferta a los </w:t>
      </w:r>
      <w:r w:rsidR="00962E1E" w:rsidRPr="007A221E">
        <w:rPr>
          <w:b/>
          <w:bCs/>
          <w:lang w:val="es-ES"/>
        </w:rPr>
        <w:t>m</w:t>
      </w:r>
      <w:r w:rsidRPr="007A221E">
        <w:rPr>
          <w:b/>
          <w:bCs/>
          <w:lang w:val="es-ES"/>
        </w:rPr>
        <w:t>iembros para aumentar su compromiso y sentar las bases para modificar la estructura de las tasas aplicadas a los Miembros de Sector</w:t>
      </w:r>
      <w:r w:rsidR="007A221E">
        <w:rPr>
          <w:b/>
          <w:bCs/>
          <w:lang w:val="es-ES"/>
        </w:rPr>
        <w:t>.</w:t>
      </w:r>
    </w:p>
    <w:p w14:paraId="2C61084B" w14:textId="603020DF" w:rsidR="007C36DA" w:rsidRPr="007C36DA" w:rsidRDefault="007A221E" w:rsidP="007A221E">
      <w:pPr>
        <w:pStyle w:val="enumlev1"/>
        <w:rPr>
          <w:lang w:val="es-ES"/>
        </w:rPr>
      </w:pPr>
      <w:r>
        <w:rPr>
          <w:lang w:val="es-ES"/>
        </w:rPr>
        <w:tab/>
      </w:r>
      <w:r w:rsidR="007C36DA" w:rsidRPr="007C36DA">
        <w:rPr>
          <w:lang w:val="es-ES"/>
        </w:rPr>
        <w:t>Esto comprende:</w:t>
      </w:r>
    </w:p>
    <w:p w14:paraId="2187F0DA" w14:textId="379D134C" w:rsidR="007C36DA" w:rsidRPr="007C36DA" w:rsidRDefault="004F781D" w:rsidP="007A221E">
      <w:pPr>
        <w:pStyle w:val="enumlev2"/>
        <w:rPr>
          <w:lang w:val="es-ES"/>
        </w:rPr>
      </w:pPr>
      <w:r w:rsidRPr="005F72FC">
        <w:rPr>
          <w:lang w:val="es-ES"/>
        </w:rPr>
        <w:t>•</w:t>
      </w:r>
      <w:r>
        <w:rPr>
          <w:lang w:val="es-ES"/>
        </w:rPr>
        <w:tab/>
      </w:r>
      <w:r w:rsidR="00A05A8F">
        <w:rPr>
          <w:lang w:val="es-ES"/>
        </w:rPr>
        <w:t>e</w:t>
      </w:r>
      <w:r w:rsidR="007C36DA" w:rsidRPr="007C36DA">
        <w:rPr>
          <w:lang w:val="es-ES"/>
        </w:rPr>
        <w:t xml:space="preserve">xplorar opciones para intensificar el </w:t>
      </w:r>
      <w:r w:rsidR="00A05A8F" w:rsidRPr="007C36DA">
        <w:rPr>
          <w:lang w:val="es-ES"/>
        </w:rPr>
        <w:t>compromiso</w:t>
      </w:r>
      <w:r w:rsidR="007C36DA" w:rsidRPr="007C36DA">
        <w:rPr>
          <w:lang w:val="es-ES"/>
        </w:rPr>
        <w:t xml:space="preserve"> de los miembros y la proposición de valor;</w:t>
      </w:r>
    </w:p>
    <w:p w14:paraId="772F993C" w14:textId="63C1E5F0" w:rsidR="007C36DA" w:rsidRPr="007C36DA" w:rsidRDefault="004F781D" w:rsidP="007A221E">
      <w:pPr>
        <w:pStyle w:val="enumlev2"/>
        <w:rPr>
          <w:lang w:val="es-ES"/>
        </w:rPr>
      </w:pPr>
      <w:r w:rsidRPr="005F72FC">
        <w:rPr>
          <w:lang w:val="es-ES"/>
        </w:rPr>
        <w:t>•</w:t>
      </w:r>
      <w:r>
        <w:rPr>
          <w:lang w:val="es-ES"/>
        </w:rPr>
        <w:tab/>
      </w:r>
      <w:r w:rsidR="00A05A8F">
        <w:rPr>
          <w:lang w:val="es-ES"/>
        </w:rPr>
        <w:t>a</w:t>
      </w:r>
      <w:r w:rsidR="007C36DA" w:rsidRPr="007C36DA">
        <w:rPr>
          <w:lang w:val="es-ES"/>
        </w:rPr>
        <w:t>plicar nuevas medidas para coordinar mejor la gestión de cuentas y los servicios a los Estados Miembros, Miembros de Sector, donantes, etc.;</w:t>
      </w:r>
    </w:p>
    <w:p w14:paraId="78167BEB" w14:textId="14535C36" w:rsidR="007C36DA" w:rsidRPr="007C36DA" w:rsidRDefault="004F781D" w:rsidP="007A221E">
      <w:pPr>
        <w:pStyle w:val="enumlev2"/>
        <w:rPr>
          <w:lang w:val="es-ES"/>
        </w:rPr>
      </w:pPr>
      <w:r w:rsidRPr="005F72FC">
        <w:rPr>
          <w:lang w:val="es-ES"/>
        </w:rPr>
        <w:t>•</w:t>
      </w:r>
      <w:r>
        <w:rPr>
          <w:lang w:val="es-ES"/>
        </w:rPr>
        <w:tab/>
      </w:r>
      <w:r w:rsidR="00A05A8F">
        <w:rPr>
          <w:lang w:val="es-ES"/>
        </w:rPr>
        <w:t>i</w:t>
      </w:r>
      <w:r w:rsidR="007C36DA" w:rsidRPr="007C36DA">
        <w:rPr>
          <w:lang w:val="es-ES"/>
        </w:rPr>
        <w:t>nvertir en facilitadores internos, incluidos sistemas de TI, capacitación del personal, racionalización y modernización de las normas y procesos financieros y administrativos, etc.;</w:t>
      </w:r>
    </w:p>
    <w:p w14:paraId="119CE095" w14:textId="51907505" w:rsidR="007C36DA" w:rsidRPr="007C36DA" w:rsidRDefault="004F781D" w:rsidP="007A221E">
      <w:pPr>
        <w:pStyle w:val="enumlev2"/>
        <w:rPr>
          <w:lang w:val="es-ES"/>
        </w:rPr>
      </w:pPr>
      <w:r w:rsidRPr="005F72FC">
        <w:rPr>
          <w:lang w:val="es-ES"/>
        </w:rPr>
        <w:t>•</w:t>
      </w:r>
      <w:r>
        <w:rPr>
          <w:lang w:val="es-ES"/>
        </w:rPr>
        <w:tab/>
      </w:r>
      <w:r w:rsidR="00A05A8F">
        <w:rPr>
          <w:lang w:val="es-ES"/>
        </w:rPr>
        <w:t>a</w:t>
      </w:r>
      <w:r w:rsidR="007C36DA" w:rsidRPr="007C36DA">
        <w:rPr>
          <w:lang w:val="es-ES"/>
        </w:rPr>
        <w:t>nimar a los Miembros de Sector a adherirse a múltiples Sectores y a los Asociados a elevar su categoría a Miembro de Sector;</w:t>
      </w:r>
    </w:p>
    <w:p w14:paraId="4A60717F" w14:textId="6F01178E" w:rsidR="007C36DA" w:rsidRPr="007C36DA" w:rsidRDefault="004F781D" w:rsidP="007A221E">
      <w:pPr>
        <w:pStyle w:val="enumlev2"/>
        <w:rPr>
          <w:lang w:val="es-ES"/>
        </w:rPr>
      </w:pPr>
      <w:r w:rsidRPr="005F72FC">
        <w:rPr>
          <w:lang w:val="es-ES"/>
        </w:rPr>
        <w:t>•</w:t>
      </w:r>
      <w:r>
        <w:rPr>
          <w:lang w:val="es-ES"/>
        </w:rPr>
        <w:tab/>
      </w:r>
      <w:r w:rsidR="00A05A8F">
        <w:rPr>
          <w:lang w:val="es-ES"/>
        </w:rPr>
        <w:t>i</w:t>
      </w:r>
      <w:r w:rsidR="007C36DA" w:rsidRPr="007C36DA">
        <w:rPr>
          <w:lang w:val="es-ES"/>
        </w:rPr>
        <w:t>dentificar en los sectores menos representados del ecosistema digital empresas no miembros para que se adhieran a la UIT.</w:t>
      </w:r>
    </w:p>
    <w:p w14:paraId="70EEE5E8" w14:textId="0A87D954" w:rsidR="007C36DA" w:rsidRPr="007C36DA" w:rsidRDefault="007C36DA" w:rsidP="007A221E">
      <w:pPr>
        <w:pStyle w:val="enumlev1"/>
        <w:rPr>
          <w:b/>
          <w:bCs/>
          <w:lang w:val="es-ES"/>
        </w:rPr>
      </w:pPr>
      <w:r w:rsidRPr="007C36DA">
        <w:rPr>
          <w:b/>
          <w:bCs/>
          <w:lang w:val="es-ES"/>
        </w:rPr>
        <w:t>b</w:t>
      </w:r>
      <w:r w:rsidR="005F72FC" w:rsidRPr="007A221E">
        <w:rPr>
          <w:b/>
          <w:bCs/>
          <w:lang w:val="es-ES"/>
        </w:rPr>
        <w:t>)</w:t>
      </w:r>
      <w:r w:rsidRPr="007C36DA">
        <w:rPr>
          <w:b/>
          <w:bCs/>
          <w:lang w:val="es-ES"/>
        </w:rPr>
        <w:tab/>
        <w:t xml:space="preserve">Definir iniciativas temáticas </w:t>
      </w:r>
      <w:r w:rsidR="00FC71A9" w:rsidRPr="007A221E">
        <w:rPr>
          <w:b/>
          <w:bCs/>
          <w:lang w:val="es-ES"/>
        </w:rPr>
        <w:t>"</w:t>
      </w:r>
      <w:r w:rsidRPr="007C36DA">
        <w:rPr>
          <w:b/>
          <w:bCs/>
          <w:lang w:val="es-ES"/>
        </w:rPr>
        <w:t>UnaUIT</w:t>
      </w:r>
      <w:r w:rsidR="00FC71A9" w:rsidRPr="007A221E">
        <w:rPr>
          <w:b/>
          <w:bCs/>
          <w:lang w:val="es-ES"/>
        </w:rPr>
        <w:t>"</w:t>
      </w:r>
      <w:r w:rsidRPr="007C36DA">
        <w:rPr>
          <w:b/>
          <w:bCs/>
          <w:lang w:val="es-ES"/>
        </w:rPr>
        <w:t xml:space="preserve"> complementarias para los </w:t>
      </w:r>
      <w:r w:rsidR="00962E1E" w:rsidRPr="007A221E">
        <w:rPr>
          <w:b/>
          <w:bCs/>
          <w:lang w:val="es-ES"/>
        </w:rPr>
        <w:t>m</w:t>
      </w:r>
      <w:r w:rsidRPr="007C36DA">
        <w:rPr>
          <w:b/>
          <w:bCs/>
          <w:lang w:val="es-ES"/>
        </w:rPr>
        <w:t xml:space="preserve">iembros, formalizando las contribuciones </w:t>
      </w:r>
      <w:r w:rsidR="00FC71A9" w:rsidRPr="007A221E">
        <w:rPr>
          <w:b/>
          <w:bCs/>
          <w:lang w:val="es-ES"/>
        </w:rPr>
        <w:t>"</w:t>
      </w:r>
      <w:r w:rsidRPr="007C36DA">
        <w:rPr>
          <w:b/>
          <w:bCs/>
          <w:lang w:val="es-ES"/>
        </w:rPr>
        <w:t>extrapresupuestarias</w:t>
      </w:r>
      <w:r w:rsidR="00FC71A9" w:rsidRPr="007A221E">
        <w:rPr>
          <w:b/>
          <w:bCs/>
          <w:lang w:val="es-ES"/>
        </w:rPr>
        <w:t>"</w:t>
      </w:r>
      <w:r w:rsidRPr="007C36DA">
        <w:rPr>
          <w:b/>
          <w:bCs/>
          <w:lang w:val="es-ES"/>
        </w:rPr>
        <w:t xml:space="preserve"> con compromisos multianuales</w:t>
      </w:r>
      <w:r w:rsidR="007A221E">
        <w:rPr>
          <w:b/>
          <w:bCs/>
          <w:lang w:val="es-ES"/>
        </w:rPr>
        <w:t>.</w:t>
      </w:r>
    </w:p>
    <w:p w14:paraId="17F6EE25" w14:textId="24D8FCDA" w:rsidR="007C36DA" w:rsidRPr="007C36DA" w:rsidRDefault="007A221E" w:rsidP="007A221E">
      <w:pPr>
        <w:pStyle w:val="enumlev1"/>
        <w:rPr>
          <w:lang w:val="es-ES"/>
        </w:rPr>
      </w:pPr>
      <w:r>
        <w:rPr>
          <w:lang w:val="es-ES"/>
        </w:rPr>
        <w:tab/>
      </w:r>
      <w:r w:rsidR="007C36DA" w:rsidRPr="007C36DA">
        <w:rPr>
          <w:lang w:val="es-ES"/>
        </w:rPr>
        <w:t>Esto incluye:</w:t>
      </w:r>
    </w:p>
    <w:p w14:paraId="771AB477" w14:textId="0045346E" w:rsidR="007C36DA" w:rsidRPr="007C36DA" w:rsidRDefault="005F72FC" w:rsidP="007A221E">
      <w:pPr>
        <w:pStyle w:val="enumlev2"/>
        <w:rPr>
          <w:lang w:val="es-ES"/>
        </w:rPr>
      </w:pPr>
      <w:r w:rsidRPr="005F72FC">
        <w:rPr>
          <w:lang w:val="es-ES"/>
        </w:rPr>
        <w:t>•</w:t>
      </w:r>
      <w:r>
        <w:rPr>
          <w:lang w:val="es-ES"/>
        </w:rPr>
        <w:tab/>
      </w:r>
      <w:r w:rsidR="00962E1E">
        <w:rPr>
          <w:lang w:val="es-ES"/>
        </w:rPr>
        <w:t>d</w:t>
      </w:r>
      <w:r w:rsidR="007C36DA" w:rsidRPr="007C36DA">
        <w:rPr>
          <w:lang w:val="es-ES"/>
        </w:rPr>
        <w:t xml:space="preserve">efinir y promover iniciativas temáticas </w:t>
      </w:r>
      <w:r w:rsidR="00FC71A9">
        <w:rPr>
          <w:lang w:val="es-ES"/>
        </w:rPr>
        <w:t>"</w:t>
      </w:r>
      <w:r w:rsidR="007C36DA" w:rsidRPr="007C36DA">
        <w:rPr>
          <w:lang w:val="es-ES"/>
        </w:rPr>
        <w:t>UnaUIT</w:t>
      </w:r>
      <w:r w:rsidR="00FC71A9">
        <w:rPr>
          <w:lang w:val="es-ES"/>
        </w:rPr>
        <w:t>"</w:t>
      </w:r>
      <w:r w:rsidR="007C36DA" w:rsidRPr="007C36DA">
        <w:rPr>
          <w:lang w:val="es-ES"/>
        </w:rPr>
        <w:t xml:space="preserve"> para complementar las actividades financiadas con el presupuesto ordinario;</w:t>
      </w:r>
    </w:p>
    <w:p w14:paraId="568A2DD1" w14:textId="2A714B86" w:rsidR="007C36DA" w:rsidRPr="007C36DA" w:rsidRDefault="005F72FC" w:rsidP="007A221E">
      <w:pPr>
        <w:pStyle w:val="enumlev2"/>
        <w:rPr>
          <w:lang w:val="es-ES"/>
        </w:rPr>
      </w:pPr>
      <w:r w:rsidRPr="005F72FC">
        <w:rPr>
          <w:lang w:val="es-ES"/>
        </w:rPr>
        <w:t>•</w:t>
      </w:r>
      <w:r>
        <w:rPr>
          <w:lang w:val="es-ES"/>
        </w:rPr>
        <w:tab/>
      </w:r>
      <w:r w:rsidR="00962E1E">
        <w:rPr>
          <w:lang w:val="es-ES"/>
        </w:rPr>
        <w:t>i</w:t>
      </w:r>
      <w:r w:rsidR="007C36DA" w:rsidRPr="007C36DA">
        <w:rPr>
          <w:lang w:val="es-ES"/>
        </w:rPr>
        <w:t xml:space="preserve">ntensificar la coordinación de la divulgación </w:t>
      </w:r>
      <w:r w:rsidR="00FC71A9">
        <w:rPr>
          <w:lang w:val="es-ES"/>
        </w:rPr>
        <w:t>"</w:t>
      </w:r>
      <w:r w:rsidR="007C36DA" w:rsidRPr="007C36DA">
        <w:rPr>
          <w:lang w:val="es-ES"/>
        </w:rPr>
        <w:t>UnaUIT</w:t>
      </w:r>
      <w:r w:rsidR="00FC71A9">
        <w:rPr>
          <w:lang w:val="es-ES"/>
        </w:rPr>
        <w:t>"</w:t>
      </w:r>
      <w:r w:rsidR="007C36DA" w:rsidRPr="007C36DA">
        <w:rPr>
          <w:lang w:val="es-ES"/>
        </w:rPr>
        <w:t xml:space="preserve"> con los Miembros, socios y donantes;</w:t>
      </w:r>
    </w:p>
    <w:p w14:paraId="0E0C9D0C" w14:textId="79F8FFCD" w:rsidR="007C36DA" w:rsidRPr="007C36DA" w:rsidRDefault="005F72FC" w:rsidP="007A221E">
      <w:pPr>
        <w:pStyle w:val="enumlev2"/>
        <w:rPr>
          <w:lang w:val="es-ES"/>
        </w:rPr>
      </w:pPr>
      <w:r w:rsidRPr="005F72FC">
        <w:rPr>
          <w:lang w:val="es-ES"/>
        </w:rPr>
        <w:t>•</w:t>
      </w:r>
      <w:r>
        <w:rPr>
          <w:lang w:val="es-ES"/>
        </w:rPr>
        <w:tab/>
      </w:r>
      <w:r w:rsidR="00962E1E">
        <w:rPr>
          <w:lang w:val="es-ES"/>
        </w:rPr>
        <w:t>r</w:t>
      </w:r>
      <w:r w:rsidR="007C36DA" w:rsidRPr="007C36DA">
        <w:rPr>
          <w:lang w:val="es-ES"/>
        </w:rPr>
        <w:t>eforzar la capacidad de ejecución de proyectos.</w:t>
      </w:r>
    </w:p>
    <w:p w14:paraId="14F17AFA" w14:textId="735DD233" w:rsidR="007C36DA" w:rsidRPr="007A221E" w:rsidRDefault="007C36DA" w:rsidP="007A221E">
      <w:pPr>
        <w:pStyle w:val="enumlev1"/>
        <w:rPr>
          <w:b/>
          <w:bCs/>
          <w:lang w:val="es-ES"/>
        </w:rPr>
      </w:pPr>
      <w:r w:rsidRPr="007A221E">
        <w:rPr>
          <w:b/>
          <w:bCs/>
          <w:lang w:val="es-ES"/>
        </w:rPr>
        <w:t>c</w:t>
      </w:r>
      <w:r w:rsidR="005F72FC" w:rsidRPr="007A221E">
        <w:rPr>
          <w:b/>
          <w:bCs/>
          <w:lang w:val="es-ES"/>
        </w:rPr>
        <w:t>)</w:t>
      </w:r>
      <w:r w:rsidRPr="007A221E">
        <w:rPr>
          <w:b/>
          <w:bCs/>
          <w:lang w:val="es-ES"/>
        </w:rPr>
        <w:tab/>
        <w:t>Aprovechar ofertas autónomas para captar y sacar provecho al valor y la influencia</w:t>
      </w:r>
      <w:r w:rsidR="007A221E">
        <w:rPr>
          <w:b/>
          <w:bCs/>
          <w:lang w:val="es-ES"/>
        </w:rPr>
        <w:t>.</w:t>
      </w:r>
    </w:p>
    <w:p w14:paraId="0F078358" w14:textId="663F8CD4" w:rsidR="007C36DA" w:rsidRPr="007C36DA" w:rsidRDefault="007A221E" w:rsidP="007A221E">
      <w:pPr>
        <w:pStyle w:val="enumlev1"/>
        <w:rPr>
          <w:lang w:val="es-ES"/>
        </w:rPr>
      </w:pPr>
      <w:r>
        <w:rPr>
          <w:lang w:val="es-ES"/>
        </w:rPr>
        <w:tab/>
      </w:r>
      <w:r w:rsidR="007C36DA" w:rsidRPr="007C36DA">
        <w:rPr>
          <w:lang w:val="es-ES"/>
        </w:rPr>
        <w:t>Esto implica:</w:t>
      </w:r>
    </w:p>
    <w:p w14:paraId="2E467520" w14:textId="3697EED5" w:rsidR="007C36DA" w:rsidRPr="007C36DA" w:rsidRDefault="005F72FC" w:rsidP="007A221E">
      <w:pPr>
        <w:pStyle w:val="enumlev2"/>
        <w:rPr>
          <w:lang w:val="es-ES"/>
        </w:rPr>
      </w:pPr>
      <w:r w:rsidRPr="005F72FC">
        <w:rPr>
          <w:lang w:val="es-ES"/>
        </w:rPr>
        <w:t>•</w:t>
      </w:r>
      <w:r>
        <w:rPr>
          <w:lang w:val="es-ES"/>
        </w:rPr>
        <w:tab/>
      </w:r>
      <w:r w:rsidR="00962E1E">
        <w:rPr>
          <w:lang w:val="es-ES"/>
        </w:rPr>
        <w:t>a</w:t>
      </w:r>
      <w:r w:rsidR="007C36DA" w:rsidRPr="007C36DA">
        <w:rPr>
          <w:lang w:val="es-ES"/>
        </w:rPr>
        <w:t xml:space="preserve">provechar los principales eventos de la UIT, que han creado comunidades con </w:t>
      </w:r>
      <w:r w:rsidR="00A05A8F" w:rsidRPr="007C36DA">
        <w:rPr>
          <w:lang w:val="es-ES"/>
        </w:rPr>
        <w:t>intereses</w:t>
      </w:r>
      <w:r w:rsidR="007C36DA" w:rsidRPr="007C36DA">
        <w:rPr>
          <w:lang w:val="es-ES"/>
        </w:rPr>
        <w:t xml:space="preserve"> comunes entre los Miembros y los socios, para elaborar una proposición de valor más completa y con mayor repercusión;</w:t>
      </w:r>
    </w:p>
    <w:p w14:paraId="60082244" w14:textId="39ECE123" w:rsidR="007C36DA" w:rsidRPr="007C36DA" w:rsidRDefault="005F72FC" w:rsidP="007A221E">
      <w:pPr>
        <w:pStyle w:val="enumlev2"/>
        <w:rPr>
          <w:lang w:val="es-ES"/>
        </w:rPr>
      </w:pPr>
      <w:r w:rsidRPr="005F72FC">
        <w:rPr>
          <w:lang w:val="es-ES"/>
        </w:rPr>
        <w:t>•</w:t>
      </w:r>
      <w:r>
        <w:rPr>
          <w:lang w:val="es-ES"/>
        </w:rPr>
        <w:tab/>
      </w:r>
      <w:r w:rsidR="00962E1E">
        <w:rPr>
          <w:lang w:val="es-ES"/>
        </w:rPr>
        <w:t>e</w:t>
      </w:r>
      <w:r w:rsidR="007C36DA" w:rsidRPr="007C36DA">
        <w:rPr>
          <w:lang w:val="es-ES"/>
        </w:rPr>
        <w:t>xaminar la cartera de productos y servicios de la UIT en su integridad para detectar posibles aumentos de los ingresos procedentes de los Miembros de Sector;</w:t>
      </w:r>
    </w:p>
    <w:p w14:paraId="33177C25" w14:textId="09AB94B2" w:rsidR="007C36DA" w:rsidRPr="007C36DA" w:rsidRDefault="005F72FC" w:rsidP="007A221E">
      <w:pPr>
        <w:pStyle w:val="enumlev2"/>
        <w:rPr>
          <w:lang w:val="es-ES"/>
        </w:rPr>
      </w:pPr>
      <w:r w:rsidRPr="005F72FC">
        <w:rPr>
          <w:lang w:val="es-ES"/>
        </w:rPr>
        <w:t>•</w:t>
      </w:r>
      <w:r>
        <w:rPr>
          <w:lang w:val="es-ES"/>
        </w:rPr>
        <w:tab/>
      </w:r>
      <w:r w:rsidR="00962E1E">
        <w:rPr>
          <w:lang w:val="es-ES"/>
        </w:rPr>
        <w:t>e</w:t>
      </w:r>
      <w:r w:rsidR="007C36DA" w:rsidRPr="007C36DA">
        <w:rPr>
          <w:lang w:val="es-ES"/>
        </w:rPr>
        <w:t xml:space="preserve">studiar la posibilidad de aumentar los umbrales mínimos de patrocinio/contribución voluntaria en una </w:t>
      </w:r>
      <w:r w:rsidR="00962E1E">
        <w:rPr>
          <w:lang w:val="es-ES"/>
        </w:rPr>
        <w:t>o</w:t>
      </w:r>
      <w:r w:rsidR="007C36DA" w:rsidRPr="007C36DA">
        <w:rPr>
          <w:lang w:val="es-ES"/>
        </w:rPr>
        <w:t xml:space="preserve">rden de </w:t>
      </w:r>
      <w:r w:rsidR="00962E1E">
        <w:rPr>
          <w:lang w:val="es-ES"/>
        </w:rPr>
        <w:t>s</w:t>
      </w:r>
      <w:r w:rsidR="007C36DA" w:rsidRPr="007C36DA">
        <w:rPr>
          <w:lang w:val="es-ES"/>
        </w:rPr>
        <w:t>ervicio a fin de reflejar el coste de adquisición administrativo/de personal interno.</w:t>
      </w:r>
    </w:p>
    <w:p w14:paraId="2702716F" w14:textId="02787549" w:rsidR="007C36DA" w:rsidRPr="007C36DA" w:rsidRDefault="007C36DA" w:rsidP="005F72FC">
      <w:pPr>
        <w:pStyle w:val="Heading1"/>
        <w:rPr>
          <w:lang w:val="es-ES"/>
        </w:rPr>
      </w:pPr>
      <w:r w:rsidRPr="007C36DA">
        <w:rPr>
          <w:lang w:val="es-ES"/>
        </w:rPr>
        <w:lastRenderedPageBreak/>
        <w:t>3</w:t>
      </w:r>
      <w:r w:rsidRPr="007C36DA">
        <w:rPr>
          <w:lang w:val="es-ES"/>
        </w:rPr>
        <w:tab/>
      </w:r>
      <w:r w:rsidR="00962E1E" w:rsidRPr="007C36DA">
        <w:rPr>
          <w:lang w:val="es-ES"/>
        </w:rPr>
        <w:t xml:space="preserve">Próximas </w:t>
      </w:r>
      <w:r w:rsidRPr="007C36DA">
        <w:rPr>
          <w:lang w:val="es-ES"/>
        </w:rPr>
        <w:t>fases y acciones previstas por la Secretaría</w:t>
      </w:r>
    </w:p>
    <w:p w14:paraId="23C66892" w14:textId="77777777" w:rsidR="007C36DA" w:rsidRPr="007C36DA" w:rsidRDefault="007C36DA" w:rsidP="007C36DA">
      <w:pPr>
        <w:rPr>
          <w:lang w:val="es-ES"/>
        </w:rPr>
      </w:pPr>
      <w:r w:rsidRPr="007C36DA">
        <w:rPr>
          <w:lang w:val="es-ES"/>
        </w:rPr>
        <w:t>Se invita al Consejo a tomar nota de este documento. A partir de las informaciones que reciba del Consejo, la Secretaría actualizará/perfilará el proyecto de estrategia de movilización de recursos a nivel de toda la UIT aquí presentado. Se insta a todos los participantes en el Consejo a dirigirse a la Secretaría de la UIT a nivel bilateral para comunicarle sus opiniones y sugerencias.</w:t>
      </w:r>
    </w:p>
    <w:p w14:paraId="0DA67A31" w14:textId="72FB8090" w:rsidR="007C36DA" w:rsidRPr="007C36DA" w:rsidRDefault="007C36DA" w:rsidP="007C36DA">
      <w:pPr>
        <w:rPr>
          <w:lang w:val="es-ES"/>
        </w:rPr>
      </w:pPr>
      <w:r w:rsidRPr="007C36DA">
        <w:rPr>
          <w:lang w:val="es-ES"/>
        </w:rPr>
        <w:t xml:space="preserve">En un primer momento, la Secretaría ha creado un Grupo Especial sobre la implementación de </w:t>
      </w:r>
      <w:r w:rsidR="005F72FC">
        <w:rPr>
          <w:lang w:val="es-ES"/>
        </w:rPr>
        <w:t>"</w:t>
      </w:r>
      <w:r w:rsidRPr="007C36DA">
        <w:rPr>
          <w:lang w:val="es-ES"/>
        </w:rPr>
        <w:t>UnaUIT</w:t>
      </w:r>
      <w:r w:rsidR="005F72FC">
        <w:rPr>
          <w:lang w:val="es-ES"/>
        </w:rPr>
        <w:t>"</w:t>
      </w:r>
      <w:r w:rsidRPr="007C36DA">
        <w:rPr>
          <w:lang w:val="es-ES"/>
        </w:rPr>
        <w:t xml:space="preserve"> a fin de evaluar, coordinar y estudiar la implementación piloto inicial de la estrategia de movilización de recursos. Se presentará información actualizada sobre la estrategia de movilización de recursos definitiva y su aplicación a la reunión de 2024 del Consejo.</w:t>
      </w:r>
    </w:p>
    <w:p w14:paraId="0F287138" w14:textId="77777777" w:rsidR="007C36DA" w:rsidRPr="007C36DA" w:rsidRDefault="007C36DA" w:rsidP="007876ED">
      <w:pPr>
        <w:spacing w:before="1200"/>
        <w:rPr>
          <w:i/>
          <w:iCs/>
          <w:lang w:val="es-ES"/>
        </w:rPr>
      </w:pPr>
      <w:r w:rsidRPr="007C36DA">
        <w:rPr>
          <w:i/>
          <w:iCs/>
          <w:lang w:val="es-ES"/>
        </w:rPr>
        <w:t xml:space="preserve">Anexos: </w:t>
      </w:r>
      <w:r w:rsidRPr="007C36DA">
        <w:rPr>
          <w:b/>
          <w:bCs/>
          <w:i/>
          <w:iCs/>
          <w:lang w:val="es-ES"/>
        </w:rPr>
        <w:t>2</w:t>
      </w:r>
    </w:p>
    <w:p w14:paraId="1D8C3A7A" w14:textId="77777777" w:rsidR="007C36DA" w:rsidRPr="007C36DA" w:rsidRDefault="007C36DA" w:rsidP="00FC71A9">
      <w:pPr>
        <w:rPr>
          <w:lang w:val="en-GB"/>
        </w:rPr>
      </w:pPr>
      <w:r w:rsidRPr="007C36DA">
        <w:rPr>
          <w:lang w:val="en-GB"/>
        </w:rPr>
        <w:br w:type="page"/>
      </w:r>
    </w:p>
    <w:p w14:paraId="27AC1896" w14:textId="121417EE" w:rsidR="007C36DA" w:rsidRPr="007C36DA" w:rsidRDefault="007C36DA" w:rsidP="005F72FC">
      <w:pPr>
        <w:pStyle w:val="AnnexNo"/>
        <w:rPr>
          <w:lang w:val="en-GB"/>
        </w:rPr>
      </w:pPr>
      <w:bookmarkStart w:id="2" w:name="Annex_1"/>
      <w:r w:rsidRPr="007C36DA">
        <w:rPr>
          <w:lang w:val="en-GB"/>
        </w:rPr>
        <w:lastRenderedPageBreak/>
        <w:t>Anex</w:t>
      </w:r>
      <w:r w:rsidR="005F72FC">
        <w:rPr>
          <w:lang w:val="en-GB"/>
        </w:rPr>
        <w:t>o</w:t>
      </w:r>
      <w:r w:rsidRPr="007C36DA">
        <w:rPr>
          <w:lang w:val="en-GB"/>
        </w:rPr>
        <w:t xml:space="preserve"> 1</w:t>
      </w:r>
      <w:bookmarkEnd w:id="2"/>
    </w:p>
    <w:p w14:paraId="10380A29" w14:textId="77777777" w:rsidR="007C36DA" w:rsidRPr="00492B99" w:rsidRDefault="007C36DA" w:rsidP="005F72FC">
      <w:pPr>
        <w:pStyle w:val="Annextitle"/>
        <w:rPr>
          <w:u w:val="single"/>
          <w:lang w:val="es-ES"/>
        </w:rPr>
      </w:pPr>
      <w:r w:rsidRPr="00492B99">
        <w:rPr>
          <w:u w:val="single"/>
          <w:lang w:val="es-ES"/>
        </w:rPr>
        <w:t>Principales donantes en 2022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221"/>
        <w:gridCol w:w="1890"/>
        <w:gridCol w:w="1950"/>
      </w:tblGrid>
      <w:tr w:rsidR="007C36DA" w:rsidRPr="005F72FC" w14:paraId="4D7E3769" w14:textId="77777777" w:rsidTr="007876ED">
        <w:tc>
          <w:tcPr>
            <w:tcW w:w="5221" w:type="dxa"/>
          </w:tcPr>
          <w:p w14:paraId="5161FDC8" w14:textId="77777777" w:rsidR="007C36DA" w:rsidRPr="00492B99" w:rsidRDefault="007C36DA" w:rsidP="005F72FC">
            <w:pPr>
              <w:pStyle w:val="Tablehead"/>
              <w:rPr>
                <w:u w:val="single"/>
                <w:lang w:val="es-ES"/>
              </w:rPr>
            </w:pPr>
            <w:r w:rsidRPr="00492B99">
              <w:rPr>
                <w:u w:val="single"/>
                <w:lang w:val="es-ES"/>
              </w:rPr>
              <w:t>Organización</w:t>
            </w:r>
          </w:p>
        </w:tc>
        <w:tc>
          <w:tcPr>
            <w:tcW w:w="1890" w:type="dxa"/>
          </w:tcPr>
          <w:p w14:paraId="3751CB62" w14:textId="3FBC77B0" w:rsidR="007C36DA" w:rsidRPr="00492B99" w:rsidRDefault="005F72FC" w:rsidP="005F72FC">
            <w:pPr>
              <w:pStyle w:val="Tablehead"/>
              <w:rPr>
                <w:u w:val="single"/>
                <w:lang w:val="es-ES"/>
              </w:rPr>
            </w:pPr>
            <w:r w:rsidRPr="00492B99">
              <w:rPr>
                <w:u w:val="single"/>
                <w:lang w:val="es-ES"/>
              </w:rPr>
              <w:t>País</w:t>
            </w:r>
          </w:p>
        </w:tc>
        <w:tc>
          <w:tcPr>
            <w:tcW w:w="1950" w:type="dxa"/>
          </w:tcPr>
          <w:p w14:paraId="57F42D64" w14:textId="77777777" w:rsidR="007C36DA" w:rsidRPr="00492B99" w:rsidRDefault="007C36DA" w:rsidP="005F72FC">
            <w:pPr>
              <w:pStyle w:val="Tablehead"/>
              <w:rPr>
                <w:u w:val="single"/>
                <w:lang w:val="es-ES"/>
              </w:rPr>
            </w:pPr>
            <w:r w:rsidRPr="00492B99">
              <w:rPr>
                <w:u w:val="single"/>
                <w:lang w:val="es-ES"/>
              </w:rPr>
              <w:t>Importe (CHF)</w:t>
            </w:r>
          </w:p>
        </w:tc>
      </w:tr>
      <w:tr w:rsidR="007C36DA" w:rsidRPr="007C36DA" w14:paraId="05528844" w14:textId="77777777" w:rsidTr="007876ED">
        <w:tc>
          <w:tcPr>
            <w:tcW w:w="5221" w:type="dxa"/>
          </w:tcPr>
          <w:p w14:paraId="7E208810" w14:textId="77777777" w:rsidR="007C36DA" w:rsidRPr="007C36DA" w:rsidRDefault="007C36DA" w:rsidP="005F72FC">
            <w:pPr>
              <w:pStyle w:val="Tabletext"/>
              <w:rPr>
                <w:lang w:val="es-ES"/>
              </w:rPr>
            </w:pPr>
            <w:r w:rsidRPr="007C36DA">
              <w:rPr>
                <w:lang w:val="es-ES"/>
              </w:rPr>
              <w:t>Departamento Federal de Asuntos Exteriores</w:t>
            </w:r>
          </w:p>
        </w:tc>
        <w:tc>
          <w:tcPr>
            <w:tcW w:w="1890" w:type="dxa"/>
          </w:tcPr>
          <w:p w14:paraId="4110D49C" w14:textId="77777777" w:rsidR="007C36DA" w:rsidRPr="007C36DA" w:rsidRDefault="007C36DA" w:rsidP="007876ED">
            <w:pPr>
              <w:pStyle w:val="Tabletext"/>
              <w:jc w:val="center"/>
              <w:rPr>
                <w:lang w:val="es-ES"/>
              </w:rPr>
            </w:pPr>
            <w:r w:rsidRPr="007C36DA">
              <w:rPr>
                <w:lang w:val="es-ES"/>
              </w:rPr>
              <w:t>Suiza</w:t>
            </w:r>
          </w:p>
        </w:tc>
        <w:tc>
          <w:tcPr>
            <w:tcW w:w="1950" w:type="dxa"/>
          </w:tcPr>
          <w:p w14:paraId="3DB935D2" w14:textId="77777777" w:rsidR="007C36DA" w:rsidRPr="007C36DA" w:rsidRDefault="007C36DA" w:rsidP="007876ED">
            <w:pPr>
              <w:pStyle w:val="Tabletext"/>
              <w:jc w:val="center"/>
              <w:rPr>
                <w:lang w:val="es-ES"/>
              </w:rPr>
            </w:pPr>
            <w:r w:rsidRPr="007C36DA">
              <w:rPr>
                <w:lang w:val="es-ES"/>
              </w:rPr>
              <w:t>1 020 000</w:t>
            </w:r>
          </w:p>
        </w:tc>
      </w:tr>
      <w:tr w:rsidR="007C36DA" w:rsidRPr="007C36DA" w14:paraId="7D76B735" w14:textId="77777777" w:rsidTr="007876ED">
        <w:tc>
          <w:tcPr>
            <w:tcW w:w="5221" w:type="dxa"/>
          </w:tcPr>
          <w:p w14:paraId="4A425D69" w14:textId="77777777" w:rsidR="007C36DA" w:rsidRPr="007C36DA" w:rsidRDefault="007C36DA" w:rsidP="005F72FC">
            <w:pPr>
              <w:pStyle w:val="Tabletext"/>
              <w:rPr>
                <w:lang w:val="es-ES"/>
              </w:rPr>
            </w:pPr>
            <w:r w:rsidRPr="007C36DA">
              <w:rPr>
                <w:lang w:val="es-ES"/>
              </w:rPr>
              <w:t>Ministerio de Industria y Tecnología de la Información</w:t>
            </w:r>
          </w:p>
        </w:tc>
        <w:tc>
          <w:tcPr>
            <w:tcW w:w="1890" w:type="dxa"/>
          </w:tcPr>
          <w:p w14:paraId="6F0674A3" w14:textId="77777777" w:rsidR="007C36DA" w:rsidRPr="007C36DA" w:rsidRDefault="007C36DA" w:rsidP="007876ED">
            <w:pPr>
              <w:pStyle w:val="Tabletext"/>
              <w:jc w:val="center"/>
              <w:rPr>
                <w:lang w:val="es-ES"/>
              </w:rPr>
            </w:pPr>
            <w:r w:rsidRPr="007C36DA">
              <w:rPr>
                <w:lang w:val="es-ES"/>
              </w:rPr>
              <w:t>China</w:t>
            </w:r>
          </w:p>
        </w:tc>
        <w:tc>
          <w:tcPr>
            <w:tcW w:w="1950" w:type="dxa"/>
          </w:tcPr>
          <w:p w14:paraId="65B575D7" w14:textId="77777777" w:rsidR="007C36DA" w:rsidRPr="007C36DA" w:rsidRDefault="007C36DA" w:rsidP="007876ED">
            <w:pPr>
              <w:pStyle w:val="Tabletext"/>
              <w:jc w:val="center"/>
              <w:rPr>
                <w:lang w:val="es-ES"/>
              </w:rPr>
            </w:pPr>
            <w:r w:rsidRPr="007C36DA">
              <w:rPr>
                <w:lang w:val="es-ES"/>
              </w:rPr>
              <w:t>985 924</w:t>
            </w:r>
          </w:p>
        </w:tc>
      </w:tr>
      <w:tr w:rsidR="007C36DA" w:rsidRPr="007C36DA" w14:paraId="2F25A6A5" w14:textId="77777777" w:rsidTr="007876ED">
        <w:tc>
          <w:tcPr>
            <w:tcW w:w="5221" w:type="dxa"/>
          </w:tcPr>
          <w:p w14:paraId="4E5F60FE" w14:textId="77777777" w:rsidR="007C36DA" w:rsidRPr="007C36DA" w:rsidRDefault="007C36DA" w:rsidP="005F72FC">
            <w:pPr>
              <w:pStyle w:val="Tabletext"/>
              <w:rPr>
                <w:lang w:val="es-ES"/>
              </w:rPr>
            </w:pPr>
            <w:r w:rsidRPr="007C36DA">
              <w:rPr>
                <w:lang w:val="es-ES"/>
              </w:rPr>
              <w:t>Agencia de Cooperación para el Desarrollo de Noruega</w:t>
            </w:r>
          </w:p>
        </w:tc>
        <w:tc>
          <w:tcPr>
            <w:tcW w:w="1890" w:type="dxa"/>
          </w:tcPr>
          <w:p w14:paraId="3C18CA1D" w14:textId="77777777" w:rsidR="007C36DA" w:rsidRPr="007C36DA" w:rsidRDefault="007C36DA" w:rsidP="007876ED">
            <w:pPr>
              <w:pStyle w:val="Tabletext"/>
              <w:jc w:val="center"/>
              <w:rPr>
                <w:lang w:val="es-ES"/>
              </w:rPr>
            </w:pPr>
            <w:r w:rsidRPr="007C36DA">
              <w:rPr>
                <w:lang w:val="es-ES"/>
              </w:rPr>
              <w:t>Noruega</w:t>
            </w:r>
          </w:p>
        </w:tc>
        <w:tc>
          <w:tcPr>
            <w:tcW w:w="1950" w:type="dxa"/>
          </w:tcPr>
          <w:p w14:paraId="1E0E8C36" w14:textId="77777777" w:rsidR="007C36DA" w:rsidRPr="007C36DA" w:rsidRDefault="007C36DA" w:rsidP="007876ED">
            <w:pPr>
              <w:pStyle w:val="Tabletext"/>
              <w:jc w:val="center"/>
              <w:rPr>
                <w:lang w:val="es-ES"/>
              </w:rPr>
            </w:pPr>
            <w:r w:rsidRPr="007C36DA">
              <w:rPr>
                <w:lang w:val="es-ES"/>
              </w:rPr>
              <w:t>932 498</w:t>
            </w:r>
          </w:p>
        </w:tc>
      </w:tr>
      <w:tr w:rsidR="007C36DA" w:rsidRPr="007C36DA" w14:paraId="4B875514" w14:textId="77777777" w:rsidTr="007876ED">
        <w:tc>
          <w:tcPr>
            <w:tcW w:w="5221" w:type="dxa"/>
          </w:tcPr>
          <w:p w14:paraId="5276D62A" w14:textId="42C60730" w:rsidR="007C36DA" w:rsidRPr="007C36DA" w:rsidRDefault="007C36DA" w:rsidP="005F72FC">
            <w:pPr>
              <w:pStyle w:val="Tabletext"/>
              <w:rPr>
                <w:lang w:val="es-ES"/>
              </w:rPr>
            </w:pPr>
            <w:r w:rsidRPr="007C36DA">
              <w:rPr>
                <w:lang w:val="es-ES"/>
              </w:rPr>
              <w:t>Ministerio del Interior y Comunicaciones</w:t>
            </w:r>
          </w:p>
        </w:tc>
        <w:tc>
          <w:tcPr>
            <w:tcW w:w="1890" w:type="dxa"/>
          </w:tcPr>
          <w:p w14:paraId="3402FB60" w14:textId="77777777" w:rsidR="007C36DA" w:rsidRPr="007C36DA" w:rsidRDefault="007C36DA" w:rsidP="007876ED">
            <w:pPr>
              <w:pStyle w:val="Tabletext"/>
              <w:jc w:val="center"/>
              <w:rPr>
                <w:lang w:val="es-ES"/>
              </w:rPr>
            </w:pPr>
            <w:r w:rsidRPr="007C36DA">
              <w:rPr>
                <w:lang w:val="es-ES"/>
              </w:rPr>
              <w:t>Japón</w:t>
            </w:r>
          </w:p>
        </w:tc>
        <w:tc>
          <w:tcPr>
            <w:tcW w:w="1950" w:type="dxa"/>
          </w:tcPr>
          <w:p w14:paraId="71725DD9" w14:textId="77777777" w:rsidR="007C36DA" w:rsidRPr="007C36DA" w:rsidRDefault="007C36DA" w:rsidP="007876ED">
            <w:pPr>
              <w:pStyle w:val="Tabletext"/>
              <w:jc w:val="center"/>
              <w:rPr>
                <w:lang w:val="es-ES"/>
              </w:rPr>
            </w:pPr>
            <w:r w:rsidRPr="007C36DA">
              <w:rPr>
                <w:lang w:val="es-ES"/>
              </w:rPr>
              <w:t>833 170</w:t>
            </w:r>
          </w:p>
        </w:tc>
      </w:tr>
      <w:tr w:rsidR="007C36DA" w:rsidRPr="007C36DA" w14:paraId="4A2C0802" w14:textId="77777777" w:rsidTr="007876ED">
        <w:tc>
          <w:tcPr>
            <w:tcW w:w="5221" w:type="dxa"/>
          </w:tcPr>
          <w:p w14:paraId="21D7B4DD" w14:textId="77777777" w:rsidR="007C36DA" w:rsidRPr="007C36DA" w:rsidRDefault="007C36DA" w:rsidP="005F72FC">
            <w:pPr>
              <w:pStyle w:val="Tabletext"/>
              <w:rPr>
                <w:lang w:val="es-ES"/>
              </w:rPr>
            </w:pPr>
            <w:r w:rsidRPr="007C36DA">
              <w:rPr>
                <w:lang w:val="es-ES"/>
              </w:rPr>
              <w:t>Departamento de Asuntos Exteriores y Comercio</w:t>
            </w:r>
          </w:p>
        </w:tc>
        <w:tc>
          <w:tcPr>
            <w:tcW w:w="1890" w:type="dxa"/>
          </w:tcPr>
          <w:p w14:paraId="6B423888" w14:textId="77777777" w:rsidR="007C36DA" w:rsidRPr="007C36DA" w:rsidRDefault="007C36DA" w:rsidP="007876ED">
            <w:pPr>
              <w:pStyle w:val="Tabletext"/>
              <w:jc w:val="center"/>
              <w:rPr>
                <w:lang w:val="es-ES"/>
              </w:rPr>
            </w:pPr>
            <w:r w:rsidRPr="007C36DA">
              <w:rPr>
                <w:lang w:val="es-ES"/>
              </w:rPr>
              <w:t>Australia</w:t>
            </w:r>
          </w:p>
        </w:tc>
        <w:tc>
          <w:tcPr>
            <w:tcW w:w="1950" w:type="dxa"/>
          </w:tcPr>
          <w:p w14:paraId="667FA6BA" w14:textId="77777777" w:rsidR="007C36DA" w:rsidRPr="007C36DA" w:rsidRDefault="007C36DA" w:rsidP="007876ED">
            <w:pPr>
              <w:pStyle w:val="Tabletext"/>
              <w:jc w:val="center"/>
              <w:rPr>
                <w:lang w:val="es-ES"/>
              </w:rPr>
            </w:pPr>
            <w:r w:rsidRPr="007C36DA">
              <w:rPr>
                <w:lang w:val="es-ES"/>
              </w:rPr>
              <w:t>826 259</w:t>
            </w:r>
          </w:p>
        </w:tc>
      </w:tr>
      <w:tr w:rsidR="007C36DA" w:rsidRPr="007C36DA" w14:paraId="13E85560" w14:textId="77777777" w:rsidTr="007876ED">
        <w:tc>
          <w:tcPr>
            <w:tcW w:w="5221" w:type="dxa"/>
          </w:tcPr>
          <w:p w14:paraId="163C17C9" w14:textId="77777777" w:rsidR="007C36DA" w:rsidRPr="007C36DA" w:rsidRDefault="007C36DA" w:rsidP="005F72FC">
            <w:pPr>
              <w:pStyle w:val="Tabletext"/>
              <w:rPr>
                <w:lang w:val="es-ES"/>
              </w:rPr>
            </w:pPr>
            <w:r w:rsidRPr="007C36DA">
              <w:rPr>
                <w:lang w:val="es-ES"/>
              </w:rPr>
              <w:t>MPTF PNUD</w:t>
            </w:r>
          </w:p>
        </w:tc>
        <w:tc>
          <w:tcPr>
            <w:tcW w:w="1890" w:type="dxa"/>
          </w:tcPr>
          <w:p w14:paraId="1A693271" w14:textId="77777777" w:rsidR="007C36DA" w:rsidRPr="007C36DA" w:rsidRDefault="007C36DA" w:rsidP="007876ED">
            <w:pPr>
              <w:pStyle w:val="Tabletext"/>
              <w:jc w:val="center"/>
              <w:rPr>
                <w:lang w:val="es-ES"/>
              </w:rPr>
            </w:pPr>
            <w:r w:rsidRPr="007C36DA">
              <w:rPr>
                <w:lang w:val="es-ES"/>
              </w:rPr>
              <w:t>Internacional</w:t>
            </w:r>
          </w:p>
        </w:tc>
        <w:tc>
          <w:tcPr>
            <w:tcW w:w="1950" w:type="dxa"/>
          </w:tcPr>
          <w:p w14:paraId="50C0EA46" w14:textId="77777777" w:rsidR="007C36DA" w:rsidRPr="007C36DA" w:rsidRDefault="007C36DA" w:rsidP="007876ED">
            <w:pPr>
              <w:pStyle w:val="Tabletext"/>
              <w:jc w:val="center"/>
              <w:rPr>
                <w:lang w:val="es-ES"/>
              </w:rPr>
            </w:pPr>
            <w:r w:rsidRPr="007C36DA">
              <w:rPr>
                <w:lang w:val="es-ES"/>
              </w:rPr>
              <w:t>697 178</w:t>
            </w:r>
          </w:p>
        </w:tc>
      </w:tr>
      <w:tr w:rsidR="007C36DA" w:rsidRPr="007C36DA" w14:paraId="476433D8" w14:textId="77777777" w:rsidTr="007876ED">
        <w:tc>
          <w:tcPr>
            <w:tcW w:w="5221" w:type="dxa"/>
          </w:tcPr>
          <w:p w14:paraId="53200476" w14:textId="77777777" w:rsidR="007C36DA" w:rsidRPr="007C36DA" w:rsidRDefault="007C36DA" w:rsidP="005F72FC">
            <w:pPr>
              <w:pStyle w:val="Tabletext"/>
              <w:rPr>
                <w:lang w:val="es-ES"/>
              </w:rPr>
            </w:pPr>
            <w:r w:rsidRPr="007C36DA">
              <w:rPr>
                <w:lang w:val="es-ES"/>
              </w:rPr>
              <w:t>Departamento de Comunicaciones y Artes</w:t>
            </w:r>
          </w:p>
        </w:tc>
        <w:tc>
          <w:tcPr>
            <w:tcW w:w="1890" w:type="dxa"/>
          </w:tcPr>
          <w:p w14:paraId="0E5812BD" w14:textId="77777777" w:rsidR="007C36DA" w:rsidRPr="007C36DA" w:rsidRDefault="007C36DA" w:rsidP="007876ED">
            <w:pPr>
              <w:pStyle w:val="Tabletext"/>
              <w:jc w:val="center"/>
              <w:rPr>
                <w:lang w:val="es-ES"/>
              </w:rPr>
            </w:pPr>
            <w:r w:rsidRPr="007C36DA">
              <w:rPr>
                <w:lang w:val="es-ES"/>
              </w:rPr>
              <w:t>Australia</w:t>
            </w:r>
          </w:p>
        </w:tc>
        <w:tc>
          <w:tcPr>
            <w:tcW w:w="1950" w:type="dxa"/>
          </w:tcPr>
          <w:p w14:paraId="63D39767" w14:textId="77777777" w:rsidR="007C36DA" w:rsidRPr="007C36DA" w:rsidRDefault="007C36DA" w:rsidP="007876ED">
            <w:pPr>
              <w:pStyle w:val="Tabletext"/>
              <w:jc w:val="center"/>
              <w:rPr>
                <w:lang w:val="es-ES"/>
              </w:rPr>
            </w:pPr>
            <w:r w:rsidRPr="007C36DA">
              <w:rPr>
                <w:lang w:val="es-ES"/>
              </w:rPr>
              <w:t>688 978</w:t>
            </w:r>
          </w:p>
        </w:tc>
      </w:tr>
      <w:tr w:rsidR="007C36DA" w:rsidRPr="007C36DA" w14:paraId="6F9B7354" w14:textId="77777777" w:rsidTr="007876ED">
        <w:tc>
          <w:tcPr>
            <w:tcW w:w="5221" w:type="dxa"/>
          </w:tcPr>
          <w:p w14:paraId="6A25AEBF" w14:textId="77777777" w:rsidR="007C36DA" w:rsidRPr="007C36DA" w:rsidRDefault="007C36DA" w:rsidP="005F72FC">
            <w:pPr>
              <w:pStyle w:val="Tabletext"/>
              <w:rPr>
                <w:lang w:val="es-ES"/>
              </w:rPr>
            </w:pPr>
            <w:r w:rsidRPr="007C36DA">
              <w:rPr>
                <w:lang w:val="es-ES"/>
              </w:rPr>
              <w:t>Representante Permanente de la Misión de la República de Corea y Embajador</w:t>
            </w:r>
          </w:p>
        </w:tc>
        <w:tc>
          <w:tcPr>
            <w:tcW w:w="1890" w:type="dxa"/>
          </w:tcPr>
          <w:p w14:paraId="42ADC7F4" w14:textId="77777777" w:rsidR="007C36DA" w:rsidRPr="007C36DA" w:rsidRDefault="007C36DA" w:rsidP="007876ED">
            <w:pPr>
              <w:pStyle w:val="Tabletext"/>
              <w:jc w:val="center"/>
              <w:rPr>
                <w:lang w:val="es-ES"/>
              </w:rPr>
            </w:pPr>
            <w:r w:rsidRPr="007C36DA">
              <w:rPr>
                <w:lang w:val="es-ES"/>
              </w:rPr>
              <w:t>República de Corea</w:t>
            </w:r>
          </w:p>
        </w:tc>
        <w:tc>
          <w:tcPr>
            <w:tcW w:w="1950" w:type="dxa"/>
          </w:tcPr>
          <w:p w14:paraId="1FDCAB11" w14:textId="77777777" w:rsidR="007C36DA" w:rsidRPr="007C36DA" w:rsidRDefault="007C36DA" w:rsidP="007876ED">
            <w:pPr>
              <w:pStyle w:val="Tabletext"/>
              <w:jc w:val="center"/>
              <w:rPr>
                <w:lang w:val="es-ES"/>
              </w:rPr>
            </w:pPr>
            <w:r w:rsidRPr="007C36DA">
              <w:rPr>
                <w:lang w:val="es-ES"/>
              </w:rPr>
              <w:t>606 916</w:t>
            </w:r>
          </w:p>
        </w:tc>
      </w:tr>
      <w:tr w:rsidR="007C36DA" w:rsidRPr="007C36DA" w14:paraId="1396CBD1" w14:textId="77777777" w:rsidTr="007876ED">
        <w:tc>
          <w:tcPr>
            <w:tcW w:w="5221" w:type="dxa"/>
          </w:tcPr>
          <w:p w14:paraId="39A45AA6" w14:textId="77777777" w:rsidR="007C36DA" w:rsidRPr="007C36DA" w:rsidRDefault="007C36DA" w:rsidP="005F72FC">
            <w:pPr>
              <w:pStyle w:val="Tabletext"/>
              <w:rPr>
                <w:lang w:val="es-ES"/>
              </w:rPr>
            </w:pPr>
            <w:r w:rsidRPr="007C36DA">
              <w:rPr>
                <w:lang w:val="es-ES"/>
              </w:rPr>
              <w:t>Ministerio de Relaciones Exteriores, del Commonwealth y de Desarrollo</w:t>
            </w:r>
          </w:p>
        </w:tc>
        <w:tc>
          <w:tcPr>
            <w:tcW w:w="1890" w:type="dxa"/>
          </w:tcPr>
          <w:p w14:paraId="713652F7" w14:textId="31F70238" w:rsidR="007C36DA" w:rsidRPr="007C36DA" w:rsidRDefault="007C36DA" w:rsidP="007876ED">
            <w:pPr>
              <w:pStyle w:val="Tabletext"/>
              <w:jc w:val="center"/>
              <w:rPr>
                <w:lang w:val="es-ES"/>
              </w:rPr>
            </w:pPr>
            <w:r w:rsidRPr="007C36DA">
              <w:rPr>
                <w:lang w:val="es-ES"/>
              </w:rPr>
              <w:t>Reino Unido</w:t>
            </w:r>
          </w:p>
        </w:tc>
        <w:tc>
          <w:tcPr>
            <w:tcW w:w="1950" w:type="dxa"/>
          </w:tcPr>
          <w:p w14:paraId="4C19C491" w14:textId="77777777" w:rsidR="007C36DA" w:rsidRPr="007C36DA" w:rsidRDefault="007C36DA" w:rsidP="007876ED">
            <w:pPr>
              <w:pStyle w:val="Tabletext"/>
              <w:jc w:val="center"/>
              <w:rPr>
                <w:lang w:val="es-ES"/>
              </w:rPr>
            </w:pPr>
            <w:r w:rsidRPr="007C36DA">
              <w:rPr>
                <w:lang w:val="es-ES"/>
              </w:rPr>
              <w:t>525 555</w:t>
            </w:r>
          </w:p>
        </w:tc>
      </w:tr>
      <w:tr w:rsidR="007C36DA" w:rsidRPr="007C36DA" w14:paraId="1F4022B4" w14:textId="77777777" w:rsidTr="007876ED">
        <w:tc>
          <w:tcPr>
            <w:tcW w:w="5221" w:type="dxa"/>
          </w:tcPr>
          <w:p w14:paraId="1B15BBF0" w14:textId="77777777" w:rsidR="007C36DA" w:rsidRPr="007C36DA" w:rsidRDefault="007C36DA" w:rsidP="005F72FC">
            <w:pPr>
              <w:pStyle w:val="Tabletext"/>
              <w:rPr>
                <w:lang w:val="es-ES"/>
              </w:rPr>
            </w:pPr>
            <w:r w:rsidRPr="007C36DA">
              <w:rPr>
                <w:lang w:val="es-ES"/>
              </w:rPr>
              <w:t>Botnar Foundation</w:t>
            </w:r>
          </w:p>
        </w:tc>
        <w:tc>
          <w:tcPr>
            <w:tcW w:w="1890" w:type="dxa"/>
          </w:tcPr>
          <w:p w14:paraId="2BD7A3B5" w14:textId="77777777" w:rsidR="007C36DA" w:rsidRPr="007C36DA" w:rsidRDefault="007C36DA" w:rsidP="007876ED">
            <w:pPr>
              <w:pStyle w:val="Tabletext"/>
              <w:jc w:val="center"/>
              <w:rPr>
                <w:lang w:val="es-ES"/>
              </w:rPr>
            </w:pPr>
            <w:r w:rsidRPr="007C36DA">
              <w:rPr>
                <w:lang w:val="es-ES"/>
              </w:rPr>
              <w:t>Suiza</w:t>
            </w:r>
          </w:p>
        </w:tc>
        <w:tc>
          <w:tcPr>
            <w:tcW w:w="1950" w:type="dxa"/>
          </w:tcPr>
          <w:p w14:paraId="0AB00F1B" w14:textId="77777777" w:rsidR="007C36DA" w:rsidRPr="007C36DA" w:rsidRDefault="007C36DA" w:rsidP="007876ED">
            <w:pPr>
              <w:pStyle w:val="Tabletext"/>
              <w:jc w:val="center"/>
              <w:rPr>
                <w:lang w:val="es-ES"/>
              </w:rPr>
            </w:pPr>
            <w:r w:rsidRPr="007C36DA">
              <w:rPr>
                <w:lang w:val="es-ES"/>
              </w:rPr>
              <w:t>442 247</w:t>
            </w:r>
          </w:p>
        </w:tc>
      </w:tr>
    </w:tbl>
    <w:p w14:paraId="7A800717" w14:textId="77777777" w:rsidR="007C36DA" w:rsidRPr="007C36DA" w:rsidRDefault="007C36DA" w:rsidP="005F72FC">
      <w:pPr>
        <w:rPr>
          <w:lang w:val="en-GB"/>
        </w:rPr>
      </w:pPr>
      <w:r w:rsidRPr="007C36DA">
        <w:rPr>
          <w:lang w:val="en-GB"/>
        </w:rPr>
        <w:br w:type="page"/>
      </w:r>
    </w:p>
    <w:p w14:paraId="1C9CE3EF" w14:textId="7178A62E" w:rsidR="007C36DA" w:rsidRPr="007C36DA" w:rsidRDefault="007C36DA" w:rsidP="005F72FC">
      <w:pPr>
        <w:pStyle w:val="AnnexNo"/>
        <w:rPr>
          <w:lang w:val="en-GB"/>
        </w:rPr>
      </w:pPr>
      <w:bookmarkStart w:id="3" w:name="Annex_2"/>
      <w:r w:rsidRPr="007C36DA">
        <w:rPr>
          <w:lang w:val="en-GB"/>
        </w:rPr>
        <w:lastRenderedPageBreak/>
        <w:t>Anex</w:t>
      </w:r>
      <w:r w:rsidR="005F72FC">
        <w:rPr>
          <w:lang w:val="en-GB"/>
        </w:rPr>
        <w:t>o</w:t>
      </w:r>
      <w:r w:rsidRPr="007C36DA">
        <w:rPr>
          <w:lang w:val="en-GB"/>
        </w:rPr>
        <w:t xml:space="preserve"> 2</w:t>
      </w:r>
      <w:bookmarkEnd w:id="3"/>
    </w:p>
    <w:p w14:paraId="49E114ED" w14:textId="4FEE77B9" w:rsidR="007C36DA" w:rsidRPr="007C36DA" w:rsidRDefault="007C36DA" w:rsidP="005F72FC">
      <w:pPr>
        <w:pStyle w:val="Annextitle"/>
        <w:rPr>
          <w:u w:val="single"/>
          <w:lang w:val="es-ES"/>
        </w:rPr>
      </w:pPr>
      <w:r w:rsidRPr="007C36DA">
        <w:rPr>
          <w:u w:val="single"/>
          <w:lang w:val="es-ES"/>
        </w:rPr>
        <w:t xml:space="preserve">Contribuciones de organizaciones oficiales de ayuda al desarrollo, </w:t>
      </w:r>
      <w:r w:rsidR="00C8053E" w:rsidRPr="00492B99">
        <w:rPr>
          <w:u w:val="single"/>
          <w:lang w:val="es-ES"/>
        </w:rPr>
        <w:br/>
      </w:r>
      <w:r w:rsidRPr="007C36DA">
        <w:rPr>
          <w:u w:val="single"/>
          <w:lang w:val="es-ES"/>
        </w:rPr>
        <w:t>ministerios de asuntos exteriores y misiones en 2022</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98"/>
        <w:gridCol w:w="1839"/>
        <w:gridCol w:w="2024"/>
      </w:tblGrid>
      <w:tr w:rsidR="007C36DA" w:rsidRPr="00A05A8F" w14:paraId="0F24894C" w14:textId="77777777" w:rsidTr="007876ED">
        <w:tc>
          <w:tcPr>
            <w:tcW w:w="5265" w:type="dxa"/>
          </w:tcPr>
          <w:p w14:paraId="42862BF0" w14:textId="77777777" w:rsidR="007C36DA" w:rsidRPr="00492B99" w:rsidRDefault="007C36DA" w:rsidP="005F72FC">
            <w:pPr>
              <w:pStyle w:val="Tablehead"/>
              <w:rPr>
                <w:u w:val="single"/>
                <w:lang w:val="es-ES"/>
              </w:rPr>
            </w:pPr>
            <w:r w:rsidRPr="00492B99">
              <w:rPr>
                <w:u w:val="single"/>
                <w:lang w:val="es-ES"/>
              </w:rPr>
              <w:t>Organización</w:t>
            </w:r>
          </w:p>
        </w:tc>
        <w:tc>
          <w:tcPr>
            <w:tcW w:w="1860" w:type="dxa"/>
          </w:tcPr>
          <w:p w14:paraId="30507174" w14:textId="31C501E8" w:rsidR="007C36DA" w:rsidRPr="00492B99" w:rsidRDefault="005F72FC" w:rsidP="005F72FC">
            <w:pPr>
              <w:pStyle w:val="Tablehead"/>
              <w:rPr>
                <w:u w:val="single"/>
                <w:lang w:val="es-ES"/>
              </w:rPr>
            </w:pPr>
            <w:r w:rsidRPr="00492B99">
              <w:rPr>
                <w:u w:val="single"/>
                <w:lang w:val="es-ES"/>
              </w:rPr>
              <w:t>País</w:t>
            </w:r>
          </w:p>
        </w:tc>
        <w:tc>
          <w:tcPr>
            <w:tcW w:w="2048" w:type="dxa"/>
          </w:tcPr>
          <w:p w14:paraId="191D2BC3" w14:textId="19CAFEDC" w:rsidR="007C36DA" w:rsidRPr="00492B99" w:rsidRDefault="005F72FC" w:rsidP="005F72FC">
            <w:pPr>
              <w:pStyle w:val="Tablehead"/>
              <w:rPr>
                <w:u w:val="single"/>
                <w:lang w:val="es-ES"/>
              </w:rPr>
            </w:pPr>
            <w:r w:rsidRPr="00492B99">
              <w:rPr>
                <w:u w:val="single"/>
                <w:lang w:val="es-ES"/>
              </w:rPr>
              <w:t xml:space="preserve">Importe </w:t>
            </w:r>
            <w:r w:rsidR="007C36DA" w:rsidRPr="00492B99">
              <w:rPr>
                <w:u w:val="single"/>
                <w:lang w:val="es-ES"/>
              </w:rPr>
              <w:t>(CHF)</w:t>
            </w:r>
          </w:p>
        </w:tc>
      </w:tr>
      <w:tr w:rsidR="007C36DA" w:rsidRPr="007C36DA" w14:paraId="28E0EBDE" w14:textId="77777777" w:rsidTr="007876ED">
        <w:tc>
          <w:tcPr>
            <w:tcW w:w="5265" w:type="dxa"/>
          </w:tcPr>
          <w:p w14:paraId="07B3D798" w14:textId="77777777" w:rsidR="007C36DA" w:rsidRPr="00A05A8F" w:rsidRDefault="007C36DA" w:rsidP="005F72FC">
            <w:pPr>
              <w:pStyle w:val="Tabletext"/>
              <w:rPr>
                <w:lang w:val="es-ES"/>
              </w:rPr>
            </w:pPr>
            <w:r w:rsidRPr="00A05A8F">
              <w:rPr>
                <w:lang w:val="es-ES"/>
              </w:rPr>
              <w:t>Departamento Federal de Asuntos Exteriores</w:t>
            </w:r>
          </w:p>
        </w:tc>
        <w:tc>
          <w:tcPr>
            <w:tcW w:w="1860" w:type="dxa"/>
          </w:tcPr>
          <w:p w14:paraId="1962916D" w14:textId="77777777" w:rsidR="007C36DA" w:rsidRPr="00A05A8F" w:rsidRDefault="007C36DA" w:rsidP="007876ED">
            <w:pPr>
              <w:pStyle w:val="Tabletext"/>
              <w:jc w:val="center"/>
              <w:rPr>
                <w:lang w:val="es-ES"/>
              </w:rPr>
            </w:pPr>
            <w:r w:rsidRPr="00A05A8F">
              <w:rPr>
                <w:lang w:val="es-ES"/>
              </w:rPr>
              <w:t>Suiza</w:t>
            </w:r>
          </w:p>
        </w:tc>
        <w:tc>
          <w:tcPr>
            <w:tcW w:w="2048" w:type="dxa"/>
          </w:tcPr>
          <w:p w14:paraId="7571C6B4" w14:textId="77777777" w:rsidR="007C36DA" w:rsidRPr="00A05A8F" w:rsidRDefault="007C36DA" w:rsidP="00A05A8F">
            <w:pPr>
              <w:pStyle w:val="Tabletext"/>
              <w:jc w:val="center"/>
              <w:rPr>
                <w:lang w:val="es-ES"/>
              </w:rPr>
            </w:pPr>
            <w:r w:rsidRPr="00A05A8F">
              <w:rPr>
                <w:lang w:val="es-ES"/>
              </w:rPr>
              <w:t>1 020 000</w:t>
            </w:r>
          </w:p>
        </w:tc>
      </w:tr>
      <w:tr w:rsidR="007C36DA" w:rsidRPr="007C36DA" w14:paraId="75EF7DD2" w14:textId="77777777" w:rsidTr="007876ED">
        <w:tc>
          <w:tcPr>
            <w:tcW w:w="5265" w:type="dxa"/>
          </w:tcPr>
          <w:p w14:paraId="57C55C85" w14:textId="77777777" w:rsidR="007C36DA" w:rsidRPr="00A05A8F" w:rsidRDefault="007C36DA" w:rsidP="005F72FC">
            <w:pPr>
              <w:pStyle w:val="Tabletext"/>
              <w:rPr>
                <w:lang w:val="es-ES"/>
              </w:rPr>
            </w:pPr>
            <w:r w:rsidRPr="00A05A8F">
              <w:rPr>
                <w:lang w:val="es-ES"/>
              </w:rPr>
              <w:t>Agencia de Cooperación para el Desarrollo de Noruega</w:t>
            </w:r>
          </w:p>
        </w:tc>
        <w:tc>
          <w:tcPr>
            <w:tcW w:w="1860" w:type="dxa"/>
          </w:tcPr>
          <w:p w14:paraId="497B2EFC" w14:textId="77777777" w:rsidR="007C36DA" w:rsidRPr="00A05A8F" w:rsidRDefault="007C36DA" w:rsidP="007876ED">
            <w:pPr>
              <w:pStyle w:val="Tabletext"/>
              <w:jc w:val="center"/>
              <w:rPr>
                <w:lang w:val="es-ES"/>
              </w:rPr>
            </w:pPr>
            <w:r w:rsidRPr="00A05A8F">
              <w:rPr>
                <w:lang w:val="es-ES"/>
              </w:rPr>
              <w:t>Noruega</w:t>
            </w:r>
          </w:p>
        </w:tc>
        <w:tc>
          <w:tcPr>
            <w:tcW w:w="2048" w:type="dxa"/>
          </w:tcPr>
          <w:p w14:paraId="15C65D21" w14:textId="77777777" w:rsidR="007C36DA" w:rsidRPr="00A05A8F" w:rsidRDefault="007C36DA" w:rsidP="00A05A8F">
            <w:pPr>
              <w:pStyle w:val="Tabletext"/>
              <w:jc w:val="center"/>
              <w:rPr>
                <w:lang w:val="es-ES"/>
              </w:rPr>
            </w:pPr>
            <w:r w:rsidRPr="00A05A8F">
              <w:rPr>
                <w:lang w:val="es-ES"/>
              </w:rPr>
              <w:t>932 498</w:t>
            </w:r>
          </w:p>
        </w:tc>
      </w:tr>
      <w:tr w:rsidR="007C36DA" w:rsidRPr="007C36DA" w14:paraId="2DB51F42" w14:textId="77777777" w:rsidTr="007876ED">
        <w:tc>
          <w:tcPr>
            <w:tcW w:w="5265" w:type="dxa"/>
          </w:tcPr>
          <w:p w14:paraId="7FBAE263" w14:textId="77777777" w:rsidR="007C36DA" w:rsidRPr="00A05A8F" w:rsidRDefault="007C36DA" w:rsidP="005F72FC">
            <w:pPr>
              <w:pStyle w:val="Tabletext"/>
              <w:rPr>
                <w:lang w:val="es-ES"/>
              </w:rPr>
            </w:pPr>
            <w:r w:rsidRPr="00A05A8F">
              <w:rPr>
                <w:lang w:val="es-ES"/>
              </w:rPr>
              <w:t>Departamento de Asuntos Exteriores y Comercio</w:t>
            </w:r>
          </w:p>
        </w:tc>
        <w:tc>
          <w:tcPr>
            <w:tcW w:w="1860" w:type="dxa"/>
          </w:tcPr>
          <w:p w14:paraId="3F8BEEF8" w14:textId="77777777" w:rsidR="007C36DA" w:rsidRPr="00A05A8F" w:rsidRDefault="007C36DA" w:rsidP="007876ED">
            <w:pPr>
              <w:pStyle w:val="Tabletext"/>
              <w:jc w:val="center"/>
              <w:rPr>
                <w:lang w:val="es-ES"/>
              </w:rPr>
            </w:pPr>
            <w:r w:rsidRPr="00A05A8F">
              <w:rPr>
                <w:lang w:val="es-ES"/>
              </w:rPr>
              <w:t>Australia</w:t>
            </w:r>
          </w:p>
        </w:tc>
        <w:tc>
          <w:tcPr>
            <w:tcW w:w="2048" w:type="dxa"/>
          </w:tcPr>
          <w:p w14:paraId="765B756F" w14:textId="77777777" w:rsidR="007C36DA" w:rsidRPr="00A05A8F" w:rsidRDefault="007C36DA" w:rsidP="00A05A8F">
            <w:pPr>
              <w:pStyle w:val="Tabletext"/>
              <w:jc w:val="center"/>
              <w:rPr>
                <w:lang w:val="es-ES"/>
              </w:rPr>
            </w:pPr>
            <w:r w:rsidRPr="00A05A8F">
              <w:rPr>
                <w:lang w:val="es-ES"/>
              </w:rPr>
              <w:t>826 259</w:t>
            </w:r>
          </w:p>
        </w:tc>
      </w:tr>
      <w:tr w:rsidR="007C36DA" w:rsidRPr="007C36DA" w14:paraId="3BAA4D49" w14:textId="77777777" w:rsidTr="007876ED">
        <w:tc>
          <w:tcPr>
            <w:tcW w:w="5265" w:type="dxa"/>
          </w:tcPr>
          <w:p w14:paraId="187CEB3D" w14:textId="77777777" w:rsidR="007C36DA" w:rsidRPr="00A05A8F" w:rsidRDefault="007C36DA" w:rsidP="005F72FC">
            <w:pPr>
              <w:pStyle w:val="Tabletext"/>
              <w:rPr>
                <w:lang w:val="es-ES"/>
              </w:rPr>
            </w:pPr>
            <w:r w:rsidRPr="00A05A8F">
              <w:rPr>
                <w:lang w:val="es-ES"/>
              </w:rPr>
              <w:t>Representante Permanente de la Misión de la República de Corea y Embajador</w:t>
            </w:r>
          </w:p>
        </w:tc>
        <w:tc>
          <w:tcPr>
            <w:tcW w:w="1860" w:type="dxa"/>
          </w:tcPr>
          <w:p w14:paraId="0B5948D9" w14:textId="77777777" w:rsidR="007C36DA" w:rsidRPr="00A05A8F" w:rsidRDefault="007C36DA" w:rsidP="007876ED">
            <w:pPr>
              <w:pStyle w:val="Tabletext"/>
              <w:jc w:val="center"/>
              <w:rPr>
                <w:lang w:val="es-ES"/>
              </w:rPr>
            </w:pPr>
            <w:r w:rsidRPr="00A05A8F">
              <w:rPr>
                <w:lang w:val="es-ES"/>
              </w:rPr>
              <w:t>República de Corea</w:t>
            </w:r>
          </w:p>
        </w:tc>
        <w:tc>
          <w:tcPr>
            <w:tcW w:w="2048" w:type="dxa"/>
          </w:tcPr>
          <w:p w14:paraId="7B4C5D75" w14:textId="77777777" w:rsidR="007C36DA" w:rsidRPr="00A05A8F" w:rsidRDefault="007C36DA" w:rsidP="00A05A8F">
            <w:pPr>
              <w:pStyle w:val="Tabletext"/>
              <w:jc w:val="center"/>
              <w:rPr>
                <w:lang w:val="es-ES"/>
              </w:rPr>
            </w:pPr>
            <w:r w:rsidRPr="00A05A8F">
              <w:rPr>
                <w:lang w:val="es-ES"/>
              </w:rPr>
              <w:t>606 916</w:t>
            </w:r>
          </w:p>
        </w:tc>
      </w:tr>
      <w:tr w:rsidR="007C36DA" w:rsidRPr="007C36DA" w14:paraId="5F4F33B3" w14:textId="77777777" w:rsidTr="007876ED">
        <w:tc>
          <w:tcPr>
            <w:tcW w:w="5265" w:type="dxa"/>
          </w:tcPr>
          <w:p w14:paraId="0F63C60F" w14:textId="77777777" w:rsidR="007C36DA" w:rsidRPr="00A05A8F" w:rsidRDefault="007C36DA" w:rsidP="005F72FC">
            <w:pPr>
              <w:pStyle w:val="Tabletext"/>
              <w:rPr>
                <w:lang w:val="es-ES"/>
              </w:rPr>
            </w:pPr>
            <w:r w:rsidRPr="00A05A8F">
              <w:rPr>
                <w:lang w:val="es-ES"/>
              </w:rPr>
              <w:t>Ministerio de Relaciones Exteriores, del Commonwealth y de Desarrollo</w:t>
            </w:r>
          </w:p>
        </w:tc>
        <w:tc>
          <w:tcPr>
            <w:tcW w:w="1860" w:type="dxa"/>
          </w:tcPr>
          <w:p w14:paraId="01B1ED71" w14:textId="2161E313" w:rsidR="007C36DA" w:rsidRPr="00A05A8F" w:rsidRDefault="007C36DA" w:rsidP="007876ED">
            <w:pPr>
              <w:pStyle w:val="Tabletext"/>
              <w:jc w:val="center"/>
              <w:rPr>
                <w:lang w:val="es-ES"/>
              </w:rPr>
            </w:pPr>
            <w:r w:rsidRPr="00A05A8F">
              <w:rPr>
                <w:lang w:val="es-ES"/>
              </w:rPr>
              <w:t>Reino Unido</w:t>
            </w:r>
          </w:p>
        </w:tc>
        <w:tc>
          <w:tcPr>
            <w:tcW w:w="2048" w:type="dxa"/>
          </w:tcPr>
          <w:p w14:paraId="21EEC02D" w14:textId="77777777" w:rsidR="007C36DA" w:rsidRPr="00A05A8F" w:rsidRDefault="007C36DA" w:rsidP="00A05A8F">
            <w:pPr>
              <w:pStyle w:val="Tabletext"/>
              <w:jc w:val="center"/>
              <w:rPr>
                <w:lang w:val="es-ES"/>
              </w:rPr>
            </w:pPr>
            <w:r w:rsidRPr="00A05A8F">
              <w:rPr>
                <w:lang w:val="es-ES"/>
              </w:rPr>
              <w:t>525 555</w:t>
            </w:r>
          </w:p>
        </w:tc>
      </w:tr>
      <w:tr w:rsidR="007C36DA" w:rsidRPr="007C36DA" w14:paraId="5323F74E" w14:textId="77777777" w:rsidTr="007876ED">
        <w:tc>
          <w:tcPr>
            <w:tcW w:w="5265" w:type="dxa"/>
          </w:tcPr>
          <w:p w14:paraId="7C7F3117" w14:textId="77777777" w:rsidR="007C36DA" w:rsidRPr="00A05A8F" w:rsidRDefault="007C36DA" w:rsidP="005F72FC">
            <w:pPr>
              <w:pStyle w:val="Tabletext"/>
              <w:rPr>
                <w:lang w:val="es-ES"/>
              </w:rPr>
            </w:pPr>
            <w:r w:rsidRPr="00A05A8F">
              <w:rPr>
                <w:lang w:val="es-ES"/>
              </w:rPr>
              <w:t>Secretaría de Estado de Asuntos Exteriores y Globales</w:t>
            </w:r>
          </w:p>
        </w:tc>
        <w:tc>
          <w:tcPr>
            <w:tcW w:w="1860" w:type="dxa"/>
          </w:tcPr>
          <w:p w14:paraId="368B421B" w14:textId="77777777" w:rsidR="007C36DA" w:rsidRPr="00A05A8F" w:rsidRDefault="007C36DA" w:rsidP="007876ED">
            <w:pPr>
              <w:pStyle w:val="Tabletext"/>
              <w:jc w:val="center"/>
              <w:rPr>
                <w:lang w:val="es-ES"/>
              </w:rPr>
            </w:pPr>
            <w:r w:rsidRPr="00A05A8F">
              <w:rPr>
                <w:lang w:val="es-ES"/>
              </w:rPr>
              <w:t>España</w:t>
            </w:r>
          </w:p>
        </w:tc>
        <w:tc>
          <w:tcPr>
            <w:tcW w:w="2048" w:type="dxa"/>
          </w:tcPr>
          <w:p w14:paraId="1773DE4D" w14:textId="77777777" w:rsidR="007C36DA" w:rsidRPr="00A05A8F" w:rsidRDefault="007C36DA" w:rsidP="00A05A8F">
            <w:pPr>
              <w:pStyle w:val="Tabletext"/>
              <w:jc w:val="center"/>
              <w:rPr>
                <w:lang w:val="es-ES"/>
              </w:rPr>
            </w:pPr>
            <w:r w:rsidRPr="00A05A8F">
              <w:rPr>
                <w:lang w:val="es-ES"/>
              </w:rPr>
              <w:t>394 031</w:t>
            </w:r>
          </w:p>
        </w:tc>
      </w:tr>
      <w:tr w:rsidR="007C36DA" w:rsidRPr="007C36DA" w14:paraId="3D83355E" w14:textId="77777777" w:rsidTr="007876ED">
        <w:tc>
          <w:tcPr>
            <w:tcW w:w="5265" w:type="dxa"/>
          </w:tcPr>
          <w:p w14:paraId="25D3422E" w14:textId="77777777" w:rsidR="007C36DA" w:rsidRPr="00A05A8F" w:rsidRDefault="007C36DA" w:rsidP="005F72FC">
            <w:pPr>
              <w:pStyle w:val="Tabletext"/>
              <w:rPr>
                <w:lang w:val="es-ES"/>
              </w:rPr>
            </w:pPr>
            <w:r w:rsidRPr="00A05A8F">
              <w:rPr>
                <w:lang w:val="es-ES"/>
              </w:rPr>
              <w:t>Misión Permanente de Japón</w:t>
            </w:r>
          </w:p>
        </w:tc>
        <w:tc>
          <w:tcPr>
            <w:tcW w:w="1860" w:type="dxa"/>
          </w:tcPr>
          <w:p w14:paraId="349EA632" w14:textId="77777777" w:rsidR="007C36DA" w:rsidRPr="00A05A8F" w:rsidRDefault="007C36DA" w:rsidP="007876ED">
            <w:pPr>
              <w:pStyle w:val="Tabletext"/>
              <w:jc w:val="center"/>
              <w:rPr>
                <w:lang w:val="es-ES"/>
              </w:rPr>
            </w:pPr>
            <w:r w:rsidRPr="00A05A8F">
              <w:rPr>
                <w:lang w:val="es-ES"/>
              </w:rPr>
              <w:t>Japón</w:t>
            </w:r>
          </w:p>
        </w:tc>
        <w:tc>
          <w:tcPr>
            <w:tcW w:w="2048" w:type="dxa"/>
          </w:tcPr>
          <w:p w14:paraId="455A8A94" w14:textId="77777777" w:rsidR="007C36DA" w:rsidRPr="00A05A8F" w:rsidRDefault="007C36DA" w:rsidP="00A05A8F">
            <w:pPr>
              <w:pStyle w:val="Tabletext"/>
              <w:jc w:val="center"/>
              <w:rPr>
                <w:lang w:val="es-ES"/>
              </w:rPr>
            </w:pPr>
            <w:r w:rsidRPr="00A05A8F">
              <w:rPr>
                <w:lang w:val="es-ES"/>
              </w:rPr>
              <w:t>138 365</w:t>
            </w:r>
          </w:p>
        </w:tc>
      </w:tr>
      <w:tr w:rsidR="007C36DA" w:rsidRPr="007C36DA" w14:paraId="37B077EA" w14:textId="77777777" w:rsidTr="007876ED">
        <w:tc>
          <w:tcPr>
            <w:tcW w:w="5265" w:type="dxa"/>
          </w:tcPr>
          <w:p w14:paraId="6DA33CAC" w14:textId="77777777" w:rsidR="007C36DA" w:rsidRPr="00C77220" w:rsidRDefault="007C36DA" w:rsidP="005F72FC">
            <w:pPr>
              <w:pStyle w:val="Tabletext"/>
              <w:rPr>
                <w:lang w:val="de-DE"/>
              </w:rPr>
            </w:pPr>
            <w:r w:rsidRPr="00C77220">
              <w:rPr>
                <w:lang w:val="de-DE"/>
              </w:rPr>
              <w:t>Büro Führungskräfte zu Internationalen Organisationen</w:t>
            </w:r>
          </w:p>
        </w:tc>
        <w:tc>
          <w:tcPr>
            <w:tcW w:w="1860" w:type="dxa"/>
          </w:tcPr>
          <w:p w14:paraId="2A5B9769" w14:textId="77777777" w:rsidR="007C36DA" w:rsidRPr="00A05A8F" w:rsidRDefault="007C36DA" w:rsidP="007876ED">
            <w:pPr>
              <w:pStyle w:val="Tabletext"/>
              <w:jc w:val="center"/>
              <w:rPr>
                <w:lang w:val="es-ES"/>
              </w:rPr>
            </w:pPr>
            <w:r w:rsidRPr="00A05A8F">
              <w:rPr>
                <w:lang w:val="es-ES"/>
              </w:rPr>
              <w:t>Alemania</w:t>
            </w:r>
          </w:p>
        </w:tc>
        <w:tc>
          <w:tcPr>
            <w:tcW w:w="2048" w:type="dxa"/>
          </w:tcPr>
          <w:p w14:paraId="16CC539D" w14:textId="77777777" w:rsidR="007C36DA" w:rsidRPr="00A05A8F" w:rsidRDefault="007C36DA" w:rsidP="00A05A8F">
            <w:pPr>
              <w:pStyle w:val="Tabletext"/>
              <w:jc w:val="center"/>
              <w:rPr>
                <w:lang w:val="es-ES"/>
              </w:rPr>
            </w:pPr>
            <w:r w:rsidRPr="00A05A8F">
              <w:rPr>
                <w:lang w:val="es-ES"/>
              </w:rPr>
              <w:t>127 421</w:t>
            </w:r>
          </w:p>
        </w:tc>
      </w:tr>
      <w:tr w:rsidR="007C36DA" w:rsidRPr="007C36DA" w14:paraId="064B2AFB" w14:textId="77777777" w:rsidTr="007876ED">
        <w:tc>
          <w:tcPr>
            <w:tcW w:w="5265" w:type="dxa"/>
          </w:tcPr>
          <w:p w14:paraId="07F52999" w14:textId="77777777" w:rsidR="007C36DA" w:rsidRPr="00A05A8F" w:rsidRDefault="007C36DA" w:rsidP="005F72FC">
            <w:pPr>
              <w:pStyle w:val="Tabletext"/>
              <w:rPr>
                <w:lang w:val="es-ES"/>
              </w:rPr>
            </w:pPr>
            <w:r w:rsidRPr="00A05A8F">
              <w:rPr>
                <w:lang w:val="es-ES"/>
              </w:rPr>
              <w:t>Misión Permanente de la República Checa</w:t>
            </w:r>
          </w:p>
        </w:tc>
        <w:tc>
          <w:tcPr>
            <w:tcW w:w="1860" w:type="dxa"/>
          </w:tcPr>
          <w:p w14:paraId="63498109" w14:textId="77777777" w:rsidR="007C36DA" w:rsidRPr="00A05A8F" w:rsidRDefault="007C36DA" w:rsidP="007876ED">
            <w:pPr>
              <w:pStyle w:val="Tabletext"/>
              <w:jc w:val="center"/>
              <w:rPr>
                <w:lang w:val="es-ES"/>
              </w:rPr>
            </w:pPr>
            <w:r w:rsidRPr="00A05A8F">
              <w:rPr>
                <w:lang w:val="es-ES"/>
              </w:rPr>
              <w:t>República Checa</w:t>
            </w:r>
          </w:p>
        </w:tc>
        <w:tc>
          <w:tcPr>
            <w:tcW w:w="2048" w:type="dxa"/>
          </w:tcPr>
          <w:p w14:paraId="15E827CA" w14:textId="77777777" w:rsidR="007C36DA" w:rsidRPr="00A05A8F" w:rsidRDefault="007C36DA" w:rsidP="00A05A8F">
            <w:pPr>
              <w:pStyle w:val="Tabletext"/>
              <w:jc w:val="center"/>
              <w:rPr>
                <w:lang w:val="es-ES"/>
              </w:rPr>
            </w:pPr>
            <w:r w:rsidRPr="00A05A8F">
              <w:rPr>
                <w:lang w:val="es-ES"/>
              </w:rPr>
              <w:t>20 373</w:t>
            </w:r>
          </w:p>
        </w:tc>
      </w:tr>
      <w:tr w:rsidR="007C36DA" w:rsidRPr="007C36DA" w14:paraId="7E4A055C" w14:textId="77777777" w:rsidTr="007876ED">
        <w:tc>
          <w:tcPr>
            <w:tcW w:w="5265" w:type="dxa"/>
          </w:tcPr>
          <w:p w14:paraId="0CBC9450" w14:textId="77777777" w:rsidR="007C36DA" w:rsidRPr="00A05A8F" w:rsidRDefault="007C36DA" w:rsidP="005F72FC">
            <w:pPr>
              <w:pStyle w:val="Tabletext"/>
              <w:rPr>
                <w:lang w:val="es-ES"/>
              </w:rPr>
            </w:pPr>
            <w:r w:rsidRPr="00A05A8F">
              <w:rPr>
                <w:lang w:val="es-ES"/>
              </w:rPr>
              <w:t>República y Cantón de Ginebra</w:t>
            </w:r>
          </w:p>
        </w:tc>
        <w:tc>
          <w:tcPr>
            <w:tcW w:w="1860" w:type="dxa"/>
          </w:tcPr>
          <w:p w14:paraId="39926C39" w14:textId="77777777" w:rsidR="007C36DA" w:rsidRPr="00A05A8F" w:rsidRDefault="007C36DA" w:rsidP="007876ED">
            <w:pPr>
              <w:pStyle w:val="Tabletext"/>
              <w:jc w:val="center"/>
              <w:rPr>
                <w:lang w:val="es-ES"/>
              </w:rPr>
            </w:pPr>
            <w:r w:rsidRPr="00A05A8F">
              <w:rPr>
                <w:lang w:val="es-ES"/>
              </w:rPr>
              <w:t>Suiza</w:t>
            </w:r>
          </w:p>
        </w:tc>
        <w:tc>
          <w:tcPr>
            <w:tcW w:w="2048" w:type="dxa"/>
          </w:tcPr>
          <w:p w14:paraId="414E9229" w14:textId="77777777" w:rsidR="007C36DA" w:rsidRPr="00A05A8F" w:rsidRDefault="007C36DA" w:rsidP="00A05A8F">
            <w:pPr>
              <w:pStyle w:val="Tabletext"/>
              <w:jc w:val="center"/>
              <w:rPr>
                <w:lang w:val="es-ES"/>
              </w:rPr>
            </w:pPr>
            <w:r w:rsidRPr="00A05A8F">
              <w:rPr>
                <w:lang w:val="es-ES"/>
              </w:rPr>
              <w:t>1 500</w:t>
            </w:r>
          </w:p>
        </w:tc>
      </w:tr>
    </w:tbl>
    <w:p w14:paraId="655FD513" w14:textId="77777777" w:rsidR="007C36DA" w:rsidRDefault="007C36DA" w:rsidP="00411C49">
      <w:pPr>
        <w:pStyle w:val="Reasons"/>
      </w:pPr>
    </w:p>
    <w:p w14:paraId="287E14DE" w14:textId="77777777" w:rsidR="007C36DA" w:rsidRDefault="007C36DA">
      <w:pPr>
        <w:jc w:val="center"/>
      </w:pPr>
      <w:r>
        <w:t>______________</w:t>
      </w:r>
    </w:p>
    <w:sectPr w:rsidR="007C36DA"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EEA6" w14:textId="77777777" w:rsidR="00293DE4" w:rsidRDefault="00293DE4">
      <w:r>
        <w:separator/>
      </w:r>
    </w:p>
  </w:endnote>
  <w:endnote w:type="continuationSeparator" w:id="0">
    <w:p w14:paraId="352DCC14" w14:textId="77777777" w:rsidR="00293DE4" w:rsidRDefault="0029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57ECA83" w14:textId="77777777" w:rsidTr="00E31DCE">
      <w:trPr>
        <w:jc w:val="center"/>
      </w:trPr>
      <w:tc>
        <w:tcPr>
          <w:tcW w:w="1803" w:type="dxa"/>
          <w:vAlign w:val="center"/>
        </w:tcPr>
        <w:p w14:paraId="0F5795F3" w14:textId="2E4D28C9" w:rsidR="003273A4" w:rsidRDefault="003273A4" w:rsidP="003273A4">
          <w:pPr>
            <w:pStyle w:val="Header"/>
            <w:jc w:val="left"/>
            <w:rPr>
              <w:noProof/>
            </w:rPr>
          </w:pPr>
          <w:r>
            <w:rPr>
              <w:noProof/>
            </w:rPr>
            <w:t xml:space="preserve">DPS </w:t>
          </w:r>
          <w:r w:rsidR="007C36DA">
            <w:rPr>
              <w:noProof/>
            </w:rPr>
            <w:t>521096</w:t>
          </w:r>
        </w:p>
      </w:tc>
      <w:tc>
        <w:tcPr>
          <w:tcW w:w="8261" w:type="dxa"/>
        </w:tcPr>
        <w:p w14:paraId="2E203ADC" w14:textId="4850B717"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C36DA">
            <w:rPr>
              <w:bCs/>
            </w:rPr>
            <w:t>62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C2BCD19" w14:textId="3DF0AC28" w:rsidR="00760F1C" w:rsidRPr="007C36DA" w:rsidRDefault="007C36DA" w:rsidP="007C36DA">
    <w:pPr>
      <w:pStyle w:val="Footer"/>
      <w:spacing w:before="120"/>
      <w:rPr>
        <w:lang w:val="fr-FR"/>
      </w:rPr>
    </w:pPr>
    <w:r w:rsidRPr="00472029">
      <w:rPr>
        <w:color w:val="F2F2F2" w:themeColor="background1" w:themeShade="F2"/>
      </w:rPr>
      <w:fldChar w:fldCharType="begin"/>
    </w:r>
    <w:r w:rsidRPr="00472029">
      <w:rPr>
        <w:color w:val="F2F2F2" w:themeColor="background1" w:themeShade="F2"/>
        <w:lang w:val="fr-FR"/>
      </w:rPr>
      <w:instrText xml:space="preserve"> FILENAME \p  \* MERGEFORMAT </w:instrText>
    </w:r>
    <w:r w:rsidRPr="00472029">
      <w:rPr>
        <w:color w:val="F2F2F2" w:themeColor="background1" w:themeShade="F2"/>
      </w:rPr>
      <w:fldChar w:fldCharType="separate"/>
    </w:r>
    <w:r w:rsidRPr="00472029">
      <w:rPr>
        <w:color w:val="F2F2F2" w:themeColor="background1" w:themeShade="F2"/>
        <w:lang w:val="fr-FR"/>
      </w:rPr>
      <w:t>P:\ESP\SG\CONSEIL\C23\000\062S.docx</w:t>
    </w:r>
    <w:r w:rsidRPr="00472029">
      <w:rPr>
        <w:color w:val="F2F2F2" w:themeColor="background1" w:themeShade="F2"/>
      </w:rPr>
      <w:fldChar w:fldCharType="end"/>
    </w:r>
    <w:r w:rsidRPr="00472029">
      <w:rPr>
        <w:color w:val="F2F2F2" w:themeColor="background1" w:themeShade="F2"/>
        <w:lang w:val="fr-FR"/>
      </w:rPr>
      <w:t xml:space="preserve"> (521096)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B385F15" w14:textId="77777777" w:rsidTr="00E31DCE">
      <w:trPr>
        <w:jc w:val="center"/>
      </w:trPr>
      <w:tc>
        <w:tcPr>
          <w:tcW w:w="1803" w:type="dxa"/>
          <w:vAlign w:val="center"/>
        </w:tcPr>
        <w:p w14:paraId="3610A3C0" w14:textId="77777777" w:rsidR="00F24B71" w:rsidRDefault="00472029" w:rsidP="00F24B71">
          <w:pPr>
            <w:pStyle w:val="Header"/>
            <w:jc w:val="left"/>
            <w:rPr>
              <w:noProof/>
            </w:rPr>
          </w:pPr>
          <w:hyperlink r:id="rId1" w:history="1">
            <w:r w:rsidR="00F24B71" w:rsidRPr="00A514A4">
              <w:rPr>
                <w:rStyle w:val="Hyperlink"/>
                <w:szCs w:val="14"/>
              </w:rPr>
              <w:t>www.itu.int/council</w:t>
            </w:r>
          </w:hyperlink>
        </w:p>
      </w:tc>
      <w:tc>
        <w:tcPr>
          <w:tcW w:w="8261" w:type="dxa"/>
        </w:tcPr>
        <w:p w14:paraId="3766BB9E" w14:textId="5D24630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C36DA">
            <w:rPr>
              <w:bCs/>
            </w:rPr>
            <w:t>62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CA49BCB" w14:textId="4FF40DCB" w:rsidR="00760F1C" w:rsidRPr="007C36DA" w:rsidRDefault="007C36DA" w:rsidP="007C36DA">
    <w:pPr>
      <w:pStyle w:val="Footer"/>
      <w:spacing w:before="120"/>
      <w:rPr>
        <w:lang w:val="fr-FR"/>
      </w:rPr>
    </w:pPr>
    <w:r w:rsidRPr="00472029">
      <w:rPr>
        <w:color w:val="F2F2F2" w:themeColor="background1" w:themeShade="F2"/>
      </w:rPr>
      <w:fldChar w:fldCharType="begin"/>
    </w:r>
    <w:r w:rsidRPr="00472029">
      <w:rPr>
        <w:color w:val="F2F2F2" w:themeColor="background1" w:themeShade="F2"/>
        <w:lang w:val="fr-FR"/>
      </w:rPr>
      <w:instrText xml:space="preserve"> FILENAME \p  \* MERGEFORMAT </w:instrText>
    </w:r>
    <w:r w:rsidRPr="00472029">
      <w:rPr>
        <w:color w:val="F2F2F2" w:themeColor="background1" w:themeShade="F2"/>
      </w:rPr>
      <w:fldChar w:fldCharType="separate"/>
    </w:r>
    <w:r w:rsidRPr="00472029">
      <w:rPr>
        <w:color w:val="F2F2F2" w:themeColor="background1" w:themeShade="F2"/>
        <w:lang w:val="fr-FR"/>
      </w:rPr>
      <w:t>P:\ESP\SG\CONSEIL\C23\000\062S.docx</w:t>
    </w:r>
    <w:r w:rsidRPr="00472029">
      <w:rPr>
        <w:color w:val="F2F2F2" w:themeColor="background1" w:themeShade="F2"/>
      </w:rPr>
      <w:fldChar w:fldCharType="end"/>
    </w:r>
    <w:r w:rsidRPr="00472029">
      <w:rPr>
        <w:color w:val="F2F2F2" w:themeColor="background1" w:themeShade="F2"/>
        <w:lang w:val="fr-FR"/>
      </w:rPr>
      <w:t xml:space="preserve"> (521096)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409E" w14:textId="77777777" w:rsidR="00293DE4" w:rsidRDefault="00293DE4">
      <w:r>
        <w:t>____________________</w:t>
      </w:r>
    </w:p>
  </w:footnote>
  <w:footnote w:type="continuationSeparator" w:id="0">
    <w:p w14:paraId="096ED0DF" w14:textId="77777777" w:rsidR="00293DE4" w:rsidRDefault="00293DE4">
      <w:r>
        <w:continuationSeparator/>
      </w:r>
    </w:p>
  </w:footnote>
  <w:footnote w:id="1">
    <w:p w14:paraId="248321B0" w14:textId="0E98DD26" w:rsidR="00A05A8F" w:rsidRPr="00A05A8F" w:rsidRDefault="00A05A8F" w:rsidP="00A05A8F">
      <w:pPr>
        <w:pStyle w:val="FootnoteText"/>
      </w:pPr>
      <w:r>
        <w:rPr>
          <w:rStyle w:val="FootnoteReference"/>
        </w:rPr>
        <w:footnoteRef/>
      </w:r>
      <w:r>
        <w:tab/>
      </w:r>
      <w:r w:rsidRPr="00A05A8F">
        <w:rPr>
          <w:lang w:val="es-ES"/>
        </w:rPr>
        <w:t>Programa de la OIM y Presupuesto para 2023. Véase el Documento</w:t>
      </w:r>
      <w:r w:rsidR="00492B99">
        <w:rPr>
          <w:lang w:val="es-ES"/>
        </w:rPr>
        <w:t> </w:t>
      </w:r>
      <w:hyperlink r:id="rId1" w:history="1">
        <w:r w:rsidRPr="00A05A8F">
          <w:rPr>
            <w:rStyle w:val="Hyperlink"/>
            <w:lang w:val="es-ES"/>
          </w:rPr>
          <w:t>C/113/7</w:t>
        </w:r>
      </w:hyperlink>
      <w:r>
        <w:t>.</w:t>
      </w:r>
    </w:p>
  </w:footnote>
  <w:footnote w:id="2">
    <w:p w14:paraId="036BB4CD" w14:textId="2C8E8739" w:rsidR="00A05A8F" w:rsidRPr="00A05A8F" w:rsidRDefault="00A05A8F" w:rsidP="00A05A8F">
      <w:pPr>
        <w:pStyle w:val="FootnoteText"/>
      </w:pPr>
      <w:r>
        <w:rPr>
          <w:rStyle w:val="FootnoteReference"/>
        </w:rPr>
        <w:footnoteRef/>
      </w:r>
      <w:r>
        <w:tab/>
      </w:r>
      <w:hyperlink r:id="rId2" w:history="1">
        <w:r w:rsidRPr="00A05A8F">
          <w:rPr>
            <w:rStyle w:val="Hyperlink"/>
            <w:lang w:val="es-ES"/>
          </w:rPr>
          <w:t>Comunicado de prensa de la OMS</w:t>
        </w:r>
      </w:hyperlink>
    </w:p>
  </w:footnote>
  <w:footnote w:id="3">
    <w:p w14:paraId="4DC2181B" w14:textId="7AAF2E6B" w:rsidR="00A05A8F" w:rsidRPr="00A05A8F" w:rsidRDefault="00A05A8F" w:rsidP="00A05A8F">
      <w:pPr>
        <w:pStyle w:val="FootnoteText"/>
      </w:pPr>
      <w:r>
        <w:rPr>
          <w:rStyle w:val="FootnoteReference"/>
        </w:rPr>
        <w:footnoteRef/>
      </w:r>
      <w:r>
        <w:tab/>
      </w:r>
      <w:hyperlink r:id="rId3" w:history="1">
        <w:r w:rsidRPr="00A05A8F">
          <w:rPr>
            <w:rStyle w:val="Hyperlink"/>
            <w:lang w:val="es-ES"/>
          </w:rPr>
          <w:t>Comunicado de prensa de la OMM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27F6650" w14:textId="77777777" w:rsidTr="00E31DCE">
      <w:trPr>
        <w:trHeight w:val="1104"/>
        <w:jc w:val="center"/>
      </w:trPr>
      <w:tc>
        <w:tcPr>
          <w:tcW w:w="4390" w:type="dxa"/>
          <w:vAlign w:val="center"/>
        </w:tcPr>
        <w:p w14:paraId="39DB7214"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7D41D65E" wp14:editId="61C9C59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2B4328C" w14:textId="77777777" w:rsidR="001559F5" w:rsidRDefault="001559F5" w:rsidP="001559F5">
          <w:pPr>
            <w:pStyle w:val="Header"/>
            <w:jc w:val="right"/>
            <w:rPr>
              <w:rFonts w:ascii="Arial" w:hAnsi="Arial" w:cs="Arial"/>
              <w:b/>
              <w:bCs/>
              <w:color w:val="009CD6"/>
              <w:szCs w:val="18"/>
            </w:rPr>
          </w:pPr>
        </w:p>
        <w:p w14:paraId="4603F110" w14:textId="77777777" w:rsidR="001559F5" w:rsidRDefault="001559F5" w:rsidP="001559F5">
          <w:pPr>
            <w:pStyle w:val="Header"/>
            <w:jc w:val="right"/>
            <w:rPr>
              <w:rFonts w:ascii="Arial" w:hAnsi="Arial" w:cs="Arial"/>
              <w:b/>
              <w:bCs/>
              <w:color w:val="009CD6"/>
              <w:szCs w:val="18"/>
            </w:rPr>
          </w:pPr>
        </w:p>
        <w:p w14:paraId="2043C2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4C85083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AE0BFF" wp14:editId="740EFCD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57A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854278">
    <w:abstractNumId w:val="2"/>
  </w:num>
  <w:num w:numId="2" w16cid:durableId="555505519">
    <w:abstractNumId w:val="0"/>
  </w:num>
  <w:num w:numId="3" w16cid:durableId="2103790933">
    <w:abstractNumId w:val="4"/>
  </w:num>
  <w:num w:numId="4" w16cid:durableId="2077822997">
    <w:abstractNumId w:val="1"/>
  </w:num>
  <w:num w:numId="5" w16cid:durableId="388573367">
    <w:abstractNumId w:val="3"/>
  </w:num>
  <w:num w:numId="6" w16cid:durableId="947273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E4"/>
    <w:rsid w:val="000007D1"/>
    <w:rsid w:val="00093EEB"/>
    <w:rsid w:val="000B0D00"/>
    <w:rsid w:val="000B7C15"/>
    <w:rsid w:val="000D1D0F"/>
    <w:rsid w:val="000F5290"/>
    <w:rsid w:val="0010165C"/>
    <w:rsid w:val="00110EA4"/>
    <w:rsid w:val="00146BFB"/>
    <w:rsid w:val="001559F5"/>
    <w:rsid w:val="0016615B"/>
    <w:rsid w:val="0017774C"/>
    <w:rsid w:val="001F14A2"/>
    <w:rsid w:val="002801AA"/>
    <w:rsid w:val="00293DE4"/>
    <w:rsid w:val="002C4676"/>
    <w:rsid w:val="002C70B0"/>
    <w:rsid w:val="002F3CC4"/>
    <w:rsid w:val="003273A4"/>
    <w:rsid w:val="00351D8D"/>
    <w:rsid w:val="00472029"/>
    <w:rsid w:val="00473962"/>
    <w:rsid w:val="00492B99"/>
    <w:rsid w:val="004B5D49"/>
    <w:rsid w:val="004F781D"/>
    <w:rsid w:val="00513630"/>
    <w:rsid w:val="005414FD"/>
    <w:rsid w:val="00560125"/>
    <w:rsid w:val="00585553"/>
    <w:rsid w:val="005B34D9"/>
    <w:rsid w:val="005D0CCF"/>
    <w:rsid w:val="005F3BCB"/>
    <w:rsid w:val="005F410F"/>
    <w:rsid w:val="005F72FC"/>
    <w:rsid w:val="0060149A"/>
    <w:rsid w:val="00601924"/>
    <w:rsid w:val="006447EA"/>
    <w:rsid w:val="0064731F"/>
    <w:rsid w:val="00664572"/>
    <w:rsid w:val="006710F6"/>
    <w:rsid w:val="00677A97"/>
    <w:rsid w:val="006B7A9F"/>
    <w:rsid w:val="006C1B56"/>
    <w:rsid w:val="006D4761"/>
    <w:rsid w:val="00726872"/>
    <w:rsid w:val="00760F1C"/>
    <w:rsid w:val="007657F0"/>
    <w:rsid w:val="0077252D"/>
    <w:rsid w:val="007876ED"/>
    <w:rsid w:val="007955DA"/>
    <w:rsid w:val="007A221E"/>
    <w:rsid w:val="007C36DA"/>
    <w:rsid w:val="007E5DD3"/>
    <w:rsid w:val="007F350B"/>
    <w:rsid w:val="00804923"/>
    <w:rsid w:val="00820BE4"/>
    <w:rsid w:val="008451E8"/>
    <w:rsid w:val="00913B9C"/>
    <w:rsid w:val="00927F93"/>
    <w:rsid w:val="00956E77"/>
    <w:rsid w:val="00962E1E"/>
    <w:rsid w:val="009F4811"/>
    <w:rsid w:val="00A05A8F"/>
    <w:rsid w:val="00AA390C"/>
    <w:rsid w:val="00B0200A"/>
    <w:rsid w:val="00B251A3"/>
    <w:rsid w:val="00B574DB"/>
    <w:rsid w:val="00B7222C"/>
    <w:rsid w:val="00B826C2"/>
    <w:rsid w:val="00B8298E"/>
    <w:rsid w:val="00BD0723"/>
    <w:rsid w:val="00BD2518"/>
    <w:rsid w:val="00BF1D1C"/>
    <w:rsid w:val="00C20C59"/>
    <w:rsid w:val="00C2727F"/>
    <w:rsid w:val="00C538FC"/>
    <w:rsid w:val="00C55B1F"/>
    <w:rsid w:val="00C77220"/>
    <w:rsid w:val="00C8053E"/>
    <w:rsid w:val="00C83EA3"/>
    <w:rsid w:val="00CF1A67"/>
    <w:rsid w:val="00D2750E"/>
    <w:rsid w:val="00D50A36"/>
    <w:rsid w:val="00D62446"/>
    <w:rsid w:val="00DA4EA2"/>
    <w:rsid w:val="00DC3D3E"/>
    <w:rsid w:val="00DD3F59"/>
    <w:rsid w:val="00DE2C90"/>
    <w:rsid w:val="00DE3B24"/>
    <w:rsid w:val="00E06947"/>
    <w:rsid w:val="00E11EB6"/>
    <w:rsid w:val="00E34072"/>
    <w:rsid w:val="00E3592D"/>
    <w:rsid w:val="00E371C3"/>
    <w:rsid w:val="00E46BC1"/>
    <w:rsid w:val="00E50D76"/>
    <w:rsid w:val="00E92DE8"/>
    <w:rsid w:val="00EB1212"/>
    <w:rsid w:val="00ED65AB"/>
    <w:rsid w:val="00F12850"/>
    <w:rsid w:val="00F21AC6"/>
    <w:rsid w:val="00F24B71"/>
    <w:rsid w:val="00F33BF4"/>
    <w:rsid w:val="00F7105E"/>
    <w:rsid w:val="00F75F57"/>
    <w:rsid w:val="00F8246B"/>
    <w:rsid w:val="00F82FEE"/>
    <w:rsid w:val="00FC71A9"/>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DC6F7"/>
  <w15:docId w15:val="{28988864-433B-487B-AE76-F5EB824E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6DA"/>
    <w:rPr>
      <w:color w:val="605E5C"/>
      <w:shd w:val="clear" w:color="auto" w:fill="E1DFDD"/>
    </w:rPr>
  </w:style>
  <w:style w:type="table" w:styleId="TableGridLight">
    <w:name w:val="Grid Table Light"/>
    <w:basedOn w:val="TableNormal"/>
    <w:uiPriority w:val="40"/>
    <w:rsid w:val="007876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S.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3-CL-INF-0012/es" TargetMode="External"/><Relationship Id="rId4" Type="http://schemas.openxmlformats.org/officeDocument/2006/relationships/settings" Target="settings.xml"/><Relationship Id="rId9" Type="http://schemas.openxmlformats.org/officeDocument/2006/relationships/hyperlink" Target="https://www.itu.int/md/S17-CL-C-0067/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es/media/comunicados-de-prensa/el-congreso-meteorol%C3%B3gico-mundial-establece-nuevas-prioridades" TargetMode="External"/><Relationship Id="rId2" Type="http://schemas.openxmlformats.org/officeDocument/2006/relationships/hyperlink" Target="https://www.who.int/es/news/item/22-05-2023-seventy-sixth-world-health-assembly---daily-update--22-may-2023" TargetMode="External"/><Relationship Id="rId1" Type="http://schemas.openxmlformats.org/officeDocument/2006/relationships/hyperlink" Target="https://governingbodies.iom.int/system/files/en/council/113/C-113-7%20-%20Programme%20and%20Budget%20for%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9ECD-FAAB-4D71-9D19-DCFBD3F1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10</Pages>
  <Words>2963</Words>
  <Characters>16660</Characters>
  <Application>Microsoft Office Word</Application>
  <DocSecurity>4</DocSecurity>
  <Lines>138</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Hacia una nueva estrategia de movilización de recursos "UnaUIT"</dc:title>
  <dc:subject>Council 2023</dc:subject>
  <dc:creator>Spanish83</dc:creator>
  <cp:keywords>C2023, C23, Council-23</cp:keywords>
  <dc:description/>
  <cp:lastModifiedBy>Xue, Kun</cp:lastModifiedBy>
  <cp:revision>2</cp:revision>
  <cp:lastPrinted>2006-03-24T09:51:00Z</cp:lastPrinted>
  <dcterms:created xsi:type="dcterms:W3CDTF">2023-06-22T10:40:00Z</dcterms:created>
  <dcterms:modified xsi:type="dcterms:W3CDTF">2023-06-22T10:40:00Z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