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6964BE0" w14:textId="77777777" w:rsidTr="00E31DCE">
        <w:trPr>
          <w:cantSplit/>
          <w:trHeight w:val="23"/>
        </w:trPr>
        <w:tc>
          <w:tcPr>
            <w:tcW w:w="3969" w:type="dxa"/>
            <w:vMerge w:val="restart"/>
            <w:tcMar>
              <w:left w:w="0" w:type="dxa"/>
            </w:tcMar>
          </w:tcPr>
          <w:p w14:paraId="129A0E5B" w14:textId="55FDCD33"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C22097">
              <w:rPr>
                <w:b/>
              </w:rPr>
              <w:t xml:space="preserve">ADM </w:t>
            </w:r>
            <w:r w:rsidR="002A39C5">
              <w:rPr>
                <w:b/>
              </w:rPr>
              <w:t>1</w:t>
            </w:r>
          </w:p>
        </w:tc>
        <w:tc>
          <w:tcPr>
            <w:tcW w:w="5245" w:type="dxa"/>
          </w:tcPr>
          <w:p w14:paraId="3B257214" w14:textId="39652061"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C23/</w:t>
            </w:r>
            <w:r w:rsidR="002A39C5">
              <w:rPr>
                <w:b/>
                <w:lang w:val="fr-CH"/>
              </w:rPr>
              <w:t>62</w:t>
            </w:r>
            <w:r w:rsidR="00AC5BD7" w:rsidRPr="00AC5BD7">
              <w:rPr>
                <w:b/>
                <w:lang w:val="fr-CH"/>
              </w:rPr>
              <w:t>(Rev.1)</w:t>
            </w:r>
            <w:r w:rsidRPr="00E24D59">
              <w:rPr>
                <w:b/>
                <w:lang w:val="fr-CH"/>
              </w:rPr>
              <w:t>-C</w:t>
            </w:r>
          </w:p>
        </w:tc>
      </w:tr>
      <w:tr w:rsidR="00E24D59" w:rsidRPr="00813E5E" w14:paraId="10AB4B01" w14:textId="77777777" w:rsidTr="00E31DCE">
        <w:trPr>
          <w:cantSplit/>
        </w:trPr>
        <w:tc>
          <w:tcPr>
            <w:tcW w:w="3969" w:type="dxa"/>
            <w:vMerge/>
          </w:tcPr>
          <w:p w14:paraId="6EE9855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0FAD9149" w14:textId="34707142" w:rsidR="00E24D59" w:rsidRPr="00E85629" w:rsidRDefault="00C22097" w:rsidP="00E31DCE">
            <w:pPr>
              <w:tabs>
                <w:tab w:val="left" w:pos="851"/>
              </w:tabs>
              <w:spacing w:before="0"/>
              <w:jc w:val="right"/>
              <w:rPr>
                <w:b/>
              </w:rPr>
            </w:pPr>
            <w:r>
              <w:rPr>
                <w:b/>
              </w:rPr>
              <w:t>2023</w:t>
            </w:r>
            <w:r>
              <w:rPr>
                <w:rFonts w:hint="eastAsia"/>
                <w:b/>
                <w:lang w:eastAsia="zh-CN"/>
              </w:rPr>
              <w:t>年</w:t>
            </w:r>
            <w:r w:rsidR="00AC5BD7">
              <w:rPr>
                <w:b/>
                <w:lang w:eastAsia="zh-CN"/>
              </w:rPr>
              <w:t>7</w:t>
            </w:r>
            <w:r>
              <w:rPr>
                <w:rFonts w:hint="eastAsia"/>
                <w:b/>
                <w:lang w:eastAsia="zh-CN"/>
              </w:rPr>
              <w:t>月</w:t>
            </w:r>
            <w:r w:rsidR="00AC5BD7">
              <w:rPr>
                <w:b/>
                <w:lang w:eastAsia="zh-CN"/>
              </w:rPr>
              <w:t>4</w:t>
            </w:r>
            <w:r>
              <w:rPr>
                <w:rFonts w:hint="eastAsia"/>
                <w:b/>
                <w:lang w:eastAsia="zh-CN"/>
              </w:rPr>
              <w:t>日</w:t>
            </w:r>
          </w:p>
        </w:tc>
      </w:tr>
      <w:tr w:rsidR="00E24D59" w:rsidRPr="00813E5E" w14:paraId="2F20F85C" w14:textId="77777777" w:rsidTr="00E31DCE">
        <w:trPr>
          <w:cantSplit/>
          <w:trHeight w:val="23"/>
        </w:trPr>
        <w:tc>
          <w:tcPr>
            <w:tcW w:w="3969" w:type="dxa"/>
            <w:vMerge/>
          </w:tcPr>
          <w:p w14:paraId="166922A8"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5A6350D6" w14:textId="77777777" w:rsidR="00E24D59" w:rsidRPr="00E85629" w:rsidRDefault="00E24D59" w:rsidP="00E31DCE">
            <w:pPr>
              <w:tabs>
                <w:tab w:val="left" w:pos="851"/>
              </w:tabs>
              <w:spacing w:before="0" w:line="240" w:lineRule="atLeast"/>
              <w:jc w:val="right"/>
              <w:rPr>
                <w:b/>
              </w:rPr>
            </w:pPr>
            <w:proofErr w:type="spellStart"/>
            <w:r w:rsidRPr="00E24D59">
              <w:rPr>
                <w:rFonts w:cstheme="minorHAnsi"/>
                <w:b/>
                <w:bCs/>
                <w:lang w:val="ru-RU"/>
              </w:rPr>
              <w:t>原文：英</w:t>
            </w:r>
            <w:r w:rsidRPr="00E24D59">
              <w:rPr>
                <w:rFonts w:cstheme="minorHAnsi" w:hint="eastAsia"/>
                <w:b/>
                <w:bCs/>
                <w:lang w:val="ru-RU"/>
              </w:rPr>
              <w:t>文</w:t>
            </w:r>
            <w:proofErr w:type="spellEnd"/>
          </w:p>
        </w:tc>
      </w:tr>
      <w:tr w:rsidR="00E24D59" w:rsidRPr="00813E5E" w14:paraId="505C14CA" w14:textId="77777777" w:rsidTr="00E31DCE">
        <w:trPr>
          <w:cantSplit/>
          <w:trHeight w:val="23"/>
        </w:trPr>
        <w:tc>
          <w:tcPr>
            <w:tcW w:w="3969" w:type="dxa"/>
          </w:tcPr>
          <w:p w14:paraId="1EE4BA5D" w14:textId="77777777" w:rsidR="00E24D59" w:rsidRPr="00813E5E" w:rsidRDefault="00E24D59" w:rsidP="00E31DCE">
            <w:pPr>
              <w:tabs>
                <w:tab w:val="left" w:pos="851"/>
              </w:tabs>
              <w:spacing w:line="240" w:lineRule="atLeast"/>
              <w:rPr>
                <w:b/>
              </w:rPr>
            </w:pPr>
          </w:p>
        </w:tc>
        <w:tc>
          <w:tcPr>
            <w:tcW w:w="5245" w:type="dxa"/>
          </w:tcPr>
          <w:p w14:paraId="47CE4C90" w14:textId="77777777" w:rsidR="00E24D59" w:rsidRDefault="00E24D59" w:rsidP="00E31DCE">
            <w:pPr>
              <w:tabs>
                <w:tab w:val="left" w:pos="851"/>
              </w:tabs>
              <w:spacing w:before="0" w:line="240" w:lineRule="atLeast"/>
              <w:jc w:val="right"/>
              <w:rPr>
                <w:b/>
              </w:rPr>
            </w:pPr>
          </w:p>
        </w:tc>
      </w:tr>
      <w:tr w:rsidR="00E24D59" w:rsidRPr="00813E5E" w14:paraId="62BF0CF8" w14:textId="77777777" w:rsidTr="00E31DCE">
        <w:trPr>
          <w:cantSplit/>
        </w:trPr>
        <w:tc>
          <w:tcPr>
            <w:tcW w:w="9214" w:type="dxa"/>
            <w:gridSpan w:val="2"/>
            <w:tcMar>
              <w:left w:w="0" w:type="dxa"/>
            </w:tcMar>
          </w:tcPr>
          <w:p w14:paraId="77967979" w14:textId="77777777" w:rsidR="00E24D59" w:rsidRPr="00E24D59" w:rsidRDefault="00E24D59" w:rsidP="00E24D59">
            <w:pPr>
              <w:pStyle w:val="Source"/>
              <w:jc w:val="left"/>
              <w:rPr>
                <w:sz w:val="34"/>
                <w:szCs w:val="34"/>
              </w:rPr>
            </w:pPr>
            <w:bookmarkStart w:id="5" w:name="dsource" w:colFirst="0" w:colLast="0"/>
            <w:bookmarkEnd w:id="4"/>
            <w:proofErr w:type="spellStart"/>
            <w:r w:rsidRPr="00E24D59">
              <w:rPr>
                <w:rFonts w:cstheme="minorHAnsi" w:hint="eastAsia"/>
                <w:sz w:val="34"/>
                <w:szCs w:val="34"/>
                <w:lang w:val="ru-RU"/>
              </w:rPr>
              <w:t>秘书长的报告</w:t>
            </w:r>
            <w:proofErr w:type="spellEnd"/>
          </w:p>
        </w:tc>
      </w:tr>
      <w:tr w:rsidR="00E24D59" w:rsidRPr="00813E5E" w14:paraId="71289FCE" w14:textId="77777777" w:rsidTr="00E31DCE">
        <w:trPr>
          <w:cantSplit/>
        </w:trPr>
        <w:tc>
          <w:tcPr>
            <w:tcW w:w="9214" w:type="dxa"/>
            <w:gridSpan w:val="2"/>
            <w:tcMar>
              <w:left w:w="0" w:type="dxa"/>
            </w:tcMar>
          </w:tcPr>
          <w:p w14:paraId="5661633B" w14:textId="2E9A34D8" w:rsidR="00E24D59" w:rsidRPr="00BF38AF" w:rsidRDefault="00BF38AF" w:rsidP="00E31DCE">
            <w:pPr>
              <w:pStyle w:val="Subtitle"/>
              <w:framePr w:hSpace="0" w:wrap="auto" w:hAnchor="text" w:xAlign="left" w:yAlign="inline"/>
              <w:rPr>
                <w:rFonts w:asciiTheme="majorEastAsia" w:eastAsiaTheme="majorEastAsia" w:hAnsiTheme="majorEastAsia"/>
                <w:szCs w:val="34"/>
                <w:lang w:eastAsia="zh-CN"/>
              </w:rPr>
            </w:pPr>
            <w:bookmarkStart w:id="6" w:name="dtitle1" w:colFirst="0" w:colLast="0"/>
            <w:bookmarkEnd w:id="5"/>
            <w:r w:rsidRPr="00BF38AF">
              <w:rPr>
                <w:rFonts w:asciiTheme="majorEastAsia" w:eastAsiaTheme="majorEastAsia" w:hAnsiTheme="majorEastAsia" w:cs="Microsoft YaHei" w:hint="eastAsia"/>
                <w:color w:val="000000"/>
                <w:szCs w:val="34"/>
                <w:lang w:eastAsia="zh-CN"/>
              </w:rPr>
              <w:t>实现新的</w:t>
            </w:r>
            <w:r w:rsidRPr="00BF38AF">
              <w:rPr>
                <w:rFonts w:asciiTheme="majorEastAsia" w:eastAsiaTheme="majorEastAsia" w:hAnsiTheme="majorEastAsia" w:cs="Segoe UI"/>
                <w:color w:val="000000"/>
                <w:szCs w:val="34"/>
                <w:lang w:eastAsia="zh-CN"/>
              </w:rPr>
              <w:t>“</w:t>
            </w:r>
            <w:r w:rsidRPr="00BF38AF">
              <w:rPr>
                <w:rFonts w:asciiTheme="majorEastAsia" w:eastAsiaTheme="majorEastAsia" w:hAnsiTheme="majorEastAsia" w:cs="Microsoft YaHei" w:hint="eastAsia"/>
                <w:color w:val="000000"/>
                <w:szCs w:val="34"/>
                <w:lang w:eastAsia="zh-CN"/>
              </w:rPr>
              <w:t>国际电联是一家</w:t>
            </w:r>
            <w:r w:rsidRPr="00BF38AF">
              <w:rPr>
                <w:rFonts w:asciiTheme="majorEastAsia" w:eastAsiaTheme="majorEastAsia" w:hAnsiTheme="majorEastAsia" w:cs="Segoe UI"/>
                <w:color w:val="000000"/>
                <w:szCs w:val="34"/>
                <w:lang w:eastAsia="zh-CN"/>
              </w:rPr>
              <w:t>”</w:t>
            </w:r>
            <w:r w:rsidRPr="00BF38AF">
              <w:rPr>
                <w:rFonts w:asciiTheme="majorEastAsia" w:eastAsiaTheme="majorEastAsia" w:hAnsiTheme="majorEastAsia" w:cs="Microsoft YaHei" w:hint="eastAsia"/>
                <w:color w:val="000000"/>
                <w:szCs w:val="34"/>
                <w:lang w:eastAsia="zh-CN"/>
              </w:rPr>
              <w:t>资源筹措战略</w:t>
            </w:r>
          </w:p>
        </w:tc>
      </w:tr>
      <w:tr w:rsidR="00E24D59" w:rsidRPr="00813E5E" w14:paraId="5F0E9F17" w14:textId="77777777" w:rsidTr="00E31DCE">
        <w:trPr>
          <w:cantSplit/>
        </w:trPr>
        <w:tc>
          <w:tcPr>
            <w:tcW w:w="9214" w:type="dxa"/>
            <w:gridSpan w:val="2"/>
            <w:tcBorders>
              <w:top w:val="single" w:sz="4" w:space="0" w:color="auto"/>
              <w:bottom w:val="single" w:sz="4" w:space="0" w:color="auto"/>
            </w:tcBorders>
            <w:tcMar>
              <w:left w:w="0" w:type="dxa"/>
            </w:tcMar>
          </w:tcPr>
          <w:p w14:paraId="3E8785B7" w14:textId="09DE309D"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目的</w:t>
            </w:r>
          </w:p>
          <w:p w14:paraId="6EA0FB1D" w14:textId="62BBC638" w:rsidR="00EF46CD" w:rsidRPr="00024DA8" w:rsidRDefault="00BF38AF" w:rsidP="004739CC">
            <w:pPr>
              <w:pStyle w:val="Subtitle"/>
              <w:framePr w:hSpace="0" w:wrap="auto" w:hAnchor="text" w:xAlign="left" w:yAlign="inline"/>
              <w:ind w:firstLineChars="200" w:firstLine="480"/>
              <w:rPr>
                <w:rFonts w:eastAsia="SimSun" w:cs="Microsoft YaHei"/>
                <w:sz w:val="24"/>
                <w:szCs w:val="24"/>
                <w:lang w:eastAsia="zh-CN"/>
              </w:rPr>
            </w:pPr>
            <w:r w:rsidRPr="00024DA8">
              <w:rPr>
                <w:rFonts w:eastAsia="SimSun" w:cs="Microsoft YaHei" w:hint="eastAsia"/>
                <w:sz w:val="24"/>
                <w:szCs w:val="24"/>
                <w:lang w:eastAsia="zh-CN"/>
              </w:rPr>
              <w:t>全权代表</w:t>
            </w:r>
            <w:r w:rsidR="00024DA8" w:rsidRPr="00024DA8">
              <w:rPr>
                <w:rFonts w:eastAsia="SimSun" w:cs="Microsoft YaHei" w:hint="eastAsia"/>
                <w:sz w:val="24"/>
                <w:szCs w:val="24"/>
                <w:lang w:eastAsia="zh-CN"/>
              </w:rPr>
              <w:t>大会</w:t>
            </w:r>
            <w:r w:rsidRPr="00024DA8">
              <w:rPr>
                <w:rFonts w:eastAsia="SimSun" w:cs="Microsoft YaHei" w:hint="eastAsia"/>
                <w:sz w:val="24"/>
                <w:szCs w:val="24"/>
                <w:lang w:eastAsia="zh-CN"/>
              </w:rPr>
              <w:t>（</w:t>
            </w:r>
            <w:r w:rsidRPr="00024DA8">
              <w:rPr>
                <w:rFonts w:eastAsia="SimSun" w:cs="Microsoft YaHei" w:hint="eastAsia"/>
                <w:sz w:val="24"/>
                <w:szCs w:val="24"/>
                <w:lang w:eastAsia="zh-CN"/>
              </w:rPr>
              <w:t>2022</w:t>
            </w:r>
            <w:r w:rsidRPr="00024DA8">
              <w:rPr>
                <w:rFonts w:eastAsia="SimSun" w:cs="Microsoft YaHei" w:hint="eastAsia"/>
                <w:sz w:val="24"/>
                <w:szCs w:val="24"/>
                <w:lang w:eastAsia="zh-CN"/>
              </w:rPr>
              <w:t>年，布加勒斯特）在第</w:t>
            </w:r>
            <w:r w:rsidRPr="00024DA8">
              <w:rPr>
                <w:rFonts w:eastAsia="SimSun" w:cs="Microsoft YaHei" w:hint="eastAsia"/>
                <w:sz w:val="24"/>
                <w:szCs w:val="24"/>
                <w:lang w:eastAsia="zh-CN"/>
              </w:rPr>
              <w:t>5</w:t>
            </w:r>
            <w:r w:rsidRPr="00024DA8">
              <w:rPr>
                <w:rFonts w:eastAsia="SimSun" w:cs="Microsoft YaHei" w:hint="eastAsia"/>
                <w:sz w:val="24"/>
                <w:szCs w:val="24"/>
                <w:lang w:eastAsia="zh-CN"/>
              </w:rPr>
              <w:t>号决定（</w:t>
            </w:r>
            <w:r w:rsidRPr="00024DA8">
              <w:rPr>
                <w:rFonts w:eastAsia="SimSun" w:cs="Microsoft YaHei" w:hint="eastAsia"/>
                <w:sz w:val="24"/>
                <w:szCs w:val="24"/>
                <w:lang w:eastAsia="zh-CN"/>
              </w:rPr>
              <w:t>2022</w:t>
            </w:r>
            <w:r w:rsidRPr="00024DA8">
              <w:rPr>
                <w:rFonts w:eastAsia="SimSun" w:cs="Microsoft YaHei" w:hint="eastAsia"/>
                <w:sz w:val="24"/>
                <w:szCs w:val="24"/>
                <w:lang w:eastAsia="zh-CN"/>
              </w:rPr>
              <w:t>年，布加勒斯特</w:t>
            </w:r>
            <w:r w:rsidR="00024DA8" w:rsidRPr="00024DA8">
              <w:rPr>
                <w:rFonts w:eastAsia="SimSun" w:cs="Microsoft YaHei" w:hint="eastAsia"/>
                <w:sz w:val="24"/>
                <w:szCs w:val="24"/>
                <w:lang w:eastAsia="zh-CN"/>
              </w:rPr>
              <w:t>，</w:t>
            </w:r>
            <w:r w:rsidRPr="00024DA8">
              <w:rPr>
                <w:rFonts w:eastAsia="SimSun" w:cs="Microsoft YaHei" w:hint="eastAsia"/>
                <w:sz w:val="24"/>
                <w:szCs w:val="24"/>
                <w:lang w:eastAsia="zh-CN"/>
              </w:rPr>
              <w:t>修订版）中</w:t>
            </w:r>
            <w:r w:rsidR="00024DA8" w:rsidRPr="00024DA8">
              <w:rPr>
                <w:rFonts w:eastAsia="SimSun" w:cs="Microsoft YaHei" w:hint="eastAsia"/>
                <w:sz w:val="24"/>
                <w:szCs w:val="24"/>
                <w:lang w:eastAsia="zh-CN"/>
              </w:rPr>
              <w:t>责成</w:t>
            </w:r>
            <w:r w:rsidRPr="00024DA8">
              <w:rPr>
                <w:rFonts w:eastAsia="SimSun" w:cs="Microsoft YaHei" w:hint="eastAsia"/>
                <w:sz w:val="24"/>
                <w:szCs w:val="24"/>
                <w:lang w:eastAsia="zh-CN"/>
              </w:rPr>
              <w:t>秘书长制定整个国际电联的资源</w:t>
            </w:r>
            <w:r w:rsidR="00024DA8" w:rsidRPr="00024DA8">
              <w:rPr>
                <w:rFonts w:eastAsia="SimSun" w:cs="Microsoft YaHei" w:hint="eastAsia"/>
                <w:sz w:val="24"/>
                <w:szCs w:val="24"/>
                <w:lang w:eastAsia="zh-CN"/>
              </w:rPr>
              <w:t>筹措</w:t>
            </w:r>
            <w:r w:rsidRPr="00024DA8">
              <w:rPr>
                <w:rFonts w:eastAsia="SimSun" w:cs="Microsoft YaHei" w:hint="eastAsia"/>
                <w:sz w:val="24"/>
                <w:szCs w:val="24"/>
                <w:lang w:eastAsia="zh-CN"/>
              </w:rPr>
              <w:t>战略，以解决满足组织优先事项的额外资金需求，并将其提交国际电联理事会</w:t>
            </w:r>
            <w:r w:rsidR="00024DA8" w:rsidRPr="00024DA8">
              <w:rPr>
                <w:rFonts w:eastAsia="SimSun" w:cs="Microsoft YaHei" w:hint="eastAsia"/>
                <w:sz w:val="24"/>
                <w:szCs w:val="24"/>
                <w:lang w:eastAsia="zh-CN"/>
              </w:rPr>
              <w:t>进行</w:t>
            </w:r>
            <w:r w:rsidRPr="00024DA8">
              <w:rPr>
                <w:rFonts w:eastAsia="SimSun" w:cs="Microsoft YaHei" w:hint="eastAsia"/>
                <w:sz w:val="24"/>
                <w:szCs w:val="24"/>
                <w:lang w:eastAsia="zh-CN"/>
              </w:rPr>
              <w:t>审查和指导</w:t>
            </w:r>
            <w:r w:rsidR="00024DA8">
              <w:rPr>
                <w:rFonts w:eastAsia="SimSun" w:cs="Microsoft YaHei" w:hint="eastAsia"/>
                <w:sz w:val="24"/>
                <w:szCs w:val="24"/>
                <w:lang w:eastAsia="zh-CN"/>
              </w:rPr>
              <w:t>落实</w:t>
            </w:r>
            <w:r w:rsidRPr="00024DA8">
              <w:rPr>
                <w:rFonts w:eastAsia="SimSun" w:cs="Microsoft YaHei" w:hint="eastAsia"/>
                <w:sz w:val="24"/>
                <w:szCs w:val="24"/>
                <w:lang w:eastAsia="zh-CN"/>
              </w:rPr>
              <w:t>。</w:t>
            </w:r>
          </w:p>
          <w:p w14:paraId="70219C43" w14:textId="04CD1ACB" w:rsidR="00E24D59" w:rsidRPr="00024DA8" w:rsidRDefault="00BF38AF" w:rsidP="004739CC">
            <w:pPr>
              <w:pStyle w:val="Subtitle"/>
              <w:framePr w:hSpace="0" w:wrap="auto" w:hAnchor="text" w:xAlign="left" w:yAlign="inline"/>
              <w:ind w:firstLineChars="200" w:firstLine="480"/>
              <w:rPr>
                <w:rFonts w:eastAsia="SimSun" w:cs="Microsoft YaHei"/>
                <w:sz w:val="24"/>
                <w:szCs w:val="24"/>
                <w:lang w:eastAsia="zh-CN"/>
              </w:rPr>
            </w:pPr>
            <w:r w:rsidRPr="00024DA8">
              <w:rPr>
                <w:rFonts w:eastAsia="SimSun" w:cs="Microsoft YaHei" w:hint="eastAsia"/>
                <w:sz w:val="24"/>
                <w:szCs w:val="24"/>
                <w:lang w:eastAsia="zh-CN"/>
              </w:rPr>
              <w:t>本文件是</w:t>
            </w:r>
            <w:r w:rsidR="00C448A4">
              <w:rPr>
                <w:rFonts w:eastAsia="SimSun" w:cs="Microsoft YaHei" w:hint="eastAsia"/>
                <w:sz w:val="24"/>
                <w:szCs w:val="24"/>
                <w:lang w:eastAsia="zh-CN"/>
              </w:rPr>
              <w:t>为</w:t>
            </w:r>
            <w:r w:rsidRPr="00024DA8">
              <w:rPr>
                <w:rFonts w:eastAsia="SimSun" w:cs="Microsoft YaHei" w:hint="eastAsia"/>
                <w:sz w:val="24"/>
                <w:szCs w:val="24"/>
                <w:lang w:eastAsia="zh-CN"/>
              </w:rPr>
              <w:t>实现这一战略</w:t>
            </w:r>
            <w:r w:rsidR="00C448A4">
              <w:rPr>
                <w:rFonts w:eastAsia="SimSun" w:cs="Microsoft YaHei" w:hint="eastAsia"/>
                <w:sz w:val="24"/>
                <w:szCs w:val="24"/>
                <w:lang w:eastAsia="zh-CN"/>
              </w:rPr>
              <w:t>而迈出</w:t>
            </w:r>
            <w:r w:rsidRPr="00024DA8">
              <w:rPr>
                <w:rFonts w:eastAsia="SimSun" w:cs="Microsoft YaHei" w:hint="eastAsia"/>
                <w:sz w:val="24"/>
                <w:szCs w:val="24"/>
                <w:lang w:eastAsia="zh-CN"/>
              </w:rPr>
              <w:t>的第一步。它提供了</w:t>
            </w:r>
            <w:r w:rsidR="00024DA8">
              <w:rPr>
                <w:rFonts w:eastAsia="SimSun" w:cs="Microsoft YaHei" w:hint="eastAsia"/>
                <w:sz w:val="24"/>
                <w:szCs w:val="24"/>
                <w:lang w:eastAsia="zh-CN"/>
              </w:rPr>
              <w:t>基础型</w:t>
            </w:r>
            <w:r w:rsidRPr="00024DA8">
              <w:rPr>
                <w:rFonts w:eastAsia="SimSun" w:cs="Microsoft YaHei" w:hint="eastAsia"/>
                <w:sz w:val="24"/>
                <w:szCs w:val="24"/>
                <w:lang w:eastAsia="zh-CN"/>
              </w:rPr>
              <w:t>数据和背景资料，以及秘书处的初步计划和对理事会的建议。本文件的目的是确定加强</w:t>
            </w:r>
            <w:r w:rsidR="00024DA8">
              <w:rPr>
                <w:rFonts w:eastAsia="SimSun" w:cs="Microsoft YaHei" w:hint="eastAsia"/>
                <w:sz w:val="24"/>
                <w:szCs w:val="24"/>
                <w:lang w:eastAsia="zh-CN"/>
              </w:rPr>
              <w:t>正常</w:t>
            </w:r>
            <w:r w:rsidRPr="00024DA8">
              <w:rPr>
                <w:rFonts w:eastAsia="SimSun" w:cs="Microsoft YaHei" w:hint="eastAsia"/>
                <w:sz w:val="24"/>
                <w:szCs w:val="24"/>
                <w:lang w:eastAsia="zh-CN"/>
              </w:rPr>
              <w:t>预算和预算外收入的方法。根据理事会</w:t>
            </w:r>
            <w:r w:rsidRPr="00024DA8">
              <w:rPr>
                <w:rFonts w:eastAsia="SimSun" w:cs="Microsoft YaHei" w:hint="eastAsia"/>
                <w:sz w:val="24"/>
                <w:szCs w:val="24"/>
                <w:lang w:eastAsia="zh-CN"/>
              </w:rPr>
              <w:t>2023</w:t>
            </w:r>
            <w:r w:rsidRPr="00024DA8">
              <w:rPr>
                <w:rFonts w:eastAsia="SimSun" w:cs="Microsoft YaHei" w:hint="eastAsia"/>
                <w:sz w:val="24"/>
                <w:szCs w:val="24"/>
                <w:lang w:eastAsia="zh-CN"/>
              </w:rPr>
              <w:t>年会议的</w:t>
            </w:r>
            <w:r w:rsidR="00024DA8">
              <w:rPr>
                <w:rFonts w:eastAsia="SimSun" w:cs="Microsoft YaHei" w:hint="eastAsia"/>
                <w:sz w:val="24"/>
                <w:szCs w:val="24"/>
                <w:lang w:eastAsia="zh-CN"/>
              </w:rPr>
              <w:t>输入意见</w:t>
            </w:r>
            <w:r w:rsidRPr="00024DA8">
              <w:rPr>
                <w:rFonts w:eastAsia="SimSun" w:cs="Microsoft YaHei" w:hint="eastAsia"/>
                <w:sz w:val="24"/>
                <w:szCs w:val="24"/>
                <w:lang w:eastAsia="zh-CN"/>
              </w:rPr>
              <w:t>，秘书处将完善所提出的概念，并进一步制定战略，提交</w:t>
            </w:r>
            <w:r w:rsidR="00024DA8">
              <w:rPr>
                <w:rFonts w:eastAsia="SimSun" w:cs="Microsoft YaHei" w:hint="eastAsia"/>
                <w:sz w:val="24"/>
                <w:szCs w:val="24"/>
                <w:lang w:eastAsia="zh-CN"/>
              </w:rPr>
              <w:t>至理事会</w:t>
            </w:r>
            <w:r w:rsidRPr="00024DA8">
              <w:rPr>
                <w:rFonts w:eastAsia="SimSun" w:cs="Microsoft YaHei" w:hint="eastAsia"/>
                <w:sz w:val="24"/>
                <w:szCs w:val="24"/>
                <w:lang w:eastAsia="zh-CN"/>
              </w:rPr>
              <w:t>2024</w:t>
            </w:r>
            <w:r w:rsidRPr="00024DA8">
              <w:rPr>
                <w:rFonts w:eastAsia="SimSun" w:cs="Microsoft YaHei" w:hint="eastAsia"/>
                <w:sz w:val="24"/>
                <w:szCs w:val="24"/>
                <w:lang w:eastAsia="zh-CN"/>
              </w:rPr>
              <w:t>年会议</w:t>
            </w:r>
            <w:r w:rsidR="00024DA8">
              <w:rPr>
                <w:rFonts w:eastAsia="SimSun" w:cs="Microsoft YaHei" w:hint="eastAsia"/>
                <w:sz w:val="24"/>
                <w:szCs w:val="24"/>
                <w:lang w:eastAsia="zh-CN"/>
              </w:rPr>
              <w:t>。</w:t>
            </w:r>
          </w:p>
          <w:p w14:paraId="5474ADED"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理事会需采取的行动</w:t>
            </w:r>
          </w:p>
          <w:p w14:paraId="1B41330B" w14:textId="77966FB8" w:rsidR="00E24D59" w:rsidRPr="00C22097" w:rsidRDefault="00576871" w:rsidP="004739CC">
            <w:pPr>
              <w:pStyle w:val="Subtitle"/>
              <w:framePr w:hSpace="0" w:wrap="auto" w:hAnchor="text" w:xAlign="left" w:yAlign="inline"/>
              <w:ind w:firstLineChars="200" w:firstLine="480"/>
              <w:rPr>
                <w:rFonts w:ascii="SimSun" w:eastAsia="SimSun" w:hAnsi="SimSun" w:cstheme="minorHAnsi"/>
                <w:b/>
                <w:bCs/>
                <w:sz w:val="24"/>
                <w:szCs w:val="24"/>
                <w:lang w:eastAsia="zh-CN"/>
              </w:rPr>
            </w:pPr>
            <w:r w:rsidRPr="00576871">
              <w:rPr>
                <w:rFonts w:eastAsia="SimSun" w:cs="Microsoft YaHei" w:hint="eastAsia"/>
                <w:sz w:val="24"/>
                <w:szCs w:val="24"/>
                <w:lang w:eastAsia="zh-CN"/>
              </w:rPr>
              <w:t>请理事会将本文件</w:t>
            </w:r>
            <w:r w:rsidRPr="00576871">
              <w:rPr>
                <w:rFonts w:eastAsia="SimSun" w:cs="Microsoft YaHei" w:hint="eastAsia"/>
                <w:b/>
                <w:bCs/>
                <w:sz w:val="24"/>
                <w:szCs w:val="24"/>
                <w:lang w:eastAsia="zh-CN"/>
              </w:rPr>
              <w:t>记录在案</w:t>
            </w:r>
            <w:r w:rsidRPr="00576871">
              <w:rPr>
                <w:rFonts w:eastAsia="SimSun" w:cs="Microsoft YaHei" w:hint="eastAsia"/>
                <w:sz w:val="24"/>
                <w:szCs w:val="24"/>
                <w:lang w:eastAsia="zh-CN"/>
              </w:rPr>
              <w:t>。</w:t>
            </w:r>
          </w:p>
          <w:p w14:paraId="2F4FED96" w14:textId="0073CDD2" w:rsidR="00E24D59" w:rsidRPr="00BF38AF" w:rsidRDefault="00EC06B4" w:rsidP="00E24D59">
            <w:pPr>
              <w:pStyle w:val="Subtitle"/>
              <w:framePr w:hSpace="0" w:wrap="auto" w:hAnchor="text" w:xAlign="left" w:yAlign="inline"/>
              <w:rPr>
                <w:rFonts w:ascii="SimSun" w:eastAsia="SimSun" w:hAnsi="SimSun" w:cstheme="minorHAnsi"/>
                <w:b/>
                <w:bCs/>
                <w:sz w:val="26"/>
                <w:szCs w:val="26"/>
                <w:lang w:val="en-US" w:eastAsia="zh-CN"/>
              </w:rPr>
            </w:pPr>
            <w:r>
              <w:rPr>
                <w:rFonts w:ascii="SimSun" w:eastAsia="SimSun" w:hAnsi="SimSun" w:cstheme="minorHAnsi" w:hint="eastAsia"/>
                <w:b/>
                <w:bCs/>
                <w:sz w:val="26"/>
                <w:szCs w:val="26"/>
                <w:lang w:eastAsia="zh-CN"/>
              </w:rPr>
              <w:t>与</w:t>
            </w:r>
            <w:r w:rsidR="00E24D59" w:rsidRPr="00E24D59">
              <w:rPr>
                <w:rFonts w:ascii="SimSun" w:eastAsia="SimSun" w:hAnsi="SimSun" w:cstheme="minorHAnsi"/>
                <w:b/>
                <w:bCs/>
                <w:sz w:val="26"/>
                <w:szCs w:val="26"/>
                <w:lang w:eastAsia="zh-CN"/>
              </w:rPr>
              <w:t>《战略规划》</w:t>
            </w:r>
            <w:r>
              <w:rPr>
                <w:rFonts w:ascii="SimSun" w:eastAsia="SimSun" w:hAnsi="SimSun" w:cstheme="minorHAnsi" w:hint="eastAsia"/>
                <w:b/>
                <w:bCs/>
                <w:sz w:val="26"/>
                <w:szCs w:val="26"/>
                <w:lang w:eastAsia="zh-CN"/>
              </w:rPr>
              <w:t>的关联</w:t>
            </w:r>
          </w:p>
          <w:p w14:paraId="285A5D00" w14:textId="125B4C30" w:rsidR="00E24D59" w:rsidRPr="00C22097" w:rsidRDefault="00BF38AF" w:rsidP="004739CC">
            <w:pPr>
              <w:pStyle w:val="Subtitle"/>
              <w:framePr w:hSpace="0" w:wrap="auto" w:hAnchor="text" w:xAlign="left" w:yAlign="inline"/>
              <w:ind w:firstLineChars="200" w:firstLine="480"/>
              <w:rPr>
                <w:rFonts w:ascii="SimSun" w:eastAsia="SimSun" w:hAnsi="SimSun" w:cstheme="minorHAnsi"/>
                <w:b/>
                <w:bCs/>
                <w:sz w:val="24"/>
                <w:szCs w:val="24"/>
                <w:lang w:eastAsia="zh-CN"/>
              </w:rPr>
            </w:pPr>
            <w:r w:rsidRPr="00BF38AF">
              <w:rPr>
                <w:rFonts w:eastAsia="SimSun" w:cs="Microsoft YaHei" w:hint="eastAsia"/>
                <w:sz w:val="24"/>
                <w:szCs w:val="24"/>
                <w:lang w:eastAsia="zh-CN"/>
              </w:rPr>
              <w:t>资源筹措。</w:t>
            </w:r>
          </w:p>
          <w:p w14:paraId="2DAE83BF" w14:textId="7DEBA0A1" w:rsid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财务影响</w:t>
            </w:r>
          </w:p>
          <w:p w14:paraId="537E2B43" w14:textId="48D3D615" w:rsidR="00C22097" w:rsidRPr="00C22097" w:rsidRDefault="00BF38AF" w:rsidP="004739CC">
            <w:pPr>
              <w:pStyle w:val="Subtitle"/>
              <w:framePr w:hSpace="0" w:wrap="auto" w:hAnchor="text" w:xAlign="left" w:yAlign="inline"/>
              <w:ind w:firstLineChars="200" w:firstLine="480"/>
              <w:rPr>
                <w:rFonts w:ascii="SimSun" w:eastAsia="SimSun" w:hAnsi="SimSun" w:cstheme="minorHAnsi"/>
                <w:b/>
                <w:bCs/>
                <w:sz w:val="24"/>
                <w:szCs w:val="24"/>
                <w:lang w:eastAsia="zh-CN"/>
              </w:rPr>
            </w:pPr>
            <w:r w:rsidRPr="004739CC">
              <w:rPr>
                <w:rFonts w:eastAsia="SimSun" w:cs="Microsoft YaHei" w:hint="eastAsia"/>
                <w:sz w:val="24"/>
                <w:szCs w:val="24"/>
                <w:lang w:eastAsia="zh-CN"/>
              </w:rPr>
              <w:t>有可能增加</w:t>
            </w:r>
            <w:r w:rsidR="004739CC">
              <w:rPr>
                <w:rFonts w:eastAsia="SimSun" w:cs="Microsoft YaHei" w:hint="eastAsia"/>
                <w:sz w:val="24"/>
                <w:szCs w:val="24"/>
                <w:lang w:eastAsia="zh-CN"/>
              </w:rPr>
              <w:t>正常</w:t>
            </w:r>
            <w:r w:rsidRPr="004739CC">
              <w:rPr>
                <w:rFonts w:eastAsia="SimSun" w:cs="Microsoft YaHei" w:hint="eastAsia"/>
                <w:sz w:val="24"/>
                <w:szCs w:val="24"/>
                <w:lang w:eastAsia="zh-CN"/>
              </w:rPr>
              <w:t>预算和预算外资金。</w:t>
            </w:r>
          </w:p>
          <w:p w14:paraId="1B00F973"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0F6E7A0F"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1C4D5DA7" w14:textId="6E5D408B" w:rsidR="00E24D59" w:rsidRDefault="00BF38AF" w:rsidP="00E31DCE">
            <w:pPr>
              <w:spacing w:after="160"/>
              <w:rPr>
                <w:lang w:eastAsia="zh-CN"/>
              </w:rPr>
            </w:pPr>
            <w:r w:rsidRPr="004F17CD">
              <w:rPr>
                <w:rFonts w:eastAsia="STKaiti" w:hint="eastAsia"/>
                <w:lang w:eastAsia="zh-CN"/>
              </w:rPr>
              <w:t>全权代表</w:t>
            </w:r>
            <w:r w:rsidR="004739CC" w:rsidRPr="004F17CD">
              <w:rPr>
                <w:rFonts w:eastAsia="STKaiti" w:hint="eastAsia"/>
                <w:lang w:eastAsia="zh-CN"/>
              </w:rPr>
              <w:t>大会</w:t>
            </w:r>
            <w:hyperlink r:id="rId8" w:history="1">
              <w:r w:rsidR="004739CC" w:rsidRPr="004F17CD">
                <w:rPr>
                  <w:rStyle w:val="Hyperlink"/>
                  <w:rFonts w:ascii="STKaiti" w:eastAsia="STKaiti" w:hAnsi="STKaiti"/>
                  <w:lang w:eastAsia="zh-CN"/>
                </w:rPr>
                <w:t>第</w:t>
              </w:r>
              <w:r w:rsidR="004739CC" w:rsidRPr="004F17CD">
                <w:rPr>
                  <w:rStyle w:val="Hyperlink"/>
                  <w:rFonts w:ascii="Times New Roman" w:eastAsia="STKaiti" w:hAnsi="Times New Roman"/>
                  <w:lang w:eastAsia="zh-CN"/>
                </w:rPr>
                <w:t>5</w:t>
              </w:r>
              <w:r w:rsidR="004739CC" w:rsidRPr="004F17CD">
                <w:rPr>
                  <w:rStyle w:val="Hyperlink"/>
                  <w:rFonts w:ascii="STKaiti" w:eastAsia="STKaiti" w:hAnsi="STKaiti"/>
                  <w:lang w:eastAsia="zh-CN"/>
                </w:rPr>
                <w:t>号</w:t>
              </w:r>
              <w:r w:rsidRPr="004F17CD">
                <w:rPr>
                  <w:rStyle w:val="Hyperlink"/>
                  <w:rFonts w:ascii="STKaiti" w:eastAsia="STKaiti" w:hAnsi="STKaiti"/>
                  <w:lang w:eastAsia="zh-CN"/>
                </w:rPr>
                <w:t>决定</w:t>
              </w:r>
            </w:hyperlink>
            <w:r w:rsidRPr="004F17CD">
              <w:rPr>
                <w:rFonts w:eastAsia="STKaiti" w:hint="eastAsia"/>
                <w:lang w:eastAsia="zh-CN"/>
              </w:rPr>
              <w:t>（</w:t>
            </w:r>
            <w:r w:rsidRPr="004F17CD">
              <w:rPr>
                <w:rFonts w:eastAsia="STKaiti" w:hint="eastAsia"/>
                <w:lang w:eastAsia="zh-CN"/>
              </w:rPr>
              <w:t>2022</w:t>
            </w:r>
            <w:r w:rsidRPr="004F17CD">
              <w:rPr>
                <w:rFonts w:eastAsia="STKaiti" w:hint="eastAsia"/>
                <w:lang w:eastAsia="zh-CN"/>
              </w:rPr>
              <w:t>年</w:t>
            </w:r>
            <w:r w:rsidR="004739CC" w:rsidRPr="004F17CD">
              <w:rPr>
                <w:rFonts w:eastAsia="STKaiti" w:hint="eastAsia"/>
                <w:lang w:eastAsia="zh-CN"/>
              </w:rPr>
              <w:t>，</w:t>
            </w:r>
            <w:r w:rsidRPr="004F17CD">
              <w:rPr>
                <w:rFonts w:eastAsia="STKaiti" w:hint="eastAsia"/>
                <w:lang w:eastAsia="zh-CN"/>
              </w:rPr>
              <w:t>布加勒斯特</w:t>
            </w:r>
            <w:r w:rsidR="004739CC" w:rsidRPr="004F17CD">
              <w:rPr>
                <w:rFonts w:eastAsia="STKaiti" w:hint="eastAsia"/>
                <w:lang w:eastAsia="zh-CN"/>
              </w:rPr>
              <w:t>，</w:t>
            </w:r>
            <w:r w:rsidRPr="004F17CD">
              <w:rPr>
                <w:rFonts w:eastAsia="STKaiti" w:hint="eastAsia"/>
                <w:lang w:eastAsia="zh-CN"/>
              </w:rPr>
              <w:t>修订版）；理事会</w:t>
            </w:r>
            <w:hyperlink r:id="rId9" w:history="1">
              <w:r w:rsidRPr="004F17CD">
                <w:rPr>
                  <w:rStyle w:val="Hyperlink"/>
                  <w:rFonts w:eastAsia="STKaiti" w:hint="eastAsia"/>
                  <w:lang w:eastAsia="zh-CN"/>
                </w:rPr>
                <w:t>C17/67</w:t>
              </w:r>
            </w:hyperlink>
            <w:r w:rsidR="004739CC" w:rsidRPr="004F17CD">
              <w:rPr>
                <w:rFonts w:eastAsia="STKaiti" w:hint="eastAsia"/>
                <w:lang w:eastAsia="zh-CN"/>
              </w:rPr>
              <w:t>号</w:t>
            </w:r>
            <w:r w:rsidRPr="004F17CD">
              <w:rPr>
                <w:rFonts w:eastAsia="STKaiti" w:hint="eastAsia"/>
                <w:lang w:eastAsia="zh-CN"/>
              </w:rPr>
              <w:t>和</w:t>
            </w:r>
            <w:hyperlink r:id="rId10" w:history="1">
              <w:r w:rsidRPr="004F17CD">
                <w:rPr>
                  <w:rStyle w:val="Hyperlink"/>
                  <w:rFonts w:eastAsia="STKaiti" w:hint="eastAsia"/>
                  <w:lang w:eastAsia="zh-CN"/>
                </w:rPr>
                <w:t>C23/INF/12</w:t>
              </w:r>
            </w:hyperlink>
            <w:r w:rsidR="004739CC" w:rsidRPr="004F17CD">
              <w:rPr>
                <w:rFonts w:eastAsia="STKaiti" w:hint="eastAsia"/>
                <w:lang w:eastAsia="zh-CN"/>
              </w:rPr>
              <w:t>号文件</w:t>
            </w:r>
            <w:r w:rsidRPr="004F17CD">
              <w:rPr>
                <w:rFonts w:eastAsia="STKaiti" w:hint="eastAsia"/>
                <w:lang w:eastAsia="zh-CN"/>
              </w:rPr>
              <w:t>；</w:t>
            </w:r>
            <w:hyperlink r:id="rId11" w:history="1">
              <w:r w:rsidRPr="004F17CD">
                <w:rPr>
                  <w:rStyle w:val="Hyperlink"/>
                  <w:rFonts w:eastAsia="STKaiti" w:hint="eastAsia"/>
                  <w:lang w:eastAsia="zh-CN"/>
                </w:rPr>
                <w:t>《基加利行动计划》</w:t>
              </w:r>
            </w:hyperlink>
            <w:r w:rsidRPr="00BF38AF">
              <w:rPr>
                <w:rFonts w:hint="eastAsia"/>
                <w:lang w:eastAsia="zh-CN"/>
              </w:rPr>
              <w:t>。</w:t>
            </w:r>
          </w:p>
        </w:tc>
      </w:tr>
      <w:bookmarkEnd w:id="2"/>
      <w:bookmarkEnd w:id="6"/>
    </w:tbl>
    <w:p w14:paraId="6D3F1F24"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1BAF038B" w14:textId="795EB566" w:rsidR="00EF46CD" w:rsidRPr="00D36338" w:rsidRDefault="00EF46CD" w:rsidP="003C25DC">
      <w:pPr>
        <w:pStyle w:val="Heading1"/>
        <w:rPr>
          <w:lang w:eastAsia="zh-CN"/>
        </w:rPr>
      </w:pPr>
      <w:r w:rsidRPr="00D36338">
        <w:rPr>
          <w:lang w:eastAsia="zh-CN"/>
        </w:rPr>
        <w:lastRenderedPageBreak/>
        <w:t>1</w:t>
      </w:r>
      <w:r w:rsidRPr="00D36338">
        <w:rPr>
          <w:lang w:eastAsia="zh-CN"/>
        </w:rPr>
        <w:tab/>
      </w:r>
      <w:r w:rsidR="004739CC" w:rsidRPr="00D36338">
        <w:rPr>
          <w:rFonts w:hint="eastAsia"/>
          <w:lang w:eastAsia="zh-CN"/>
        </w:rPr>
        <w:t>背景</w:t>
      </w:r>
    </w:p>
    <w:p w14:paraId="2427B0F5" w14:textId="6C0474F2" w:rsidR="00EF46CD" w:rsidRPr="00EE58F2" w:rsidRDefault="00EF46CD" w:rsidP="00EF46CD">
      <w:pPr>
        <w:overflowPunct/>
        <w:autoSpaceDE/>
        <w:autoSpaceDN/>
        <w:adjustRightInd/>
        <w:spacing w:after="120"/>
        <w:jc w:val="both"/>
        <w:textAlignment w:val="auto"/>
        <w:rPr>
          <w:lang w:eastAsia="zh-CN"/>
        </w:rPr>
      </w:pPr>
      <w:r w:rsidRPr="00EE58F2">
        <w:rPr>
          <w:lang w:eastAsia="zh-CN"/>
        </w:rPr>
        <w:t>1.1</w:t>
      </w:r>
      <w:r>
        <w:rPr>
          <w:lang w:eastAsia="zh-CN"/>
        </w:rPr>
        <w:tab/>
      </w:r>
      <w:r w:rsidR="004739CC" w:rsidRPr="00024DA8">
        <w:rPr>
          <w:rFonts w:cs="Microsoft YaHei" w:hint="eastAsia"/>
          <w:szCs w:val="24"/>
          <w:lang w:eastAsia="zh-CN"/>
        </w:rPr>
        <w:t>全权代表大会（</w:t>
      </w:r>
      <w:r w:rsidR="004739CC" w:rsidRPr="00024DA8">
        <w:rPr>
          <w:rFonts w:cs="Microsoft YaHei" w:hint="eastAsia"/>
          <w:szCs w:val="24"/>
          <w:lang w:eastAsia="zh-CN"/>
        </w:rPr>
        <w:t>2022</w:t>
      </w:r>
      <w:r w:rsidR="004739CC" w:rsidRPr="00024DA8">
        <w:rPr>
          <w:rFonts w:cs="Microsoft YaHei" w:hint="eastAsia"/>
          <w:szCs w:val="24"/>
          <w:lang w:eastAsia="zh-CN"/>
        </w:rPr>
        <w:t>年，布加勒斯特）在第</w:t>
      </w:r>
      <w:r w:rsidR="004739CC" w:rsidRPr="00024DA8">
        <w:rPr>
          <w:rFonts w:cs="Microsoft YaHei" w:hint="eastAsia"/>
          <w:szCs w:val="24"/>
          <w:lang w:eastAsia="zh-CN"/>
        </w:rPr>
        <w:t>5</w:t>
      </w:r>
      <w:r w:rsidR="004739CC" w:rsidRPr="00024DA8">
        <w:rPr>
          <w:rFonts w:cs="Microsoft YaHei" w:hint="eastAsia"/>
          <w:szCs w:val="24"/>
          <w:lang w:eastAsia="zh-CN"/>
        </w:rPr>
        <w:t>号决定（</w:t>
      </w:r>
      <w:r w:rsidR="004739CC" w:rsidRPr="00024DA8">
        <w:rPr>
          <w:rFonts w:cs="Microsoft YaHei" w:hint="eastAsia"/>
          <w:szCs w:val="24"/>
          <w:lang w:eastAsia="zh-CN"/>
        </w:rPr>
        <w:t>2022</w:t>
      </w:r>
      <w:r w:rsidR="004739CC" w:rsidRPr="00024DA8">
        <w:rPr>
          <w:rFonts w:cs="Microsoft YaHei" w:hint="eastAsia"/>
          <w:szCs w:val="24"/>
          <w:lang w:eastAsia="zh-CN"/>
        </w:rPr>
        <w:t>年，布加勒斯特，修订版）中责成秘书长制定整个国际电联的资源筹措战略，以解决满足组织优先事项的额外资金需求，并将其提交国际电联理事会进行审查和指导</w:t>
      </w:r>
      <w:r w:rsidR="004739CC">
        <w:rPr>
          <w:rFonts w:cs="Microsoft YaHei" w:hint="eastAsia"/>
          <w:szCs w:val="24"/>
          <w:lang w:eastAsia="zh-CN"/>
        </w:rPr>
        <w:t>落实</w:t>
      </w:r>
      <w:r w:rsidR="004739CC" w:rsidRPr="00024DA8">
        <w:rPr>
          <w:rFonts w:cs="Microsoft YaHei" w:hint="eastAsia"/>
          <w:szCs w:val="24"/>
          <w:lang w:eastAsia="zh-CN"/>
        </w:rPr>
        <w:t>。</w:t>
      </w:r>
    </w:p>
    <w:p w14:paraId="21BC6918" w14:textId="2388AB54" w:rsidR="00EF46CD" w:rsidRDefault="00EF46CD" w:rsidP="00EF46CD">
      <w:pPr>
        <w:overflowPunct/>
        <w:autoSpaceDE/>
        <w:autoSpaceDN/>
        <w:adjustRightInd/>
        <w:spacing w:after="120"/>
        <w:jc w:val="both"/>
        <w:textAlignment w:val="auto"/>
        <w:rPr>
          <w:lang w:val="en-US" w:eastAsia="zh-CN"/>
        </w:rPr>
      </w:pPr>
      <w:r w:rsidRPr="00EE58F2">
        <w:rPr>
          <w:lang w:val="en-US" w:eastAsia="zh-CN"/>
        </w:rPr>
        <w:t>1.2</w:t>
      </w:r>
      <w:r>
        <w:rPr>
          <w:lang w:val="en-US" w:eastAsia="zh-CN"/>
        </w:rPr>
        <w:tab/>
      </w:r>
      <w:r w:rsidR="004739CC" w:rsidRPr="004739CC">
        <w:rPr>
          <w:rFonts w:hint="eastAsia"/>
          <w:lang w:val="en-US" w:eastAsia="zh-CN"/>
        </w:rPr>
        <w:t>此外，经</w:t>
      </w:r>
      <w:r w:rsidR="004739CC" w:rsidRPr="004739CC">
        <w:rPr>
          <w:rFonts w:hint="eastAsia"/>
          <w:lang w:val="en-US" w:eastAsia="zh-CN"/>
        </w:rPr>
        <w:t>PP-22</w:t>
      </w:r>
      <w:r w:rsidR="004739CC" w:rsidRPr="004739CC">
        <w:rPr>
          <w:rFonts w:hint="eastAsia"/>
          <w:lang w:val="en-US" w:eastAsia="zh-CN"/>
        </w:rPr>
        <w:t>批准的</w:t>
      </w:r>
      <w:r w:rsidR="004739CC" w:rsidRPr="004739CC">
        <w:rPr>
          <w:rFonts w:hint="eastAsia"/>
          <w:lang w:val="en-US" w:eastAsia="zh-CN"/>
        </w:rPr>
        <w:t>2024-2027</w:t>
      </w:r>
      <w:r w:rsidR="004739CC">
        <w:rPr>
          <w:rFonts w:hint="eastAsia"/>
          <w:lang w:val="en-US" w:eastAsia="zh-CN"/>
        </w:rPr>
        <w:t>年</w:t>
      </w:r>
      <w:r w:rsidR="004739CC" w:rsidRPr="004739CC">
        <w:rPr>
          <w:rFonts w:hint="eastAsia"/>
          <w:lang w:val="en-US" w:eastAsia="zh-CN"/>
        </w:rPr>
        <w:t>国际电联战略</w:t>
      </w:r>
      <w:r w:rsidR="004739CC">
        <w:rPr>
          <w:rFonts w:hint="eastAsia"/>
          <w:lang w:val="en-US" w:eastAsia="zh-CN"/>
        </w:rPr>
        <w:t>规划注意到：</w:t>
      </w:r>
    </w:p>
    <w:p w14:paraId="54187923" w14:textId="4E9AEABD" w:rsidR="00EF46CD" w:rsidRPr="00EE58F2" w:rsidRDefault="002B44BA" w:rsidP="00CF2C52">
      <w:pPr>
        <w:ind w:firstLineChars="200" w:firstLine="480"/>
        <w:rPr>
          <w:lang w:eastAsia="zh-CN"/>
        </w:rPr>
      </w:pPr>
      <w:r>
        <w:rPr>
          <w:lang w:eastAsia="zh-CN"/>
        </w:rPr>
        <w:t>加快资源筹措工作和增加资金来源对于实现国际电联总体目标和加强国际电联对成员的支持至关重要。因此，国际电联认识到需要确定最有效的方式来筹措预算外资源，建设资源筹措能力并加强当前的筹资战略，同时利用合作伙伴的投入作为这些努力的补充。</w:t>
      </w:r>
      <w:r w:rsidR="003B5BF6" w:rsidRPr="003B5BF6">
        <w:rPr>
          <w:rFonts w:hint="eastAsia"/>
          <w:lang w:eastAsia="zh-CN"/>
        </w:rPr>
        <w:t>国际电联将制定长期财务承诺框架，</w:t>
      </w:r>
      <w:r>
        <w:rPr>
          <w:lang w:eastAsia="zh-CN"/>
        </w:rPr>
        <w:t>以</w:t>
      </w:r>
      <w:r w:rsidR="003B5BF6">
        <w:rPr>
          <w:rFonts w:hint="eastAsia"/>
          <w:lang w:eastAsia="zh-CN"/>
        </w:rPr>
        <w:t>便</w:t>
      </w:r>
      <w:r>
        <w:rPr>
          <w:lang w:eastAsia="zh-CN"/>
        </w:rPr>
        <w:t>有效地计划、安排和交付项目，增强资源流的可预测</w:t>
      </w:r>
      <w:r>
        <w:rPr>
          <w:rFonts w:ascii="SimSun" w:hAnsi="SimSun" w:cs="SimSun" w:hint="eastAsia"/>
          <w:lang w:eastAsia="zh-CN"/>
        </w:rPr>
        <w:t>性。</w:t>
      </w:r>
    </w:p>
    <w:p w14:paraId="49EC0F21" w14:textId="26FF3FC0" w:rsidR="00EF46CD" w:rsidRDefault="00EF46CD" w:rsidP="00EF46CD">
      <w:pPr>
        <w:overflowPunct/>
        <w:autoSpaceDE/>
        <w:autoSpaceDN/>
        <w:adjustRightInd/>
        <w:spacing w:after="120"/>
        <w:jc w:val="both"/>
        <w:textAlignment w:val="auto"/>
        <w:rPr>
          <w:i/>
          <w:iCs/>
          <w:lang w:eastAsia="zh-CN"/>
        </w:rPr>
      </w:pPr>
      <w:r w:rsidRPr="00EE58F2">
        <w:rPr>
          <w:lang w:eastAsia="zh-CN"/>
        </w:rPr>
        <w:t>1.3</w:t>
      </w:r>
      <w:r>
        <w:rPr>
          <w:lang w:eastAsia="zh-CN"/>
        </w:rPr>
        <w:tab/>
      </w:r>
      <w:r w:rsidR="00215809" w:rsidRPr="00215809">
        <w:rPr>
          <w:rFonts w:hint="eastAsia"/>
          <w:lang w:eastAsia="zh-CN"/>
        </w:rPr>
        <w:t>理事会在</w:t>
      </w:r>
      <w:r w:rsidR="00215809">
        <w:rPr>
          <w:rFonts w:hint="eastAsia"/>
          <w:lang w:eastAsia="zh-CN"/>
        </w:rPr>
        <w:t>其</w:t>
      </w:r>
      <w:r w:rsidR="00215809" w:rsidRPr="00215809">
        <w:rPr>
          <w:rFonts w:hint="eastAsia"/>
          <w:lang w:eastAsia="zh-CN"/>
        </w:rPr>
        <w:t>2017</w:t>
      </w:r>
      <w:r w:rsidR="00215809" w:rsidRPr="00215809">
        <w:rPr>
          <w:rFonts w:hint="eastAsia"/>
          <w:lang w:eastAsia="zh-CN"/>
        </w:rPr>
        <w:t>年的会议上</w:t>
      </w:r>
      <w:r w:rsidR="00215809">
        <w:rPr>
          <w:rFonts w:hint="eastAsia"/>
          <w:lang w:eastAsia="zh-CN"/>
        </w:rPr>
        <w:t>就</w:t>
      </w:r>
      <w:r w:rsidR="00215809" w:rsidRPr="00215809">
        <w:rPr>
          <w:rFonts w:hint="eastAsia"/>
          <w:lang w:eastAsia="zh-CN"/>
        </w:rPr>
        <w:t>资源</w:t>
      </w:r>
      <w:r w:rsidR="00215809">
        <w:rPr>
          <w:rFonts w:hint="eastAsia"/>
          <w:lang w:eastAsia="zh-CN"/>
        </w:rPr>
        <w:t>筹措</w:t>
      </w:r>
      <w:r w:rsidR="00215809" w:rsidRPr="00215809">
        <w:rPr>
          <w:rFonts w:hint="eastAsia"/>
          <w:lang w:eastAsia="zh-CN"/>
        </w:rPr>
        <w:t>的原则</w:t>
      </w:r>
      <w:r w:rsidR="00215809">
        <w:rPr>
          <w:rFonts w:hint="eastAsia"/>
          <w:lang w:eastAsia="zh-CN"/>
        </w:rPr>
        <w:t>达成了一致</w:t>
      </w:r>
      <w:r w:rsidR="00215809" w:rsidRPr="00215809">
        <w:rPr>
          <w:rFonts w:hint="eastAsia"/>
          <w:lang w:eastAsia="zh-CN"/>
        </w:rPr>
        <w:t>，可</w:t>
      </w:r>
      <w:hyperlink r:id="rId12" w:anchor=":~:text=Defining%20the%20scope%3A%20%E2%80%9CResource%20Mobilization,revenues%20and%20extra%2Dbudgetary%20contributions." w:history="1">
        <w:r w:rsidR="00215809" w:rsidRPr="00215809">
          <w:rPr>
            <w:rStyle w:val="Hyperlink"/>
            <w:rFonts w:hint="eastAsia"/>
            <w:lang w:eastAsia="zh-CN"/>
          </w:rPr>
          <w:t>在此</w:t>
        </w:r>
      </w:hyperlink>
      <w:r w:rsidR="00215809" w:rsidRPr="00215809">
        <w:rPr>
          <w:rFonts w:hint="eastAsia"/>
          <w:lang w:eastAsia="zh-CN"/>
        </w:rPr>
        <w:t>查阅。在这些原则中，理事会</w:t>
      </w:r>
      <w:r w:rsidR="00215809">
        <w:rPr>
          <w:rFonts w:hint="eastAsia"/>
          <w:lang w:eastAsia="zh-CN"/>
        </w:rPr>
        <w:t>一致认为：</w:t>
      </w:r>
    </w:p>
    <w:p w14:paraId="000D2F8C" w14:textId="47748F7F" w:rsidR="00EF46CD" w:rsidRPr="00AC3C53" w:rsidRDefault="002B44BA" w:rsidP="00CF2C52">
      <w:pPr>
        <w:ind w:firstLineChars="200" w:firstLine="480"/>
        <w:rPr>
          <w:lang w:eastAsia="zh-CN"/>
        </w:rPr>
      </w:pPr>
      <w:r w:rsidRPr="002B44BA">
        <w:rPr>
          <w:rFonts w:hint="eastAsia"/>
          <w:lang w:eastAsia="zh-CN"/>
        </w:rPr>
        <w:t>作为国际电联的主要收入来源，来自际电联成员国的应摊会费是资源</w:t>
      </w:r>
      <w:r w:rsidR="005E5E12">
        <w:rPr>
          <w:rFonts w:hint="eastAsia"/>
          <w:lang w:eastAsia="zh-CN"/>
        </w:rPr>
        <w:t>筹措</w:t>
      </w:r>
      <w:r w:rsidRPr="002B44BA">
        <w:rPr>
          <w:rFonts w:hint="eastAsia"/>
          <w:lang w:eastAsia="zh-CN"/>
        </w:rPr>
        <w:t>的重中之重。这些会费被用于支持一致通过的《战略规划》，并利用国际电联正常预算下的《运作规划》加以落实。因此，鼓励成员国在考虑为国际电联正常预算外活动提供资源之前，通过维持或在可能的情况下增加会费的方式，将成员国的应摊会费置于国际电联主要财务支柱的优先地位。</w:t>
      </w:r>
    </w:p>
    <w:p w14:paraId="14E5B713" w14:textId="23013175" w:rsidR="00EF46CD" w:rsidRPr="00EE58F2" w:rsidRDefault="005E5E12" w:rsidP="00CF2C52">
      <w:pPr>
        <w:ind w:firstLineChars="200" w:firstLine="480"/>
        <w:rPr>
          <w:lang w:eastAsia="zh-CN"/>
        </w:rPr>
      </w:pPr>
      <w:r w:rsidRPr="005E5E12">
        <w:rPr>
          <w:rFonts w:hint="eastAsia"/>
          <w:lang w:eastAsia="zh-CN"/>
        </w:rPr>
        <w:t>会议还商定，秘书处将鼓励成员和其他利益攸关方尽可能为预算外自愿捐款提供支持，以满足组织的优先事项。</w:t>
      </w:r>
    </w:p>
    <w:p w14:paraId="4BAD03A2" w14:textId="44E04A3D" w:rsidR="00EF46CD" w:rsidRPr="00EE58F2" w:rsidRDefault="00EF46CD" w:rsidP="00EF46CD">
      <w:pPr>
        <w:overflowPunct/>
        <w:autoSpaceDE/>
        <w:autoSpaceDN/>
        <w:adjustRightInd/>
        <w:spacing w:after="120"/>
        <w:jc w:val="both"/>
        <w:textAlignment w:val="auto"/>
        <w:rPr>
          <w:lang w:eastAsia="zh-CN"/>
        </w:rPr>
      </w:pPr>
      <w:r>
        <w:rPr>
          <w:lang w:eastAsia="zh-CN"/>
        </w:rPr>
        <w:t>1.4</w:t>
      </w:r>
      <w:r>
        <w:rPr>
          <w:lang w:eastAsia="zh-CN"/>
        </w:rPr>
        <w:tab/>
      </w:r>
      <w:r w:rsidR="00AA10A3" w:rsidRPr="00AA10A3">
        <w:rPr>
          <w:rFonts w:hint="eastAsia"/>
          <w:lang w:eastAsia="zh-CN"/>
        </w:rPr>
        <w:t>作为第</w:t>
      </w:r>
      <w:r w:rsidR="00AA10A3" w:rsidRPr="00AA10A3">
        <w:rPr>
          <w:rFonts w:hint="eastAsia"/>
          <w:lang w:eastAsia="zh-CN"/>
        </w:rPr>
        <w:t>5</w:t>
      </w:r>
      <w:r w:rsidR="00AA10A3" w:rsidRPr="00AA10A3">
        <w:rPr>
          <w:rFonts w:hint="eastAsia"/>
          <w:lang w:eastAsia="zh-CN"/>
        </w:rPr>
        <w:t>号决定（</w:t>
      </w:r>
      <w:r w:rsidR="00AA10A3" w:rsidRPr="00AA10A3">
        <w:rPr>
          <w:rFonts w:hint="eastAsia"/>
          <w:lang w:eastAsia="zh-CN"/>
        </w:rPr>
        <w:t>2022</w:t>
      </w:r>
      <w:r w:rsidR="00AA10A3" w:rsidRPr="00AA10A3">
        <w:rPr>
          <w:rFonts w:hint="eastAsia"/>
          <w:lang w:eastAsia="zh-CN"/>
        </w:rPr>
        <w:t>年</w:t>
      </w:r>
      <w:r w:rsidR="00AA10A3">
        <w:rPr>
          <w:rFonts w:hint="eastAsia"/>
          <w:lang w:eastAsia="zh-CN"/>
        </w:rPr>
        <w:t>，</w:t>
      </w:r>
      <w:r w:rsidR="00AA10A3" w:rsidRPr="00AA10A3">
        <w:rPr>
          <w:rFonts w:hint="eastAsia"/>
          <w:lang w:eastAsia="zh-CN"/>
        </w:rPr>
        <w:t>布加勒斯特</w:t>
      </w:r>
      <w:r w:rsidR="00AA10A3">
        <w:rPr>
          <w:rFonts w:hint="eastAsia"/>
          <w:lang w:eastAsia="zh-CN"/>
        </w:rPr>
        <w:t>，</w:t>
      </w:r>
      <w:r w:rsidR="00AA10A3" w:rsidRPr="00AA10A3">
        <w:rPr>
          <w:rFonts w:hint="eastAsia"/>
          <w:lang w:eastAsia="zh-CN"/>
        </w:rPr>
        <w:t>修订版）的后续行动，秘书处在</w:t>
      </w:r>
      <w:r w:rsidR="00AA10A3" w:rsidRPr="00AA10A3">
        <w:rPr>
          <w:rFonts w:hint="eastAsia"/>
          <w:lang w:eastAsia="zh-CN"/>
        </w:rPr>
        <w:t>2022</w:t>
      </w:r>
      <w:r w:rsidR="00AA10A3" w:rsidRPr="00AA10A3">
        <w:rPr>
          <w:rFonts w:hint="eastAsia"/>
          <w:lang w:eastAsia="zh-CN"/>
        </w:rPr>
        <w:t>年</w:t>
      </w:r>
      <w:r w:rsidR="00AA10A3" w:rsidRPr="00AA10A3">
        <w:rPr>
          <w:rFonts w:hint="eastAsia"/>
          <w:lang w:eastAsia="zh-CN"/>
        </w:rPr>
        <w:t>11</w:t>
      </w:r>
      <w:r w:rsidR="00AA10A3" w:rsidRPr="00AA10A3">
        <w:rPr>
          <w:rFonts w:hint="eastAsia"/>
          <w:lang w:eastAsia="zh-CN"/>
        </w:rPr>
        <w:t>月至</w:t>
      </w:r>
      <w:r w:rsidR="00AA10A3" w:rsidRPr="00AA10A3">
        <w:rPr>
          <w:rFonts w:hint="eastAsia"/>
          <w:lang w:eastAsia="zh-CN"/>
        </w:rPr>
        <w:t>2023</w:t>
      </w:r>
      <w:r w:rsidR="00AA10A3" w:rsidRPr="00AA10A3">
        <w:rPr>
          <w:rFonts w:hint="eastAsia"/>
          <w:lang w:eastAsia="zh-CN"/>
        </w:rPr>
        <w:t>年</w:t>
      </w:r>
      <w:r w:rsidR="00AA10A3" w:rsidRPr="00AA10A3">
        <w:rPr>
          <w:rFonts w:hint="eastAsia"/>
          <w:lang w:eastAsia="zh-CN"/>
        </w:rPr>
        <w:t>2</w:t>
      </w:r>
      <w:r w:rsidR="00AA10A3" w:rsidRPr="00AA10A3">
        <w:rPr>
          <w:rFonts w:hint="eastAsia"/>
          <w:lang w:eastAsia="zh-CN"/>
        </w:rPr>
        <w:t>月的国际电联内部</w:t>
      </w:r>
      <w:r w:rsidR="00AA10A3">
        <w:rPr>
          <w:rFonts w:hint="eastAsia"/>
          <w:lang w:eastAsia="zh-CN"/>
        </w:rPr>
        <w:t>愿景规划活</w:t>
      </w:r>
      <w:r w:rsidR="00AA10A3" w:rsidRPr="00AA10A3">
        <w:rPr>
          <w:rFonts w:hint="eastAsia"/>
          <w:lang w:eastAsia="zh-CN"/>
        </w:rPr>
        <w:t>动（第一支柱和第二支柱）</w:t>
      </w:r>
      <w:r w:rsidR="00AA10A3">
        <w:rPr>
          <w:rFonts w:hint="eastAsia"/>
          <w:lang w:eastAsia="zh-CN"/>
        </w:rPr>
        <w:t>中、</w:t>
      </w:r>
      <w:r w:rsidR="00AA10A3" w:rsidRPr="00AA10A3">
        <w:rPr>
          <w:rFonts w:hint="eastAsia"/>
          <w:lang w:eastAsia="zh-CN"/>
        </w:rPr>
        <w:t>以及</w:t>
      </w:r>
      <w:r w:rsidR="00AA10A3" w:rsidRPr="00AA10A3">
        <w:rPr>
          <w:rFonts w:hint="eastAsia"/>
          <w:lang w:eastAsia="zh-CN"/>
        </w:rPr>
        <w:t>2023</w:t>
      </w:r>
      <w:r w:rsidR="00AA10A3" w:rsidRPr="00AA10A3">
        <w:rPr>
          <w:rFonts w:hint="eastAsia"/>
          <w:lang w:eastAsia="zh-CN"/>
        </w:rPr>
        <w:t>年</w:t>
      </w:r>
      <w:r w:rsidR="00AA10A3" w:rsidRPr="00AA10A3">
        <w:rPr>
          <w:rFonts w:hint="eastAsia"/>
          <w:lang w:eastAsia="zh-CN"/>
        </w:rPr>
        <w:t>2</w:t>
      </w:r>
      <w:r w:rsidR="00AA10A3" w:rsidRPr="00AA10A3">
        <w:rPr>
          <w:rFonts w:hint="eastAsia"/>
          <w:lang w:eastAsia="zh-CN"/>
        </w:rPr>
        <w:t>月的国际电联高级管理层务虚会上提出这一</w:t>
      </w:r>
      <w:r w:rsidR="00AA10A3">
        <w:rPr>
          <w:rFonts w:hint="eastAsia"/>
          <w:lang w:eastAsia="zh-CN"/>
        </w:rPr>
        <w:t>议项</w:t>
      </w:r>
      <w:r w:rsidR="00AA10A3" w:rsidRPr="00AA10A3">
        <w:rPr>
          <w:rFonts w:hint="eastAsia"/>
          <w:lang w:eastAsia="zh-CN"/>
        </w:rPr>
        <w:t>进行讨论。讨论之后，秘书处以无偿方式聘请波士顿咨询公司（</w:t>
      </w:r>
      <w:r w:rsidR="00AA10A3" w:rsidRPr="00AA10A3">
        <w:rPr>
          <w:rFonts w:hint="eastAsia"/>
          <w:lang w:eastAsia="zh-CN"/>
        </w:rPr>
        <w:t>BCG</w:t>
      </w:r>
      <w:r w:rsidR="00AA10A3" w:rsidRPr="00AA10A3">
        <w:rPr>
          <w:rFonts w:hint="eastAsia"/>
          <w:lang w:eastAsia="zh-CN"/>
        </w:rPr>
        <w:t>）支持国际电联制定整个国际电联的</w:t>
      </w:r>
      <w:r w:rsidR="00AA10A3">
        <w:rPr>
          <w:rFonts w:hint="eastAsia"/>
          <w:lang w:eastAsia="zh-CN"/>
        </w:rPr>
        <w:t>资金</w:t>
      </w:r>
      <w:r w:rsidR="00AA10A3" w:rsidRPr="00AA10A3">
        <w:rPr>
          <w:rFonts w:hint="eastAsia"/>
          <w:lang w:eastAsia="zh-CN"/>
        </w:rPr>
        <w:t>和资源</w:t>
      </w:r>
      <w:r w:rsidR="00AA10A3">
        <w:rPr>
          <w:rFonts w:hint="eastAsia"/>
          <w:lang w:eastAsia="zh-CN"/>
        </w:rPr>
        <w:t>筹措</w:t>
      </w:r>
      <w:r w:rsidR="00AA10A3" w:rsidRPr="00AA10A3">
        <w:rPr>
          <w:rFonts w:hint="eastAsia"/>
          <w:lang w:eastAsia="zh-CN"/>
        </w:rPr>
        <w:t>战略，最终形成了整个国际电联的资源</w:t>
      </w:r>
      <w:r w:rsidR="00AA10A3">
        <w:rPr>
          <w:rFonts w:hint="eastAsia"/>
          <w:lang w:eastAsia="zh-CN"/>
        </w:rPr>
        <w:t>筹措</w:t>
      </w:r>
      <w:r w:rsidR="00AA10A3" w:rsidRPr="00AA10A3">
        <w:rPr>
          <w:rFonts w:hint="eastAsia"/>
          <w:lang w:eastAsia="zh-CN"/>
        </w:rPr>
        <w:t>战略初稿，阐明了国际电联的价值主张和参与模式，重点是：</w:t>
      </w:r>
    </w:p>
    <w:p w14:paraId="47713A08" w14:textId="111488A9" w:rsidR="00EF46CD" w:rsidRPr="00EE58F2" w:rsidRDefault="00CF2C52" w:rsidP="00D36338">
      <w:pPr>
        <w:rPr>
          <w:lang w:eastAsia="zh-CN"/>
        </w:rPr>
      </w:pPr>
      <w:r>
        <w:rPr>
          <w:lang w:eastAsia="zh-CN"/>
        </w:rPr>
        <w:t>•</w:t>
      </w:r>
      <w:r>
        <w:rPr>
          <w:lang w:eastAsia="zh-CN"/>
        </w:rPr>
        <w:tab/>
      </w:r>
      <w:r w:rsidR="007F6A9F" w:rsidRPr="007F6A9F">
        <w:rPr>
          <w:rFonts w:hint="eastAsia"/>
          <w:lang w:eastAsia="zh-CN"/>
        </w:rPr>
        <w:t>了解国际电联目前的资金状况</w:t>
      </w:r>
      <w:r w:rsidR="007F6A9F">
        <w:rPr>
          <w:rFonts w:hint="eastAsia"/>
          <w:lang w:eastAsia="zh-CN"/>
        </w:rPr>
        <w:t>；</w:t>
      </w:r>
    </w:p>
    <w:p w14:paraId="5DCC26E9" w14:textId="265233B8" w:rsidR="00EF46CD" w:rsidRPr="00EE58F2" w:rsidRDefault="00CF2C52" w:rsidP="00D36338">
      <w:pPr>
        <w:rPr>
          <w:lang w:eastAsia="zh-CN"/>
        </w:rPr>
      </w:pPr>
      <w:r>
        <w:rPr>
          <w:lang w:eastAsia="zh-CN"/>
        </w:rPr>
        <w:t>•</w:t>
      </w:r>
      <w:r>
        <w:rPr>
          <w:lang w:eastAsia="zh-CN"/>
        </w:rPr>
        <w:tab/>
      </w:r>
      <w:r w:rsidR="007F6A9F" w:rsidRPr="007F6A9F">
        <w:rPr>
          <w:rFonts w:hint="eastAsia"/>
          <w:lang w:eastAsia="zh-CN"/>
        </w:rPr>
        <w:t>根据对成员和利益</w:t>
      </w:r>
      <w:r w:rsidR="007F6A9F">
        <w:rPr>
          <w:rFonts w:hint="eastAsia"/>
          <w:lang w:eastAsia="zh-CN"/>
        </w:rPr>
        <w:t>攸关</w:t>
      </w:r>
      <w:r w:rsidR="00C448A4">
        <w:rPr>
          <w:rFonts w:hint="eastAsia"/>
          <w:lang w:eastAsia="zh-CN"/>
        </w:rPr>
        <w:t>方</w:t>
      </w:r>
      <w:r w:rsidR="007F6A9F" w:rsidRPr="007F6A9F">
        <w:rPr>
          <w:rFonts w:hint="eastAsia"/>
          <w:lang w:eastAsia="zh-CN"/>
        </w:rPr>
        <w:t>的</w:t>
      </w:r>
      <w:r w:rsidR="007F6A9F">
        <w:rPr>
          <w:rFonts w:hint="eastAsia"/>
          <w:lang w:eastAsia="zh-CN"/>
        </w:rPr>
        <w:t>访谈</w:t>
      </w:r>
      <w:r w:rsidR="007F6A9F" w:rsidRPr="007F6A9F">
        <w:rPr>
          <w:rFonts w:hint="eastAsia"/>
          <w:lang w:eastAsia="zh-CN"/>
        </w:rPr>
        <w:t>，以令人信服的方式阐明国际电联的价值主张，以增加资源</w:t>
      </w:r>
      <w:r w:rsidR="007F6A9F">
        <w:rPr>
          <w:rFonts w:hint="eastAsia"/>
          <w:lang w:eastAsia="zh-CN"/>
        </w:rPr>
        <w:t>筹措；</w:t>
      </w:r>
    </w:p>
    <w:p w14:paraId="7BFDA8F5" w14:textId="3A96EDD7" w:rsidR="00EF46CD" w:rsidRPr="00EE58F2" w:rsidRDefault="00CF2C52" w:rsidP="00D36338">
      <w:pPr>
        <w:rPr>
          <w:lang w:eastAsia="zh-CN"/>
        </w:rPr>
      </w:pPr>
      <w:r>
        <w:rPr>
          <w:lang w:eastAsia="zh-CN"/>
        </w:rPr>
        <w:t>•</w:t>
      </w:r>
      <w:r>
        <w:rPr>
          <w:lang w:eastAsia="zh-CN"/>
        </w:rPr>
        <w:tab/>
      </w:r>
      <w:r w:rsidR="007F6A9F" w:rsidRPr="007F6A9F">
        <w:rPr>
          <w:rFonts w:hint="eastAsia"/>
          <w:lang w:eastAsia="zh-CN"/>
        </w:rPr>
        <w:t>提出一个新的参与和资源</w:t>
      </w:r>
      <w:r w:rsidR="007F6A9F">
        <w:rPr>
          <w:rFonts w:hint="eastAsia"/>
          <w:lang w:eastAsia="zh-CN"/>
        </w:rPr>
        <w:t>筹措</w:t>
      </w:r>
      <w:r w:rsidR="007F6A9F" w:rsidRPr="007F6A9F">
        <w:rPr>
          <w:rFonts w:hint="eastAsia"/>
          <w:lang w:eastAsia="zh-CN"/>
        </w:rPr>
        <w:t>模式及</w:t>
      </w:r>
      <w:r w:rsidR="007F6A9F">
        <w:rPr>
          <w:rFonts w:hint="eastAsia"/>
          <w:lang w:eastAsia="zh-CN"/>
        </w:rPr>
        <w:t>各种</w:t>
      </w:r>
      <w:r w:rsidR="007F6A9F" w:rsidRPr="007F6A9F">
        <w:rPr>
          <w:rFonts w:hint="eastAsia"/>
          <w:lang w:eastAsia="zh-CN"/>
        </w:rPr>
        <w:t>实施方案</w:t>
      </w:r>
      <w:r w:rsidR="007F6A9F">
        <w:rPr>
          <w:rFonts w:hint="eastAsia"/>
          <w:lang w:eastAsia="zh-CN"/>
        </w:rPr>
        <w:t>。</w:t>
      </w:r>
    </w:p>
    <w:p w14:paraId="4D47C9EC" w14:textId="41620144" w:rsidR="00EF46CD" w:rsidRPr="00D36338" w:rsidRDefault="00EF46CD" w:rsidP="003C25DC">
      <w:pPr>
        <w:pStyle w:val="Heading1"/>
        <w:rPr>
          <w:lang w:eastAsia="zh-CN"/>
        </w:rPr>
      </w:pPr>
      <w:r w:rsidRPr="00D36338">
        <w:rPr>
          <w:lang w:val="en-US" w:eastAsia="zh-CN"/>
        </w:rPr>
        <w:t>2</w:t>
      </w:r>
      <w:r w:rsidRPr="00D36338">
        <w:rPr>
          <w:lang w:val="en-US" w:eastAsia="zh-CN"/>
        </w:rPr>
        <w:tab/>
      </w:r>
      <w:r w:rsidR="00157E2C" w:rsidRPr="00D36338">
        <w:rPr>
          <w:rFonts w:hint="eastAsia"/>
          <w:lang w:val="en-US" w:eastAsia="zh-CN"/>
        </w:rPr>
        <w:t>愿景规划活动、高级管理层务虚会和</w:t>
      </w:r>
      <w:r w:rsidR="00157E2C" w:rsidRPr="00D36338">
        <w:rPr>
          <w:rFonts w:hint="eastAsia"/>
          <w:lang w:val="en-US" w:eastAsia="zh-CN"/>
        </w:rPr>
        <w:t>BCG</w:t>
      </w:r>
      <w:r w:rsidR="00157E2C" w:rsidRPr="00D36338">
        <w:rPr>
          <w:rFonts w:hint="eastAsia"/>
          <w:lang w:val="en-US" w:eastAsia="zh-CN"/>
        </w:rPr>
        <w:t>支持的资源筹措项目的主要结论</w:t>
      </w:r>
    </w:p>
    <w:p w14:paraId="561A3395" w14:textId="21F84BA6" w:rsidR="00EF46CD" w:rsidRPr="00EE58F2" w:rsidRDefault="00EF46CD" w:rsidP="003C25DC">
      <w:pPr>
        <w:pStyle w:val="Heading2"/>
        <w:rPr>
          <w:lang w:eastAsia="zh-CN"/>
        </w:rPr>
      </w:pPr>
      <w:r w:rsidRPr="00EE58F2">
        <w:rPr>
          <w:lang w:val="en-US" w:eastAsia="zh-CN"/>
        </w:rPr>
        <w:t>2.1</w:t>
      </w:r>
      <w:r>
        <w:rPr>
          <w:lang w:val="en-US" w:eastAsia="zh-CN"/>
        </w:rPr>
        <w:tab/>
      </w:r>
      <w:r w:rsidR="005D1250" w:rsidRPr="005D1250">
        <w:rPr>
          <w:rFonts w:hint="eastAsia"/>
          <w:lang w:val="en-US" w:eastAsia="zh-CN"/>
        </w:rPr>
        <w:t>国际电联资金分析：现状和趋势</w:t>
      </w:r>
    </w:p>
    <w:p w14:paraId="4639B498" w14:textId="7CF5D962" w:rsidR="00EF46CD" w:rsidRPr="00EE58F2" w:rsidRDefault="00EF46CD" w:rsidP="003C25DC">
      <w:pPr>
        <w:pStyle w:val="Headingb"/>
        <w:rPr>
          <w:lang w:val="en-US" w:eastAsia="zh-CN"/>
        </w:rPr>
      </w:pPr>
      <w:r>
        <w:rPr>
          <w:lang w:val="en-US" w:eastAsia="zh-CN"/>
        </w:rPr>
        <w:t>a</w:t>
      </w:r>
      <w:r w:rsidR="00A80C09">
        <w:rPr>
          <w:rFonts w:hint="eastAsia"/>
          <w:lang w:val="en-US" w:eastAsia="zh-CN"/>
        </w:rPr>
        <w:t>)</w:t>
      </w:r>
      <w:r>
        <w:rPr>
          <w:lang w:val="en-US" w:eastAsia="zh-CN"/>
        </w:rPr>
        <w:tab/>
      </w:r>
      <w:r w:rsidR="005D1250" w:rsidRPr="00A80C09">
        <w:rPr>
          <w:rFonts w:hint="eastAsia"/>
          <w:lang w:val="en-US" w:eastAsia="zh-CN"/>
        </w:rPr>
        <w:t>正常预算和预算外收入</w:t>
      </w:r>
    </w:p>
    <w:p w14:paraId="2ED2006A" w14:textId="6AC4F740" w:rsidR="00EF46CD" w:rsidRPr="00EE58F2" w:rsidRDefault="005D1250" w:rsidP="005D1250">
      <w:pPr>
        <w:overflowPunct/>
        <w:autoSpaceDE/>
        <w:autoSpaceDN/>
        <w:adjustRightInd/>
        <w:spacing w:after="120"/>
        <w:ind w:firstLineChars="200" w:firstLine="480"/>
        <w:jc w:val="both"/>
        <w:textAlignment w:val="auto"/>
        <w:rPr>
          <w:lang w:val="en-US" w:eastAsia="zh-CN"/>
        </w:rPr>
      </w:pPr>
      <w:r w:rsidRPr="005D1250">
        <w:rPr>
          <w:rFonts w:hint="eastAsia"/>
          <w:lang w:val="en-US" w:eastAsia="zh-CN"/>
        </w:rPr>
        <w:t>来自成员国单位的收入在过去五年中一直保持稳定。</w:t>
      </w:r>
      <w:r w:rsidRPr="005D1250">
        <w:rPr>
          <w:rFonts w:hint="eastAsia"/>
          <w:lang w:val="en-US" w:eastAsia="zh-CN"/>
        </w:rPr>
        <w:t>2022</w:t>
      </w:r>
      <w:r w:rsidRPr="005D1250">
        <w:rPr>
          <w:rFonts w:hint="eastAsia"/>
          <w:lang w:val="en-US" w:eastAsia="zh-CN"/>
        </w:rPr>
        <w:t>年，成员国的</w:t>
      </w:r>
      <w:r w:rsidR="00BA1641">
        <w:rPr>
          <w:rFonts w:hint="eastAsia"/>
          <w:lang w:val="en-US" w:eastAsia="zh-CN"/>
        </w:rPr>
        <w:t>应</w:t>
      </w:r>
      <w:r w:rsidRPr="005D1250">
        <w:rPr>
          <w:rFonts w:hint="eastAsia"/>
          <w:lang w:val="en-US" w:eastAsia="zh-CN"/>
        </w:rPr>
        <w:t>摊会费占国际电联总收入的</w:t>
      </w:r>
      <w:r w:rsidRPr="005D1250">
        <w:rPr>
          <w:rFonts w:hint="eastAsia"/>
          <w:lang w:val="en-US" w:eastAsia="zh-CN"/>
        </w:rPr>
        <w:t>61%</w:t>
      </w:r>
      <w:r w:rsidRPr="005D1250">
        <w:rPr>
          <w:rFonts w:hint="eastAsia"/>
          <w:lang w:val="en-US" w:eastAsia="zh-CN"/>
        </w:rPr>
        <w:t>。</w:t>
      </w:r>
    </w:p>
    <w:p w14:paraId="4966AA24" w14:textId="6978E8D6" w:rsidR="00EF46CD" w:rsidRPr="00EE58F2" w:rsidRDefault="00BA1641" w:rsidP="00BA1641">
      <w:pPr>
        <w:overflowPunct/>
        <w:autoSpaceDE/>
        <w:autoSpaceDN/>
        <w:adjustRightInd/>
        <w:spacing w:after="120"/>
        <w:ind w:firstLineChars="200" w:firstLine="480"/>
        <w:jc w:val="both"/>
        <w:textAlignment w:val="auto"/>
        <w:rPr>
          <w:lang w:eastAsia="zh-CN"/>
        </w:rPr>
      </w:pPr>
      <w:r w:rsidRPr="00BA1641">
        <w:rPr>
          <w:rFonts w:hint="eastAsia"/>
          <w:lang w:eastAsia="zh-CN"/>
        </w:rPr>
        <w:lastRenderedPageBreak/>
        <w:t>来自部门成员的会费收入，包括</w:t>
      </w:r>
      <w:r>
        <w:rPr>
          <w:rFonts w:hint="eastAsia"/>
          <w:lang w:eastAsia="zh-CN"/>
        </w:rPr>
        <w:t>部门准成员</w:t>
      </w:r>
      <w:r w:rsidRPr="00BA1641">
        <w:rPr>
          <w:rFonts w:hint="eastAsia"/>
          <w:lang w:eastAsia="zh-CN"/>
        </w:rPr>
        <w:t>和学术</w:t>
      </w:r>
      <w:r>
        <w:rPr>
          <w:rFonts w:hint="eastAsia"/>
          <w:lang w:eastAsia="zh-CN"/>
        </w:rPr>
        <w:t>成员的收入</w:t>
      </w:r>
      <w:r w:rsidRPr="00BA1641">
        <w:rPr>
          <w:rFonts w:hint="eastAsia"/>
          <w:lang w:eastAsia="zh-CN"/>
        </w:rPr>
        <w:t>，约占国际电联总收入的</w:t>
      </w:r>
      <w:r w:rsidRPr="00BA1641">
        <w:rPr>
          <w:rFonts w:hint="eastAsia"/>
          <w:lang w:eastAsia="zh-CN"/>
        </w:rPr>
        <w:t>9%</w:t>
      </w:r>
      <w:r w:rsidRPr="00BA1641">
        <w:rPr>
          <w:rFonts w:hint="eastAsia"/>
          <w:lang w:eastAsia="zh-CN"/>
        </w:rPr>
        <w:t>。虽然部门成员已增长到历史最高水平，接近</w:t>
      </w:r>
      <w:r w:rsidRPr="00BA1641">
        <w:rPr>
          <w:rFonts w:hint="eastAsia"/>
          <w:lang w:eastAsia="zh-CN"/>
        </w:rPr>
        <w:t>1000</w:t>
      </w:r>
      <w:r w:rsidRPr="00BA1641">
        <w:rPr>
          <w:rFonts w:hint="eastAsia"/>
          <w:lang w:eastAsia="zh-CN"/>
        </w:rPr>
        <w:t>个成员实体，但十多年来，部门成员会费的收入基本上保持平稳，在</w:t>
      </w:r>
      <w:r w:rsidRPr="00BA1641">
        <w:rPr>
          <w:rFonts w:hint="eastAsia"/>
          <w:lang w:eastAsia="zh-CN"/>
        </w:rPr>
        <w:t>1600</w:t>
      </w:r>
      <w:r w:rsidRPr="00BA1641">
        <w:rPr>
          <w:rFonts w:hint="eastAsia"/>
          <w:lang w:eastAsia="zh-CN"/>
        </w:rPr>
        <w:t>万至</w:t>
      </w:r>
      <w:r w:rsidRPr="00BA1641">
        <w:rPr>
          <w:rFonts w:hint="eastAsia"/>
          <w:lang w:eastAsia="zh-CN"/>
        </w:rPr>
        <w:t>1700</w:t>
      </w:r>
      <w:r w:rsidRPr="00BA1641">
        <w:rPr>
          <w:rFonts w:hint="eastAsia"/>
          <w:lang w:eastAsia="zh-CN"/>
        </w:rPr>
        <w:t>万瑞士法郎之间徘徊，因为大部分增长来自低收费的成员类别，包括</w:t>
      </w:r>
      <w:r>
        <w:rPr>
          <w:rFonts w:hint="eastAsia"/>
          <w:lang w:eastAsia="zh-CN"/>
        </w:rPr>
        <w:t>部门准成员</w:t>
      </w:r>
      <w:r w:rsidRPr="00BA1641">
        <w:rPr>
          <w:rFonts w:hint="eastAsia"/>
          <w:lang w:eastAsia="zh-CN"/>
        </w:rPr>
        <w:t>、学术</w:t>
      </w:r>
      <w:r>
        <w:rPr>
          <w:rFonts w:hint="eastAsia"/>
          <w:lang w:eastAsia="zh-CN"/>
        </w:rPr>
        <w:t>成员</w:t>
      </w:r>
      <w:r w:rsidRPr="00BA1641">
        <w:rPr>
          <w:rFonts w:hint="eastAsia"/>
          <w:lang w:eastAsia="zh-CN"/>
        </w:rPr>
        <w:t>和最近的中小型企业，</w:t>
      </w:r>
      <w:r w:rsidR="005755E2">
        <w:rPr>
          <w:rFonts w:hint="eastAsia"/>
          <w:lang w:eastAsia="zh-CN"/>
        </w:rPr>
        <w:t>且</w:t>
      </w:r>
      <w:r w:rsidR="00C91DB0" w:rsidRPr="00C91DB0">
        <w:rPr>
          <w:lang w:eastAsia="zh-CN"/>
        </w:rPr>
        <w:t>符合资格的国际组织免缴费</w:t>
      </w:r>
      <w:r w:rsidR="00C91DB0" w:rsidRPr="00C91DB0">
        <w:rPr>
          <w:rFonts w:hint="eastAsia"/>
          <w:lang w:eastAsia="zh-CN"/>
        </w:rPr>
        <w:t>用</w:t>
      </w:r>
      <w:r w:rsidRPr="00BA1641">
        <w:rPr>
          <w:rFonts w:hint="eastAsia"/>
          <w:lang w:eastAsia="zh-CN"/>
        </w:rPr>
        <w:t>。</w:t>
      </w:r>
    </w:p>
    <w:p w14:paraId="0299F36F" w14:textId="43C180CA" w:rsidR="00EF46CD" w:rsidRPr="00EE58F2" w:rsidRDefault="005755E2" w:rsidP="005755E2">
      <w:pPr>
        <w:overflowPunct/>
        <w:autoSpaceDE/>
        <w:autoSpaceDN/>
        <w:adjustRightInd/>
        <w:spacing w:after="120"/>
        <w:ind w:firstLineChars="200" w:firstLine="480"/>
        <w:jc w:val="both"/>
        <w:textAlignment w:val="auto"/>
        <w:rPr>
          <w:lang w:eastAsia="zh-CN"/>
        </w:rPr>
      </w:pPr>
      <w:r w:rsidRPr="005755E2">
        <w:rPr>
          <w:rFonts w:hint="eastAsia"/>
          <w:lang w:eastAsia="zh-CN"/>
        </w:rPr>
        <w:t>成本回收已被应用于处理卫星网络申报、</w:t>
      </w:r>
      <w:r>
        <w:rPr>
          <w:rFonts w:hint="eastAsia"/>
          <w:lang w:eastAsia="zh-CN"/>
        </w:rPr>
        <w:t>划分号码</w:t>
      </w:r>
      <w:r w:rsidRPr="005755E2">
        <w:rPr>
          <w:rFonts w:hint="eastAsia"/>
          <w:lang w:eastAsia="zh-CN"/>
        </w:rPr>
        <w:t>资源和</w:t>
      </w:r>
      <w:r w:rsidRPr="005755E2">
        <w:rPr>
          <w:rFonts w:hint="eastAsia"/>
          <w:lang w:eastAsia="zh-CN"/>
        </w:rPr>
        <w:t>BDT</w:t>
      </w:r>
      <w:r w:rsidRPr="005755E2">
        <w:rPr>
          <w:rFonts w:hint="eastAsia"/>
          <w:lang w:eastAsia="zh-CN"/>
        </w:rPr>
        <w:t>项目支持。来自出版物销售的其他预算外收入有一个相对可预测的周期，</w:t>
      </w:r>
      <w:r>
        <w:rPr>
          <w:rFonts w:hint="eastAsia"/>
          <w:lang w:eastAsia="zh-CN"/>
        </w:rPr>
        <w:t>主要</w:t>
      </w:r>
      <w:r w:rsidRPr="005755E2">
        <w:rPr>
          <w:rFonts w:hint="eastAsia"/>
          <w:lang w:eastAsia="zh-CN"/>
        </w:rPr>
        <w:t>基于</w:t>
      </w:r>
      <w:r>
        <w:rPr>
          <w:rFonts w:hint="eastAsia"/>
          <w:lang w:eastAsia="zh-CN"/>
        </w:rPr>
        <w:t>重要的水上</w:t>
      </w:r>
      <w:r w:rsidRPr="005755E2">
        <w:rPr>
          <w:rFonts w:hint="eastAsia"/>
          <w:lang w:eastAsia="zh-CN"/>
        </w:rPr>
        <w:t>无线电通信</w:t>
      </w:r>
      <w:r>
        <w:rPr>
          <w:rFonts w:hint="eastAsia"/>
          <w:lang w:eastAsia="zh-CN"/>
        </w:rPr>
        <w:t>业</w:t>
      </w:r>
      <w:r w:rsidRPr="005755E2">
        <w:rPr>
          <w:rFonts w:hint="eastAsia"/>
          <w:lang w:eastAsia="zh-CN"/>
        </w:rPr>
        <w:t>务相关出版物的预定发行。这个周期中收入较低的年份给国际电联的预算规划带来了挑战。</w:t>
      </w:r>
    </w:p>
    <w:p w14:paraId="671CA052" w14:textId="6F38441C" w:rsidR="00EF46CD" w:rsidRPr="00D36338" w:rsidRDefault="005755E2" w:rsidP="003C25DC">
      <w:pPr>
        <w:pStyle w:val="Tabletitle"/>
        <w:rPr>
          <w:lang w:val="en-US" w:eastAsia="zh-CN"/>
        </w:rPr>
      </w:pPr>
      <w:r w:rsidRPr="00D36338">
        <w:rPr>
          <w:rFonts w:hint="eastAsia"/>
          <w:lang w:val="en-US" w:eastAsia="zh-CN"/>
        </w:rPr>
        <w:t>表</w:t>
      </w:r>
      <w:r w:rsidR="00EF46CD" w:rsidRPr="00D36338">
        <w:rPr>
          <w:rFonts w:cs="Calibri"/>
          <w:lang w:val="en-US" w:eastAsia="zh-CN"/>
        </w:rPr>
        <w:t>1</w:t>
      </w:r>
      <w:r w:rsidR="00796CE0">
        <w:rPr>
          <w:rFonts w:cs="Calibri"/>
          <w:lang w:val="en-US" w:eastAsia="zh-CN"/>
        </w:rPr>
        <w:t xml:space="preserve"> </w:t>
      </w:r>
      <w:r w:rsidR="00796CE0" w:rsidRPr="00796CE0">
        <w:rPr>
          <w:lang w:val="en-US" w:eastAsia="zh-CN"/>
        </w:rPr>
        <w:t>–</w:t>
      </w:r>
      <w:r w:rsidR="00796CE0">
        <w:rPr>
          <w:lang w:val="en-US" w:eastAsia="zh-CN"/>
        </w:rPr>
        <w:t xml:space="preserve"> </w:t>
      </w:r>
      <w:r w:rsidR="00A80C09" w:rsidRPr="00D36338">
        <w:rPr>
          <w:rFonts w:hint="eastAsia"/>
          <w:lang w:val="en-US" w:eastAsia="zh-CN"/>
        </w:rPr>
        <w:t>正常预算和预算外收入</w:t>
      </w:r>
    </w:p>
    <w:tbl>
      <w:tblPr>
        <w:tblW w:w="9177" w:type="dxa"/>
        <w:tblLook w:val="0600" w:firstRow="0" w:lastRow="0" w:firstColumn="0" w:lastColumn="0" w:noHBand="1" w:noVBand="1"/>
      </w:tblPr>
      <w:tblGrid>
        <w:gridCol w:w="3442"/>
        <w:gridCol w:w="1147"/>
        <w:gridCol w:w="1147"/>
        <w:gridCol w:w="1147"/>
        <w:gridCol w:w="1147"/>
        <w:gridCol w:w="1147"/>
      </w:tblGrid>
      <w:tr w:rsidR="00EF46CD" w:rsidRPr="00EE58F2" w14:paraId="79AF48E2" w14:textId="77777777" w:rsidTr="00B74C40">
        <w:trPr>
          <w:trHeight w:val="272"/>
        </w:trPr>
        <w:tc>
          <w:tcPr>
            <w:tcW w:w="34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3F5011" w14:textId="57FF7385" w:rsidR="00EF46CD" w:rsidRPr="00EE58F2" w:rsidRDefault="00EF46CD" w:rsidP="00A0152F">
            <w:pPr>
              <w:pStyle w:val="Tablehead"/>
              <w:rPr>
                <w:lang w:eastAsia="zh-CN"/>
              </w:rPr>
            </w:pP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27EF8AB2" w14:textId="77777777" w:rsidR="00EF46CD" w:rsidRPr="00EE58F2" w:rsidRDefault="00EF46CD" w:rsidP="00CF2C52">
            <w:pPr>
              <w:pStyle w:val="Tablehead"/>
            </w:pPr>
            <w:r w:rsidRPr="00EE58F2">
              <w:t>2018</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2BA8A56F" w14:textId="77777777" w:rsidR="00EF46CD" w:rsidRPr="00EE58F2" w:rsidRDefault="00EF46CD" w:rsidP="00CF2C52">
            <w:pPr>
              <w:pStyle w:val="Tablehead"/>
            </w:pPr>
            <w:r w:rsidRPr="00EE58F2">
              <w:t>2019</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7FDF53D5" w14:textId="77777777" w:rsidR="00EF46CD" w:rsidRPr="00EE58F2" w:rsidRDefault="00EF46CD" w:rsidP="00CF2C52">
            <w:pPr>
              <w:pStyle w:val="Tablehead"/>
            </w:pPr>
            <w:r w:rsidRPr="00EE58F2">
              <w:t>2020</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35A021A5" w14:textId="77777777" w:rsidR="00EF46CD" w:rsidRPr="00EE58F2" w:rsidRDefault="00EF46CD" w:rsidP="00CF2C52">
            <w:pPr>
              <w:pStyle w:val="Tablehead"/>
            </w:pPr>
            <w:r w:rsidRPr="00EE58F2">
              <w:t>2021</w:t>
            </w:r>
          </w:p>
        </w:tc>
        <w:tc>
          <w:tcPr>
            <w:tcW w:w="1147" w:type="dxa"/>
            <w:tcBorders>
              <w:top w:val="single" w:sz="4" w:space="0" w:color="auto"/>
              <w:left w:val="nil"/>
              <w:bottom w:val="single" w:sz="4" w:space="0" w:color="auto"/>
              <w:right w:val="single" w:sz="4" w:space="0" w:color="auto"/>
            </w:tcBorders>
            <w:shd w:val="clear" w:color="auto" w:fill="BDD7EE"/>
            <w:vAlign w:val="bottom"/>
            <w:hideMark/>
          </w:tcPr>
          <w:p w14:paraId="5B3775CE" w14:textId="77777777" w:rsidR="00EF46CD" w:rsidRPr="00EE58F2" w:rsidRDefault="00EF46CD" w:rsidP="00CF2C52">
            <w:pPr>
              <w:pStyle w:val="Tablehead"/>
            </w:pPr>
            <w:r w:rsidRPr="00EE58F2">
              <w:t>2022</w:t>
            </w:r>
          </w:p>
        </w:tc>
      </w:tr>
      <w:tr w:rsidR="00EF46CD" w:rsidRPr="00EE58F2" w14:paraId="41766DA3" w14:textId="77777777" w:rsidTr="00B74C40">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548BF944" w14:textId="40D59A2C" w:rsidR="00EF46CD" w:rsidRPr="00EE58F2" w:rsidRDefault="005755E2" w:rsidP="00CF2C52">
            <w:pPr>
              <w:pStyle w:val="Tabletext"/>
            </w:pPr>
            <w:r>
              <w:rPr>
                <w:rFonts w:hint="eastAsia"/>
                <w:lang w:eastAsia="zh-CN"/>
              </w:rPr>
              <w:t>成员国</w:t>
            </w:r>
          </w:p>
        </w:tc>
        <w:tc>
          <w:tcPr>
            <w:tcW w:w="1147" w:type="dxa"/>
            <w:tcBorders>
              <w:top w:val="nil"/>
              <w:left w:val="nil"/>
              <w:bottom w:val="single" w:sz="4" w:space="0" w:color="auto"/>
              <w:right w:val="single" w:sz="4" w:space="0" w:color="auto"/>
            </w:tcBorders>
            <w:shd w:val="clear" w:color="auto" w:fill="auto"/>
            <w:vAlign w:val="bottom"/>
            <w:hideMark/>
          </w:tcPr>
          <w:p w14:paraId="18E68697" w14:textId="77777777" w:rsidR="00EF46CD" w:rsidRPr="00EE58F2" w:rsidRDefault="00EF46CD" w:rsidP="00A80C09">
            <w:pPr>
              <w:pStyle w:val="Tabletext"/>
              <w:jc w:val="center"/>
            </w:pPr>
            <w:r w:rsidRPr="00EE58F2">
              <w:t>108.6</w:t>
            </w:r>
          </w:p>
        </w:tc>
        <w:tc>
          <w:tcPr>
            <w:tcW w:w="1147" w:type="dxa"/>
            <w:tcBorders>
              <w:top w:val="nil"/>
              <w:left w:val="nil"/>
              <w:bottom w:val="single" w:sz="4" w:space="0" w:color="auto"/>
              <w:right w:val="single" w:sz="4" w:space="0" w:color="auto"/>
            </w:tcBorders>
            <w:shd w:val="clear" w:color="auto" w:fill="auto"/>
            <w:vAlign w:val="bottom"/>
            <w:hideMark/>
          </w:tcPr>
          <w:p w14:paraId="5EC5FD02" w14:textId="77777777" w:rsidR="00EF46CD" w:rsidRPr="00EE58F2" w:rsidRDefault="00EF46CD" w:rsidP="00A80C09">
            <w:pPr>
              <w:pStyle w:val="Tabletext"/>
              <w:jc w:val="center"/>
            </w:pPr>
            <w:r w:rsidRPr="00EE58F2">
              <w:t>109.9</w:t>
            </w:r>
          </w:p>
        </w:tc>
        <w:tc>
          <w:tcPr>
            <w:tcW w:w="1147" w:type="dxa"/>
            <w:tcBorders>
              <w:top w:val="nil"/>
              <w:left w:val="nil"/>
              <w:bottom w:val="single" w:sz="4" w:space="0" w:color="auto"/>
              <w:right w:val="single" w:sz="4" w:space="0" w:color="auto"/>
            </w:tcBorders>
            <w:shd w:val="clear" w:color="auto" w:fill="auto"/>
            <w:vAlign w:val="bottom"/>
            <w:hideMark/>
          </w:tcPr>
          <w:p w14:paraId="6C8831BB" w14:textId="77777777" w:rsidR="00EF46CD" w:rsidRPr="00EE58F2" w:rsidRDefault="00EF46CD" w:rsidP="00A80C09">
            <w:pPr>
              <w:pStyle w:val="Tabletext"/>
              <w:jc w:val="center"/>
            </w:pPr>
            <w:r w:rsidRPr="00EE58F2">
              <w:t>109.3</w:t>
            </w:r>
          </w:p>
        </w:tc>
        <w:tc>
          <w:tcPr>
            <w:tcW w:w="1147" w:type="dxa"/>
            <w:tcBorders>
              <w:top w:val="nil"/>
              <w:left w:val="nil"/>
              <w:bottom w:val="single" w:sz="4" w:space="0" w:color="auto"/>
              <w:right w:val="single" w:sz="4" w:space="0" w:color="auto"/>
            </w:tcBorders>
            <w:shd w:val="clear" w:color="auto" w:fill="auto"/>
            <w:vAlign w:val="bottom"/>
            <w:hideMark/>
          </w:tcPr>
          <w:p w14:paraId="3FE8C460" w14:textId="77777777" w:rsidR="00EF46CD" w:rsidRPr="00EE58F2" w:rsidRDefault="00EF46CD" w:rsidP="00A80C09">
            <w:pPr>
              <w:pStyle w:val="Tabletext"/>
              <w:jc w:val="center"/>
            </w:pPr>
            <w:r w:rsidRPr="00EE58F2">
              <w:t>109.3</w:t>
            </w:r>
          </w:p>
        </w:tc>
        <w:tc>
          <w:tcPr>
            <w:tcW w:w="1147" w:type="dxa"/>
            <w:tcBorders>
              <w:top w:val="nil"/>
              <w:left w:val="nil"/>
              <w:bottom w:val="single" w:sz="4" w:space="0" w:color="auto"/>
              <w:right w:val="single" w:sz="4" w:space="0" w:color="auto"/>
            </w:tcBorders>
            <w:shd w:val="clear" w:color="auto" w:fill="auto"/>
            <w:vAlign w:val="bottom"/>
            <w:hideMark/>
          </w:tcPr>
          <w:p w14:paraId="5FC27103" w14:textId="77777777" w:rsidR="00EF46CD" w:rsidRPr="00EE58F2" w:rsidRDefault="00EF46CD" w:rsidP="00A80C09">
            <w:pPr>
              <w:pStyle w:val="Tabletext"/>
              <w:jc w:val="center"/>
            </w:pPr>
            <w:r w:rsidRPr="00EE58F2">
              <w:t>109.2</w:t>
            </w:r>
          </w:p>
        </w:tc>
      </w:tr>
      <w:tr w:rsidR="00EF46CD" w:rsidRPr="00EE58F2" w14:paraId="7080A6B4" w14:textId="77777777" w:rsidTr="00B74C40">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7758CF1E" w14:textId="15CE8FB2" w:rsidR="00EF46CD" w:rsidRPr="00EE58F2" w:rsidRDefault="005755E2" w:rsidP="00CF2C52">
            <w:pPr>
              <w:pStyle w:val="Tabletext"/>
            </w:pPr>
            <w:r>
              <w:rPr>
                <w:rFonts w:hint="eastAsia"/>
                <w:lang w:eastAsia="zh-CN"/>
              </w:rPr>
              <w:t>部门成员</w:t>
            </w:r>
          </w:p>
        </w:tc>
        <w:tc>
          <w:tcPr>
            <w:tcW w:w="1147" w:type="dxa"/>
            <w:tcBorders>
              <w:top w:val="nil"/>
              <w:left w:val="nil"/>
              <w:bottom w:val="single" w:sz="4" w:space="0" w:color="auto"/>
              <w:right w:val="single" w:sz="4" w:space="0" w:color="auto"/>
            </w:tcBorders>
            <w:shd w:val="clear" w:color="auto" w:fill="auto"/>
            <w:vAlign w:val="bottom"/>
            <w:hideMark/>
          </w:tcPr>
          <w:p w14:paraId="250EA7FD" w14:textId="77777777" w:rsidR="00EF46CD" w:rsidRPr="00EE58F2" w:rsidRDefault="00EF46CD" w:rsidP="00A80C09">
            <w:pPr>
              <w:pStyle w:val="Tabletext"/>
              <w:jc w:val="center"/>
            </w:pPr>
            <w:r w:rsidRPr="00EE58F2">
              <w:t>16.3</w:t>
            </w:r>
          </w:p>
        </w:tc>
        <w:tc>
          <w:tcPr>
            <w:tcW w:w="1147" w:type="dxa"/>
            <w:tcBorders>
              <w:top w:val="nil"/>
              <w:left w:val="nil"/>
              <w:bottom w:val="single" w:sz="4" w:space="0" w:color="auto"/>
              <w:right w:val="single" w:sz="4" w:space="0" w:color="auto"/>
            </w:tcBorders>
            <w:shd w:val="clear" w:color="auto" w:fill="auto"/>
            <w:vAlign w:val="bottom"/>
            <w:hideMark/>
          </w:tcPr>
          <w:p w14:paraId="3E4F5294" w14:textId="77777777" w:rsidR="00EF46CD" w:rsidRPr="00EE58F2" w:rsidRDefault="00EF46CD" w:rsidP="00A80C09">
            <w:pPr>
              <w:pStyle w:val="Tabletext"/>
              <w:jc w:val="center"/>
            </w:pPr>
            <w:r w:rsidRPr="00EE58F2">
              <w:t>16.6</w:t>
            </w:r>
          </w:p>
        </w:tc>
        <w:tc>
          <w:tcPr>
            <w:tcW w:w="1147" w:type="dxa"/>
            <w:tcBorders>
              <w:top w:val="nil"/>
              <w:left w:val="nil"/>
              <w:bottom w:val="single" w:sz="4" w:space="0" w:color="auto"/>
              <w:right w:val="single" w:sz="4" w:space="0" w:color="auto"/>
            </w:tcBorders>
            <w:shd w:val="clear" w:color="auto" w:fill="auto"/>
            <w:vAlign w:val="bottom"/>
            <w:hideMark/>
          </w:tcPr>
          <w:p w14:paraId="041FBE0D" w14:textId="77777777" w:rsidR="00EF46CD" w:rsidRPr="00EE58F2" w:rsidRDefault="00EF46CD" w:rsidP="00A80C09">
            <w:pPr>
              <w:pStyle w:val="Tabletext"/>
              <w:jc w:val="center"/>
            </w:pPr>
            <w:r w:rsidRPr="00EE58F2">
              <w:t>16.4</w:t>
            </w:r>
          </w:p>
        </w:tc>
        <w:tc>
          <w:tcPr>
            <w:tcW w:w="1147" w:type="dxa"/>
            <w:tcBorders>
              <w:top w:val="nil"/>
              <w:left w:val="nil"/>
              <w:bottom w:val="single" w:sz="4" w:space="0" w:color="auto"/>
              <w:right w:val="single" w:sz="4" w:space="0" w:color="auto"/>
            </w:tcBorders>
            <w:shd w:val="clear" w:color="auto" w:fill="auto"/>
            <w:vAlign w:val="bottom"/>
            <w:hideMark/>
          </w:tcPr>
          <w:p w14:paraId="50CABABC" w14:textId="77777777" w:rsidR="00EF46CD" w:rsidRPr="00EE58F2" w:rsidRDefault="00EF46CD" w:rsidP="00A80C09">
            <w:pPr>
              <w:pStyle w:val="Tabletext"/>
              <w:jc w:val="center"/>
            </w:pPr>
            <w:r w:rsidRPr="00EE58F2">
              <w:t>16.3</w:t>
            </w:r>
          </w:p>
        </w:tc>
        <w:tc>
          <w:tcPr>
            <w:tcW w:w="1147" w:type="dxa"/>
            <w:tcBorders>
              <w:top w:val="nil"/>
              <w:left w:val="nil"/>
              <w:bottom w:val="single" w:sz="4" w:space="0" w:color="auto"/>
              <w:right w:val="single" w:sz="4" w:space="0" w:color="auto"/>
            </w:tcBorders>
            <w:shd w:val="clear" w:color="auto" w:fill="auto"/>
            <w:vAlign w:val="bottom"/>
            <w:hideMark/>
          </w:tcPr>
          <w:p w14:paraId="0C6A991D" w14:textId="77777777" w:rsidR="00EF46CD" w:rsidRPr="00EE58F2" w:rsidRDefault="00EF46CD" w:rsidP="00A80C09">
            <w:pPr>
              <w:pStyle w:val="Tabletext"/>
              <w:jc w:val="center"/>
            </w:pPr>
            <w:r w:rsidRPr="00EE58F2">
              <w:t>16.3</w:t>
            </w:r>
          </w:p>
        </w:tc>
      </w:tr>
      <w:tr w:rsidR="00EF46CD" w:rsidRPr="00EE58F2" w14:paraId="1C212BA0" w14:textId="77777777" w:rsidTr="00B74C40">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128837F0" w14:textId="2673562E" w:rsidR="00EF46CD" w:rsidRPr="00EE58F2" w:rsidRDefault="005755E2" w:rsidP="00CF2C52">
            <w:pPr>
              <w:pStyle w:val="Tabletext"/>
            </w:pPr>
            <w:r>
              <w:rPr>
                <w:rFonts w:hint="eastAsia"/>
                <w:lang w:eastAsia="zh-CN"/>
              </w:rPr>
              <w:t>出版物</w:t>
            </w:r>
          </w:p>
        </w:tc>
        <w:tc>
          <w:tcPr>
            <w:tcW w:w="1147" w:type="dxa"/>
            <w:tcBorders>
              <w:top w:val="nil"/>
              <w:left w:val="nil"/>
              <w:bottom w:val="single" w:sz="4" w:space="0" w:color="auto"/>
              <w:right w:val="single" w:sz="4" w:space="0" w:color="auto"/>
            </w:tcBorders>
            <w:shd w:val="clear" w:color="auto" w:fill="auto"/>
            <w:vAlign w:val="bottom"/>
            <w:hideMark/>
          </w:tcPr>
          <w:p w14:paraId="0ED69F13" w14:textId="77777777" w:rsidR="00EF46CD" w:rsidRPr="00EE58F2" w:rsidRDefault="00EF46CD" w:rsidP="00A80C09">
            <w:pPr>
              <w:pStyle w:val="Tabletext"/>
              <w:jc w:val="center"/>
            </w:pPr>
            <w:r w:rsidRPr="00EE58F2">
              <w:t>13.9</w:t>
            </w:r>
          </w:p>
        </w:tc>
        <w:tc>
          <w:tcPr>
            <w:tcW w:w="1147" w:type="dxa"/>
            <w:tcBorders>
              <w:top w:val="nil"/>
              <w:left w:val="nil"/>
              <w:bottom w:val="single" w:sz="4" w:space="0" w:color="auto"/>
              <w:right w:val="single" w:sz="4" w:space="0" w:color="auto"/>
            </w:tcBorders>
            <w:shd w:val="clear" w:color="auto" w:fill="auto"/>
            <w:vAlign w:val="bottom"/>
            <w:hideMark/>
          </w:tcPr>
          <w:p w14:paraId="5AA147CF" w14:textId="77777777" w:rsidR="00EF46CD" w:rsidRPr="00EE58F2" w:rsidRDefault="00EF46CD" w:rsidP="00A80C09">
            <w:pPr>
              <w:pStyle w:val="Tabletext"/>
              <w:jc w:val="center"/>
            </w:pPr>
            <w:r w:rsidRPr="00EE58F2">
              <w:t>15.6</w:t>
            </w:r>
          </w:p>
        </w:tc>
        <w:tc>
          <w:tcPr>
            <w:tcW w:w="1147" w:type="dxa"/>
            <w:tcBorders>
              <w:top w:val="nil"/>
              <w:left w:val="nil"/>
              <w:bottom w:val="single" w:sz="4" w:space="0" w:color="auto"/>
              <w:right w:val="single" w:sz="4" w:space="0" w:color="auto"/>
            </w:tcBorders>
            <w:shd w:val="clear" w:color="auto" w:fill="auto"/>
            <w:vAlign w:val="bottom"/>
            <w:hideMark/>
          </w:tcPr>
          <w:p w14:paraId="784CBAF8" w14:textId="77777777" w:rsidR="00EF46CD" w:rsidRPr="00EE58F2" w:rsidRDefault="00EF46CD" w:rsidP="00A80C09">
            <w:pPr>
              <w:pStyle w:val="Tabletext"/>
              <w:jc w:val="center"/>
            </w:pPr>
            <w:r w:rsidRPr="00EE58F2">
              <w:t>17.1</w:t>
            </w:r>
          </w:p>
        </w:tc>
        <w:tc>
          <w:tcPr>
            <w:tcW w:w="1147" w:type="dxa"/>
            <w:tcBorders>
              <w:top w:val="nil"/>
              <w:left w:val="nil"/>
              <w:bottom w:val="single" w:sz="4" w:space="0" w:color="auto"/>
              <w:right w:val="single" w:sz="4" w:space="0" w:color="auto"/>
            </w:tcBorders>
            <w:shd w:val="clear" w:color="auto" w:fill="auto"/>
            <w:vAlign w:val="bottom"/>
            <w:hideMark/>
          </w:tcPr>
          <w:p w14:paraId="32ADB614" w14:textId="77777777" w:rsidR="00EF46CD" w:rsidRPr="00EE58F2" w:rsidRDefault="00EF46CD" w:rsidP="00A80C09">
            <w:pPr>
              <w:pStyle w:val="Tabletext"/>
              <w:jc w:val="center"/>
            </w:pPr>
            <w:r w:rsidRPr="00EE58F2">
              <w:t>19.4</w:t>
            </w:r>
          </w:p>
        </w:tc>
        <w:tc>
          <w:tcPr>
            <w:tcW w:w="1147" w:type="dxa"/>
            <w:tcBorders>
              <w:top w:val="nil"/>
              <w:left w:val="nil"/>
              <w:bottom w:val="single" w:sz="4" w:space="0" w:color="auto"/>
              <w:right w:val="single" w:sz="4" w:space="0" w:color="auto"/>
            </w:tcBorders>
            <w:shd w:val="clear" w:color="auto" w:fill="auto"/>
            <w:vAlign w:val="bottom"/>
            <w:hideMark/>
          </w:tcPr>
          <w:p w14:paraId="4D2EEC04" w14:textId="77777777" w:rsidR="00EF46CD" w:rsidRPr="00EE58F2" w:rsidRDefault="00EF46CD" w:rsidP="00A80C09">
            <w:pPr>
              <w:pStyle w:val="Tabletext"/>
              <w:jc w:val="center"/>
            </w:pPr>
            <w:r w:rsidRPr="00EE58F2">
              <w:t>14.6</w:t>
            </w:r>
          </w:p>
        </w:tc>
      </w:tr>
      <w:tr w:rsidR="00EF46CD" w:rsidRPr="00EE58F2" w14:paraId="30C11A54" w14:textId="77777777" w:rsidTr="00B74C40">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3F934841" w14:textId="18B2E6DF" w:rsidR="00EF46CD" w:rsidRPr="00EE58F2" w:rsidRDefault="005755E2" w:rsidP="00CF2C52">
            <w:pPr>
              <w:pStyle w:val="Tabletext"/>
            </w:pPr>
            <w:r>
              <w:rPr>
                <w:rFonts w:hint="eastAsia"/>
                <w:lang w:eastAsia="zh-CN"/>
              </w:rPr>
              <w:t>卫星申报</w:t>
            </w:r>
          </w:p>
        </w:tc>
        <w:tc>
          <w:tcPr>
            <w:tcW w:w="1147" w:type="dxa"/>
            <w:tcBorders>
              <w:top w:val="nil"/>
              <w:left w:val="nil"/>
              <w:bottom w:val="single" w:sz="4" w:space="0" w:color="auto"/>
              <w:right w:val="single" w:sz="4" w:space="0" w:color="auto"/>
            </w:tcBorders>
            <w:shd w:val="clear" w:color="auto" w:fill="auto"/>
            <w:vAlign w:val="bottom"/>
            <w:hideMark/>
          </w:tcPr>
          <w:p w14:paraId="1047C91F" w14:textId="77777777" w:rsidR="00EF46CD" w:rsidRPr="00EE58F2" w:rsidRDefault="00EF46CD" w:rsidP="00A80C09">
            <w:pPr>
              <w:pStyle w:val="Tabletext"/>
              <w:jc w:val="center"/>
            </w:pPr>
            <w:r w:rsidRPr="00EE58F2">
              <w:t>19.1</w:t>
            </w:r>
          </w:p>
        </w:tc>
        <w:tc>
          <w:tcPr>
            <w:tcW w:w="1147" w:type="dxa"/>
            <w:tcBorders>
              <w:top w:val="nil"/>
              <w:left w:val="nil"/>
              <w:bottom w:val="single" w:sz="4" w:space="0" w:color="auto"/>
              <w:right w:val="single" w:sz="4" w:space="0" w:color="auto"/>
            </w:tcBorders>
            <w:shd w:val="clear" w:color="auto" w:fill="auto"/>
            <w:vAlign w:val="bottom"/>
            <w:hideMark/>
          </w:tcPr>
          <w:p w14:paraId="2CFB6622" w14:textId="77777777" w:rsidR="00EF46CD" w:rsidRPr="00EE58F2" w:rsidRDefault="00EF46CD" w:rsidP="00A80C09">
            <w:pPr>
              <w:pStyle w:val="Tabletext"/>
              <w:jc w:val="center"/>
            </w:pPr>
            <w:r w:rsidRPr="00EE58F2">
              <w:t>12.1</w:t>
            </w:r>
          </w:p>
        </w:tc>
        <w:tc>
          <w:tcPr>
            <w:tcW w:w="1147" w:type="dxa"/>
            <w:tcBorders>
              <w:top w:val="nil"/>
              <w:left w:val="nil"/>
              <w:bottom w:val="single" w:sz="4" w:space="0" w:color="auto"/>
              <w:right w:val="single" w:sz="4" w:space="0" w:color="auto"/>
            </w:tcBorders>
            <w:shd w:val="clear" w:color="auto" w:fill="auto"/>
            <w:vAlign w:val="bottom"/>
            <w:hideMark/>
          </w:tcPr>
          <w:p w14:paraId="4389DED9" w14:textId="77777777" w:rsidR="00EF46CD" w:rsidRPr="00EE58F2" w:rsidRDefault="00EF46CD" w:rsidP="00A80C09">
            <w:pPr>
              <w:pStyle w:val="Tabletext"/>
              <w:jc w:val="center"/>
            </w:pPr>
            <w:r w:rsidRPr="00EE58F2">
              <w:t>13.6</w:t>
            </w:r>
          </w:p>
        </w:tc>
        <w:tc>
          <w:tcPr>
            <w:tcW w:w="1147" w:type="dxa"/>
            <w:tcBorders>
              <w:top w:val="nil"/>
              <w:left w:val="nil"/>
              <w:bottom w:val="single" w:sz="4" w:space="0" w:color="auto"/>
              <w:right w:val="single" w:sz="4" w:space="0" w:color="auto"/>
            </w:tcBorders>
            <w:shd w:val="clear" w:color="auto" w:fill="auto"/>
            <w:vAlign w:val="bottom"/>
            <w:hideMark/>
          </w:tcPr>
          <w:p w14:paraId="1B370306" w14:textId="77777777" w:rsidR="00EF46CD" w:rsidRPr="00EE58F2" w:rsidRDefault="00EF46CD" w:rsidP="00A80C09">
            <w:pPr>
              <w:pStyle w:val="Tabletext"/>
              <w:jc w:val="center"/>
            </w:pPr>
            <w:r w:rsidRPr="00EE58F2">
              <w:t>11.2</w:t>
            </w:r>
          </w:p>
        </w:tc>
        <w:tc>
          <w:tcPr>
            <w:tcW w:w="1147" w:type="dxa"/>
            <w:tcBorders>
              <w:top w:val="nil"/>
              <w:left w:val="nil"/>
              <w:bottom w:val="single" w:sz="4" w:space="0" w:color="auto"/>
              <w:right w:val="single" w:sz="4" w:space="0" w:color="auto"/>
            </w:tcBorders>
            <w:shd w:val="clear" w:color="auto" w:fill="auto"/>
            <w:vAlign w:val="bottom"/>
            <w:hideMark/>
          </w:tcPr>
          <w:p w14:paraId="287BCF01" w14:textId="77777777" w:rsidR="00EF46CD" w:rsidRPr="00EE58F2" w:rsidRDefault="00EF46CD" w:rsidP="00A80C09">
            <w:pPr>
              <w:pStyle w:val="Tabletext"/>
              <w:jc w:val="center"/>
            </w:pPr>
            <w:r w:rsidRPr="00EE58F2">
              <w:t>10.2</w:t>
            </w:r>
          </w:p>
        </w:tc>
      </w:tr>
      <w:tr w:rsidR="00EF46CD" w:rsidRPr="00EE58F2" w14:paraId="182F51DA" w14:textId="77777777" w:rsidTr="00B74C40">
        <w:trPr>
          <w:trHeight w:val="546"/>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7B1BCE7F" w14:textId="38DAE66D" w:rsidR="00EF46CD" w:rsidRPr="005755E2" w:rsidRDefault="005755E2" w:rsidP="00CF2C52">
            <w:pPr>
              <w:pStyle w:val="Tabletext"/>
              <w:rPr>
                <w:lang w:val="en-US" w:eastAsia="zh-CN"/>
              </w:rPr>
            </w:pPr>
            <w:r>
              <w:rPr>
                <w:rFonts w:hint="eastAsia"/>
                <w:lang w:eastAsia="zh-CN"/>
              </w:rPr>
              <w:t>其他（编号、项目支持、</w:t>
            </w:r>
            <w:r w:rsidR="00CF2C52">
              <w:rPr>
                <w:lang w:eastAsia="zh-CN"/>
              </w:rPr>
              <w:br/>
            </w:r>
            <w:r>
              <w:rPr>
                <w:rFonts w:hint="eastAsia"/>
                <w:lang w:eastAsia="zh-CN"/>
              </w:rPr>
              <w:t>国际电联电信展）</w:t>
            </w:r>
          </w:p>
        </w:tc>
        <w:tc>
          <w:tcPr>
            <w:tcW w:w="1147" w:type="dxa"/>
            <w:tcBorders>
              <w:top w:val="nil"/>
              <w:left w:val="nil"/>
              <w:bottom w:val="single" w:sz="4" w:space="0" w:color="auto"/>
              <w:right w:val="single" w:sz="4" w:space="0" w:color="auto"/>
            </w:tcBorders>
            <w:shd w:val="clear" w:color="auto" w:fill="auto"/>
            <w:vAlign w:val="bottom"/>
            <w:hideMark/>
          </w:tcPr>
          <w:p w14:paraId="74CDD100" w14:textId="77777777" w:rsidR="00EF46CD" w:rsidRPr="00EE58F2" w:rsidRDefault="00EF46CD" w:rsidP="00A80C09">
            <w:pPr>
              <w:pStyle w:val="Tabletext"/>
              <w:jc w:val="center"/>
            </w:pPr>
            <w:r w:rsidRPr="00EE58F2">
              <w:t>3.4</w:t>
            </w:r>
          </w:p>
        </w:tc>
        <w:tc>
          <w:tcPr>
            <w:tcW w:w="1147" w:type="dxa"/>
            <w:tcBorders>
              <w:top w:val="nil"/>
              <w:left w:val="nil"/>
              <w:bottom w:val="single" w:sz="4" w:space="0" w:color="auto"/>
              <w:right w:val="single" w:sz="4" w:space="0" w:color="auto"/>
            </w:tcBorders>
            <w:shd w:val="clear" w:color="auto" w:fill="auto"/>
            <w:vAlign w:val="bottom"/>
            <w:hideMark/>
          </w:tcPr>
          <w:p w14:paraId="16D7D860" w14:textId="77777777" w:rsidR="00EF46CD" w:rsidRPr="00EE58F2" w:rsidRDefault="00EF46CD" w:rsidP="00A80C09">
            <w:pPr>
              <w:pStyle w:val="Tabletext"/>
              <w:jc w:val="center"/>
            </w:pPr>
            <w:r w:rsidRPr="00EE58F2">
              <w:t>2.6</w:t>
            </w:r>
          </w:p>
        </w:tc>
        <w:tc>
          <w:tcPr>
            <w:tcW w:w="1147" w:type="dxa"/>
            <w:tcBorders>
              <w:top w:val="nil"/>
              <w:left w:val="nil"/>
              <w:bottom w:val="single" w:sz="4" w:space="0" w:color="auto"/>
              <w:right w:val="single" w:sz="4" w:space="0" w:color="auto"/>
            </w:tcBorders>
            <w:shd w:val="clear" w:color="auto" w:fill="auto"/>
            <w:vAlign w:val="bottom"/>
            <w:hideMark/>
          </w:tcPr>
          <w:p w14:paraId="71949996" w14:textId="77777777" w:rsidR="00EF46CD" w:rsidRPr="00EE58F2" w:rsidRDefault="00EF46CD" w:rsidP="00A80C09">
            <w:pPr>
              <w:pStyle w:val="Tabletext"/>
              <w:jc w:val="center"/>
            </w:pPr>
            <w:r w:rsidRPr="00EE58F2">
              <w:t>1</w:t>
            </w:r>
          </w:p>
        </w:tc>
        <w:tc>
          <w:tcPr>
            <w:tcW w:w="1147" w:type="dxa"/>
            <w:tcBorders>
              <w:top w:val="nil"/>
              <w:left w:val="nil"/>
              <w:bottom w:val="single" w:sz="4" w:space="0" w:color="auto"/>
              <w:right w:val="single" w:sz="4" w:space="0" w:color="auto"/>
            </w:tcBorders>
            <w:shd w:val="clear" w:color="auto" w:fill="auto"/>
            <w:vAlign w:val="bottom"/>
            <w:hideMark/>
          </w:tcPr>
          <w:p w14:paraId="6CD510F7" w14:textId="77777777" w:rsidR="00EF46CD" w:rsidRPr="00EE58F2" w:rsidRDefault="00EF46CD" w:rsidP="00A80C09">
            <w:pPr>
              <w:pStyle w:val="Tabletext"/>
              <w:jc w:val="center"/>
            </w:pPr>
            <w:r w:rsidRPr="00EE58F2">
              <w:t>0.9</w:t>
            </w:r>
          </w:p>
        </w:tc>
        <w:tc>
          <w:tcPr>
            <w:tcW w:w="1147" w:type="dxa"/>
            <w:tcBorders>
              <w:top w:val="nil"/>
              <w:left w:val="nil"/>
              <w:bottom w:val="single" w:sz="4" w:space="0" w:color="auto"/>
              <w:right w:val="single" w:sz="4" w:space="0" w:color="auto"/>
            </w:tcBorders>
            <w:shd w:val="clear" w:color="auto" w:fill="auto"/>
            <w:vAlign w:val="bottom"/>
            <w:hideMark/>
          </w:tcPr>
          <w:p w14:paraId="44F8CF23" w14:textId="77777777" w:rsidR="00EF46CD" w:rsidRPr="00EE58F2" w:rsidRDefault="00EF46CD" w:rsidP="00A80C09">
            <w:pPr>
              <w:pStyle w:val="Tabletext"/>
              <w:jc w:val="center"/>
            </w:pPr>
            <w:r w:rsidRPr="00EE58F2">
              <w:t>1.25</w:t>
            </w:r>
          </w:p>
        </w:tc>
      </w:tr>
      <w:tr w:rsidR="00EF46CD" w:rsidRPr="00EE58F2" w14:paraId="1446EF99" w14:textId="77777777" w:rsidTr="00B74C40">
        <w:trPr>
          <w:trHeight w:val="272"/>
        </w:trPr>
        <w:tc>
          <w:tcPr>
            <w:tcW w:w="3442" w:type="dxa"/>
            <w:tcBorders>
              <w:top w:val="nil"/>
              <w:left w:val="single" w:sz="4" w:space="0" w:color="auto"/>
              <w:bottom w:val="single" w:sz="4" w:space="0" w:color="auto"/>
              <w:right w:val="single" w:sz="4" w:space="0" w:color="auto"/>
            </w:tcBorders>
            <w:shd w:val="clear" w:color="auto" w:fill="auto"/>
            <w:vAlign w:val="bottom"/>
            <w:hideMark/>
          </w:tcPr>
          <w:p w14:paraId="6A63CD64" w14:textId="36277D0F" w:rsidR="00EF46CD" w:rsidRPr="00EE58F2" w:rsidRDefault="005755E2" w:rsidP="00CF2C52">
            <w:pPr>
              <w:pStyle w:val="Tabletext"/>
            </w:pPr>
            <w:r>
              <w:rPr>
                <w:rFonts w:hint="eastAsia"/>
                <w:lang w:eastAsia="zh-CN"/>
              </w:rPr>
              <w:t>自愿捐款</w:t>
            </w:r>
          </w:p>
        </w:tc>
        <w:tc>
          <w:tcPr>
            <w:tcW w:w="1147" w:type="dxa"/>
            <w:tcBorders>
              <w:top w:val="nil"/>
              <w:left w:val="nil"/>
              <w:bottom w:val="single" w:sz="4" w:space="0" w:color="auto"/>
              <w:right w:val="single" w:sz="4" w:space="0" w:color="auto"/>
            </w:tcBorders>
            <w:shd w:val="clear" w:color="auto" w:fill="auto"/>
            <w:vAlign w:val="bottom"/>
            <w:hideMark/>
          </w:tcPr>
          <w:p w14:paraId="11CB742F" w14:textId="77777777" w:rsidR="00EF46CD" w:rsidRPr="00EE58F2" w:rsidRDefault="00EF46CD" w:rsidP="00A80C09">
            <w:pPr>
              <w:pStyle w:val="Tabletext"/>
              <w:jc w:val="center"/>
            </w:pPr>
            <w:r w:rsidRPr="00EE58F2">
              <w:t>13.8</w:t>
            </w:r>
          </w:p>
        </w:tc>
        <w:tc>
          <w:tcPr>
            <w:tcW w:w="1147" w:type="dxa"/>
            <w:tcBorders>
              <w:top w:val="nil"/>
              <w:left w:val="nil"/>
              <w:bottom w:val="single" w:sz="4" w:space="0" w:color="auto"/>
              <w:right w:val="single" w:sz="4" w:space="0" w:color="auto"/>
            </w:tcBorders>
            <w:shd w:val="clear" w:color="auto" w:fill="auto"/>
            <w:vAlign w:val="bottom"/>
            <w:hideMark/>
          </w:tcPr>
          <w:p w14:paraId="4534F668" w14:textId="77777777" w:rsidR="00EF46CD" w:rsidRPr="00EE58F2" w:rsidRDefault="00EF46CD" w:rsidP="00A80C09">
            <w:pPr>
              <w:pStyle w:val="Tabletext"/>
              <w:jc w:val="center"/>
            </w:pPr>
            <w:r w:rsidRPr="00EE58F2">
              <w:t>14</w:t>
            </w:r>
          </w:p>
        </w:tc>
        <w:tc>
          <w:tcPr>
            <w:tcW w:w="1147" w:type="dxa"/>
            <w:tcBorders>
              <w:top w:val="nil"/>
              <w:left w:val="nil"/>
              <w:bottom w:val="single" w:sz="4" w:space="0" w:color="auto"/>
              <w:right w:val="single" w:sz="4" w:space="0" w:color="auto"/>
            </w:tcBorders>
            <w:shd w:val="clear" w:color="auto" w:fill="auto"/>
            <w:vAlign w:val="bottom"/>
            <w:hideMark/>
          </w:tcPr>
          <w:p w14:paraId="1BDDCAA0" w14:textId="77777777" w:rsidR="00EF46CD" w:rsidRPr="00EE58F2" w:rsidRDefault="00EF46CD" w:rsidP="00A80C09">
            <w:pPr>
              <w:pStyle w:val="Tabletext"/>
              <w:jc w:val="center"/>
            </w:pPr>
            <w:r w:rsidRPr="00EE58F2">
              <w:t>10.8</w:t>
            </w:r>
          </w:p>
        </w:tc>
        <w:tc>
          <w:tcPr>
            <w:tcW w:w="1147" w:type="dxa"/>
            <w:tcBorders>
              <w:top w:val="nil"/>
              <w:left w:val="nil"/>
              <w:bottom w:val="single" w:sz="4" w:space="0" w:color="auto"/>
              <w:right w:val="single" w:sz="4" w:space="0" w:color="auto"/>
            </w:tcBorders>
            <w:shd w:val="clear" w:color="auto" w:fill="auto"/>
            <w:vAlign w:val="bottom"/>
            <w:hideMark/>
          </w:tcPr>
          <w:p w14:paraId="26B3239C" w14:textId="77777777" w:rsidR="00EF46CD" w:rsidRPr="00EE58F2" w:rsidRDefault="00EF46CD" w:rsidP="00A80C09">
            <w:pPr>
              <w:pStyle w:val="Tabletext"/>
              <w:jc w:val="center"/>
            </w:pPr>
            <w:r w:rsidRPr="00EE58F2">
              <w:t>19.9</w:t>
            </w:r>
          </w:p>
        </w:tc>
        <w:tc>
          <w:tcPr>
            <w:tcW w:w="1147" w:type="dxa"/>
            <w:tcBorders>
              <w:top w:val="nil"/>
              <w:left w:val="nil"/>
              <w:bottom w:val="single" w:sz="4" w:space="0" w:color="auto"/>
              <w:right w:val="single" w:sz="4" w:space="0" w:color="auto"/>
            </w:tcBorders>
            <w:shd w:val="clear" w:color="auto" w:fill="auto"/>
            <w:vAlign w:val="bottom"/>
            <w:hideMark/>
          </w:tcPr>
          <w:p w14:paraId="4169D616" w14:textId="77777777" w:rsidR="00EF46CD" w:rsidRPr="00EE58F2" w:rsidRDefault="00EF46CD" w:rsidP="00A80C09">
            <w:pPr>
              <w:pStyle w:val="Tabletext"/>
              <w:jc w:val="center"/>
            </w:pPr>
            <w:r w:rsidRPr="00EE58F2">
              <w:t>12.8</w:t>
            </w:r>
          </w:p>
        </w:tc>
      </w:tr>
    </w:tbl>
    <w:p w14:paraId="00627FC0" w14:textId="717C7F1B" w:rsidR="00EF46CD" w:rsidRPr="00D36338" w:rsidRDefault="00EF46CD" w:rsidP="003C25DC">
      <w:pPr>
        <w:pStyle w:val="Headingb"/>
      </w:pPr>
      <w:r w:rsidRPr="00D36338">
        <w:rPr>
          <w:lang w:val="en-US"/>
        </w:rPr>
        <w:t>b</w:t>
      </w:r>
      <w:r w:rsidR="00A80C09" w:rsidRPr="00D36338">
        <w:rPr>
          <w:lang w:val="en-US"/>
        </w:rPr>
        <w:t>)</w:t>
      </w:r>
      <w:r w:rsidRPr="00D36338">
        <w:rPr>
          <w:lang w:val="en-US"/>
        </w:rPr>
        <w:tab/>
      </w:r>
      <w:r w:rsidR="005755E2" w:rsidRPr="00D36338">
        <w:rPr>
          <w:rFonts w:hint="eastAsia"/>
          <w:lang w:val="en-US"/>
        </w:rPr>
        <w:t>预算外资金概览</w:t>
      </w:r>
    </w:p>
    <w:p w14:paraId="5DCBA0F2" w14:textId="6CD56FE6" w:rsidR="00EF46CD" w:rsidRPr="00EE58F2" w:rsidRDefault="00A0651A" w:rsidP="00894021">
      <w:pPr>
        <w:overflowPunct/>
        <w:autoSpaceDE/>
        <w:autoSpaceDN/>
        <w:adjustRightInd/>
        <w:spacing w:after="120"/>
        <w:ind w:firstLineChars="200" w:firstLine="480"/>
        <w:jc w:val="both"/>
        <w:textAlignment w:val="auto"/>
        <w:rPr>
          <w:lang w:val="en-US" w:eastAsia="zh-CN"/>
        </w:rPr>
      </w:pPr>
      <w:r w:rsidRPr="00A0651A">
        <w:rPr>
          <w:rFonts w:hint="eastAsia"/>
          <w:lang w:val="en-US" w:eastAsia="zh-CN"/>
        </w:rPr>
        <w:t>2022</w:t>
      </w:r>
      <w:r w:rsidRPr="00A0651A">
        <w:rPr>
          <w:rFonts w:hint="eastAsia"/>
          <w:lang w:val="en-US" w:eastAsia="zh-CN"/>
        </w:rPr>
        <w:t>年，共收到</w:t>
      </w:r>
      <w:r w:rsidRPr="00A0651A">
        <w:rPr>
          <w:rFonts w:hint="eastAsia"/>
          <w:lang w:val="en-US" w:eastAsia="zh-CN"/>
        </w:rPr>
        <w:t>1280</w:t>
      </w:r>
      <w:r w:rsidRPr="00A0651A">
        <w:rPr>
          <w:rFonts w:hint="eastAsia"/>
          <w:lang w:val="en-US" w:eastAsia="zh-CN"/>
        </w:rPr>
        <w:t>万瑞士法郎的预算外资金，其中</w:t>
      </w:r>
      <w:r w:rsidRPr="00A0651A">
        <w:rPr>
          <w:rFonts w:hint="eastAsia"/>
          <w:lang w:val="en-US" w:eastAsia="zh-CN"/>
        </w:rPr>
        <w:t>56%</w:t>
      </w:r>
      <w:r w:rsidRPr="00A0651A">
        <w:rPr>
          <w:rFonts w:hint="eastAsia"/>
          <w:lang w:val="en-US" w:eastAsia="zh-CN"/>
        </w:rPr>
        <w:t>用于项目，</w:t>
      </w:r>
      <w:r w:rsidRPr="00A0651A">
        <w:rPr>
          <w:rFonts w:hint="eastAsia"/>
          <w:lang w:val="en-US" w:eastAsia="zh-CN"/>
        </w:rPr>
        <w:t>19%</w:t>
      </w:r>
      <w:r w:rsidRPr="00A0651A">
        <w:rPr>
          <w:rFonts w:hint="eastAsia"/>
          <w:lang w:val="en-US" w:eastAsia="zh-CN"/>
        </w:rPr>
        <w:t>用于</w:t>
      </w:r>
      <w:r>
        <w:rPr>
          <w:rFonts w:hint="eastAsia"/>
          <w:lang w:val="en-US" w:eastAsia="zh-CN"/>
        </w:rPr>
        <w:t>长期</w:t>
      </w:r>
      <w:r w:rsidRPr="00A0651A">
        <w:rPr>
          <w:rFonts w:hint="eastAsia"/>
          <w:lang w:val="en-US" w:eastAsia="zh-CN"/>
        </w:rPr>
        <w:t>或</w:t>
      </w:r>
      <w:r>
        <w:rPr>
          <w:rFonts w:hint="eastAsia"/>
          <w:lang w:val="en-US" w:eastAsia="zh-CN"/>
        </w:rPr>
        <w:t>短期借调</w:t>
      </w:r>
      <w:r w:rsidRPr="00A0651A">
        <w:rPr>
          <w:rFonts w:hint="eastAsia"/>
          <w:lang w:val="en-US" w:eastAsia="zh-CN"/>
        </w:rPr>
        <w:t>等与工作人员有关的原因，</w:t>
      </w:r>
      <w:r w:rsidRPr="00A0651A">
        <w:rPr>
          <w:rFonts w:hint="eastAsia"/>
          <w:lang w:val="en-US" w:eastAsia="zh-CN"/>
        </w:rPr>
        <w:t>15%</w:t>
      </w:r>
      <w:r w:rsidRPr="00A0651A">
        <w:rPr>
          <w:rFonts w:hint="eastAsia"/>
          <w:lang w:val="en-US" w:eastAsia="zh-CN"/>
        </w:rPr>
        <w:t>用于与活动有关的赞助（主要是</w:t>
      </w:r>
      <w:r>
        <w:rPr>
          <w:rFonts w:hint="eastAsia"/>
          <w:lang w:val="en-US" w:eastAsia="zh-CN"/>
        </w:rPr>
        <w:t>人工智能惠及人类</w:t>
      </w:r>
      <w:r w:rsidRPr="00A0651A">
        <w:rPr>
          <w:rFonts w:hint="eastAsia"/>
          <w:lang w:val="en-US" w:eastAsia="zh-CN"/>
        </w:rPr>
        <w:t>、</w:t>
      </w:r>
      <w:r>
        <w:rPr>
          <w:rFonts w:hint="eastAsia"/>
          <w:lang w:val="en-US" w:eastAsia="zh-CN"/>
        </w:rPr>
        <w:t>信息社会世界峰会</w:t>
      </w:r>
      <w:r w:rsidRPr="00A0651A">
        <w:rPr>
          <w:rFonts w:hint="eastAsia"/>
          <w:lang w:val="en-US" w:eastAsia="zh-CN"/>
        </w:rPr>
        <w:t>、宽带委员会和青年峰会），</w:t>
      </w:r>
      <w:r w:rsidRPr="00A0651A">
        <w:rPr>
          <w:rFonts w:hint="eastAsia"/>
          <w:lang w:val="en-US" w:eastAsia="zh-CN"/>
        </w:rPr>
        <w:t>10%</w:t>
      </w:r>
      <w:r w:rsidRPr="00A0651A">
        <w:rPr>
          <w:rFonts w:hint="eastAsia"/>
          <w:lang w:val="en-US" w:eastAsia="zh-CN"/>
        </w:rPr>
        <w:t>用于其他捐助。</w:t>
      </w:r>
    </w:p>
    <w:p w14:paraId="67EA4698" w14:textId="1F87423C" w:rsidR="00EF46CD" w:rsidRPr="00EE58F2" w:rsidRDefault="00A0651A" w:rsidP="00894021">
      <w:pPr>
        <w:overflowPunct/>
        <w:autoSpaceDE/>
        <w:autoSpaceDN/>
        <w:adjustRightInd/>
        <w:spacing w:after="120"/>
        <w:ind w:firstLineChars="200" w:firstLine="480"/>
        <w:jc w:val="both"/>
        <w:textAlignment w:val="auto"/>
        <w:rPr>
          <w:lang w:val="en-US" w:eastAsia="zh-CN"/>
        </w:rPr>
      </w:pPr>
      <w:r w:rsidRPr="00A0651A">
        <w:rPr>
          <w:rFonts w:hint="eastAsia"/>
          <w:lang w:val="en-US" w:eastAsia="zh-CN"/>
        </w:rPr>
        <w:t>预算外资金约占</w:t>
      </w:r>
      <w:r w:rsidRPr="00A0651A">
        <w:rPr>
          <w:rFonts w:hint="eastAsia"/>
          <w:lang w:val="en-US" w:eastAsia="zh-CN"/>
        </w:rPr>
        <w:t>2022</w:t>
      </w:r>
      <w:r w:rsidRPr="00A0651A">
        <w:rPr>
          <w:rFonts w:hint="eastAsia"/>
          <w:lang w:val="en-US" w:eastAsia="zh-CN"/>
        </w:rPr>
        <w:t>年总收入的</w:t>
      </w:r>
      <w:r w:rsidRPr="00A0651A">
        <w:rPr>
          <w:rFonts w:hint="eastAsia"/>
          <w:lang w:val="en-US" w:eastAsia="zh-CN"/>
        </w:rPr>
        <w:t>8%</w:t>
      </w:r>
      <w:r w:rsidRPr="00A0651A">
        <w:rPr>
          <w:rFonts w:hint="eastAsia"/>
          <w:lang w:val="en-US" w:eastAsia="zh-CN"/>
        </w:rPr>
        <w:t>。与联合国许多其他机构</w:t>
      </w:r>
      <w:r w:rsidR="00C448A4">
        <w:rPr>
          <w:rFonts w:hint="eastAsia"/>
          <w:lang w:val="en-US" w:eastAsia="zh-CN"/>
        </w:rPr>
        <w:t>、</w:t>
      </w:r>
      <w:r w:rsidRPr="00A0651A">
        <w:rPr>
          <w:rFonts w:hint="eastAsia"/>
          <w:lang w:val="en-US" w:eastAsia="zh-CN"/>
        </w:rPr>
        <w:t>包括主要依靠</w:t>
      </w:r>
      <w:r>
        <w:rPr>
          <w:rFonts w:hint="eastAsia"/>
          <w:lang w:val="en-US" w:eastAsia="zh-CN"/>
        </w:rPr>
        <w:t>应摊会费</w:t>
      </w:r>
      <w:r w:rsidRPr="00A0651A">
        <w:rPr>
          <w:rFonts w:hint="eastAsia"/>
          <w:lang w:val="en-US" w:eastAsia="zh-CN"/>
        </w:rPr>
        <w:t>的其他专门机构相比，这一份额很小。</w:t>
      </w:r>
    </w:p>
    <w:p w14:paraId="21A325EA" w14:textId="0F985CFC" w:rsidR="00EF46CD" w:rsidRPr="00EE58F2" w:rsidRDefault="00A0651A" w:rsidP="00894021">
      <w:pPr>
        <w:overflowPunct/>
        <w:autoSpaceDE/>
        <w:autoSpaceDN/>
        <w:adjustRightInd/>
        <w:spacing w:after="120"/>
        <w:ind w:firstLineChars="200" w:firstLine="480"/>
        <w:jc w:val="both"/>
        <w:textAlignment w:val="auto"/>
        <w:rPr>
          <w:b/>
          <w:bCs/>
          <w:lang w:val="en-US" w:eastAsia="zh-CN"/>
        </w:rPr>
      </w:pPr>
      <w:r w:rsidRPr="00A0651A">
        <w:rPr>
          <w:rFonts w:hint="eastAsia"/>
          <w:lang w:val="en-US" w:eastAsia="zh-CN"/>
        </w:rPr>
        <w:t>2022</w:t>
      </w:r>
      <w:r w:rsidRPr="00A0651A">
        <w:rPr>
          <w:rFonts w:hint="eastAsia"/>
          <w:lang w:val="en-US" w:eastAsia="zh-CN"/>
        </w:rPr>
        <w:t>年，预算外资金在整个国际电联中的分配情况为：</w:t>
      </w:r>
      <w:r w:rsidRPr="00A0651A">
        <w:rPr>
          <w:rFonts w:hint="eastAsia"/>
          <w:lang w:val="en-US" w:eastAsia="zh-CN"/>
        </w:rPr>
        <w:t>BDT</w:t>
      </w:r>
      <w:r w:rsidRPr="00A0651A">
        <w:rPr>
          <w:rFonts w:hint="eastAsia"/>
          <w:lang w:val="en-US" w:eastAsia="zh-CN"/>
        </w:rPr>
        <w:t>获得</w:t>
      </w:r>
      <w:r w:rsidRPr="00A0651A">
        <w:rPr>
          <w:rFonts w:hint="eastAsia"/>
          <w:lang w:val="en-US" w:eastAsia="zh-CN"/>
        </w:rPr>
        <w:t>64%</w:t>
      </w:r>
      <w:r w:rsidRPr="00A0651A">
        <w:rPr>
          <w:rFonts w:hint="eastAsia"/>
          <w:lang w:val="en-US" w:eastAsia="zh-CN"/>
        </w:rPr>
        <w:t>，</w:t>
      </w:r>
      <w:r w:rsidRPr="00A0651A">
        <w:rPr>
          <w:rFonts w:hint="eastAsia"/>
          <w:lang w:val="en-US" w:eastAsia="zh-CN"/>
        </w:rPr>
        <w:t>TSB</w:t>
      </w:r>
      <w:r w:rsidRPr="00A0651A">
        <w:rPr>
          <w:rFonts w:hint="eastAsia"/>
          <w:lang w:val="en-US" w:eastAsia="zh-CN"/>
        </w:rPr>
        <w:t>获得</w:t>
      </w:r>
      <w:r w:rsidRPr="00A0651A">
        <w:rPr>
          <w:rFonts w:hint="eastAsia"/>
          <w:lang w:val="en-US" w:eastAsia="zh-CN"/>
        </w:rPr>
        <w:t>18%</w:t>
      </w:r>
      <w:r w:rsidRPr="00A0651A">
        <w:rPr>
          <w:rFonts w:hint="eastAsia"/>
          <w:lang w:val="en-US" w:eastAsia="zh-CN"/>
        </w:rPr>
        <w:t>，</w:t>
      </w:r>
      <w:r w:rsidRPr="00A0651A">
        <w:rPr>
          <w:rFonts w:hint="eastAsia"/>
          <w:lang w:val="en-US" w:eastAsia="zh-CN"/>
        </w:rPr>
        <w:t>BR</w:t>
      </w:r>
      <w:r w:rsidRPr="00A0651A">
        <w:rPr>
          <w:rFonts w:hint="eastAsia"/>
          <w:lang w:val="en-US" w:eastAsia="zh-CN"/>
        </w:rPr>
        <w:t>获得</w:t>
      </w:r>
      <w:r w:rsidRPr="00A0651A">
        <w:rPr>
          <w:rFonts w:hint="eastAsia"/>
          <w:lang w:val="en-US" w:eastAsia="zh-CN"/>
        </w:rPr>
        <w:t>2%</w:t>
      </w:r>
      <w:r w:rsidRPr="00A0651A">
        <w:rPr>
          <w:rFonts w:hint="eastAsia"/>
          <w:lang w:val="en-US" w:eastAsia="zh-CN"/>
        </w:rPr>
        <w:t>，总秘书处获得</w:t>
      </w:r>
      <w:r w:rsidRPr="00A0651A">
        <w:rPr>
          <w:rFonts w:hint="eastAsia"/>
          <w:lang w:val="en-US" w:eastAsia="zh-CN"/>
        </w:rPr>
        <w:t>16%</w:t>
      </w:r>
      <w:r w:rsidRPr="00A0651A">
        <w:rPr>
          <w:rFonts w:hint="eastAsia"/>
          <w:lang w:val="en-US" w:eastAsia="zh-CN"/>
        </w:rPr>
        <w:t>。</w:t>
      </w:r>
      <w:r w:rsidRPr="00A0651A">
        <w:rPr>
          <w:rFonts w:hint="eastAsia"/>
          <w:lang w:val="en-US" w:eastAsia="zh-CN"/>
        </w:rPr>
        <w:t>2022</w:t>
      </w:r>
      <w:r w:rsidRPr="00A0651A">
        <w:rPr>
          <w:rFonts w:hint="eastAsia"/>
          <w:lang w:val="en-US" w:eastAsia="zh-CN"/>
        </w:rPr>
        <w:t>年的最大捐助方名单见本文件</w:t>
      </w:r>
      <w:hyperlink w:anchor="Annex_1" w:history="1">
        <w:r>
          <w:rPr>
            <w:rStyle w:val="Hyperlink"/>
            <w:rFonts w:hint="eastAsia"/>
            <w:lang w:val="en-US" w:eastAsia="zh-CN"/>
          </w:rPr>
          <w:t>附件</w:t>
        </w:r>
        <w:r>
          <w:rPr>
            <w:rStyle w:val="Hyperlink"/>
            <w:rFonts w:hint="eastAsia"/>
            <w:lang w:val="en-US" w:eastAsia="zh-CN"/>
          </w:rPr>
          <w:t>1</w:t>
        </w:r>
      </w:hyperlink>
      <w:r>
        <w:rPr>
          <w:rFonts w:hint="eastAsia"/>
          <w:lang w:val="en-US" w:eastAsia="zh-CN"/>
        </w:rPr>
        <w:t>。</w:t>
      </w:r>
    </w:p>
    <w:p w14:paraId="0AF23CAE" w14:textId="3BAEF40E" w:rsidR="00EF46CD" w:rsidRPr="00EE58F2" w:rsidRDefault="00894021" w:rsidP="00894021">
      <w:pPr>
        <w:overflowPunct/>
        <w:autoSpaceDE/>
        <w:autoSpaceDN/>
        <w:adjustRightInd/>
        <w:spacing w:after="120"/>
        <w:ind w:firstLineChars="200" w:firstLine="480"/>
        <w:jc w:val="both"/>
        <w:textAlignment w:val="auto"/>
        <w:rPr>
          <w:b/>
          <w:bCs/>
          <w:lang w:eastAsia="zh-CN"/>
        </w:rPr>
      </w:pPr>
      <w:r w:rsidRPr="00894021">
        <w:rPr>
          <w:rFonts w:hint="eastAsia"/>
          <w:lang w:val="en-US" w:eastAsia="zh-CN"/>
        </w:rPr>
        <w:t>2022</w:t>
      </w:r>
      <w:r w:rsidRPr="00894021">
        <w:rPr>
          <w:rFonts w:hint="eastAsia"/>
          <w:lang w:val="en-US" w:eastAsia="zh-CN"/>
        </w:rPr>
        <w:t>年，预算外资金的</w:t>
      </w:r>
      <w:r w:rsidRPr="00894021">
        <w:rPr>
          <w:rFonts w:hint="eastAsia"/>
          <w:lang w:val="en-US" w:eastAsia="zh-CN"/>
        </w:rPr>
        <w:t>65%</w:t>
      </w:r>
      <w:r w:rsidRPr="00894021">
        <w:rPr>
          <w:rFonts w:hint="eastAsia"/>
          <w:lang w:val="en-US" w:eastAsia="zh-CN"/>
        </w:rPr>
        <w:t>，即</w:t>
      </w:r>
      <w:r w:rsidRPr="00894021">
        <w:rPr>
          <w:rFonts w:hint="eastAsia"/>
          <w:lang w:val="en-US" w:eastAsia="zh-CN"/>
        </w:rPr>
        <w:t>840</w:t>
      </w:r>
      <w:r w:rsidRPr="00894021">
        <w:rPr>
          <w:rFonts w:hint="eastAsia"/>
          <w:lang w:val="en-US" w:eastAsia="zh-CN"/>
        </w:rPr>
        <w:t>万瑞士法郎来自成员国，其中很高的份额，约</w:t>
      </w:r>
      <w:r w:rsidRPr="00894021">
        <w:rPr>
          <w:rFonts w:hint="eastAsia"/>
          <w:lang w:val="en-US" w:eastAsia="zh-CN"/>
        </w:rPr>
        <w:t>380</w:t>
      </w:r>
      <w:r w:rsidRPr="00894021">
        <w:rPr>
          <w:rFonts w:hint="eastAsia"/>
          <w:lang w:val="en-US" w:eastAsia="zh-CN"/>
        </w:rPr>
        <w:t>万瑞士法郎，来自国家发展机构和外交部。与官方发展援助组织</w:t>
      </w:r>
      <w:r>
        <w:rPr>
          <w:rFonts w:hint="eastAsia"/>
          <w:lang w:val="en-US" w:eastAsia="zh-CN"/>
        </w:rPr>
        <w:t>（</w:t>
      </w:r>
      <w:r>
        <w:rPr>
          <w:rFonts w:hint="eastAsia"/>
          <w:lang w:val="en-US" w:eastAsia="zh-CN"/>
        </w:rPr>
        <w:t>ODA</w:t>
      </w:r>
      <w:r>
        <w:rPr>
          <w:rFonts w:hint="eastAsia"/>
          <w:lang w:val="en-US" w:eastAsia="zh-CN"/>
        </w:rPr>
        <w:t>）</w:t>
      </w:r>
      <w:r w:rsidRPr="00894021">
        <w:rPr>
          <w:rFonts w:hint="eastAsia"/>
          <w:lang w:val="en-US" w:eastAsia="zh-CN"/>
        </w:rPr>
        <w:t>在项目和技术援助方面加深合作是有潜力的，因为国际电联迄今只与少数几个组织</w:t>
      </w:r>
      <w:r>
        <w:rPr>
          <w:rFonts w:hint="eastAsia"/>
          <w:lang w:val="en-US" w:eastAsia="zh-CN"/>
        </w:rPr>
        <w:t>有</w:t>
      </w:r>
      <w:r w:rsidRPr="00894021">
        <w:rPr>
          <w:rFonts w:hint="eastAsia"/>
          <w:lang w:val="en-US" w:eastAsia="zh-CN"/>
        </w:rPr>
        <w:t>合作。</w:t>
      </w:r>
      <w:r>
        <w:rPr>
          <w:rFonts w:hint="eastAsia"/>
          <w:lang w:val="en-US" w:eastAsia="zh-CN"/>
        </w:rPr>
        <w:t>参</w:t>
      </w:r>
      <w:r w:rsidRPr="00894021">
        <w:rPr>
          <w:rFonts w:hint="eastAsia"/>
          <w:lang w:val="en-US" w:eastAsia="zh-CN"/>
        </w:rPr>
        <w:t>见本</w:t>
      </w:r>
      <w:r>
        <w:rPr>
          <w:rFonts w:hint="eastAsia"/>
          <w:lang w:val="en-US" w:eastAsia="zh-CN"/>
        </w:rPr>
        <w:t>文件</w:t>
      </w:r>
      <w:hyperlink w:anchor="Annex_2" w:history="1">
        <w:r>
          <w:rPr>
            <w:rStyle w:val="Hyperlink"/>
            <w:rFonts w:hint="eastAsia"/>
            <w:lang w:val="en-US" w:eastAsia="zh-CN"/>
          </w:rPr>
          <w:t>附件</w:t>
        </w:r>
        <w:r>
          <w:rPr>
            <w:rStyle w:val="Hyperlink"/>
            <w:lang w:val="en-US" w:eastAsia="zh-CN"/>
          </w:rPr>
          <w:t>2</w:t>
        </w:r>
      </w:hyperlink>
      <w:r w:rsidRPr="00894021">
        <w:rPr>
          <w:rFonts w:hint="eastAsia"/>
          <w:lang w:val="en-US" w:eastAsia="zh-CN"/>
        </w:rPr>
        <w:t>。</w:t>
      </w:r>
    </w:p>
    <w:p w14:paraId="0A0E9B4F" w14:textId="066AC780" w:rsidR="00EF46CD" w:rsidRPr="00EE58F2" w:rsidRDefault="00894021" w:rsidP="00894021">
      <w:pPr>
        <w:overflowPunct/>
        <w:autoSpaceDE/>
        <w:autoSpaceDN/>
        <w:adjustRightInd/>
        <w:spacing w:after="120"/>
        <w:ind w:firstLineChars="200" w:firstLine="480"/>
        <w:jc w:val="both"/>
        <w:textAlignment w:val="auto"/>
        <w:rPr>
          <w:lang w:val="en-US" w:eastAsia="zh-CN"/>
        </w:rPr>
      </w:pPr>
      <w:r w:rsidRPr="00894021">
        <w:rPr>
          <w:rFonts w:hint="eastAsia"/>
          <w:lang w:val="en-US" w:eastAsia="zh-CN"/>
        </w:rPr>
        <w:t>在私营部门的预算外捐款方面，国际电联在</w:t>
      </w:r>
      <w:r w:rsidRPr="00894021">
        <w:rPr>
          <w:rFonts w:hint="eastAsia"/>
          <w:lang w:val="en-US" w:eastAsia="zh-CN"/>
        </w:rPr>
        <w:t>2022</w:t>
      </w:r>
      <w:r w:rsidRPr="00894021">
        <w:rPr>
          <w:rFonts w:hint="eastAsia"/>
          <w:lang w:val="en-US" w:eastAsia="zh-CN"/>
        </w:rPr>
        <w:t>年从业界（成员和非成员）</w:t>
      </w:r>
      <w:r>
        <w:rPr>
          <w:rFonts w:hint="eastAsia"/>
          <w:lang w:val="en-US" w:eastAsia="zh-CN"/>
        </w:rPr>
        <w:t>筹措</w:t>
      </w:r>
      <w:r w:rsidRPr="00894021">
        <w:rPr>
          <w:rFonts w:hint="eastAsia"/>
          <w:lang w:val="en-US" w:eastAsia="zh-CN"/>
        </w:rPr>
        <w:t>了</w:t>
      </w:r>
      <w:r w:rsidRPr="00894021">
        <w:rPr>
          <w:rFonts w:hint="eastAsia"/>
          <w:lang w:val="en-US" w:eastAsia="zh-CN"/>
        </w:rPr>
        <w:t>190</w:t>
      </w:r>
      <w:r w:rsidRPr="00894021">
        <w:rPr>
          <w:rFonts w:hint="eastAsia"/>
          <w:lang w:val="en-US" w:eastAsia="zh-CN"/>
        </w:rPr>
        <w:t>万瑞士法郎，占预算外资金的</w:t>
      </w:r>
      <w:r w:rsidRPr="00894021">
        <w:rPr>
          <w:rFonts w:hint="eastAsia"/>
          <w:lang w:val="en-US" w:eastAsia="zh-CN"/>
        </w:rPr>
        <w:t>15%</w:t>
      </w:r>
      <w:r w:rsidRPr="00894021">
        <w:rPr>
          <w:rFonts w:hint="eastAsia"/>
          <w:lang w:val="en-US" w:eastAsia="zh-CN"/>
        </w:rPr>
        <w:t>。</w:t>
      </w:r>
      <w:r w:rsidRPr="00894021">
        <w:rPr>
          <w:rFonts w:hint="eastAsia"/>
          <w:lang w:val="en-US" w:eastAsia="zh-CN"/>
        </w:rPr>
        <w:t>2022</w:t>
      </w:r>
      <w:r w:rsidRPr="00894021">
        <w:rPr>
          <w:rFonts w:hint="eastAsia"/>
          <w:lang w:val="en-US" w:eastAsia="zh-CN"/>
        </w:rPr>
        <w:t>年来自私营部门的最大捐助</w:t>
      </w:r>
      <w:r w:rsidR="00C448A4">
        <w:rPr>
          <w:rFonts w:hint="eastAsia"/>
          <w:lang w:val="en-US" w:eastAsia="zh-CN"/>
        </w:rPr>
        <w:t>方</w:t>
      </w:r>
      <w:r w:rsidRPr="00894021">
        <w:rPr>
          <w:rFonts w:hint="eastAsia"/>
          <w:lang w:val="en-US" w:eastAsia="zh-CN"/>
        </w:rPr>
        <w:t>是华为、中兴通讯、微软、</w:t>
      </w:r>
      <w:r w:rsidRPr="00894021">
        <w:rPr>
          <w:rFonts w:hint="eastAsia"/>
          <w:lang w:val="en-US" w:eastAsia="zh-CN"/>
        </w:rPr>
        <w:t>Meta</w:t>
      </w:r>
      <w:r w:rsidRPr="00894021">
        <w:rPr>
          <w:rFonts w:hint="eastAsia"/>
          <w:lang w:val="en-US" w:eastAsia="zh-CN"/>
        </w:rPr>
        <w:t>、技术创新研究所和</w:t>
      </w:r>
      <w:r w:rsidRPr="00894021">
        <w:rPr>
          <w:rFonts w:hint="eastAsia"/>
          <w:lang w:val="en-US" w:eastAsia="zh-CN"/>
        </w:rPr>
        <w:t>IBM</w:t>
      </w:r>
      <w:r w:rsidRPr="00894021">
        <w:rPr>
          <w:rFonts w:hint="eastAsia"/>
          <w:lang w:val="en-US" w:eastAsia="zh-CN"/>
        </w:rPr>
        <w:t>，每家至少提供</w:t>
      </w:r>
      <w:r>
        <w:rPr>
          <w:rFonts w:hint="eastAsia"/>
          <w:lang w:val="en-US" w:eastAsia="zh-CN"/>
        </w:rPr>
        <w:t>了</w:t>
      </w:r>
      <w:r w:rsidRPr="00894021">
        <w:rPr>
          <w:rFonts w:hint="eastAsia"/>
          <w:lang w:val="en-US" w:eastAsia="zh-CN"/>
        </w:rPr>
        <w:t>15</w:t>
      </w:r>
      <w:r w:rsidRPr="00894021">
        <w:rPr>
          <w:rFonts w:hint="eastAsia"/>
          <w:lang w:val="en-US" w:eastAsia="zh-CN"/>
        </w:rPr>
        <w:t>万瑞士法郎</w:t>
      </w:r>
      <w:r>
        <w:rPr>
          <w:rFonts w:hint="eastAsia"/>
          <w:lang w:val="en-US" w:eastAsia="zh-CN"/>
        </w:rPr>
        <w:t>。</w:t>
      </w:r>
    </w:p>
    <w:p w14:paraId="6D68CCBC" w14:textId="410B387C" w:rsidR="00EF46CD" w:rsidRPr="00EE58F2" w:rsidRDefault="00894021" w:rsidP="00894021">
      <w:pPr>
        <w:overflowPunct/>
        <w:autoSpaceDE/>
        <w:autoSpaceDN/>
        <w:adjustRightInd/>
        <w:spacing w:after="120"/>
        <w:ind w:firstLineChars="200" w:firstLine="480"/>
        <w:jc w:val="both"/>
        <w:textAlignment w:val="auto"/>
        <w:rPr>
          <w:lang w:val="en-US" w:eastAsia="zh-CN"/>
        </w:rPr>
      </w:pPr>
      <w:r w:rsidRPr="00894021">
        <w:rPr>
          <w:rFonts w:hint="eastAsia"/>
          <w:lang w:val="en-US" w:eastAsia="zh-CN"/>
        </w:rPr>
        <w:t>国际电联目前没有从基金会筹集到非常多的资金。最近的捐款来自</w:t>
      </w:r>
      <w:r w:rsidRPr="00894021">
        <w:rPr>
          <w:rFonts w:hint="eastAsia"/>
          <w:lang w:val="en-US" w:eastAsia="zh-CN"/>
        </w:rPr>
        <w:t>Botnar</w:t>
      </w:r>
      <w:r w:rsidRPr="00894021">
        <w:rPr>
          <w:rFonts w:hint="eastAsia"/>
          <w:lang w:val="en-US" w:eastAsia="zh-CN"/>
        </w:rPr>
        <w:t>基金会（</w:t>
      </w:r>
      <w:r w:rsidRPr="00894021">
        <w:rPr>
          <w:rFonts w:hint="eastAsia"/>
          <w:lang w:val="en-US" w:eastAsia="zh-CN"/>
        </w:rPr>
        <w:t>2022</w:t>
      </w:r>
      <w:r w:rsidRPr="00894021">
        <w:rPr>
          <w:rFonts w:hint="eastAsia"/>
          <w:lang w:val="en-US" w:eastAsia="zh-CN"/>
        </w:rPr>
        <w:t>年为</w:t>
      </w:r>
      <w:r w:rsidRPr="00894021">
        <w:rPr>
          <w:rFonts w:hint="eastAsia"/>
          <w:lang w:val="en-US" w:eastAsia="zh-CN"/>
        </w:rPr>
        <w:t>442</w:t>
      </w:r>
      <w:r w:rsidR="00CF2C52">
        <w:rPr>
          <w:lang w:val="en-US" w:eastAsia="zh-CN"/>
        </w:rPr>
        <w:t> </w:t>
      </w:r>
      <w:r w:rsidRPr="00894021">
        <w:rPr>
          <w:rFonts w:hint="eastAsia"/>
          <w:lang w:val="en-US" w:eastAsia="zh-CN"/>
        </w:rPr>
        <w:t>000</w:t>
      </w:r>
      <w:r w:rsidRPr="00894021">
        <w:rPr>
          <w:rFonts w:hint="eastAsia"/>
          <w:lang w:val="en-US" w:eastAsia="zh-CN"/>
        </w:rPr>
        <w:t>瑞士法郎）。这</w:t>
      </w:r>
      <w:r>
        <w:rPr>
          <w:rFonts w:hint="eastAsia"/>
          <w:lang w:val="en-US" w:eastAsia="zh-CN"/>
        </w:rPr>
        <w:t>是一条可以</w:t>
      </w:r>
      <w:r w:rsidRPr="00894021">
        <w:rPr>
          <w:rFonts w:hint="eastAsia"/>
          <w:lang w:val="en-US" w:eastAsia="zh-CN"/>
        </w:rPr>
        <w:t>进一步探索的途径，因为基金会和慈善机构对国际电联的领域越来越感兴趣。</w:t>
      </w:r>
    </w:p>
    <w:p w14:paraId="68833A7C" w14:textId="17EBD7C3" w:rsidR="00EF46CD" w:rsidRPr="00EE58F2" w:rsidRDefault="00EF46CD" w:rsidP="003C25DC">
      <w:pPr>
        <w:pStyle w:val="Heading2"/>
        <w:rPr>
          <w:lang w:val="en-US" w:eastAsia="zh-CN"/>
        </w:rPr>
      </w:pPr>
      <w:r w:rsidRPr="00EE58F2">
        <w:rPr>
          <w:lang w:val="en-US" w:eastAsia="zh-CN"/>
        </w:rPr>
        <w:lastRenderedPageBreak/>
        <w:t>2.2</w:t>
      </w:r>
      <w:r>
        <w:rPr>
          <w:lang w:val="en-US" w:eastAsia="zh-CN"/>
        </w:rPr>
        <w:tab/>
      </w:r>
      <w:r w:rsidR="00E93961" w:rsidRPr="00D36338">
        <w:rPr>
          <w:rFonts w:hint="eastAsia"/>
          <w:lang w:val="en-US" w:eastAsia="zh-CN"/>
        </w:rPr>
        <w:t>整个联合国系统的筹资模式</w:t>
      </w:r>
    </w:p>
    <w:p w14:paraId="1A46B8DE" w14:textId="1007DDCF" w:rsidR="00E93961" w:rsidRPr="00E93961" w:rsidRDefault="00E93961" w:rsidP="00E93961">
      <w:pPr>
        <w:overflowPunct/>
        <w:autoSpaceDE/>
        <w:autoSpaceDN/>
        <w:adjustRightInd/>
        <w:spacing w:after="120"/>
        <w:ind w:firstLineChars="200" w:firstLine="480"/>
        <w:jc w:val="both"/>
        <w:textAlignment w:val="auto"/>
        <w:rPr>
          <w:lang w:val="en-US" w:eastAsia="zh-CN"/>
        </w:rPr>
      </w:pPr>
      <w:r w:rsidRPr="00E93961">
        <w:rPr>
          <w:rFonts w:hint="eastAsia"/>
          <w:lang w:val="en-US" w:eastAsia="zh-CN"/>
        </w:rPr>
        <w:t>整个联合国系统存在非常不同的筹资模式，这取决于每个组织的不同任务和核心活动。有些组织，如儿童基金会、难民署和粮食计划署，主要依靠自愿捐款，这些捐款主要用于具体项目和举措。与紧急情况有关的筹款往往占到所筹资金的很大比例。这些组织已经</w:t>
      </w:r>
      <w:r w:rsidR="00C448A4">
        <w:rPr>
          <w:rFonts w:hint="eastAsia"/>
          <w:lang w:val="en-US" w:eastAsia="zh-CN"/>
        </w:rPr>
        <w:t>开</w:t>
      </w:r>
      <w:r w:rsidRPr="00E93961">
        <w:rPr>
          <w:rFonts w:hint="eastAsia"/>
          <w:lang w:val="en-US" w:eastAsia="zh-CN"/>
        </w:rPr>
        <w:t>展了重要的专业筹</w:t>
      </w:r>
      <w:r>
        <w:rPr>
          <w:rFonts w:hint="eastAsia"/>
          <w:lang w:val="en-US" w:eastAsia="zh-CN"/>
        </w:rPr>
        <w:t>资</w:t>
      </w:r>
      <w:r w:rsidR="0042398E">
        <w:rPr>
          <w:rFonts w:hint="eastAsia"/>
          <w:lang w:val="en-US" w:eastAsia="zh-CN"/>
        </w:rPr>
        <w:t>活动</w:t>
      </w:r>
      <w:r w:rsidRPr="00E93961">
        <w:rPr>
          <w:rFonts w:hint="eastAsia"/>
          <w:lang w:val="en-US" w:eastAsia="zh-CN"/>
        </w:rPr>
        <w:t>，从政府、私营部门、基金会、高净值个人甚至普通公众那里寻求捐款。</w:t>
      </w:r>
    </w:p>
    <w:p w14:paraId="262EDD04" w14:textId="469EFA53" w:rsidR="00E93961" w:rsidRPr="00E93961" w:rsidRDefault="00E93961" w:rsidP="00E93961">
      <w:pPr>
        <w:overflowPunct/>
        <w:autoSpaceDE/>
        <w:autoSpaceDN/>
        <w:adjustRightInd/>
        <w:spacing w:after="120"/>
        <w:ind w:firstLineChars="200" w:firstLine="480"/>
        <w:jc w:val="both"/>
        <w:textAlignment w:val="auto"/>
        <w:rPr>
          <w:lang w:val="en-US" w:eastAsia="zh-CN"/>
        </w:rPr>
      </w:pPr>
      <w:r w:rsidRPr="00E93961">
        <w:rPr>
          <w:rFonts w:hint="eastAsia"/>
          <w:lang w:val="en-US" w:eastAsia="zh-CN"/>
        </w:rPr>
        <w:t>另一方面，国际电联、万国邮联、原子能机构、劳工组织、海事组织、教科文组织和气象组织等一般主要依靠</w:t>
      </w:r>
      <w:r w:rsidR="0042398E">
        <w:rPr>
          <w:rFonts w:hint="eastAsia"/>
          <w:lang w:val="en-US" w:eastAsia="zh-CN"/>
        </w:rPr>
        <w:t>应</w:t>
      </w:r>
      <w:r w:rsidRPr="00E93961">
        <w:rPr>
          <w:rFonts w:hint="eastAsia"/>
          <w:lang w:val="en-US" w:eastAsia="zh-CN"/>
        </w:rPr>
        <w:t>摊会费来资助其</w:t>
      </w:r>
      <w:r w:rsidR="0042398E">
        <w:rPr>
          <w:rFonts w:hint="eastAsia"/>
          <w:lang w:val="en-US" w:eastAsia="zh-CN"/>
        </w:rPr>
        <w:t>各项活动</w:t>
      </w:r>
      <w:r w:rsidRPr="00E93961">
        <w:rPr>
          <w:rFonts w:hint="eastAsia"/>
          <w:lang w:val="en-US" w:eastAsia="zh-CN"/>
        </w:rPr>
        <w:t>和执行商定的工作计划，在某些情况下，还为项目和特别举措提供自愿捐款作为补充。世界知识产权组织（</w:t>
      </w:r>
      <w:r w:rsidRPr="00E93961">
        <w:rPr>
          <w:rFonts w:hint="eastAsia"/>
          <w:lang w:val="en-US" w:eastAsia="zh-CN"/>
        </w:rPr>
        <w:t>WIPO</w:t>
      </w:r>
      <w:r w:rsidRPr="00E93961">
        <w:rPr>
          <w:rFonts w:hint="eastAsia"/>
          <w:lang w:val="en-US" w:eastAsia="zh-CN"/>
        </w:rPr>
        <w:t>）的突出特点是开发了一种商业模式，其绝大部分收入来自与专利有关的</w:t>
      </w:r>
      <w:r w:rsidR="0042398E">
        <w:rPr>
          <w:rFonts w:hint="eastAsia"/>
          <w:lang w:val="en-US" w:eastAsia="zh-CN"/>
        </w:rPr>
        <w:t>业</w:t>
      </w:r>
      <w:r w:rsidRPr="00E93961">
        <w:rPr>
          <w:rFonts w:hint="eastAsia"/>
          <w:lang w:val="en-US" w:eastAsia="zh-CN"/>
        </w:rPr>
        <w:t>务。</w:t>
      </w:r>
    </w:p>
    <w:p w14:paraId="4A23102F" w14:textId="5BF61685" w:rsidR="00EF46CD" w:rsidRPr="00F319B3" w:rsidRDefault="00E93961" w:rsidP="0042398E">
      <w:pPr>
        <w:overflowPunct/>
        <w:autoSpaceDE/>
        <w:autoSpaceDN/>
        <w:adjustRightInd/>
        <w:spacing w:after="120"/>
        <w:ind w:firstLineChars="200" w:firstLine="480"/>
        <w:jc w:val="both"/>
        <w:textAlignment w:val="auto"/>
        <w:rPr>
          <w:lang w:val="en-US" w:eastAsia="zh-CN"/>
        </w:rPr>
      </w:pPr>
      <w:r w:rsidRPr="00E93961">
        <w:rPr>
          <w:rFonts w:hint="eastAsia"/>
          <w:lang w:val="en-US" w:eastAsia="zh-CN"/>
        </w:rPr>
        <w:t>一些联合国机构最近增加了预算，包括国际移民组织、世界卫生组织、世界气象组织：</w:t>
      </w:r>
    </w:p>
    <w:p w14:paraId="3E30AD32" w14:textId="3B3616CB" w:rsidR="00EF46CD" w:rsidRPr="00F319B3" w:rsidRDefault="00EF46CD" w:rsidP="00366484">
      <w:pPr>
        <w:pStyle w:val="enumlev1"/>
        <w:rPr>
          <w:lang w:val="en-US" w:eastAsia="zh-CN"/>
        </w:rPr>
      </w:pPr>
      <w:r w:rsidRPr="00F319B3">
        <w:rPr>
          <w:lang w:val="en-US" w:eastAsia="zh-CN"/>
        </w:rPr>
        <w:t>•</w:t>
      </w:r>
      <w:r w:rsidRPr="00F319B3">
        <w:rPr>
          <w:lang w:val="en-US" w:eastAsia="zh-CN"/>
        </w:rPr>
        <w:tab/>
      </w:r>
      <w:r w:rsidR="0042398E" w:rsidRPr="0042398E">
        <w:rPr>
          <w:rFonts w:hint="eastAsia"/>
          <w:lang w:val="en-US" w:eastAsia="zh-CN"/>
        </w:rPr>
        <w:t>国际移民组织</w:t>
      </w:r>
      <w:r w:rsidR="0042398E">
        <w:rPr>
          <w:rFonts w:hint="eastAsia"/>
          <w:lang w:val="en-US" w:eastAsia="zh-CN"/>
        </w:rPr>
        <w:t>：</w:t>
      </w:r>
      <w:r w:rsidR="0042398E" w:rsidRPr="0042398E">
        <w:rPr>
          <w:rFonts w:hint="eastAsia"/>
          <w:lang w:val="en-US" w:eastAsia="zh-CN"/>
        </w:rPr>
        <w:t>在国际移民组织理事会第</w:t>
      </w:r>
      <w:r w:rsidR="0042398E" w:rsidRPr="0042398E">
        <w:rPr>
          <w:rFonts w:hint="eastAsia"/>
          <w:lang w:val="en-US" w:eastAsia="zh-CN"/>
        </w:rPr>
        <w:t>113</w:t>
      </w:r>
      <w:r w:rsidR="0042398E" w:rsidRPr="0042398E">
        <w:rPr>
          <w:rFonts w:hint="eastAsia"/>
          <w:lang w:val="en-US" w:eastAsia="zh-CN"/>
        </w:rPr>
        <w:t>届会议（</w:t>
      </w:r>
      <w:r w:rsidR="0042398E" w:rsidRPr="0042398E">
        <w:rPr>
          <w:rFonts w:hint="eastAsia"/>
          <w:lang w:val="en-US" w:eastAsia="zh-CN"/>
        </w:rPr>
        <w:t>2022</w:t>
      </w:r>
      <w:r w:rsidR="0042398E" w:rsidRPr="0042398E">
        <w:rPr>
          <w:rFonts w:hint="eastAsia"/>
          <w:lang w:val="en-US" w:eastAsia="zh-CN"/>
        </w:rPr>
        <w:t>年</w:t>
      </w:r>
      <w:r w:rsidR="0042398E" w:rsidRPr="0042398E">
        <w:rPr>
          <w:rFonts w:hint="eastAsia"/>
          <w:lang w:val="en-US" w:eastAsia="zh-CN"/>
        </w:rPr>
        <w:t>10</w:t>
      </w:r>
      <w:r w:rsidR="0042398E" w:rsidRPr="0042398E">
        <w:rPr>
          <w:rFonts w:hint="eastAsia"/>
          <w:lang w:val="en-US" w:eastAsia="zh-CN"/>
        </w:rPr>
        <w:t>月）上，批准在五年内每年增加</w:t>
      </w:r>
      <w:r w:rsidR="0042398E" w:rsidRPr="0042398E">
        <w:rPr>
          <w:rFonts w:hint="eastAsia"/>
          <w:lang w:val="en-US" w:eastAsia="zh-CN"/>
        </w:rPr>
        <w:t>1200</w:t>
      </w:r>
      <w:r w:rsidR="0042398E" w:rsidRPr="0042398E">
        <w:rPr>
          <w:rFonts w:hint="eastAsia"/>
          <w:lang w:val="en-US" w:eastAsia="zh-CN"/>
        </w:rPr>
        <w:t>万美元的行政部分</w:t>
      </w:r>
      <w:r w:rsidR="0042398E">
        <w:rPr>
          <w:rFonts w:hint="eastAsia"/>
          <w:lang w:val="en-US" w:eastAsia="zh-CN"/>
        </w:rPr>
        <w:t>的</w:t>
      </w:r>
      <w:r w:rsidR="0042398E" w:rsidRPr="0042398E">
        <w:rPr>
          <w:rFonts w:hint="eastAsia"/>
          <w:lang w:val="en-US" w:eastAsia="zh-CN"/>
        </w:rPr>
        <w:t>预算，资金来自成员国的</w:t>
      </w:r>
      <w:r w:rsidR="0042398E">
        <w:rPr>
          <w:rFonts w:hint="eastAsia"/>
          <w:lang w:val="en-US" w:eastAsia="zh-CN"/>
        </w:rPr>
        <w:t>应</w:t>
      </w:r>
      <w:r w:rsidR="0042398E" w:rsidRPr="0042398E">
        <w:rPr>
          <w:rFonts w:hint="eastAsia"/>
          <w:lang w:val="en-US" w:eastAsia="zh-CN"/>
        </w:rPr>
        <w:t>摊会费。到</w:t>
      </w:r>
      <w:r w:rsidR="0042398E" w:rsidRPr="0042398E">
        <w:rPr>
          <w:rFonts w:hint="eastAsia"/>
          <w:lang w:val="en-US" w:eastAsia="zh-CN"/>
        </w:rPr>
        <w:t>2027</w:t>
      </w:r>
      <w:r w:rsidR="0042398E" w:rsidRPr="0042398E">
        <w:rPr>
          <w:rFonts w:hint="eastAsia"/>
          <w:lang w:val="en-US" w:eastAsia="zh-CN"/>
        </w:rPr>
        <w:t>年，每年应增加</w:t>
      </w:r>
      <w:r w:rsidR="0042398E" w:rsidRPr="0042398E">
        <w:rPr>
          <w:rFonts w:hint="eastAsia"/>
          <w:lang w:val="en-US" w:eastAsia="zh-CN"/>
        </w:rPr>
        <w:t>6000</w:t>
      </w:r>
      <w:r w:rsidR="0042398E" w:rsidRPr="0042398E">
        <w:rPr>
          <w:rFonts w:hint="eastAsia"/>
          <w:lang w:val="en-US" w:eastAsia="zh-CN"/>
        </w:rPr>
        <w:t>万美元</w:t>
      </w:r>
      <w:r w:rsidR="0042398E">
        <w:rPr>
          <w:rFonts w:hint="eastAsia"/>
          <w:lang w:val="en-US" w:eastAsia="zh-CN"/>
        </w:rPr>
        <w:t>。</w:t>
      </w:r>
      <w:r>
        <w:rPr>
          <w:rStyle w:val="FootnoteReference"/>
          <w:lang w:val="en-US"/>
        </w:rPr>
        <w:footnoteReference w:id="1"/>
      </w:r>
    </w:p>
    <w:p w14:paraId="6C7133FF" w14:textId="59E78101" w:rsidR="00EF46CD" w:rsidRPr="00F319B3" w:rsidRDefault="00EF46CD" w:rsidP="00366484">
      <w:pPr>
        <w:pStyle w:val="enumlev1"/>
        <w:rPr>
          <w:lang w:val="en-US" w:eastAsia="zh-CN"/>
        </w:rPr>
      </w:pPr>
      <w:r w:rsidRPr="00F319B3">
        <w:rPr>
          <w:lang w:val="en-US" w:eastAsia="zh-CN"/>
        </w:rPr>
        <w:t>•</w:t>
      </w:r>
      <w:r w:rsidRPr="00F319B3">
        <w:rPr>
          <w:lang w:val="en-US" w:eastAsia="zh-CN"/>
        </w:rPr>
        <w:tab/>
      </w:r>
      <w:r w:rsidR="00D8302E">
        <w:rPr>
          <w:rFonts w:hint="eastAsia"/>
          <w:lang w:val="en-US" w:eastAsia="zh-CN"/>
        </w:rPr>
        <w:t>世界卫生</w:t>
      </w:r>
      <w:r w:rsidR="0042398E" w:rsidRPr="0042398E">
        <w:rPr>
          <w:rFonts w:hint="eastAsia"/>
          <w:lang w:val="en-US" w:eastAsia="zh-CN"/>
        </w:rPr>
        <w:t>组织</w:t>
      </w:r>
      <w:r w:rsidR="0042398E">
        <w:rPr>
          <w:rFonts w:hint="eastAsia"/>
          <w:lang w:val="en-US" w:eastAsia="zh-CN"/>
        </w:rPr>
        <w:t>：</w:t>
      </w:r>
      <w:r w:rsidR="0042398E" w:rsidRPr="0042398E">
        <w:rPr>
          <w:rFonts w:hint="eastAsia"/>
          <w:lang w:val="en-US" w:eastAsia="zh-CN"/>
        </w:rPr>
        <w:t>在第</w:t>
      </w:r>
      <w:r w:rsidR="0042398E" w:rsidRPr="0042398E">
        <w:rPr>
          <w:rFonts w:hint="eastAsia"/>
          <w:lang w:val="en-US" w:eastAsia="zh-CN"/>
        </w:rPr>
        <w:t>76</w:t>
      </w:r>
      <w:r w:rsidR="0042398E" w:rsidRPr="0042398E">
        <w:rPr>
          <w:rFonts w:hint="eastAsia"/>
          <w:lang w:val="en-US" w:eastAsia="zh-CN"/>
        </w:rPr>
        <w:t>届世界卫生大会（</w:t>
      </w:r>
      <w:r w:rsidR="0042398E" w:rsidRPr="0042398E">
        <w:rPr>
          <w:rFonts w:hint="eastAsia"/>
          <w:lang w:val="en-US" w:eastAsia="zh-CN"/>
        </w:rPr>
        <w:t>2023</w:t>
      </w:r>
      <w:r w:rsidR="0042398E" w:rsidRPr="0042398E">
        <w:rPr>
          <w:rFonts w:hint="eastAsia"/>
          <w:lang w:val="en-US" w:eastAsia="zh-CN"/>
        </w:rPr>
        <w:t>年</w:t>
      </w:r>
      <w:r w:rsidR="0042398E" w:rsidRPr="0042398E">
        <w:rPr>
          <w:rFonts w:hint="eastAsia"/>
          <w:lang w:val="en-US" w:eastAsia="zh-CN"/>
        </w:rPr>
        <w:t>5</w:t>
      </w:r>
      <w:r w:rsidR="0042398E" w:rsidRPr="0042398E">
        <w:rPr>
          <w:rFonts w:hint="eastAsia"/>
          <w:lang w:val="en-US" w:eastAsia="zh-CN"/>
        </w:rPr>
        <w:t>月）上，世卫组织</w:t>
      </w:r>
      <w:r w:rsidR="0042398E" w:rsidRPr="0042398E">
        <w:rPr>
          <w:rFonts w:hint="eastAsia"/>
          <w:lang w:val="en-US" w:eastAsia="zh-CN"/>
        </w:rPr>
        <w:t>2024-2025</w:t>
      </w:r>
      <w:r w:rsidR="0042398E" w:rsidRPr="0042398E">
        <w:rPr>
          <w:rFonts w:hint="eastAsia"/>
          <w:lang w:val="en-US" w:eastAsia="zh-CN"/>
        </w:rPr>
        <w:t>年的方案预算得到批准，</w:t>
      </w:r>
      <w:r w:rsidR="0042398E">
        <w:rPr>
          <w:rFonts w:hint="eastAsia"/>
          <w:lang w:val="en-US" w:eastAsia="zh-CN"/>
        </w:rPr>
        <w:t>应</w:t>
      </w:r>
      <w:r w:rsidR="0042398E" w:rsidRPr="0042398E">
        <w:rPr>
          <w:rFonts w:hint="eastAsia"/>
          <w:lang w:val="en-US" w:eastAsia="zh-CN"/>
        </w:rPr>
        <w:t>摊会费增加了</w:t>
      </w:r>
      <w:r w:rsidR="0042398E" w:rsidRPr="0042398E">
        <w:rPr>
          <w:rFonts w:hint="eastAsia"/>
          <w:lang w:val="en-US" w:eastAsia="zh-CN"/>
        </w:rPr>
        <w:t>20%</w:t>
      </w:r>
      <w:r w:rsidR="0042398E" w:rsidRPr="0042398E">
        <w:rPr>
          <w:rFonts w:hint="eastAsia"/>
          <w:lang w:val="en-US" w:eastAsia="zh-CN"/>
        </w:rPr>
        <w:t>。这一决定将使世卫组织的预算达到</w:t>
      </w:r>
      <w:r w:rsidR="0042398E" w:rsidRPr="0042398E">
        <w:rPr>
          <w:rFonts w:hint="eastAsia"/>
          <w:lang w:val="en-US" w:eastAsia="zh-CN"/>
        </w:rPr>
        <w:t>68.3</w:t>
      </w:r>
      <w:r w:rsidR="0042398E" w:rsidRPr="0042398E">
        <w:rPr>
          <w:rFonts w:hint="eastAsia"/>
          <w:lang w:val="en-US" w:eastAsia="zh-CN"/>
        </w:rPr>
        <w:t>亿美元。</w:t>
      </w:r>
      <w:r>
        <w:rPr>
          <w:rStyle w:val="FootnoteReference"/>
          <w:lang w:val="en-US"/>
        </w:rPr>
        <w:footnoteReference w:id="2"/>
      </w:r>
    </w:p>
    <w:p w14:paraId="4DE4BFDD" w14:textId="6E29B5C1" w:rsidR="00EF46CD" w:rsidRDefault="00EF46CD" w:rsidP="00366484">
      <w:pPr>
        <w:pStyle w:val="enumlev1"/>
        <w:rPr>
          <w:lang w:val="en-US" w:eastAsia="zh-CN"/>
        </w:rPr>
      </w:pPr>
      <w:r w:rsidRPr="00F319B3">
        <w:rPr>
          <w:lang w:val="en-US" w:eastAsia="zh-CN"/>
        </w:rPr>
        <w:t>•</w:t>
      </w:r>
      <w:r w:rsidRPr="00F319B3">
        <w:rPr>
          <w:lang w:val="en-US" w:eastAsia="zh-CN"/>
        </w:rPr>
        <w:tab/>
      </w:r>
      <w:r w:rsidR="0042398E" w:rsidRPr="0042398E">
        <w:rPr>
          <w:rFonts w:hint="eastAsia"/>
          <w:lang w:val="en-US" w:eastAsia="zh-CN"/>
        </w:rPr>
        <w:t>世界气象组织</w:t>
      </w:r>
      <w:r w:rsidR="0042398E">
        <w:rPr>
          <w:rFonts w:hint="eastAsia"/>
          <w:lang w:val="en-US" w:eastAsia="zh-CN"/>
        </w:rPr>
        <w:t>：</w:t>
      </w:r>
      <w:r w:rsidR="0042398E" w:rsidRPr="0042398E">
        <w:rPr>
          <w:rFonts w:hint="eastAsia"/>
          <w:lang w:val="en-US" w:eastAsia="zh-CN"/>
        </w:rPr>
        <w:t>世界气象大会（</w:t>
      </w:r>
      <w:r w:rsidR="0042398E" w:rsidRPr="0042398E">
        <w:rPr>
          <w:rFonts w:hint="eastAsia"/>
          <w:lang w:val="en-US" w:eastAsia="zh-CN"/>
        </w:rPr>
        <w:t>2023</w:t>
      </w:r>
      <w:r w:rsidR="0042398E" w:rsidRPr="0042398E">
        <w:rPr>
          <w:rFonts w:hint="eastAsia"/>
          <w:lang w:val="en-US" w:eastAsia="zh-CN"/>
        </w:rPr>
        <w:t>年</w:t>
      </w:r>
      <w:r w:rsidR="0042398E" w:rsidRPr="0042398E">
        <w:rPr>
          <w:rFonts w:hint="eastAsia"/>
          <w:lang w:val="en-US" w:eastAsia="zh-CN"/>
        </w:rPr>
        <w:t>6</w:t>
      </w:r>
      <w:r w:rsidR="0042398E" w:rsidRPr="0042398E">
        <w:rPr>
          <w:rFonts w:hint="eastAsia"/>
          <w:lang w:val="en-US" w:eastAsia="zh-CN"/>
        </w:rPr>
        <w:t>月）批准了</w:t>
      </w:r>
      <w:r w:rsidR="0042398E" w:rsidRPr="0042398E">
        <w:rPr>
          <w:rFonts w:hint="eastAsia"/>
          <w:lang w:val="en-US" w:eastAsia="zh-CN"/>
        </w:rPr>
        <w:t>2024-2027</w:t>
      </w:r>
      <w:r w:rsidR="0042398E" w:rsidRPr="0042398E">
        <w:rPr>
          <w:rFonts w:hint="eastAsia"/>
          <w:lang w:val="en-US" w:eastAsia="zh-CN"/>
        </w:rPr>
        <w:t>年财政期间略高于</w:t>
      </w:r>
      <w:r w:rsidR="0042398E" w:rsidRPr="0042398E">
        <w:rPr>
          <w:rFonts w:hint="eastAsia"/>
          <w:lang w:val="en-US" w:eastAsia="zh-CN"/>
        </w:rPr>
        <w:t>2.78</w:t>
      </w:r>
      <w:r w:rsidR="0042398E" w:rsidRPr="0042398E">
        <w:rPr>
          <w:rFonts w:hint="eastAsia"/>
          <w:lang w:val="en-US" w:eastAsia="zh-CN"/>
        </w:rPr>
        <w:t>亿瑞士法郎的</w:t>
      </w:r>
      <w:r w:rsidR="0042398E">
        <w:rPr>
          <w:rFonts w:hint="eastAsia"/>
          <w:lang w:val="en-US" w:eastAsia="zh-CN"/>
        </w:rPr>
        <w:t>正</w:t>
      </w:r>
      <w:r w:rsidR="0042398E" w:rsidRPr="0042398E">
        <w:rPr>
          <w:rFonts w:hint="eastAsia"/>
          <w:lang w:val="en-US" w:eastAsia="zh-CN"/>
        </w:rPr>
        <w:t>常预算，比</w:t>
      </w:r>
      <w:r w:rsidR="0042398E" w:rsidRPr="0042398E">
        <w:rPr>
          <w:rFonts w:hint="eastAsia"/>
          <w:lang w:val="en-US" w:eastAsia="zh-CN"/>
        </w:rPr>
        <w:t>2020-2023</w:t>
      </w:r>
      <w:r w:rsidR="0042398E" w:rsidRPr="0042398E">
        <w:rPr>
          <w:rFonts w:hint="eastAsia"/>
          <w:lang w:val="en-US" w:eastAsia="zh-CN"/>
        </w:rPr>
        <w:t>年增加</w:t>
      </w:r>
      <w:r w:rsidR="0042398E" w:rsidRPr="0042398E">
        <w:rPr>
          <w:rFonts w:hint="eastAsia"/>
          <w:lang w:val="en-US" w:eastAsia="zh-CN"/>
        </w:rPr>
        <w:t>2.4%</w:t>
      </w:r>
      <w:r w:rsidR="0042398E" w:rsidRPr="0042398E">
        <w:rPr>
          <w:rFonts w:hint="eastAsia"/>
          <w:lang w:val="en-US" w:eastAsia="zh-CN"/>
        </w:rPr>
        <w:t>。</w:t>
      </w:r>
      <w:r>
        <w:rPr>
          <w:rStyle w:val="FootnoteReference"/>
          <w:lang w:val="en-US"/>
        </w:rPr>
        <w:footnoteReference w:id="3"/>
      </w:r>
    </w:p>
    <w:p w14:paraId="5BA14F6F" w14:textId="664EBDD6" w:rsidR="00EF46CD" w:rsidRPr="00D36338" w:rsidRDefault="00EF46CD" w:rsidP="003C25DC">
      <w:pPr>
        <w:pStyle w:val="Heading2"/>
        <w:rPr>
          <w:lang w:val="en-US" w:eastAsia="zh-CN"/>
        </w:rPr>
      </w:pPr>
      <w:r w:rsidRPr="00D36338">
        <w:rPr>
          <w:lang w:val="en-US" w:eastAsia="zh-CN"/>
        </w:rPr>
        <w:t>2.3</w:t>
      </w:r>
      <w:r w:rsidRPr="00D36338">
        <w:rPr>
          <w:lang w:val="en-US" w:eastAsia="zh-CN"/>
        </w:rPr>
        <w:tab/>
      </w:r>
      <w:r w:rsidR="0042398E" w:rsidRPr="00D36338">
        <w:rPr>
          <w:rFonts w:hint="eastAsia"/>
          <w:lang w:val="en-US" w:eastAsia="zh-CN"/>
        </w:rPr>
        <w:t>主要利益攸关方对国际电联的看法评估</w:t>
      </w:r>
    </w:p>
    <w:p w14:paraId="56714078" w14:textId="5BF81332" w:rsidR="00EF46CD" w:rsidRPr="00EE58F2" w:rsidRDefault="0042398E" w:rsidP="0042398E">
      <w:pPr>
        <w:overflowPunct/>
        <w:autoSpaceDE/>
        <w:autoSpaceDN/>
        <w:adjustRightInd/>
        <w:spacing w:after="120"/>
        <w:ind w:firstLineChars="200" w:firstLine="480"/>
        <w:jc w:val="both"/>
        <w:textAlignment w:val="auto"/>
        <w:rPr>
          <w:lang w:val="en-US" w:eastAsia="zh-CN"/>
        </w:rPr>
      </w:pPr>
      <w:r w:rsidRPr="0042398E">
        <w:rPr>
          <w:rFonts w:hint="eastAsia"/>
          <w:lang w:val="en-US" w:eastAsia="zh-CN"/>
        </w:rPr>
        <w:t>自</w:t>
      </w:r>
      <w:r w:rsidRPr="0042398E">
        <w:rPr>
          <w:rFonts w:hint="eastAsia"/>
          <w:lang w:val="en-US" w:eastAsia="zh-CN"/>
        </w:rPr>
        <w:t>2023</w:t>
      </w:r>
      <w:r w:rsidRPr="0042398E">
        <w:rPr>
          <w:rFonts w:hint="eastAsia"/>
          <w:lang w:val="en-US" w:eastAsia="zh-CN"/>
        </w:rPr>
        <w:t>年</w:t>
      </w:r>
      <w:r w:rsidRPr="0042398E">
        <w:rPr>
          <w:rFonts w:hint="eastAsia"/>
          <w:lang w:val="en-US" w:eastAsia="zh-CN"/>
        </w:rPr>
        <w:t>2</w:t>
      </w:r>
      <w:r w:rsidRPr="0042398E">
        <w:rPr>
          <w:rFonts w:hint="eastAsia"/>
          <w:lang w:val="en-US" w:eastAsia="zh-CN"/>
        </w:rPr>
        <w:t>月以来，国际电联和</w:t>
      </w:r>
      <w:r w:rsidRPr="0042398E">
        <w:rPr>
          <w:rFonts w:hint="eastAsia"/>
          <w:lang w:val="en-US" w:eastAsia="zh-CN"/>
        </w:rPr>
        <w:t>BCG</w:t>
      </w:r>
      <w:r w:rsidRPr="0042398E">
        <w:rPr>
          <w:rFonts w:hint="eastAsia"/>
          <w:lang w:val="en-US" w:eastAsia="zh-CN"/>
        </w:rPr>
        <w:t>从内部和外部的利益</w:t>
      </w:r>
      <w:r>
        <w:rPr>
          <w:rFonts w:hint="eastAsia"/>
          <w:lang w:val="en-US" w:eastAsia="zh-CN"/>
        </w:rPr>
        <w:t>攸关方</w:t>
      </w:r>
      <w:r w:rsidRPr="0042398E">
        <w:rPr>
          <w:rFonts w:hint="eastAsia"/>
          <w:lang w:val="en-US" w:eastAsia="zh-CN"/>
        </w:rPr>
        <w:t>，包括成员国、私营部门、社会部门和联合国同行机构，收集了</w:t>
      </w:r>
      <w:r w:rsidRPr="0042398E">
        <w:rPr>
          <w:rFonts w:hint="eastAsia"/>
          <w:lang w:val="en-US" w:eastAsia="zh-CN"/>
        </w:rPr>
        <w:t>70</w:t>
      </w:r>
      <w:r w:rsidRPr="0042398E">
        <w:rPr>
          <w:rFonts w:hint="eastAsia"/>
          <w:lang w:val="en-US" w:eastAsia="zh-CN"/>
        </w:rPr>
        <w:t>多次访谈的反馈，并分析了</w:t>
      </w:r>
      <w:r w:rsidRPr="0042398E">
        <w:rPr>
          <w:rFonts w:hint="eastAsia"/>
          <w:lang w:val="en-US" w:eastAsia="zh-CN"/>
        </w:rPr>
        <w:t>100</w:t>
      </w:r>
      <w:r w:rsidRPr="0042398E">
        <w:rPr>
          <w:rFonts w:hint="eastAsia"/>
          <w:lang w:val="en-US" w:eastAsia="zh-CN"/>
        </w:rPr>
        <w:t>多份文件和报告。从这项工作中获得的一些关键信息也呼应了愿景规划</w:t>
      </w:r>
      <w:r w:rsidR="00D8302E">
        <w:rPr>
          <w:rFonts w:hint="eastAsia"/>
          <w:lang w:val="en-US" w:eastAsia="zh-CN"/>
        </w:rPr>
        <w:t>活动</w:t>
      </w:r>
      <w:r w:rsidRPr="0042398E">
        <w:rPr>
          <w:rFonts w:hint="eastAsia"/>
          <w:lang w:val="en-US" w:eastAsia="zh-CN"/>
        </w:rPr>
        <w:t>和高级管理层务虚会的成果，突出了提高国际电联价值和影响力的关键机会领域：</w:t>
      </w:r>
    </w:p>
    <w:p w14:paraId="51C3320E" w14:textId="06651B65" w:rsidR="00EF46CD" w:rsidRPr="00EE58F2" w:rsidRDefault="00CF2C52" w:rsidP="00366484">
      <w:pPr>
        <w:pStyle w:val="enumlev1"/>
        <w:rPr>
          <w:lang w:val="en-US" w:eastAsia="zh-CN"/>
        </w:rPr>
      </w:pPr>
      <w:r w:rsidRPr="00F319B3">
        <w:rPr>
          <w:lang w:val="en-US" w:eastAsia="zh-CN"/>
        </w:rPr>
        <w:t>•</w:t>
      </w:r>
      <w:r w:rsidRPr="00F319B3">
        <w:rPr>
          <w:lang w:val="en-US" w:eastAsia="zh-CN"/>
        </w:rPr>
        <w:tab/>
      </w:r>
      <w:r w:rsidR="00D02EF3" w:rsidRPr="00D02EF3">
        <w:rPr>
          <w:rFonts w:hint="eastAsia"/>
          <w:lang w:val="en-US" w:eastAsia="zh-CN"/>
        </w:rPr>
        <w:t>将国际电联定位为一个更强大和</w:t>
      </w:r>
      <w:r w:rsidR="00D8302E">
        <w:rPr>
          <w:rFonts w:hint="eastAsia"/>
          <w:lang w:val="en-US" w:eastAsia="zh-CN"/>
        </w:rPr>
        <w:t>胜任其值</w:t>
      </w:r>
      <w:r w:rsidR="00D02EF3" w:rsidRPr="00D02EF3">
        <w:rPr>
          <w:rFonts w:hint="eastAsia"/>
          <w:lang w:val="en-US" w:eastAsia="zh-CN"/>
        </w:rPr>
        <w:t>的组织，</w:t>
      </w:r>
      <w:r w:rsidR="00D02EF3">
        <w:rPr>
          <w:rFonts w:hint="eastAsia"/>
          <w:lang w:val="en-US" w:eastAsia="zh-CN"/>
        </w:rPr>
        <w:t>彰显</w:t>
      </w:r>
      <w:r w:rsidR="00D02EF3" w:rsidRPr="00D02EF3">
        <w:rPr>
          <w:rFonts w:hint="eastAsia"/>
          <w:lang w:val="en-US" w:eastAsia="zh-CN"/>
        </w:rPr>
        <w:t>影响力；</w:t>
      </w:r>
    </w:p>
    <w:p w14:paraId="48642398" w14:textId="6FD8B7F9" w:rsidR="00EF46CD" w:rsidRPr="00EE58F2" w:rsidRDefault="00CF2C52" w:rsidP="00366484">
      <w:pPr>
        <w:pStyle w:val="enumlev1"/>
        <w:rPr>
          <w:lang w:val="en-US" w:eastAsia="zh-CN"/>
        </w:rPr>
      </w:pPr>
      <w:r w:rsidRPr="00F319B3">
        <w:rPr>
          <w:lang w:val="en-US" w:eastAsia="zh-CN"/>
        </w:rPr>
        <w:t>•</w:t>
      </w:r>
      <w:r w:rsidRPr="00F319B3">
        <w:rPr>
          <w:lang w:val="en-US" w:eastAsia="zh-CN"/>
        </w:rPr>
        <w:tab/>
      </w:r>
      <w:r w:rsidR="00D02EF3" w:rsidRPr="00D02EF3">
        <w:rPr>
          <w:rFonts w:hint="eastAsia"/>
          <w:lang w:val="en-US" w:eastAsia="zh-CN"/>
        </w:rPr>
        <w:t>增加私营部门的参与；</w:t>
      </w:r>
    </w:p>
    <w:p w14:paraId="44B65642" w14:textId="6816B3D4" w:rsidR="00EF46CD" w:rsidRPr="00EE58F2" w:rsidRDefault="00CF2C52" w:rsidP="00366484">
      <w:pPr>
        <w:pStyle w:val="enumlev1"/>
        <w:rPr>
          <w:lang w:val="en-US" w:eastAsia="zh-CN"/>
        </w:rPr>
      </w:pPr>
      <w:r w:rsidRPr="00F319B3">
        <w:rPr>
          <w:lang w:val="en-US" w:eastAsia="zh-CN"/>
        </w:rPr>
        <w:t>•</w:t>
      </w:r>
      <w:r w:rsidRPr="00F319B3">
        <w:rPr>
          <w:lang w:val="en-US" w:eastAsia="zh-CN"/>
        </w:rPr>
        <w:tab/>
      </w:r>
      <w:r w:rsidR="00D02EF3" w:rsidRPr="00D02EF3">
        <w:rPr>
          <w:rFonts w:hint="eastAsia"/>
          <w:lang w:val="en-US" w:eastAsia="zh-CN"/>
        </w:rPr>
        <w:t>更新</w:t>
      </w:r>
      <w:r w:rsidR="00D8302E">
        <w:rPr>
          <w:rFonts w:hint="eastAsia"/>
          <w:lang w:val="en-US" w:eastAsia="zh-CN"/>
        </w:rPr>
        <w:t>传统</w:t>
      </w:r>
      <w:r w:rsidR="00D02EF3" w:rsidRPr="00D02EF3">
        <w:rPr>
          <w:rFonts w:hint="eastAsia"/>
          <w:lang w:val="en-US" w:eastAsia="zh-CN"/>
        </w:rPr>
        <w:t>结构，简化流程；</w:t>
      </w:r>
    </w:p>
    <w:p w14:paraId="22180C3A" w14:textId="49FDCD44" w:rsidR="00EF46CD" w:rsidRPr="00EE58F2" w:rsidRDefault="00CF2C52" w:rsidP="00366484">
      <w:pPr>
        <w:pStyle w:val="enumlev1"/>
        <w:rPr>
          <w:lang w:val="en-US" w:eastAsia="zh-CN"/>
        </w:rPr>
      </w:pPr>
      <w:r w:rsidRPr="00F319B3">
        <w:rPr>
          <w:lang w:val="en-US" w:eastAsia="zh-CN"/>
        </w:rPr>
        <w:t>•</w:t>
      </w:r>
      <w:r w:rsidRPr="00F319B3">
        <w:rPr>
          <w:lang w:val="en-US" w:eastAsia="zh-CN"/>
        </w:rPr>
        <w:tab/>
      </w:r>
      <w:r w:rsidR="00D02EF3" w:rsidRPr="00D02EF3">
        <w:rPr>
          <w:rFonts w:hint="eastAsia"/>
          <w:lang w:val="en-US" w:eastAsia="zh-CN"/>
        </w:rPr>
        <w:t>改善数据结构，分享知识；</w:t>
      </w:r>
    </w:p>
    <w:p w14:paraId="0F99D647" w14:textId="28B89035" w:rsidR="00EF46CD" w:rsidRPr="00EE58F2" w:rsidRDefault="00CF2C52" w:rsidP="00366484">
      <w:pPr>
        <w:pStyle w:val="enumlev1"/>
        <w:rPr>
          <w:lang w:val="en-US" w:eastAsia="zh-CN"/>
        </w:rPr>
      </w:pPr>
      <w:r w:rsidRPr="00F319B3">
        <w:rPr>
          <w:lang w:val="en-US" w:eastAsia="zh-CN"/>
        </w:rPr>
        <w:t>•</w:t>
      </w:r>
      <w:r w:rsidRPr="00F319B3">
        <w:rPr>
          <w:lang w:val="en-US" w:eastAsia="zh-CN"/>
        </w:rPr>
        <w:tab/>
      </w:r>
      <w:r w:rsidR="00D02EF3" w:rsidRPr="00D02EF3">
        <w:rPr>
          <w:rFonts w:hint="eastAsia"/>
          <w:lang w:val="en-US" w:eastAsia="zh-CN"/>
        </w:rPr>
        <w:t>加强与利益</w:t>
      </w:r>
      <w:r w:rsidR="00D8302E">
        <w:rPr>
          <w:rFonts w:hint="eastAsia"/>
          <w:lang w:val="en-US" w:eastAsia="zh-CN"/>
        </w:rPr>
        <w:t>攸关方</w:t>
      </w:r>
      <w:r w:rsidR="00D02EF3" w:rsidRPr="00D02EF3">
        <w:rPr>
          <w:rFonts w:hint="eastAsia"/>
          <w:lang w:val="en-US" w:eastAsia="zh-CN"/>
        </w:rPr>
        <w:t>的协调宣传。</w:t>
      </w:r>
    </w:p>
    <w:p w14:paraId="1BBE2707" w14:textId="0DBBAA6E" w:rsidR="00EF46CD" w:rsidRPr="00EE58F2" w:rsidRDefault="00EF46CD" w:rsidP="003C25DC">
      <w:pPr>
        <w:pStyle w:val="Heading2"/>
        <w:rPr>
          <w:lang w:val="en-US" w:eastAsia="zh-CN"/>
        </w:rPr>
      </w:pPr>
      <w:r w:rsidRPr="00D36338">
        <w:rPr>
          <w:lang w:val="en-US" w:eastAsia="zh-CN"/>
        </w:rPr>
        <w:t>2.4</w:t>
      </w:r>
      <w:r w:rsidRPr="00D36338">
        <w:rPr>
          <w:lang w:val="en-US" w:eastAsia="zh-CN"/>
        </w:rPr>
        <w:tab/>
      </w:r>
      <w:r w:rsidR="00CF2C52" w:rsidRPr="00D36338">
        <w:rPr>
          <w:rFonts w:hint="eastAsia"/>
          <w:lang w:val="en-US" w:eastAsia="zh-CN"/>
        </w:rPr>
        <w:t>“</w:t>
      </w:r>
      <w:r w:rsidR="00D02EF3" w:rsidRPr="00D36338">
        <w:rPr>
          <w:rFonts w:hint="eastAsia"/>
          <w:lang w:val="en-US" w:eastAsia="zh-CN"/>
        </w:rPr>
        <w:t>国际电联是一家</w:t>
      </w:r>
      <w:r w:rsidR="00CF2C52" w:rsidRPr="00D36338">
        <w:rPr>
          <w:rFonts w:hint="eastAsia"/>
          <w:lang w:val="en-US" w:eastAsia="zh-CN"/>
        </w:rPr>
        <w:t>”</w:t>
      </w:r>
      <w:r w:rsidR="00D02EF3" w:rsidRPr="00D36338">
        <w:rPr>
          <w:rFonts w:hint="eastAsia"/>
          <w:lang w:val="en-US" w:eastAsia="zh-CN"/>
        </w:rPr>
        <w:t>定位框架</w:t>
      </w:r>
    </w:p>
    <w:p w14:paraId="722F41D9" w14:textId="619C2B93" w:rsidR="00D02EF3" w:rsidRPr="00D02EF3" w:rsidRDefault="00D02EF3" w:rsidP="00D02EF3">
      <w:pPr>
        <w:overflowPunct/>
        <w:autoSpaceDE/>
        <w:autoSpaceDN/>
        <w:adjustRightInd/>
        <w:spacing w:after="120"/>
        <w:ind w:firstLineChars="200" w:firstLine="480"/>
        <w:jc w:val="both"/>
        <w:textAlignment w:val="auto"/>
        <w:rPr>
          <w:lang w:val="en-US" w:eastAsia="zh-CN"/>
        </w:rPr>
      </w:pPr>
      <w:r>
        <w:rPr>
          <w:rFonts w:hint="eastAsia"/>
          <w:lang w:val="en-US" w:eastAsia="zh-CN"/>
        </w:rPr>
        <w:t>基于</w:t>
      </w:r>
      <w:r w:rsidRPr="00D02EF3">
        <w:rPr>
          <w:rFonts w:hint="eastAsia"/>
          <w:lang w:val="en-US" w:eastAsia="zh-CN"/>
        </w:rPr>
        <w:t>上述分析，国际电联秘书处和</w:t>
      </w:r>
      <w:r w:rsidRPr="00D02EF3">
        <w:rPr>
          <w:rFonts w:hint="eastAsia"/>
          <w:lang w:val="en-US" w:eastAsia="zh-CN"/>
        </w:rPr>
        <w:t>BCG</w:t>
      </w:r>
      <w:r w:rsidRPr="00D02EF3">
        <w:rPr>
          <w:rFonts w:hint="eastAsia"/>
          <w:lang w:val="en-US" w:eastAsia="zh-CN"/>
        </w:rPr>
        <w:t>共同完善了</w:t>
      </w:r>
      <w:r w:rsidR="00D93496">
        <w:rPr>
          <w:rFonts w:hint="eastAsia"/>
          <w:lang w:val="en-US" w:eastAsia="zh-CN"/>
        </w:rPr>
        <w:t>“</w:t>
      </w:r>
      <w:r w:rsidRPr="00D02EF3">
        <w:rPr>
          <w:rFonts w:hint="eastAsia"/>
          <w:lang w:val="en-US" w:eastAsia="zh-CN"/>
        </w:rPr>
        <w:t>国际电联是一家</w:t>
      </w:r>
      <w:r w:rsidR="00D93496">
        <w:rPr>
          <w:rFonts w:hint="eastAsia"/>
          <w:lang w:val="en-US" w:eastAsia="zh-CN"/>
        </w:rPr>
        <w:t>”</w:t>
      </w:r>
      <w:r w:rsidRPr="00D02EF3">
        <w:rPr>
          <w:rFonts w:hint="eastAsia"/>
          <w:lang w:val="en-US" w:eastAsia="zh-CN"/>
        </w:rPr>
        <w:t>的定位框架，该框架基于五个关键的价值支柱（见表</w:t>
      </w:r>
      <w:r w:rsidRPr="00D02EF3">
        <w:rPr>
          <w:rFonts w:hint="eastAsia"/>
          <w:lang w:val="en-US" w:eastAsia="zh-CN"/>
        </w:rPr>
        <w:t>2</w:t>
      </w:r>
      <w:r w:rsidRPr="00D02EF3">
        <w:rPr>
          <w:rFonts w:hint="eastAsia"/>
          <w:lang w:val="en-US" w:eastAsia="zh-CN"/>
        </w:rPr>
        <w:t>），符合国际电联战略</w:t>
      </w:r>
      <w:r>
        <w:rPr>
          <w:rFonts w:hint="eastAsia"/>
          <w:lang w:val="en-US" w:eastAsia="zh-CN"/>
        </w:rPr>
        <w:t>规</w:t>
      </w:r>
      <w:r w:rsidRPr="00D02EF3">
        <w:rPr>
          <w:rFonts w:hint="eastAsia"/>
          <w:lang w:val="en-US" w:eastAsia="zh-CN"/>
        </w:rPr>
        <w:t>划的目标，并立</w:t>
      </w:r>
      <w:r w:rsidRPr="00D02EF3">
        <w:rPr>
          <w:rFonts w:hint="eastAsia"/>
          <w:lang w:val="en-US" w:eastAsia="zh-CN"/>
        </w:rPr>
        <w:lastRenderedPageBreak/>
        <w:t>足于全面资源</w:t>
      </w:r>
      <w:r>
        <w:rPr>
          <w:rFonts w:hint="eastAsia"/>
          <w:lang w:val="en-US" w:eastAsia="zh-CN"/>
        </w:rPr>
        <w:t>筹措</w:t>
      </w:r>
      <w:r w:rsidRPr="00D02EF3">
        <w:rPr>
          <w:rFonts w:hint="eastAsia"/>
          <w:lang w:val="en-US" w:eastAsia="zh-CN"/>
        </w:rPr>
        <w:t>战略的关键主题。拟议的框架还</w:t>
      </w:r>
      <w:r>
        <w:rPr>
          <w:rFonts w:hint="eastAsia"/>
          <w:lang w:val="en-US" w:eastAsia="zh-CN"/>
        </w:rPr>
        <w:t>能潜在地使</w:t>
      </w:r>
      <w:r w:rsidRPr="00D02EF3">
        <w:rPr>
          <w:rFonts w:hint="eastAsia"/>
          <w:lang w:val="en-US" w:eastAsia="zh-CN"/>
        </w:rPr>
        <w:t>国际电联</w:t>
      </w:r>
      <w:r>
        <w:rPr>
          <w:rFonts w:hint="eastAsia"/>
          <w:lang w:val="en-US" w:eastAsia="zh-CN"/>
        </w:rPr>
        <w:t>在</w:t>
      </w:r>
      <w:r w:rsidRPr="00D02EF3">
        <w:rPr>
          <w:rFonts w:hint="eastAsia"/>
          <w:lang w:val="en-US" w:eastAsia="zh-CN"/>
        </w:rPr>
        <w:t>向成员和其他利益攸关方提供</w:t>
      </w:r>
      <w:r>
        <w:rPr>
          <w:rFonts w:hint="eastAsia"/>
          <w:lang w:val="en-US" w:eastAsia="zh-CN"/>
        </w:rPr>
        <w:t>服务方面进行</w:t>
      </w:r>
      <w:r w:rsidRPr="00D02EF3">
        <w:rPr>
          <w:rFonts w:hint="eastAsia"/>
          <w:lang w:val="en-US" w:eastAsia="zh-CN"/>
        </w:rPr>
        <w:t>外部交流</w:t>
      </w:r>
      <w:r w:rsidR="007C008F">
        <w:rPr>
          <w:rFonts w:hint="eastAsia"/>
          <w:lang w:val="en-US" w:eastAsia="zh-CN"/>
        </w:rPr>
        <w:t>时</w:t>
      </w:r>
      <w:r>
        <w:rPr>
          <w:rFonts w:hint="eastAsia"/>
          <w:lang w:val="en-US" w:eastAsia="zh-CN"/>
        </w:rPr>
        <w:t>更加协调一致。</w:t>
      </w:r>
    </w:p>
    <w:p w14:paraId="42723923" w14:textId="4C77988D" w:rsidR="00EF46CD" w:rsidRPr="00EE58F2" w:rsidRDefault="00D93496" w:rsidP="00D02EF3">
      <w:pPr>
        <w:overflowPunct/>
        <w:autoSpaceDE/>
        <w:autoSpaceDN/>
        <w:adjustRightInd/>
        <w:spacing w:after="120"/>
        <w:ind w:firstLineChars="200" w:firstLine="480"/>
        <w:jc w:val="both"/>
        <w:textAlignment w:val="auto"/>
        <w:rPr>
          <w:lang w:val="en-US" w:eastAsia="zh-CN"/>
        </w:rPr>
      </w:pPr>
      <w:r>
        <w:rPr>
          <w:rFonts w:hint="eastAsia"/>
          <w:lang w:val="en-US" w:eastAsia="zh-CN"/>
        </w:rPr>
        <w:t>“</w:t>
      </w:r>
      <w:r w:rsidR="00936D60" w:rsidRPr="00D02EF3">
        <w:rPr>
          <w:rFonts w:hint="eastAsia"/>
          <w:lang w:val="en-US" w:eastAsia="zh-CN"/>
        </w:rPr>
        <w:t>国际电联是一家</w:t>
      </w:r>
      <w:r>
        <w:rPr>
          <w:rFonts w:hint="eastAsia"/>
          <w:lang w:val="en-US" w:eastAsia="zh-CN"/>
        </w:rPr>
        <w:t>”</w:t>
      </w:r>
      <w:r w:rsidR="00D02EF3" w:rsidRPr="00D02EF3">
        <w:rPr>
          <w:rFonts w:hint="eastAsia"/>
          <w:lang w:val="en-US" w:eastAsia="zh-CN"/>
        </w:rPr>
        <w:t>定位框架的五个关键价值支柱建立在国际电联已经展示的能力之上：</w:t>
      </w:r>
    </w:p>
    <w:p w14:paraId="3306CE01" w14:textId="3D4682C2" w:rsidR="00EF46CD" w:rsidRPr="00EE58F2" w:rsidRDefault="00D93496" w:rsidP="00366484">
      <w:pPr>
        <w:pStyle w:val="enumlev1"/>
        <w:rPr>
          <w:lang w:val="en-US" w:eastAsia="zh-CN"/>
        </w:rPr>
      </w:pPr>
      <w:r>
        <w:rPr>
          <w:rFonts w:hint="eastAsia"/>
          <w:lang w:val="en-US" w:eastAsia="zh-CN"/>
        </w:rPr>
        <w:t>1</w:t>
      </w:r>
      <w:r w:rsidR="00A80C09">
        <w:rPr>
          <w:lang w:val="en-US" w:eastAsia="zh-CN"/>
        </w:rPr>
        <w:t>)</w:t>
      </w:r>
      <w:r>
        <w:rPr>
          <w:lang w:val="en-US" w:eastAsia="zh-CN"/>
        </w:rPr>
        <w:tab/>
      </w:r>
      <w:r w:rsidR="00936D60" w:rsidRPr="00936D60">
        <w:rPr>
          <w:rFonts w:hint="eastAsia"/>
          <w:lang w:val="en-US" w:eastAsia="zh-CN"/>
        </w:rPr>
        <w:t>创建一个召集平台；</w:t>
      </w:r>
    </w:p>
    <w:p w14:paraId="2719D17C" w14:textId="0FF42A61" w:rsidR="00EF46CD" w:rsidRPr="00EE58F2" w:rsidRDefault="00D93496" w:rsidP="00366484">
      <w:pPr>
        <w:pStyle w:val="enumlev1"/>
        <w:rPr>
          <w:lang w:val="en-US" w:eastAsia="zh-CN"/>
        </w:rPr>
      </w:pPr>
      <w:r>
        <w:rPr>
          <w:rFonts w:hint="eastAsia"/>
          <w:lang w:val="en-US" w:eastAsia="zh-CN"/>
        </w:rPr>
        <w:t>2</w:t>
      </w:r>
      <w:r w:rsidR="00A80C09">
        <w:rPr>
          <w:lang w:val="en-US" w:eastAsia="zh-CN"/>
        </w:rPr>
        <w:t>)</w:t>
      </w:r>
      <w:r>
        <w:rPr>
          <w:lang w:val="en-US" w:eastAsia="zh-CN"/>
        </w:rPr>
        <w:tab/>
      </w:r>
      <w:r w:rsidR="00936D60" w:rsidRPr="00936D60">
        <w:rPr>
          <w:rFonts w:hint="eastAsia"/>
          <w:lang w:val="en-US" w:eastAsia="zh-CN"/>
        </w:rPr>
        <w:t>塑造市场政策，指导投资决策；</w:t>
      </w:r>
    </w:p>
    <w:p w14:paraId="248642B6" w14:textId="250A926C" w:rsidR="00EF46CD" w:rsidRPr="00EE58F2" w:rsidRDefault="00D93496" w:rsidP="00366484">
      <w:pPr>
        <w:pStyle w:val="enumlev1"/>
        <w:rPr>
          <w:lang w:val="en-US" w:eastAsia="zh-CN"/>
        </w:rPr>
      </w:pPr>
      <w:r>
        <w:rPr>
          <w:rFonts w:hint="eastAsia"/>
          <w:lang w:val="en-US" w:eastAsia="zh-CN"/>
        </w:rPr>
        <w:t>3</w:t>
      </w:r>
      <w:r w:rsidR="00A80C09">
        <w:rPr>
          <w:lang w:val="en-US" w:eastAsia="zh-CN"/>
        </w:rPr>
        <w:t>)</w:t>
      </w:r>
      <w:r>
        <w:rPr>
          <w:lang w:val="en-US" w:eastAsia="zh-CN"/>
        </w:rPr>
        <w:tab/>
      </w:r>
      <w:r w:rsidR="00936D60" w:rsidRPr="00936D60">
        <w:rPr>
          <w:rFonts w:hint="eastAsia"/>
          <w:lang w:val="en-US" w:eastAsia="zh-CN"/>
        </w:rPr>
        <w:t>通过标准化释放规模经济；</w:t>
      </w:r>
    </w:p>
    <w:p w14:paraId="4DBA1097" w14:textId="21A00224" w:rsidR="00EF46CD" w:rsidRPr="00EE58F2" w:rsidRDefault="00D93496" w:rsidP="00366484">
      <w:pPr>
        <w:pStyle w:val="enumlev1"/>
        <w:rPr>
          <w:lang w:val="en-US" w:eastAsia="zh-CN"/>
        </w:rPr>
      </w:pPr>
      <w:r>
        <w:rPr>
          <w:rFonts w:hint="eastAsia"/>
          <w:lang w:val="en-US" w:eastAsia="zh-CN"/>
        </w:rPr>
        <w:t>4</w:t>
      </w:r>
      <w:r w:rsidR="00A80C09">
        <w:rPr>
          <w:lang w:val="en-US" w:eastAsia="zh-CN"/>
        </w:rPr>
        <w:t>)</w:t>
      </w:r>
      <w:r>
        <w:rPr>
          <w:lang w:val="en-US" w:eastAsia="zh-CN"/>
        </w:rPr>
        <w:tab/>
      </w:r>
      <w:r w:rsidR="00936D60" w:rsidRPr="00936D60">
        <w:rPr>
          <w:rFonts w:hint="eastAsia"/>
          <w:lang w:val="en-US" w:eastAsia="zh-CN"/>
        </w:rPr>
        <w:t>提供可信的数据和知识；以及</w:t>
      </w:r>
    </w:p>
    <w:p w14:paraId="761B4DD7" w14:textId="127EEECE" w:rsidR="00EF46CD" w:rsidRPr="00EE58F2" w:rsidRDefault="00D93496" w:rsidP="00366484">
      <w:pPr>
        <w:pStyle w:val="enumlev1"/>
        <w:rPr>
          <w:lang w:val="en-US" w:eastAsia="zh-CN"/>
        </w:rPr>
      </w:pPr>
      <w:r>
        <w:rPr>
          <w:rFonts w:hint="eastAsia"/>
          <w:lang w:val="en-US" w:eastAsia="zh-CN"/>
        </w:rPr>
        <w:t>5</w:t>
      </w:r>
      <w:r w:rsidR="00A80C09">
        <w:rPr>
          <w:lang w:val="en-US" w:eastAsia="zh-CN"/>
        </w:rPr>
        <w:t>)</w:t>
      </w:r>
      <w:r>
        <w:rPr>
          <w:lang w:val="en-US" w:eastAsia="zh-CN"/>
        </w:rPr>
        <w:tab/>
      </w:r>
      <w:r w:rsidR="00936D60" w:rsidRPr="00936D60">
        <w:rPr>
          <w:rFonts w:hint="eastAsia"/>
          <w:lang w:val="en-US" w:eastAsia="zh-CN"/>
        </w:rPr>
        <w:t>协调多利益</w:t>
      </w:r>
      <w:r w:rsidR="007C008F">
        <w:rPr>
          <w:rFonts w:hint="eastAsia"/>
          <w:lang w:val="en-US" w:eastAsia="zh-CN"/>
        </w:rPr>
        <w:t>攸关</w:t>
      </w:r>
      <w:r w:rsidR="00936D60" w:rsidRPr="00936D60">
        <w:rPr>
          <w:rFonts w:hint="eastAsia"/>
          <w:lang w:val="en-US" w:eastAsia="zh-CN"/>
        </w:rPr>
        <w:t>方的项目。</w:t>
      </w:r>
    </w:p>
    <w:p w14:paraId="10861AE8" w14:textId="70286FB4" w:rsidR="00EF46CD" w:rsidRPr="00EE58F2" w:rsidRDefault="00936D60" w:rsidP="00936D60">
      <w:pPr>
        <w:overflowPunct/>
        <w:autoSpaceDE/>
        <w:autoSpaceDN/>
        <w:adjustRightInd/>
        <w:spacing w:after="120"/>
        <w:ind w:firstLineChars="200" w:firstLine="480"/>
        <w:jc w:val="both"/>
        <w:textAlignment w:val="auto"/>
        <w:rPr>
          <w:lang w:val="en-US" w:eastAsia="zh-CN"/>
        </w:rPr>
      </w:pPr>
      <w:r w:rsidRPr="00936D60">
        <w:rPr>
          <w:rFonts w:hint="eastAsia"/>
          <w:lang w:val="en-US" w:eastAsia="zh-CN"/>
        </w:rPr>
        <w:t>秘书处建议利用这五个价值支柱，作为建立</w:t>
      </w:r>
      <w:r w:rsidR="00D93496">
        <w:rPr>
          <w:rFonts w:hint="eastAsia"/>
          <w:lang w:val="en-US" w:eastAsia="zh-CN"/>
        </w:rPr>
        <w:t>“</w:t>
      </w:r>
      <w:r w:rsidRPr="00D02EF3">
        <w:rPr>
          <w:rFonts w:hint="eastAsia"/>
          <w:lang w:val="en-US" w:eastAsia="zh-CN"/>
        </w:rPr>
        <w:t>国际电联是一家</w:t>
      </w:r>
      <w:r w:rsidR="00D93496">
        <w:rPr>
          <w:rFonts w:hint="eastAsia"/>
          <w:lang w:val="en-US" w:eastAsia="zh-CN"/>
        </w:rPr>
        <w:t>”</w:t>
      </w:r>
      <w:r w:rsidRPr="00936D60">
        <w:rPr>
          <w:rFonts w:hint="eastAsia"/>
          <w:lang w:val="en-US" w:eastAsia="zh-CN"/>
        </w:rPr>
        <w:t>资源</w:t>
      </w:r>
      <w:r>
        <w:rPr>
          <w:rFonts w:hint="eastAsia"/>
          <w:lang w:val="en-US" w:eastAsia="zh-CN"/>
        </w:rPr>
        <w:t>筹措</w:t>
      </w:r>
      <w:r w:rsidRPr="00936D60">
        <w:rPr>
          <w:rFonts w:hint="eastAsia"/>
          <w:lang w:val="en-US" w:eastAsia="zh-CN"/>
        </w:rPr>
        <w:t>价值主张的基础。</w:t>
      </w:r>
    </w:p>
    <w:p w14:paraId="03C2FC0B" w14:textId="403DDB17" w:rsidR="00EF46CD" w:rsidRPr="00D36338" w:rsidRDefault="00936D60" w:rsidP="003C25DC">
      <w:pPr>
        <w:pStyle w:val="Tabletitle"/>
        <w:rPr>
          <w:lang w:eastAsia="zh-CN"/>
        </w:rPr>
      </w:pPr>
      <w:r w:rsidRPr="00D36338">
        <w:rPr>
          <w:rFonts w:hint="eastAsia"/>
          <w:lang w:val="en-US" w:eastAsia="zh-CN"/>
        </w:rPr>
        <w:t>表</w:t>
      </w:r>
      <w:r w:rsidR="00EF46CD" w:rsidRPr="00D36338">
        <w:rPr>
          <w:rFonts w:cs="Calibri"/>
          <w:lang w:val="en-US" w:eastAsia="zh-CN"/>
        </w:rPr>
        <w:t>2</w:t>
      </w:r>
      <w:r w:rsidR="00796CE0">
        <w:rPr>
          <w:rFonts w:cs="Calibri"/>
          <w:lang w:val="en-US" w:eastAsia="zh-CN"/>
        </w:rPr>
        <w:t xml:space="preserve"> </w:t>
      </w:r>
      <w:r w:rsidR="00796CE0" w:rsidRPr="00796CE0">
        <w:rPr>
          <w:lang w:val="en-US" w:eastAsia="zh-CN"/>
        </w:rPr>
        <w:t>–</w:t>
      </w:r>
      <w:r w:rsidR="00D93496" w:rsidRPr="00D36338">
        <w:rPr>
          <w:rFonts w:hint="eastAsia"/>
          <w:lang w:val="en-US" w:eastAsia="zh-CN"/>
        </w:rPr>
        <w:t>“</w:t>
      </w:r>
      <w:r w:rsidRPr="00D36338">
        <w:rPr>
          <w:rFonts w:hint="eastAsia"/>
          <w:lang w:val="en-US" w:eastAsia="zh-CN"/>
        </w:rPr>
        <w:t>国际电联是一家</w:t>
      </w:r>
      <w:r w:rsidR="00D93496" w:rsidRPr="00D36338">
        <w:rPr>
          <w:rFonts w:hint="eastAsia"/>
          <w:lang w:val="en-US" w:eastAsia="zh-CN"/>
        </w:rPr>
        <w:t>”</w:t>
      </w:r>
      <w:r w:rsidRPr="00D36338">
        <w:rPr>
          <w:rFonts w:hint="eastAsia"/>
          <w:lang w:eastAsia="zh-CN"/>
        </w:rPr>
        <w:t>定位框架：五个价值支柱和横向主题</w:t>
      </w:r>
    </w:p>
    <w:p w14:paraId="6A4BE997" w14:textId="6BA5C914" w:rsidR="00EF46CD" w:rsidRPr="00EE58F2" w:rsidRDefault="00603289" w:rsidP="00145FD6">
      <w:pPr>
        <w:overflowPunct/>
        <w:autoSpaceDE/>
        <w:autoSpaceDN/>
        <w:adjustRightInd/>
        <w:spacing w:before="0"/>
        <w:textAlignment w:val="auto"/>
        <w:rPr>
          <w:lang w:eastAsia="zh-CN"/>
        </w:rPr>
      </w:pPr>
      <w:r w:rsidRPr="00603289">
        <w:rPr>
          <w:noProof/>
          <w:lang w:eastAsia="zh-CN"/>
        </w:rPr>
        <w:drawing>
          <wp:inline distT="0" distB="0" distL="0" distR="0" wp14:anchorId="521FE3CC" wp14:editId="52A1BFFD">
            <wp:extent cx="5760085" cy="32492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3249295"/>
                    </a:xfrm>
                    <a:prstGeom prst="rect">
                      <a:avLst/>
                    </a:prstGeom>
                  </pic:spPr>
                </pic:pic>
              </a:graphicData>
            </a:graphic>
          </wp:inline>
        </w:drawing>
      </w:r>
    </w:p>
    <w:p w14:paraId="7D4D3D83" w14:textId="7C9E353A" w:rsidR="00EF46CD" w:rsidRPr="00D36338" w:rsidRDefault="00EF46CD" w:rsidP="003C25DC">
      <w:pPr>
        <w:pStyle w:val="Heading2"/>
        <w:rPr>
          <w:lang w:val="en-US" w:eastAsia="zh-CN"/>
        </w:rPr>
      </w:pPr>
      <w:r w:rsidRPr="00D36338">
        <w:rPr>
          <w:lang w:val="en-US" w:eastAsia="zh-CN"/>
        </w:rPr>
        <w:t>2.5</w:t>
      </w:r>
      <w:r w:rsidRPr="00D36338">
        <w:rPr>
          <w:lang w:val="en-US" w:eastAsia="zh-CN"/>
        </w:rPr>
        <w:tab/>
      </w:r>
      <w:r w:rsidR="00E34AA2" w:rsidRPr="00D36338">
        <w:rPr>
          <w:rFonts w:hint="eastAsia"/>
          <w:lang w:val="en-US" w:eastAsia="zh-CN"/>
        </w:rPr>
        <w:t>风险管理</w:t>
      </w:r>
    </w:p>
    <w:p w14:paraId="173DCDDE" w14:textId="687B4F2E" w:rsidR="00EF46CD" w:rsidRPr="00EE58F2" w:rsidRDefault="00E34AA2" w:rsidP="00E34AA2">
      <w:pPr>
        <w:overflowPunct/>
        <w:autoSpaceDE/>
        <w:autoSpaceDN/>
        <w:adjustRightInd/>
        <w:spacing w:after="120"/>
        <w:ind w:firstLineChars="200" w:firstLine="480"/>
        <w:jc w:val="both"/>
        <w:textAlignment w:val="auto"/>
        <w:rPr>
          <w:lang w:eastAsia="zh-CN"/>
        </w:rPr>
      </w:pPr>
      <w:r w:rsidRPr="00E34AA2">
        <w:rPr>
          <w:rFonts w:hint="eastAsia"/>
          <w:lang w:val="en-US" w:eastAsia="zh-CN"/>
        </w:rPr>
        <w:t>由于国际电联加大了筹集预算外资金的力度，而且越来越多地从其成员以外的实体那里筹集资金，因此必须采取措施，尽量减少风险，保护国际电联的声誉和中立性。为此，国际电联实施了一些政策和程序，以加强其在伙伴关系和筹资方面的风险管理，包括</w:t>
      </w:r>
      <w:r w:rsidRPr="00E34AA2">
        <w:rPr>
          <w:rFonts w:hint="eastAsia"/>
          <w:lang w:val="en-US" w:eastAsia="zh-CN"/>
        </w:rPr>
        <w:t>2020</w:t>
      </w:r>
      <w:r w:rsidRPr="00E34AA2">
        <w:rPr>
          <w:rFonts w:hint="eastAsia"/>
          <w:lang w:val="en-US" w:eastAsia="zh-CN"/>
        </w:rPr>
        <w:t>年出台的关于国际电联活动相关赞助准则的第</w:t>
      </w:r>
      <w:r w:rsidRPr="00E34AA2">
        <w:rPr>
          <w:rFonts w:hint="eastAsia"/>
          <w:lang w:val="en-US" w:eastAsia="zh-CN"/>
        </w:rPr>
        <w:t>20/03</w:t>
      </w:r>
      <w:r w:rsidRPr="00E34AA2">
        <w:rPr>
          <w:rFonts w:hint="eastAsia"/>
          <w:lang w:val="en-US" w:eastAsia="zh-CN"/>
        </w:rPr>
        <w:t>号</w:t>
      </w:r>
      <w:r>
        <w:rPr>
          <w:rFonts w:hint="eastAsia"/>
          <w:lang w:val="en-US" w:eastAsia="zh-CN"/>
        </w:rPr>
        <w:t>行政规定</w:t>
      </w:r>
      <w:r w:rsidRPr="00E34AA2">
        <w:rPr>
          <w:rFonts w:hint="eastAsia"/>
          <w:lang w:val="en-US" w:eastAsia="zh-CN"/>
        </w:rPr>
        <w:t>，以及最近于</w:t>
      </w:r>
      <w:r w:rsidRPr="00E34AA2">
        <w:rPr>
          <w:rFonts w:hint="eastAsia"/>
          <w:lang w:val="en-US" w:eastAsia="zh-CN"/>
        </w:rPr>
        <w:t>2022</w:t>
      </w:r>
      <w:r w:rsidRPr="00E34AA2">
        <w:rPr>
          <w:rFonts w:hint="eastAsia"/>
          <w:lang w:val="en-US" w:eastAsia="zh-CN"/>
        </w:rPr>
        <w:t>年底出台的关于国际电联非成员私营部门实体尽职调查准则的第</w:t>
      </w:r>
      <w:r w:rsidRPr="00E34AA2">
        <w:rPr>
          <w:rFonts w:hint="eastAsia"/>
          <w:lang w:val="en-US" w:eastAsia="zh-CN"/>
        </w:rPr>
        <w:t>22/12</w:t>
      </w:r>
      <w:r w:rsidRPr="00E34AA2">
        <w:rPr>
          <w:rFonts w:hint="eastAsia"/>
          <w:lang w:val="en-US" w:eastAsia="zh-CN"/>
        </w:rPr>
        <w:t>号</w:t>
      </w:r>
      <w:r w:rsidR="00A44ACF">
        <w:rPr>
          <w:rFonts w:hint="eastAsia"/>
          <w:lang w:val="en-US" w:eastAsia="zh-CN"/>
        </w:rPr>
        <w:t>行政规定</w:t>
      </w:r>
      <w:r w:rsidRPr="00E34AA2">
        <w:rPr>
          <w:rFonts w:hint="eastAsia"/>
          <w:lang w:val="en-US" w:eastAsia="zh-CN"/>
        </w:rPr>
        <w:t>，要求国际电联工作人员在确定任何正式协议之前对任何非国际电联成员实体进行筛选。这一尽职调查程序响应了外部和内部审计员的建议，并以联合国系统内的最佳做法为基础，根据国际电联的情况进行了调整。</w:t>
      </w:r>
    </w:p>
    <w:p w14:paraId="390F7A1E" w14:textId="3B6BFD8C" w:rsidR="00EF46CD" w:rsidRPr="00EE58F2" w:rsidRDefault="00EF46CD" w:rsidP="003C25DC">
      <w:pPr>
        <w:pStyle w:val="Heading2"/>
        <w:rPr>
          <w:lang w:val="en-US" w:eastAsia="zh-CN"/>
        </w:rPr>
      </w:pPr>
      <w:r w:rsidRPr="00D36338">
        <w:rPr>
          <w:lang w:val="en-US" w:eastAsia="zh-CN"/>
        </w:rPr>
        <w:lastRenderedPageBreak/>
        <w:t>2.6</w:t>
      </w:r>
      <w:r w:rsidRPr="00D36338">
        <w:rPr>
          <w:lang w:val="en-US" w:eastAsia="zh-CN"/>
        </w:rPr>
        <w:tab/>
      </w:r>
      <w:r w:rsidR="00A44ACF" w:rsidRPr="00D36338">
        <w:rPr>
          <w:rFonts w:hint="eastAsia"/>
          <w:lang w:val="en-US" w:eastAsia="zh-CN"/>
        </w:rPr>
        <w:t>未来的潜在战略</w:t>
      </w:r>
    </w:p>
    <w:p w14:paraId="21CC9AC8" w14:textId="10B90DE3" w:rsidR="00EF46CD" w:rsidRPr="00EE58F2" w:rsidRDefault="00A44ACF" w:rsidP="00A44ACF">
      <w:pPr>
        <w:overflowPunct/>
        <w:autoSpaceDE/>
        <w:autoSpaceDN/>
        <w:adjustRightInd/>
        <w:spacing w:after="120"/>
        <w:ind w:firstLineChars="200" w:firstLine="480"/>
        <w:jc w:val="both"/>
        <w:textAlignment w:val="auto"/>
        <w:rPr>
          <w:lang w:val="en-US" w:eastAsia="zh-CN"/>
        </w:rPr>
      </w:pPr>
      <w:r w:rsidRPr="00A44ACF">
        <w:rPr>
          <w:rFonts w:hint="eastAsia"/>
          <w:lang w:val="en-US" w:eastAsia="zh-CN"/>
        </w:rPr>
        <w:t>初步确定了三个重点领域：</w:t>
      </w:r>
    </w:p>
    <w:p w14:paraId="415AA1E1" w14:textId="4656912A" w:rsidR="00EF46CD" w:rsidRPr="00D36338" w:rsidRDefault="00EF46CD" w:rsidP="003C25DC">
      <w:pPr>
        <w:pStyle w:val="Headingb"/>
        <w:rPr>
          <w:lang w:val="en-US" w:eastAsia="zh-CN"/>
        </w:rPr>
      </w:pPr>
      <w:r w:rsidRPr="00D93496">
        <w:rPr>
          <w:lang w:val="en-US" w:eastAsia="zh-CN"/>
        </w:rPr>
        <w:t>a</w:t>
      </w:r>
      <w:r w:rsidR="00A80C09">
        <w:rPr>
          <w:lang w:val="en-US" w:eastAsia="zh-CN"/>
        </w:rPr>
        <w:t>)</w:t>
      </w:r>
      <w:r w:rsidRPr="00D93496">
        <w:rPr>
          <w:lang w:val="en-US" w:eastAsia="zh-CN"/>
        </w:rPr>
        <w:tab/>
      </w:r>
      <w:r w:rsidR="00A44ACF" w:rsidRPr="00D36338">
        <w:rPr>
          <w:rFonts w:hint="eastAsia"/>
          <w:lang w:val="en-US" w:eastAsia="zh-CN"/>
        </w:rPr>
        <w:t>加强核心</w:t>
      </w:r>
      <w:r w:rsidR="007C008F" w:rsidRPr="00D36338">
        <w:rPr>
          <w:rFonts w:hint="eastAsia"/>
          <w:lang w:val="en-US" w:eastAsia="zh-CN"/>
        </w:rPr>
        <w:t>成</w:t>
      </w:r>
      <w:r w:rsidR="00A44ACF" w:rsidRPr="00D36338">
        <w:rPr>
          <w:rFonts w:hint="eastAsia"/>
          <w:lang w:val="en-US" w:eastAsia="zh-CN"/>
        </w:rPr>
        <w:t>员服务，提高参与度，为部门成</w:t>
      </w:r>
      <w:r w:rsidR="007C008F" w:rsidRPr="00D36338">
        <w:rPr>
          <w:rFonts w:hint="eastAsia"/>
          <w:lang w:val="en-US" w:eastAsia="zh-CN"/>
        </w:rPr>
        <w:t>员</w:t>
      </w:r>
      <w:r w:rsidR="00A44ACF" w:rsidRPr="00D36338">
        <w:rPr>
          <w:rFonts w:hint="eastAsia"/>
          <w:lang w:val="en-US" w:eastAsia="zh-CN"/>
        </w:rPr>
        <w:t>会费结构的变化奠定基础。</w:t>
      </w:r>
    </w:p>
    <w:p w14:paraId="4D01098E" w14:textId="60A0C917" w:rsidR="00EF46CD" w:rsidRPr="00EE58F2" w:rsidRDefault="0070479D" w:rsidP="00EF46CD">
      <w:pPr>
        <w:overflowPunct/>
        <w:autoSpaceDE/>
        <w:autoSpaceDN/>
        <w:adjustRightInd/>
        <w:spacing w:after="120"/>
        <w:ind w:left="709"/>
        <w:jc w:val="both"/>
        <w:textAlignment w:val="auto"/>
        <w:rPr>
          <w:lang w:val="en-AU" w:eastAsia="zh-CN"/>
        </w:rPr>
      </w:pPr>
      <w:r>
        <w:rPr>
          <w:rFonts w:hint="eastAsia"/>
          <w:lang w:val="en-AU" w:eastAsia="zh-CN"/>
        </w:rPr>
        <w:t>这</w:t>
      </w:r>
      <w:r w:rsidR="00A44ACF">
        <w:rPr>
          <w:rFonts w:hint="eastAsia"/>
          <w:lang w:val="en-AU" w:eastAsia="zh-CN"/>
        </w:rPr>
        <w:t>包括：</w:t>
      </w:r>
    </w:p>
    <w:p w14:paraId="3BD87E1A" w14:textId="0EECB1EB" w:rsidR="00EF46CD" w:rsidRPr="00EE58F2" w:rsidRDefault="00D93496" w:rsidP="00366484">
      <w:pPr>
        <w:pStyle w:val="enumlev2"/>
        <w:rPr>
          <w:lang w:val="en-AU" w:eastAsia="zh-CN"/>
        </w:rPr>
      </w:pPr>
      <w:r w:rsidRPr="00D93496">
        <w:rPr>
          <w:lang w:val="en-AU" w:eastAsia="zh-CN"/>
        </w:rPr>
        <w:t>•</w:t>
      </w:r>
      <w:r>
        <w:rPr>
          <w:lang w:val="en-AU" w:eastAsia="zh-CN"/>
        </w:rPr>
        <w:tab/>
      </w:r>
      <w:r w:rsidR="00A44ACF" w:rsidRPr="00A44ACF">
        <w:rPr>
          <w:rFonts w:hint="eastAsia"/>
          <w:lang w:val="en-AU" w:eastAsia="zh-CN"/>
        </w:rPr>
        <w:t>探讨加强成员参与和价值主张的方案；</w:t>
      </w:r>
    </w:p>
    <w:p w14:paraId="7B6A8C66" w14:textId="1D0F0AE4" w:rsidR="00EF46CD" w:rsidRPr="00EE58F2" w:rsidRDefault="00D93496" w:rsidP="00366484">
      <w:pPr>
        <w:pStyle w:val="enumlev2"/>
        <w:rPr>
          <w:lang w:val="en-AU" w:eastAsia="zh-CN"/>
        </w:rPr>
      </w:pPr>
      <w:r w:rsidRPr="00D93496">
        <w:rPr>
          <w:lang w:val="en-AU" w:eastAsia="zh-CN"/>
        </w:rPr>
        <w:t>•</w:t>
      </w:r>
      <w:r>
        <w:rPr>
          <w:lang w:val="en-AU" w:eastAsia="zh-CN"/>
        </w:rPr>
        <w:tab/>
      </w:r>
      <w:r w:rsidR="00A44ACF" w:rsidRPr="00A44ACF">
        <w:rPr>
          <w:rFonts w:hint="eastAsia"/>
          <w:lang w:val="en-AU" w:eastAsia="zh-CN"/>
        </w:rPr>
        <w:t>实施新的措施，更好地协调账户管理和对成员国、部门成员、捐助者等的服务；</w:t>
      </w:r>
    </w:p>
    <w:p w14:paraId="419926E8" w14:textId="652196DB" w:rsidR="00EF46CD" w:rsidRPr="00EE58F2" w:rsidRDefault="00D93496" w:rsidP="00366484">
      <w:pPr>
        <w:pStyle w:val="enumlev2"/>
        <w:rPr>
          <w:lang w:val="en-AU" w:eastAsia="zh-CN"/>
        </w:rPr>
      </w:pPr>
      <w:r w:rsidRPr="00D93496">
        <w:rPr>
          <w:lang w:val="en-AU" w:eastAsia="zh-CN"/>
        </w:rPr>
        <w:t>•</w:t>
      </w:r>
      <w:r>
        <w:rPr>
          <w:lang w:val="en-AU" w:eastAsia="zh-CN"/>
        </w:rPr>
        <w:tab/>
      </w:r>
      <w:r w:rsidR="00A44ACF" w:rsidRPr="00A44ACF">
        <w:rPr>
          <w:rFonts w:hint="eastAsia"/>
          <w:lang w:val="en-AU" w:eastAsia="zh-CN"/>
        </w:rPr>
        <w:t>对内部促</w:t>
      </w:r>
      <w:r w:rsidR="00A44ACF">
        <w:rPr>
          <w:rFonts w:hint="eastAsia"/>
          <w:lang w:val="en-AU" w:eastAsia="zh-CN"/>
        </w:rPr>
        <w:t>成</w:t>
      </w:r>
      <w:r w:rsidR="00A44ACF" w:rsidRPr="00A44ACF">
        <w:rPr>
          <w:rFonts w:hint="eastAsia"/>
          <w:lang w:val="en-AU" w:eastAsia="zh-CN"/>
        </w:rPr>
        <w:t>因素进行投资，包括信息技术系统、工作人员能力和技能建设、财务和行政规则及流程的精简和现代化，等；</w:t>
      </w:r>
    </w:p>
    <w:p w14:paraId="2B7663E1" w14:textId="54A53B14" w:rsidR="00EF46CD" w:rsidRPr="00A44ACF" w:rsidRDefault="00D93496" w:rsidP="00366484">
      <w:pPr>
        <w:pStyle w:val="enumlev2"/>
        <w:rPr>
          <w:lang w:val="en-AU" w:eastAsia="zh-CN"/>
        </w:rPr>
      </w:pPr>
      <w:r w:rsidRPr="00D93496">
        <w:rPr>
          <w:lang w:val="en-AU" w:eastAsia="zh-CN"/>
        </w:rPr>
        <w:t>•</w:t>
      </w:r>
      <w:r>
        <w:rPr>
          <w:lang w:val="en-AU" w:eastAsia="zh-CN"/>
        </w:rPr>
        <w:tab/>
      </w:r>
      <w:r w:rsidR="00A44ACF" w:rsidRPr="00A44ACF">
        <w:rPr>
          <w:rFonts w:hint="eastAsia"/>
          <w:lang w:val="en-AU" w:eastAsia="zh-CN"/>
        </w:rPr>
        <w:t>鼓励现有的部门成员拥有跨越多个部门的</w:t>
      </w:r>
      <w:r w:rsidR="007C008F">
        <w:rPr>
          <w:rFonts w:hint="eastAsia"/>
          <w:lang w:val="en-AU" w:eastAsia="zh-CN"/>
        </w:rPr>
        <w:t>成</w:t>
      </w:r>
      <w:r w:rsidR="00A44ACF" w:rsidRPr="00A44ACF">
        <w:rPr>
          <w:rFonts w:hint="eastAsia"/>
          <w:lang w:val="en-AU" w:eastAsia="zh-CN"/>
        </w:rPr>
        <w:t>员资格，并鼓励</w:t>
      </w:r>
      <w:r w:rsidR="00A44ACF">
        <w:rPr>
          <w:rFonts w:hint="eastAsia"/>
          <w:lang w:val="en-AU" w:eastAsia="zh-CN"/>
        </w:rPr>
        <w:t>部门准成员</w:t>
      </w:r>
      <w:r w:rsidR="00A44ACF" w:rsidRPr="00A44ACF">
        <w:rPr>
          <w:rFonts w:hint="eastAsia"/>
          <w:lang w:val="en-AU" w:eastAsia="zh-CN"/>
        </w:rPr>
        <w:t>升级为正式部门</w:t>
      </w:r>
      <w:r w:rsidR="00A44ACF">
        <w:rPr>
          <w:rFonts w:hint="eastAsia"/>
          <w:lang w:val="en-AU" w:eastAsia="zh-CN"/>
        </w:rPr>
        <w:t>成</w:t>
      </w:r>
      <w:r w:rsidR="00A44ACF" w:rsidRPr="00A44ACF">
        <w:rPr>
          <w:rFonts w:hint="eastAsia"/>
          <w:lang w:val="en-AU" w:eastAsia="zh-CN"/>
        </w:rPr>
        <w:t>员；</w:t>
      </w:r>
    </w:p>
    <w:p w14:paraId="77E28128" w14:textId="61D86134" w:rsidR="00EF46CD" w:rsidRPr="00EE58F2" w:rsidRDefault="00D93496" w:rsidP="00366484">
      <w:pPr>
        <w:pStyle w:val="enumlev2"/>
        <w:rPr>
          <w:lang w:val="en-AU" w:eastAsia="zh-CN"/>
        </w:rPr>
      </w:pPr>
      <w:r w:rsidRPr="00D93496">
        <w:rPr>
          <w:lang w:val="en-AU" w:eastAsia="zh-CN"/>
        </w:rPr>
        <w:t>•</w:t>
      </w:r>
      <w:r>
        <w:rPr>
          <w:lang w:val="en-AU" w:eastAsia="zh-CN"/>
        </w:rPr>
        <w:tab/>
      </w:r>
      <w:r w:rsidR="00A44ACF" w:rsidRPr="00A44ACF">
        <w:rPr>
          <w:rFonts w:hint="eastAsia"/>
          <w:lang w:val="en-AU" w:eastAsia="zh-CN"/>
        </w:rPr>
        <w:t>从数字生态系统中代表性不足的部分</w:t>
      </w:r>
      <w:r w:rsidR="00A44ACF">
        <w:rPr>
          <w:rFonts w:hint="eastAsia"/>
          <w:lang w:val="en-AU" w:eastAsia="zh-CN"/>
        </w:rPr>
        <w:t>找出</w:t>
      </w:r>
      <w:r w:rsidR="00A44ACF" w:rsidRPr="00A44ACF">
        <w:rPr>
          <w:rFonts w:hint="eastAsia"/>
          <w:lang w:val="en-AU" w:eastAsia="zh-CN"/>
        </w:rPr>
        <w:t>关键的非成员公司，以加入国际电联。</w:t>
      </w:r>
    </w:p>
    <w:p w14:paraId="4781D43E" w14:textId="69718E85" w:rsidR="00EF46CD" w:rsidRPr="00D93496" w:rsidRDefault="00EF46CD" w:rsidP="003C25DC">
      <w:pPr>
        <w:pStyle w:val="Headingb"/>
        <w:rPr>
          <w:lang w:val="en-AU" w:eastAsia="zh-CN"/>
        </w:rPr>
      </w:pPr>
      <w:r w:rsidRPr="00D36338">
        <w:rPr>
          <w:lang w:val="en-US" w:eastAsia="zh-CN"/>
        </w:rPr>
        <w:t>b</w:t>
      </w:r>
      <w:r w:rsidR="00A80C09" w:rsidRPr="00D36338">
        <w:rPr>
          <w:lang w:val="en-US" w:eastAsia="zh-CN"/>
        </w:rPr>
        <w:t>)</w:t>
      </w:r>
      <w:r w:rsidRPr="00D36338">
        <w:rPr>
          <w:lang w:val="en-US" w:eastAsia="zh-CN"/>
        </w:rPr>
        <w:tab/>
      </w:r>
      <w:r w:rsidR="0070479D" w:rsidRPr="00D36338">
        <w:rPr>
          <w:rFonts w:hint="eastAsia"/>
          <w:lang w:val="en-US" w:eastAsia="zh-CN"/>
        </w:rPr>
        <w:t>制定</w:t>
      </w:r>
      <w:r w:rsidR="00D93496" w:rsidRPr="00D36338">
        <w:rPr>
          <w:rFonts w:hint="eastAsia"/>
          <w:lang w:val="en-US" w:eastAsia="zh-CN"/>
        </w:rPr>
        <w:t>“</w:t>
      </w:r>
      <w:r w:rsidR="0070479D" w:rsidRPr="00D36338">
        <w:rPr>
          <w:rFonts w:hint="eastAsia"/>
          <w:lang w:val="en-US" w:eastAsia="zh-CN"/>
        </w:rPr>
        <w:t>国际电联是一家</w:t>
      </w:r>
      <w:r w:rsidR="00D93496" w:rsidRPr="00D36338">
        <w:rPr>
          <w:rFonts w:hint="eastAsia"/>
          <w:lang w:val="en-US" w:eastAsia="zh-CN"/>
        </w:rPr>
        <w:t>”</w:t>
      </w:r>
      <w:r w:rsidR="0070479D" w:rsidRPr="00D36338">
        <w:rPr>
          <w:rFonts w:hint="eastAsia"/>
          <w:lang w:val="en-US" w:eastAsia="zh-CN"/>
        </w:rPr>
        <w:t>专题倡议，作为对成员资格的补充，将</w:t>
      </w:r>
      <w:r w:rsidR="00D93496" w:rsidRPr="00D36338">
        <w:rPr>
          <w:rFonts w:hint="eastAsia"/>
          <w:lang w:val="en-US" w:eastAsia="zh-CN"/>
        </w:rPr>
        <w:t>“</w:t>
      </w:r>
      <w:r w:rsidR="0070479D" w:rsidRPr="00D36338">
        <w:rPr>
          <w:rFonts w:hint="eastAsia"/>
          <w:lang w:val="en-US" w:eastAsia="zh-CN"/>
        </w:rPr>
        <w:t>预算外</w:t>
      </w:r>
      <w:r w:rsidR="00D93496" w:rsidRPr="00D36338">
        <w:rPr>
          <w:rFonts w:hint="eastAsia"/>
          <w:lang w:val="en-US" w:eastAsia="zh-CN"/>
        </w:rPr>
        <w:t>”</w:t>
      </w:r>
      <w:r w:rsidR="0070479D" w:rsidRPr="00D36338">
        <w:rPr>
          <w:rFonts w:hint="eastAsia"/>
          <w:lang w:val="en-US" w:eastAsia="zh-CN"/>
        </w:rPr>
        <w:t>捐款正式化，并作出多年承诺。</w:t>
      </w:r>
    </w:p>
    <w:p w14:paraId="5AB819FA" w14:textId="6B3D0476" w:rsidR="00EF46CD" w:rsidRPr="00EE58F2" w:rsidRDefault="0070479D" w:rsidP="00EF46CD">
      <w:pPr>
        <w:overflowPunct/>
        <w:autoSpaceDE/>
        <w:autoSpaceDN/>
        <w:adjustRightInd/>
        <w:spacing w:after="120"/>
        <w:ind w:left="1134" w:hanging="425"/>
        <w:jc w:val="both"/>
        <w:textAlignment w:val="auto"/>
        <w:rPr>
          <w:lang w:val="en-AU" w:eastAsia="zh-CN"/>
        </w:rPr>
      </w:pPr>
      <w:r>
        <w:rPr>
          <w:rFonts w:hint="eastAsia"/>
          <w:lang w:val="en-AU" w:eastAsia="zh-CN"/>
        </w:rPr>
        <w:t>这包括：</w:t>
      </w:r>
    </w:p>
    <w:p w14:paraId="63C96249" w14:textId="50511DDF" w:rsidR="00EF46CD" w:rsidRPr="00EE58F2" w:rsidRDefault="00D93496" w:rsidP="00366484">
      <w:pPr>
        <w:pStyle w:val="enumlev2"/>
        <w:rPr>
          <w:lang w:val="en-AU" w:eastAsia="zh-CN"/>
        </w:rPr>
      </w:pPr>
      <w:r w:rsidRPr="00D93496">
        <w:rPr>
          <w:lang w:val="en-AU" w:eastAsia="zh-CN"/>
        </w:rPr>
        <w:t>•</w:t>
      </w:r>
      <w:r>
        <w:rPr>
          <w:lang w:val="en-AU" w:eastAsia="zh-CN"/>
        </w:rPr>
        <w:tab/>
      </w:r>
      <w:r w:rsidR="0070479D" w:rsidRPr="0070479D">
        <w:rPr>
          <w:rFonts w:hint="eastAsia"/>
          <w:lang w:val="en-AU" w:eastAsia="zh-CN"/>
        </w:rPr>
        <w:t>制定和促进</w:t>
      </w:r>
      <w:r w:rsidR="002871BF">
        <w:rPr>
          <w:rFonts w:hint="eastAsia"/>
          <w:lang w:val="en-US" w:eastAsia="zh-CN"/>
        </w:rPr>
        <w:t>“</w:t>
      </w:r>
      <w:r w:rsidR="0070479D" w:rsidRPr="00D02EF3">
        <w:rPr>
          <w:rFonts w:hint="eastAsia"/>
          <w:lang w:val="en-US" w:eastAsia="zh-CN"/>
        </w:rPr>
        <w:t>国际电联是一家</w:t>
      </w:r>
      <w:r w:rsidR="002871BF">
        <w:rPr>
          <w:rFonts w:hint="eastAsia"/>
          <w:lang w:val="en-US" w:eastAsia="zh-CN"/>
        </w:rPr>
        <w:t>”</w:t>
      </w:r>
      <w:r w:rsidR="0070479D" w:rsidRPr="0070479D">
        <w:rPr>
          <w:rFonts w:hint="eastAsia"/>
          <w:lang w:val="en-AU" w:eastAsia="zh-CN"/>
        </w:rPr>
        <w:t>专题倡议，</w:t>
      </w:r>
      <w:r w:rsidR="0070479D">
        <w:rPr>
          <w:rFonts w:hint="eastAsia"/>
          <w:lang w:val="en-AU" w:eastAsia="zh-CN"/>
        </w:rPr>
        <w:t>作为对正</w:t>
      </w:r>
      <w:r w:rsidR="0070479D" w:rsidRPr="0070479D">
        <w:rPr>
          <w:rFonts w:hint="eastAsia"/>
          <w:lang w:val="en-AU" w:eastAsia="zh-CN"/>
        </w:rPr>
        <w:t>常预算资助的活动</w:t>
      </w:r>
      <w:r w:rsidR="0070479D">
        <w:rPr>
          <w:rFonts w:hint="eastAsia"/>
          <w:lang w:val="en-AU" w:eastAsia="zh-CN"/>
        </w:rPr>
        <w:t>的补充</w:t>
      </w:r>
      <w:r w:rsidR="0070479D" w:rsidRPr="0070479D">
        <w:rPr>
          <w:rFonts w:hint="eastAsia"/>
          <w:lang w:val="en-AU" w:eastAsia="zh-CN"/>
        </w:rPr>
        <w:t>；</w:t>
      </w:r>
    </w:p>
    <w:p w14:paraId="3FCC7BE3" w14:textId="7FDD6395" w:rsidR="00EF46CD" w:rsidRPr="00EE58F2" w:rsidRDefault="00D93496" w:rsidP="00366484">
      <w:pPr>
        <w:pStyle w:val="enumlev2"/>
        <w:rPr>
          <w:lang w:val="en-AU" w:eastAsia="zh-CN"/>
        </w:rPr>
      </w:pPr>
      <w:r w:rsidRPr="00D93496">
        <w:rPr>
          <w:lang w:val="en-AU" w:eastAsia="zh-CN"/>
        </w:rPr>
        <w:t>•</w:t>
      </w:r>
      <w:r>
        <w:rPr>
          <w:lang w:val="en-AU" w:eastAsia="zh-CN"/>
        </w:rPr>
        <w:tab/>
      </w:r>
      <w:r w:rsidR="0070479D" w:rsidRPr="0070479D">
        <w:rPr>
          <w:rFonts w:hint="eastAsia"/>
          <w:lang w:val="en-AU" w:eastAsia="zh-CN"/>
        </w:rPr>
        <w:t>加强</w:t>
      </w:r>
      <w:r w:rsidR="002871BF">
        <w:rPr>
          <w:rFonts w:hint="eastAsia"/>
          <w:lang w:val="en-US" w:eastAsia="zh-CN"/>
        </w:rPr>
        <w:t>“</w:t>
      </w:r>
      <w:r w:rsidR="0070479D" w:rsidRPr="00D02EF3">
        <w:rPr>
          <w:rFonts w:hint="eastAsia"/>
          <w:lang w:val="en-US" w:eastAsia="zh-CN"/>
        </w:rPr>
        <w:t>国际电联是一家</w:t>
      </w:r>
      <w:r w:rsidR="002871BF">
        <w:rPr>
          <w:rFonts w:hint="eastAsia"/>
          <w:lang w:val="en-US" w:eastAsia="zh-CN"/>
        </w:rPr>
        <w:t>”</w:t>
      </w:r>
      <w:r w:rsidR="0070479D" w:rsidRPr="0070479D">
        <w:rPr>
          <w:rFonts w:hint="eastAsia"/>
          <w:lang w:val="en-AU" w:eastAsia="zh-CN"/>
        </w:rPr>
        <w:t>与成员、合作伙伴和捐助方的协调</w:t>
      </w:r>
      <w:r w:rsidR="007C008F">
        <w:rPr>
          <w:rFonts w:hint="eastAsia"/>
          <w:lang w:val="en-AU" w:eastAsia="zh-CN"/>
        </w:rPr>
        <w:t>宣传</w:t>
      </w:r>
      <w:r w:rsidR="0070479D" w:rsidRPr="0070479D">
        <w:rPr>
          <w:rFonts w:hint="eastAsia"/>
          <w:lang w:val="en-AU" w:eastAsia="zh-CN"/>
        </w:rPr>
        <w:t>；</w:t>
      </w:r>
    </w:p>
    <w:p w14:paraId="22B9867D" w14:textId="2C587C44" w:rsidR="00EF46CD" w:rsidRPr="00EE58F2" w:rsidRDefault="00D93496" w:rsidP="00366484">
      <w:pPr>
        <w:pStyle w:val="enumlev2"/>
        <w:rPr>
          <w:lang w:val="en-AU" w:eastAsia="zh-CN"/>
        </w:rPr>
      </w:pPr>
      <w:r w:rsidRPr="00D93496">
        <w:rPr>
          <w:lang w:val="en-AU" w:eastAsia="zh-CN"/>
        </w:rPr>
        <w:t>•</w:t>
      </w:r>
      <w:r>
        <w:rPr>
          <w:lang w:val="en-AU" w:eastAsia="zh-CN"/>
        </w:rPr>
        <w:tab/>
      </w:r>
      <w:r w:rsidR="0070479D">
        <w:rPr>
          <w:rFonts w:hint="eastAsia"/>
          <w:lang w:val="en-AU" w:eastAsia="zh-CN"/>
        </w:rPr>
        <w:t>强化</w:t>
      </w:r>
      <w:r w:rsidR="0070479D" w:rsidRPr="0070479D">
        <w:rPr>
          <w:rFonts w:hint="eastAsia"/>
          <w:lang w:val="en-AU" w:eastAsia="zh-CN"/>
        </w:rPr>
        <w:t>项目实施的能力。</w:t>
      </w:r>
    </w:p>
    <w:p w14:paraId="426926C7" w14:textId="44757F93" w:rsidR="00EF46CD" w:rsidRPr="00EE58F2" w:rsidRDefault="00EF46CD" w:rsidP="003C25DC">
      <w:pPr>
        <w:pStyle w:val="Headingb"/>
        <w:rPr>
          <w:lang w:val="en-AU" w:eastAsia="zh-CN"/>
        </w:rPr>
      </w:pPr>
      <w:r w:rsidRPr="00D36338">
        <w:rPr>
          <w:lang w:val="en-US" w:eastAsia="zh-CN"/>
        </w:rPr>
        <w:t>c</w:t>
      </w:r>
      <w:r w:rsidR="00A80C09" w:rsidRPr="00D36338">
        <w:rPr>
          <w:lang w:val="en-US" w:eastAsia="zh-CN"/>
        </w:rPr>
        <w:t>)</w:t>
      </w:r>
      <w:r w:rsidRPr="00D36338">
        <w:rPr>
          <w:lang w:val="en-US" w:eastAsia="zh-CN"/>
        </w:rPr>
        <w:tab/>
      </w:r>
      <w:r w:rsidR="0070479D" w:rsidRPr="00D36338">
        <w:rPr>
          <w:rFonts w:hint="eastAsia"/>
          <w:lang w:val="en-US" w:eastAsia="zh-CN"/>
        </w:rPr>
        <w:t>利用独立的产品提供，更好地获取和协同价值和影响。</w:t>
      </w:r>
    </w:p>
    <w:p w14:paraId="57017111" w14:textId="4AB03FAE" w:rsidR="00EF46CD" w:rsidRPr="00EE58F2" w:rsidRDefault="0070479D" w:rsidP="00EF46CD">
      <w:pPr>
        <w:overflowPunct/>
        <w:autoSpaceDE/>
        <w:autoSpaceDN/>
        <w:adjustRightInd/>
        <w:spacing w:after="120"/>
        <w:ind w:left="1134" w:hanging="425"/>
        <w:jc w:val="both"/>
        <w:textAlignment w:val="auto"/>
        <w:rPr>
          <w:lang w:val="en-US" w:eastAsia="zh-CN"/>
        </w:rPr>
      </w:pPr>
      <w:r>
        <w:rPr>
          <w:rFonts w:hint="eastAsia"/>
          <w:lang w:val="en-US" w:eastAsia="zh-CN"/>
        </w:rPr>
        <w:t>这包括：</w:t>
      </w:r>
    </w:p>
    <w:p w14:paraId="6D5B6BAB" w14:textId="6E2CCB3B" w:rsidR="00EF46CD" w:rsidRPr="00EE58F2" w:rsidRDefault="00D93496" w:rsidP="00366484">
      <w:pPr>
        <w:pStyle w:val="enumlev2"/>
        <w:rPr>
          <w:lang w:val="en-US" w:eastAsia="zh-CN"/>
        </w:rPr>
      </w:pPr>
      <w:r w:rsidRPr="00D93496">
        <w:rPr>
          <w:lang w:val="en-AU" w:eastAsia="zh-CN"/>
        </w:rPr>
        <w:t>•</w:t>
      </w:r>
      <w:r>
        <w:rPr>
          <w:lang w:val="en-AU" w:eastAsia="zh-CN"/>
        </w:rPr>
        <w:tab/>
      </w:r>
      <w:r w:rsidR="0070479D" w:rsidRPr="0070479D">
        <w:rPr>
          <w:rFonts w:hint="eastAsia"/>
          <w:lang w:val="en-US" w:eastAsia="zh-CN"/>
        </w:rPr>
        <w:t>国际电联的主要活动在成员和合作伙伴之间建立了共同的利益共同体，利用</w:t>
      </w:r>
      <w:r w:rsidR="0070479D">
        <w:rPr>
          <w:rFonts w:hint="eastAsia"/>
          <w:lang w:val="en-US" w:eastAsia="zh-CN"/>
        </w:rPr>
        <w:t>这些活动</w:t>
      </w:r>
      <w:r w:rsidR="0070479D" w:rsidRPr="0070479D">
        <w:rPr>
          <w:rFonts w:hint="eastAsia"/>
          <w:lang w:val="en-US" w:eastAsia="zh-CN"/>
        </w:rPr>
        <w:t>以建立一个更全面和更有影响力的价值主张；</w:t>
      </w:r>
    </w:p>
    <w:p w14:paraId="673E7ECC" w14:textId="477D93B7" w:rsidR="00EF46CD" w:rsidRPr="00EE58F2" w:rsidRDefault="00D93496" w:rsidP="00366484">
      <w:pPr>
        <w:pStyle w:val="enumlev2"/>
        <w:rPr>
          <w:lang w:val="en-US" w:eastAsia="zh-CN"/>
        </w:rPr>
      </w:pPr>
      <w:r w:rsidRPr="00D93496">
        <w:rPr>
          <w:lang w:val="en-AU" w:eastAsia="zh-CN"/>
        </w:rPr>
        <w:t>•</w:t>
      </w:r>
      <w:r>
        <w:rPr>
          <w:lang w:val="en-AU" w:eastAsia="zh-CN"/>
        </w:rPr>
        <w:tab/>
      </w:r>
      <w:r w:rsidR="0070479D" w:rsidRPr="0070479D">
        <w:rPr>
          <w:rFonts w:hint="eastAsia"/>
          <w:lang w:val="en-US" w:eastAsia="zh-CN"/>
        </w:rPr>
        <w:t>审查国际电联范围内的产品和</w:t>
      </w:r>
      <w:r w:rsidR="0070479D">
        <w:rPr>
          <w:rFonts w:hint="eastAsia"/>
          <w:lang w:val="en-US" w:eastAsia="zh-CN"/>
        </w:rPr>
        <w:t>业</w:t>
      </w:r>
      <w:r w:rsidR="0070479D" w:rsidRPr="0070479D">
        <w:rPr>
          <w:rFonts w:hint="eastAsia"/>
          <w:lang w:val="en-US" w:eastAsia="zh-CN"/>
        </w:rPr>
        <w:t>务组合，探索增加来自部门成员的收入的潜力；</w:t>
      </w:r>
    </w:p>
    <w:p w14:paraId="639345BA" w14:textId="3798A1EE" w:rsidR="00EF46CD" w:rsidRPr="00EE58F2" w:rsidRDefault="00D93496" w:rsidP="00366484">
      <w:pPr>
        <w:pStyle w:val="enumlev2"/>
        <w:rPr>
          <w:lang w:val="en-US" w:eastAsia="zh-CN"/>
        </w:rPr>
      </w:pPr>
      <w:r w:rsidRPr="00D93496">
        <w:rPr>
          <w:lang w:val="en-AU" w:eastAsia="zh-CN"/>
        </w:rPr>
        <w:t>•</w:t>
      </w:r>
      <w:r>
        <w:rPr>
          <w:lang w:val="en-AU" w:eastAsia="zh-CN"/>
        </w:rPr>
        <w:tab/>
      </w:r>
      <w:r w:rsidR="0070479D" w:rsidRPr="0070479D">
        <w:rPr>
          <w:rFonts w:hint="eastAsia"/>
          <w:lang w:val="en-AU" w:eastAsia="zh-CN"/>
        </w:rPr>
        <w:t>探讨</w:t>
      </w:r>
      <w:r w:rsidR="0070479D">
        <w:rPr>
          <w:rFonts w:hint="eastAsia"/>
          <w:lang w:val="en-AU" w:eastAsia="zh-CN"/>
        </w:rPr>
        <w:t>在行政规定中</w:t>
      </w:r>
      <w:r w:rsidR="0070479D" w:rsidRPr="0070479D">
        <w:rPr>
          <w:rFonts w:hint="eastAsia"/>
          <w:lang w:val="en-AU" w:eastAsia="zh-CN"/>
        </w:rPr>
        <w:t>提高赞助</w:t>
      </w:r>
      <w:r w:rsidR="0070479D" w:rsidRPr="0070479D">
        <w:rPr>
          <w:rFonts w:hint="eastAsia"/>
          <w:lang w:val="en-AU" w:eastAsia="zh-CN"/>
        </w:rPr>
        <w:t>/</w:t>
      </w:r>
      <w:r w:rsidR="0070479D" w:rsidRPr="0070479D">
        <w:rPr>
          <w:rFonts w:hint="eastAsia"/>
          <w:lang w:val="en-AU" w:eastAsia="zh-CN"/>
        </w:rPr>
        <w:t>自愿捐款的最低</w:t>
      </w:r>
      <w:r w:rsidR="00B11D9A">
        <w:rPr>
          <w:rFonts w:hint="eastAsia"/>
          <w:lang w:val="en-AU" w:eastAsia="zh-CN"/>
        </w:rPr>
        <w:t>门限</w:t>
      </w:r>
      <w:r w:rsidR="0070479D" w:rsidRPr="0070479D">
        <w:rPr>
          <w:rFonts w:hint="eastAsia"/>
          <w:lang w:val="en-AU" w:eastAsia="zh-CN"/>
        </w:rPr>
        <w:t>，以反映内部行政</w:t>
      </w:r>
      <w:r w:rsidR="0070479D" w:rsidRPr="0070479D">
        <w:rPr>
          <w:rFonts w:hint="eastAsia"/>
          <w:lang w:val="en-AU" w:eastAsia="zh-CN"/>
        </w:rPr>
        <w:t>/</w:t>
      </w:r>
      <w:r w:rsidR="0070479D" w:rsidRPr="0070479D">
        <w:rPr>
          <w:rFonts w:hint="eastAsia"/>
          <w:lang w:val="en-AU" w:eastAsia="zh-CN"/>
        </w:rPr>
        <w:t>工作人员的获取成本。</w:t>
      </w:r>
    </w:p>
    <w:p w14:paraId="23E6E6CF" w14:textId="2A0266A6" w:rsidR="00EF46CD" w:rsidRPr="00D36338" w:rsidRDefault="00EF46CD" w:rsidP="003C25DC">
      <w:pPr>
        <w:pStyle w:val="Heading2"/>
        <w:rPr>
          <w:lang w:val="en-US" w:eastAsia="zh-CN"/>
        </w:rPr>
      </w:pPr>
      <w:r w:rsidRPr="00D36338">
        <w:rPr>
          <w:lang w:val="en-US" w:eastAsia="zh-CN"/>
        </w:rPr>
        <w:t>3</w:t>
      </w:r>
      <w:r w:rsidRPr="00D36338">
        <w:rPr>
          <w:lang w:val="en-US" w:eastAsia="zh-CN"/>
        </w:rPr>
        <w:tab/>
      </w:r>
      <w:r w:rsidR="002239A5" w:rsidRPr="00D36338">
        <w:rPr>
          <w:rFonts w:hint="eastAsia"/>
          <w:lang w:val="en-US" w:eastAsia="zh-CN"/>
        </w:rPr>
        <w:t>秘书处计划采取的后续步骤和行动</w:t>
      </w:r>
    </w:p>
    <w:p w14:paraId="571EDC64" w14:textId="5ED8C71F" w:rsidR="002239A5" w:rsidRDefault="002239A5" w:rsidP="002239A5">
      <w:pPr>
        <w:overflowPunct/>
        <w:autoSpaceDE/>
        <w:autoSpaceDN/>
        <w:adjustRightInd/>
        <w:spacing w:after="120"/>
        <w:ind w:firstLineChars="200" w:firstLine="480"/>
        <w:jc w:val="both"/>
        <w:textAlignment w:val="auto"/>
        <w:rPr>
          <w:lang w:eastAsia="zh-CN"/>
        </w:rPr>
      </w:pPr>
      <w:r>
        <w:rPr>
          <w:rFonts w:hint="eastAsia"/>
          <w:lang w:eastAsia="zh-CN"/>
        </w:rPr>
        <w:t>请理事会注意本文件。考虑到理事会的反馈意见，秘书处将更新</w:t>
      </w:r>
      <w:r>
        <w:rPr>
          <w:rFonts w:hint="eastAsia"/>
          <w:lang w:eastAsia="zh-CN"/>
        </w:rPr>
        <w:t>/</w:t>
      </w:r>
      <w:r>
        <w:rPr>
          <w:rFonts w:hint="eastAsia"/>
          <w:lang w:eastAsia="zh-CN"/>
        </w:rPr>
        <w:t>完善本文件所述的国际电联范围内的资源筹措战略草案。亦鼓励所有理事会参会者在双边基础上与国际电联秘书处联系，交流意见和建议。</w:t>
      </w:r>
    </w:p>
    <w:p w14:paraId="3D0EC2E1" w14:textId="4275A969" w:rsidR="00EF46CD" w:rsidRDefault="002239A5" w:rsidP="002239A5">
      <w:pPr>
        <w:overflowPunct/>
        <w:autoSpaceDE/>
        <w:autoSpaceDN/>
        <w:adjustRightInd/>
        <w:spacing w:after="120"/>
        <w:ind w:firstLineChars="200" w:firstLine="480"/>
        <w:jc w:val="both"/>
        <w:textAlignment w:val="auto"/>
        <w:rPr>
          <w:lang w:eastAsia="zh-CN"/>
        </w:rPr>
      </w:pPr>
      <w:r>
        <w:rPr>
          <w:rFonts w:hint="eastAsia"/>
          <w:lang w:eastAsia="zh-CN"/>
        </w:rPr>
        <w:t>作为一项紧急行动，秘书处已经成立了一个</w:t>
      </w:r>
      <w:r w:rsidR="00D93496">
        <w:rPr>
          <w:rFonts w:hint="eastAsia"/>
          <w:lang w:val="en-US" w:eastAsia="zh-CN"/>
        </w:rPr>
        <w:t>“</w:t>
      </w:r>
      <w:r w:rsidRPr="00D02EF3">
        <w:rPr>
          <w:rFonts w:hint="eastAsia"/>
          <w:lang w:val="en-US" w:eastAsia="zh-CN"/>
        </w:rPr>
        <w:t>国际电联是一家</w:t>
      </w:r>
      <w:r w:rsidR="00D93496">
        <w:rPr>
          <w:rFonts w:hint="eastAsia"/>
          <w:lang w:val="en-US" w:eastAsia="zh-CN"/>
        </w:rPr>
        <w:t>”</w:t>
      </w:r>
      <w:r>
        <w:rPr>
          <w:rFonts w:hint="eastAsia"/>
          <w:lang w:eastAsia="zh-CN"/>
        </w:rPr>
        <w:t>实施任务组，以评估、协调和探索资源筹措战略的初步试点实施。关于最终资源筹措战略及其实施状况的最新情况将向理事会</w:t>
      </w:r>
      <w:r>
        <w:rPr>
          <w:rFonts w:hint="eastAsia"/>
          <w:lang w:eastAsia="zh-CN"/>
        </w:rPr>
        <w:t>2024</w:t>
      </w:r>
      <w:r>
        <w:rPr>
          <w:rFonts w:hint="eastAsia"/>
          <w:lang w:eastAsia="zh-CN"/>
        </w:rPr>
        <w:t>年会议提交。</w:t>
      </w:r>
    </w:p>
    <w:p w14:paraId="74EEA644" w14:textId="1D4C3208" w:rsidR="0025145E" w:rsidRDefault="002239A5" w:rsidP="0025145E">
      <w:pPr>
        <w:overflowPunct/>
        <w:autoSpaceDE/>
        <w:autoSpaceDN/>
        <w:adjustRightInd/>
        <w:jc w:val="both"/>
        <w:textAlignment w:val="auto"/>
        <w:rPr>
          <w:rFonts w:ascii="STKaiti" w:eastAsia="STKaiti" w:hAnsi="STKaiti"/>
          <w:b/>
          <w:bCs/>
          <w:lang w:eastAsia="zh-CN"/>
        </w:rPr>
      </w:pPr>
      <w:r w:rsidRPr="002239A5">
        <w:rPr>
          <w:rFonts w:ascii="STKaiti" w:eastAsia="STKaiti" w:hAnsi="STKaiti" w:hint="eastAsia"/>
          <w:lang w:eastAsia="zh-CN"/>
        </w:rPr>
        <w:t>附件：</w:t>
      </w:r>
      <w:r w:rsidR="00EF46CD" w:rsidRPr="00A80C09">
        <w:rPr>
          <w:rFonts w:eastAsia="STKaiti" w:cs="Calibri"/>
          <w:b/>
          <w:bCs/>
        </w:rPr>
        <w:t>2</w:t>
      </w:r>
      <w:r w:rsidRPr="002239A5">
        <w:rPr>
          <w:rFonts w:ascii="STKaiti" w:eastAsia="STKaiti" w:hAnsi="STKaiti" w:hint="eastAsia"/>
          <w:b/>
          <w:bCs/>
          <w:lang w:eastAsia="zh-CN"/>
        </w:rPr>
        <w:t>件</w:t>
      </w:r>
      <w:r w:rsidR="0025145E">
        <w:rPr>
          <w:rFonts w:ascii="STKaiti" w:eastAsia="STKaiti" w:hAnsi="STKaiti"/>
          <w:b/>
          <w:bCs/>
          <w:lang w:eastAsia="zh-CN"/>
        </w:rPr>
        <w:br w:type="page"/>
      </w:r>
    </w:p>
    <w:p w14:paraId="3E1D56DB" w14:textId="181F4F6C" w:rsidR="00EF46CD" w:rsidRPr="00EE58F2" w:rsidRDefault="00CF5219" w:rsidP="00EF46CD">
      <w:pPr>
        <w:pStyle w:val="AnnexNo"/>
      </w:pPr>
      <w:bookmarkStart w:id="7" w:name="Annex_1"/>
      <w:r>
        <w:rPr>
          <w:rFonts w:hint="eastAsia"/>
          <w:lang w:eastAsia="zh-CN"/>
        </w:rPr>
        <w:lastRenderedPageBreak/>
        <w:t>附件</w:t>
      </w:r>
      <w:r w:rsidR="00EF46CD" w:rsidRPr="00EE58F2">
        <w:t>1</w:t>
      </w:r>
      <w:bookmarkEnd w:id="7"/>
    </w:p>
    <w:p w14:paraId="58E0FF22" w14:textId="2E88B690" w:rsidR="00EF46CD" w:rsidRPr="002C510C" w:rsidRDefault="00CF5219" w:rsidP="007F612B">
      <w:pPr>
        <w:pStyle w:val="Headingb"/>
        <w:spacing w:before="360" w:after="240"/>
        <w:rPr>
          <w:u w:val="single"/>
        </w:rPr>
      </w:pPr>
      <w:r w:rsidRPr="002C510C">
        <w:rPr>
          <w:rFonts w:cs="Calibri"/>
          <w:u w:val="single"/>
          <w:lang w:val="en-US"/>
        </w:rPr>
        <w:t>2022</w:t>
      </w:r>
      <w:r w:rsidRPr="002C510C">
        <w:rPr>
          <w:rFonts w:hint="eastAsia"/>
          <w:u w:val="single"/>
          <w:lang w:val="en-US" w:eastAsia="zh-CN"/>
        </w:rPr>
        <w:t>年的最大捐助方</w:t>
      </w:r>
    </w:p>
    <w:tbl>
      <w:tblPr>
        <w:tblW w:w="0" w:type="auto"/>
        <w:tblLayout w:type="fixed"/>
        <w:tblLook w:val="06A0" w:firstRow="1" w:lastRow="0" w:firstColumn="1" w:lastColumn="0" w:noHBand="1" w:noVBand="1"/>
      </w:tblPr>
      <w:tblGrid>
        <w:gridCol w:w="5220"/>
        <w:gridCol w:w="1721"/>
        <w:gridCol w:w="2119"/>
      </w:tblGrid>
      <w:tr w:rsidR="00EF46CD" w:rsidRPr="00EE58F2" w14:paraId="1B7F39CD" w14:textId="77777777" w:rsidTr="00CF5219">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A8B15D" w14:textId="5F3ADEC5" w:rsidR="00EF46CD" w:rsidRPr="00EE58F2" w:rsidRDefault="00CF5219" w:rsidP="00A80C09">
            <w:pPr>
              <w:pStyle w:val="Tablehead"/>
            </w:pPr>
            <w:r>
              <w:rPr>
                <w:rFonts w:hint="eastAsia"/>
                <w:lang w:eastAsia="zh-CN"/>
              </w:rPr>
              <w:t>组织</w:t>
            </w:r>
          </w:p>
        </w:tc>
        <w:tc>
          <w:tcPr>
            <w:tcW w:w="17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A919D9" w14:textId="04000558" w:rsidR="00EF46CD" w:rsidRPr="00EE58F2" w:rsidRDefault="00CF5219" w:rsidP="00A80C09">
            <w:pPr>
              <w:pStyle w:val="Tablehead"/>
            </w:pPr>
            <w:r>
              <w:rPr>
                <w:rFonts w:hint="eastAsia"/>
                <w:lang w:eastAsia="zh-CN"/>
              </w:rPr>
              <w:t>国家</w:t>
            </w:r>
          </w:p>
        </w:tc>
        <w:tc>
          <w:tcPr>
            <w:tcW w:w="21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51643D" w14:textId="2C7A8FDC" w:rsidR="00EF46CD" w:rsidRPr="00EE58F2" w:rsidRDefault="00CF5219" w:rsidP="00A80C09">
            <w:pPr>
              <w:pStyle w:val="Tablehead"/>
            </w:pPr>
            <w:r>
              <w:rPr>
                <w:rFonts w:hint="eastAsia"/>
                <w:lang w:eastAsia="zh-CN"/>
              </w:rPr>
              <w:t>金额（瑞士法郎）</w:t>
            </w:r>
          </w:p>
        </w:tc>
      </w:tr>
      <w:tr w:rsidR="00EF46CD" w:rsidRPr="00EE58F2" w14:paraId="305A4454" w14:textId="77777777" w:rsidTr="00CF5219">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AD92571" w14:textId="15671F50" w:rsidR="00EF46CD" w:rsidRPr="00EE58F2" w:rsidRDefault="00CF5219" w:rsidP="00A80C09">
            <w:pPr>
              <w:pStyle w:val="Tabletext"/>
            </w:pPr>
            <w:r w:rsidRPr="00CF5219">
              <w:rPr>
                <w:rFonts w:hint="eastAsia"/>
              </w:rPr>
              <w:t>联邦外交事务部</w:t>
            </w:r>
          </w:p>
        </w:tc>
        <w:tc>
          <w:tcPr>
            <w:tcW w:w="1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77E5430" w14:textId="28F9DDF7" w:rsidR="00EF46CD" w:rsidRPr="00EE58F2" w:rsidRDefault="00614663" w:rsidP="00A80C09">
            <w:pPr>
              <w:pStyle w:val="Tabletext"/>
              <w:jc w:val="center"/>
            </w:pPr>
            <w:r>
              <w:rPr>
                <w:rFonts w:hint="eastAsia"/>
                <w:lang w:eastAsia="zh-CN"/>
              </w:rPr>
              <w:t>瑞士</w:t>
            </w:r>
          </w:p>
        </w:tc>
        <w:tc>
          <w:tcPr>
            <w:tcW w:w="211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470A442" w14:textId="77777777" w:rsidR="00EF46CD" w:rsidRPr="00EE58F2" w:rsidRDefault="00EF46CD" w:rsidP="00A80C09">
            <w:pPr>
              <w:pStyle w:val="Tabletext"/>
              <w:jc w:val="center"/>
            </w:pPr>
            <w:r w:rsidRPr="00EE58F2">
              <w:t>1</w:t>
            </w:r>
            <w:r>
              <w:t> </w:t>
            </w:r>
            <w:r w:rsidRPr="00EE58F2">
              <w:t>020</w:t>
            </w:r>
            <w:r>
              <w:t> </w:t>
            </w:r>
            <w:r w:rsidRPr="00EE58F2">
              <w:t>000</w:t>
            </w:r>
          </w:p>
        </w:tc>
      </w:tr>
      <w:tr w:rsidR="00EF46CD" w:rsidRPr="00EE58F2" w14:paraId="0284C2E9" w14:textId="77777777" w:rsidTr="007F612B">
        <w:trPr>
          <w:trHeight w:val="410"/>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1FC27E1" w14:textId="3B27F280" w:rsidR="00EF46CD" w:rsidRPr="00EE58F2" w:rsidRDefault="00CF5219" w:rsidP="00A80C09">
            <w:pPr>
              <w:pStyle w:val="Tabletext"/>
            </w:pPr>
            <w:r w:rsidRPr="00CF5219">
              <w:rPr>
                <w:rFonts w:hint="eastAsia"/>
              </w:rPr>
              <w:t>工业和信息化部</w:t>
            </w:r>
          </w:p>
        </w:tc>
        <w:tc>
          <w:tcPr>
            <w:tcW w:w="1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192A2A8" w14:textId="05E997F2" w:rsidR="00EF46CD" w:rsidRPr="00EE58F2" w:rsidRDefault="00614663" w:rsidP="00A80C09">
            <w:pPr>
              <w:pStyle w:val="Tabletext"/>
              <w:jc w:val="center"/>
            </w:pPr>
            <w:r>
              <w:rPr>
                <w:rFonts w:hint="eastAsia"/>
                <w:lang w:eastAsia="zh-CN"/>
              </w:rPr>
              <w:t>中国</w:t>
            </w:r>
          </w:p>
        </w:tc>
        <w:tc>
          <w:tcPr>
            <w:tcW w:w="211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176B82F" w14:textId="77777777" w:rsidR="00EF46CD" w:rsidRPr="00EE58F2" w:rsidRDefault="00EF46CD" w:rsidP="00A80C09">
            <w:pPr>
              <w:pStyle w:val="Tabletext"/>
              <w:jc w:val="center"/>
            </w:pPr>
            <w:r w:rsidRPr="00EE58F2">
              <w:t>985</w:t>
            </w:r>
            <w:r>
              <w:t> </w:t>
            </w:r>
            <w:r w:rsidRPr="00EE58F2">
              <w:t>924</w:t>
            </w:r>
          </w:p>
        </w:tc>
      </w:tr>
      <w:tr w:rsidR="00EF46CD" w:rsidRPr="00EE58F2" w14:paraId="2EAA758E" w14:textId="77777777" w:rsidTr="007F612B">
        <w:trPr>
          <w:trHeight w:val="388"/>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A362456" w14:textId="3F2C5CC3" w:rsidR="00EF46CD" w:rsidRPr="00EE58F2" w:rsidRDefault="00CF5219" w:rsidP="00A80C09">
            <w:pPr>
              <w:pStyle w:val="Tabletext"/>
            </w:pPr>
            <w:r w:rsidRPr="00CF5219">
              <w:rPr>
                <w:rFonts w:hint="eastAsia"/>
              </w:rPr>
              <w:t>挪威</w:t>
            </w:r>
            <w:r w:rsidR="003074DD">
              <w:rPr>
                <w:rFonts w:hint="eastAsia"/>
                <w:lang w:eastAsia="zh-CN"/>
              </w:rPr>
              <w:t>开发</w:t>
            </w:r>
            <w:r w:rsidRPr="00CF5219">
              <w:rPr>
                <w:rFonts w:hint="eastAsia"/>
              </w:rPr>
              <w:t>合作署</w:t>
            </w:r>
          </w:p>
        </w:tc>
        <w:tc>
          <w:tcPr>
            <w:tcW w:w="1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A1CB9DB" w14:textId="3F1D4324" w:rsidR="00EF46CD" w:rsidRPr="00EE58F2" w:rsidRDefault="00614663" w:rsidP="00A80C09">
            <w:pPr>
              <w:pStyle w:val="Tabletext"/>
              <w:jc w:val="center"/>
            </w:pPr>
            <w:r>
              <w:rPr>
                <w:rFonts w:hint="eastAsia"/>
                <w:lang w:eastAsia="zh-CN"/>
              </w:rPr>
              <w:t>挪威</w:t>
            </w:r>
          </w:p>
        </w:tc>
        <w:tc>
          <w:tcPr>
            <w:tcW w:w="211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B12E365" w14:textId="77777777" w:rsidR="00EF46CD" w:rsidRPr="00EE58F2" w:rsidRDefault="00EF46CD" w:rsidP="00A80C09">
            <w:pPr>
              <w:pStyle w:val="Tabletext"/>
              <w:jc w:val="center"/>
            </w:pPr>
            <w:r w:rsidRPr="00EE58F2">
              <w:t>932</w:t>
            </w:r>
            <w:r>
              <w:t> </w:t>
            </w:r>
            <w:r w:rsidRPr="00EE58F2">
              <w:t>498</w:t>
            </w:r>
          </w:p>
        </w:tc>
      </w:tr>
      <w:tr w:rsidR="00EF46CD" w:rsidRPr="00EE58F2" w14:paraId="75EF0FB0" w14:textId="77777777" w:rsidTr="00CF5219">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C6C9696" w14:textId="24EEFF79" w:rsidR="00EF46CD" w:rsidRPr="00EE58F2" w:rsidRDefault="00CF5219" w:rsidP="00A80C09">
            <w:pPr>
              <w:pStyle w:val="Tabletext"/>
            </w:pPr>
            <w:r w:rsidRPr="00CF5219">
              <w:rPr>
                <w:rFonts w:hint="eastAsia"/>
              </w:rPr>
              <w:t>总务省</w:t>
            </w:r>
          </w:p>
        </w:tc>
        <w:tc>
          <w:tcPr>
            <w:tcW w:w="1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CD9D5B4" w14:textId="2B2D0226" w:rsidR="00EF46CD" w:rsidRPr="00EE58F2" w:rsidRDefault="00614663" w:rsidP="00A80C09">
            <w:pPr>
              <w:pStyle w:val="Tabletext"/>
              <w:jc w:val="center"/>
            </w:pPr>
            <w:r>
              <w:rPr>
                <w:rFonts w:hint="eastAsia"/>
                <w:lang w:eastAsia="zh-CN"/>
              </w:rPr>
              <w:t>日本</w:t>
            </w:r>
          </w:p>
        </w:tc>
        <w:tc>
          <w:tcPr>
            <w:tcW w:w="211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BE832BB" w14:textId="77777777" w:rsidR="00EF46CD" w:rsidRPr="00EE58F2" w:rsidRDefault="00EF46CD" w:rsidP="00A80C09">
            <w:pPr>
              <w:pStyle w:val="Tabletext"/>
              <w:jc w:val="center"/>
            </w:pPr>
            <w:r w:rsidRPr="00EE58F2">
              <w:t>833</w:t>
            </w:r>
            <w:r>
              <w:t> </w:t>
            </w:r>
            <w:r w:rsidRPr="00EE58F2">
              <w:t>170</w:t>
            </w:r>
          </w:p>
        </w:tc>
      </w:tr>
      <w:tr w:rsidR="00EF46CD" w:rsidRPr="00EE58F2" w14:paraId="3B15B342" w14:textId="77777777" w:rsidTr="007F612B">
        <w:trPr>
          <w:trHeight w:val="442"/>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F39D862" w14:textId="23EF81E7" w:rsidR="00EF46CD" w:rsidRPr="00EE58F2" w:rsidRDefault="00CF5219" w:rsidP="00A80C09">
            <w:pPr>
              <w:pStyle w:val="Tabletext"/>
            </w:pPr>
            <w:r>
              <w:rPr>
                <w:rFonts w:hint="eastAsia"/>
                <w:lang w:eastAsia="zh-CN"/>
              </w:rPr>
              <w:t>外交贸易部</w:t>
            </w:r>
          </w:p>
        </w:tc>
        <w:tc>
          <w:tcPr>
            <w:tcW w:w="1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92F14C6" w14:textId="663BAA11" w:rsidR="00EF46CD" w:rsidRPr="00EE58F2" w:rsidRDefault="00614663" w:rsidP="00A80C09">
            <w:pPr>
              <w:pStyle w:val="Tabletext"/>
              <w:jc w:val="center"/>
            </w:pPr>
            <w:r>
              <w:rPr>
                <w:rFonts w:hint="eastAsia"/>
                <w:lang w:eastAsia="zh-CN"/>
              </w:rPr>
              <w:t>澳大利亚</w:t>
            </w:r>
          </w:p>
        </w:tc>
        <w:tc>
          <w:tcPr>
            <w:tcW w:w="211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E3CBC6F" w14:textId="77777777" w:rsidR="00EF46CD" w:rsidRPr="00EE58F2" w:rsidRDefault="00EF46CD" w:rsidP="00A80C09">
            <w:pPr>
              <w:pStyle w:val="Tabletext"/>
              <w:jc w:val="center"/>
            </w:pPr>
            <w:r w:rsidRPr="00EE58F2">
              <w:t>826</w:t>
            </w:r>
            <w:r>
              <w:t> </w:t>
            </w:r>
            <w:r w:rsidRPr="00EE58F2">
              <w:t>259</w:t>
            </w:r>
          </w:p>
        </w:tc>
      </w:tr>
      <w:tr w:rsidR="00EF46CD" w:rsidRPr="00EE58F2" w14:paraId="719AE709" w14:textId="77777777" w:rsidTr="00CF5219">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A8AC903" w14:textId="1705970D" w:rsidR="00EF46CD" w:rsidRPr="00EE58F2" w:rsidRDefault="00CF5219" w:rsidP="00A80C09">
            <w:pPr>
              <w:pStyle w:val="Tabletext"/>
              <w:rPr>
                <w:lang w:eastAsia="zh-CN"/>
              </w:rPr>
            </w:pPr>
            <w:r w:rsidRPr="00CF5219">
              <w:rPr>
                <w:rFonts w:hint="eastAsia"/>
                <w:lang w:eastAsia="zh-CN"/>
              </w:rPr>
              <w:t>开发计划署多国办事处</w:t>
            </w:r>
          </w:p>
        </w:tc>
        <w:tc>
          <w:tcPr>
            <w:tcW w:w="1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94E505B" w14:textId="12D12ED3" w:rsidR="00EF46CD" w:rsidRPr="00EE58F2" w:rsidRDefault="00614663" w:rsidP="00A80C09">
            <w:pPr>
              <w:pStyle w:val="Tabletext"/>
              <w:jc w:val="center"/>
            </w:pPr>
            <w:r>
              <w:rPr>
                <w:rFonts w:hint="eastAsia"/>
                <w:lang w:eastAsia="zh-CN"/>
              </w:rPr>
              <w:t>国际组织</w:t>
            </w:r>
          </w:p>
        </w:tc>
        <w:tc>
          <w:tcPr>
            <w:tcW w:w="211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C6D8BD9" w14:textId="77777777" w:rsidR="00EF46CD" w:rsidRPr="00EE58F2" w:rsidRDefault="00EF46CD" w:rsidP="00A80C09">
            <w:pPr>
              <w:pStyle w:val="Tabletext"/>
              <w:jc w:val="center"/>
            </w:pPr>
            <w:r w:rsidRPr="00EE58F2">
              <w:t>697</w:t>
            </w:r>
            <w:r>
              <w:t> </w:t>
            </w:r>
            <w:r w:rsidRPr="00EE58F2">
              <w:t>178</w:t>
            </w:r>
          </w:p>
        </w:tc>
      </w:tr>
      <w:tr w:rsidR="00EF46CD" w:rsidRPr="00EE58F2" w14:paraId="05430F4A" w14:textId="77777777" w:rsidTr="00CF5219">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E9E30FD" w14:textId="46AE6442" w:rsidR="00EF46CD" w:rsidRPr="00EE58F2" w:rsidRDefault="00614663" w:rsidP="00A80C09">
            <w:pPr>
              <w:pStyle w:val="Tabletext"/>
              <w:rPr>
                <w:lang w:eastAsia="zh-CN"/>
              </w:rPr>
            </w:pPr>
            <w:r w:rsidRPr="00614663">
              <w:rPr>
                <w:rFonts w:hint="eastAsia"/>
                <w:lang w:eastAsia="zh-CN"/>
              </w:rPr>
              <w:t>通</w:t>
            </w:r>
            <w:r w:rsidR="003074DD">
              <w:rPr>
                <w:rFonts w:hint="eastAsia"/>
                <w:lang w:eastAsia="zh-CN"/>
              </w:rPr>
              <w:t>信和</w:t>
            </w:r>
            <w:r w:rsidRPr="00614663">
              <w:rPr>
                <w:rFonts w:hint="eastAsia"/>
                <w:lang w:eastAsia="zh-CN"/>
              </w:rPr>
              <w:t>艺术部</w:t>
            </w:r>
          </w:p>
        </w:tc>
        <w:tc>
          <w:tcPr>
            <w:tcW w:w="1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5CA4953" w14:textId="4B9DD240" w:rsidR="00EF46CD" w:rsidRPr="00EE58F2" w:rsidRDefault="00614663" w:rsidP="00A80C09">
            <w:pPr>
              <w:pStyle w:val="Tabletext"/>
              <w:jc w:val="center"/>
            </w:pPr>
            <w:r>
              <w:rPr>
                <w:rFonts w:hint="eastAsia"/>
                <w:lang w:eastAsia="zh-CN"/>
              </w:rPr>
              <w:t>澳大利亚</w:t>
            </w:r>
          </w:p>
        </w:tc>
        <w:tc>
          <w:tcPr>
            <w:tcW w:w="211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C6BF92C" w14:textId="77777777" w:rsidR="00EF46CD" w:rsidRPr="00EE58F2" w:rsidRDefault="00EF46CD" w:rsidP="00A80C09">
            <w:pPr>
              <w:pStyle w:val="Tabletext"/>
              <w:jc w:val="center"/>
            </w:pPr>
            <w:r w:rsidRPr="00EE58F2">
              <w:t>688</w:t>
            </w:r>
            <w:r>
              <w:t> </w:t>
            </w:r>
            <w:r w:rsidRPr="00EE58F2">
              <w:t>978</w:t>
            </w:r>
          </w:p>
        </w:tc>
      </w:tr>
      <w:tr w:rsidR="00EF46CD" w:rsidRPr="00EE58F2" w14:paraId="614A0129" w14:textId="77777777" w:rsidTr="007F612B">
        <w:trPr>
          <w:trHeight w:val="459"/>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8AE388F" w14:textId="5D715FAD" w:rsidR="00EF46CD" w:rsidRPr="00EE58F2" w:rsidRDefault="00BB1CDB" w:rsidP="00A80C09">
            <w:pPr>
              <w:pStyle w:val="Tabletext"/>
              <w:rPr>
                <w:lang w:eastAsia="zh-CN"/>
              </w:rPr>
            </w:pPr>
            <w:r>
              <w:rPr>
                <w:rFonts w:hint="eastAsia"/>
                <w:lang w:eastAsia="zh-CN"/>
              </w:rPr>
              <w:t>科学技术情报通信部</w:t>
            </w:r>
          </w:p>
        </w:tc>
        <w:tc>
          <w:tcPr>
            <w:tcW w:w="1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EBCCC5F" w14:textId="1803B947" w:rsidR="00EF46CD" w:rsidRPr="00EE58F2" w:rsidRDefault="00614663" w:rsidP="00A80C09">
            <w:pPr>
              <w:pStyle w:val="Tabletext"/>
              <w:jc w:val="center"/>
            </w:pPr>
            <w:r w:rsidRPr="00614663">
              <w:rPr>
                <w:rFonts w:hint="eastAsia"/>
              </w:rPr>
              <w:t>大韩民国</w:t>
            </w:r>
          </w:p>
        </w:tc>
        <w:tc>
          <w:tcPr>
            <w:tcW w:w="211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BF92D42" w14:textId="15416850" w:rsidR="00EF46CD" w:rsidRPr="00EE58F2" w:rsidRDefault="00EF46CD" w:rsidP="00A80C09">
            <w:pPr>
              <w:pStyle w:val="Tabletext"/>
              <w:jc w:val="center"/>
            </w:pPr>
            <w:r w:rsidRPr="00EE58F2">
              <w:t>60</w:t>
            </w:r>
            <w:r w:rsidR="00AC5BD7">
              <w:t>0</w:t>
            </w:r>
            <w:r>
              <w:t> </w:t>
            </w:r>
            <w:r w:rsidR="00AC5BD7">
              <w:t>428</w:t>
            </w:r>
          </w:p>
        </w:tc>
      </w:tr>
      <w:tr w:rsidR="00EF46CD" w:rsidRPr="00EE58F2" w14:paraId="3C0BE4B0" w14:textId="77777777" w:rsidTr="007F612B">
        <w:trPr>
          <w:trHeight w:val="410"/>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F1B66F8" w14:textId="3D01D570" w:rsidR="00EF46CD" w:rsidRPr="00EE58F2" w:rsidRDefault="00614663" w:rsidP="00A80C09">
            <w:pPr>
              <w:pStyle w:val="Tabletext"/>
              <w:rPr>
                <w:lang w:eastAsia="zh-CN"/>
              </w:rPr>
            </w:pPr>
            <w:r w:rsidRPr="00614663">
              <w:rPr>
                <w:rFonts w:hint="eastAsia"/>
                <w:lang w:eastAsia="zh-CN"/>
              </w:rPr>
              <w:t>外交、联邦和发展</w:t>
            </w:r>
            <w:r w:rsidR="003074DD">
              <w:rPr>
                <w:rFonts w:hint="eastAsia"/>
                <w:lang w:eastAsia="zh-CN"/>
              </w:rPr>
              <w:t>事务部</w:t>
            </w:r>
          </w:p>
        </w:tc>
        <w:tc>
          <w:tcPr>
            <w:tcW w:w="1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94A3993" w14:textId="01406D73" w:rsidR="00EF46CD" w:rsidRPr="00EE58F2" w:rsidRDefault="00614663" w:rsidP="00A80C09">
            <w:pPr>
              <w:pStyle w:val="Tabletext"/>
              <w:jc w:val="center"/>
            </w:pPr>
            <w:r>
              <w:rPr>
                <w:rFonts w:hint="eastAsia"/>
                <w:lang w:eastAsia="zh-CN"/>
              </w:rPr>
              <w:t>联合王国</w:t>
            </w:r>
          </w:p>
        </w:tc>
        <w:tc>
          <w:tcPr>
            <w:tcW w:w="211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F8F6B14" w14:textId="77777777" w:rsidR="00EF46CD" w:rsidRPr="00EE58F2" w:rsidRDefault="00EF46CD" w:rsidP="00A80C09">
            <w:pPr>
              <w:pStyle w:val="Tabletext"/>
              <w:jc w:val="center"/>
            </w:pPr>
            <w:r w:rsidRPr="00EE58F2">
              <w:t>525</w:t>
            </w:r>
            <w:r>
              <w:t> </w:t>
            </w:r>
            <w:r w:rsidRPr="00EE58F2">
              <w:t>555</w:t>
            </w:r>
          </w:p>
        </w:tc>
      </w:tr>
      <w:tr w:rsidR="00EF46CD" w:rsidRPr="00EE58F2" w14:paraId="6445AAB2" w14:textId="77777777" w:rsidTr="00CF5219">
        <w:trPr>
          <w:trHeight w:val="315"/>
        </w:trPr>
        <w:tc>
          <w:tcPr>
            <w:tcW w:w="522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F5108AF" w14:textId="6B190F5E" w:rsidR="00EF46CD" w:rsidRPr="00EE58F2" w:rsidRDefault="00EF46CD" w:rsidP="00A80C09">
            <w:pPr>
              <w:pStyle w:val="Tabletext"/>
            </w:pPr>
            <w:r w:rsidRPr="00EE58F2">
              <w:t>Botnar</w:t>
            </w:r>
            <w:r w:rsidR="00614663" w:rsidRPr="00614663">
              <w:rPr>
                <w:rFonts w:hint="eastAsia"/>
              </w:rPr>
              <w:t>基金会</w:t>
            </w:r>
          </w:p>
        </w:tc>
        <w:tc>
          <w:tcPr>
            <w:tcW w:w="1721"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2C6E5C2" w14:textId="22A7B676" w:rsidR="00EF46CD" w:rsidRPr="00EE58F2" w:rsidRDefault="00614663" w:rsidP="00A80C09">
            <w:pPr>
              <w:pStyle w:val="Tabletext"/>
              <w:jc w:val="center"/>
            </w:pPr>
            <w:r>
              <w:rPr>
                <w:rFonts w:hint="eastAsia"/>
                <w:lang w:eastAsia="zh-CN"/>
              </w:rPr>
              <w:t>瑞士</w:t>
            </w:r>
          </w:p>
        </w:tc>
        <w:tc>
          <w:tcPr>
            <w:tcW w:w="2119"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369288E" w14:textId="77777777" w:rsidR="00EF46CD" w:rsidRPr="00EE58F2" w:rsidRDefault="00EF46CD" w:rsidP="00A80C09">
            <w:pPr>
              <w:pStyle w:val="Tabletext"/>
              <w:jc w:val="center"/>
            </w:pPr>
            <w:r w:rsidRPr="00EE58F2">
              <w:t>442</w:t>
            </w:r>
            <w:r>
              <w:t> </w:t>
            </w:r>
            <w:r w:rsidRPr="00EE58F2">
              <w:t>247</w:t>
            </w:r>
          </w:p>
        </w:tc>
      </w:tr>
    </w:tbl>
    <w:p w14:paraId="5FB26A12" w14:textId="77777777" w:rsidR="00EF46CD" w:rsidRPr="00EE58F2" w:rsidRDefault="00EF46CD" w:rsidP="00EF46CD">
      <w:pPr>
        <w:overflowPunct/>
        <w:autoSpaceDE/>
        <w:autoSpaceDN/>
        <w:adjustRightInd/>
        <w:spacing w:before="0"/>
        <w:textAlignment w:val="auto"/>
        <w:rPr>
          <w:b/>
          <w:bCs/>
        </w:rPr>
      </w:pPr>
      <w:r w:rsidRPr="00EE58F2">
        <w:rPr>
          <w:b/>
          <w:bCs/>
        </w:rPr>
        <w:br w:type="page"/>
      </w:r>
    </w:p>
    <w:p w14:paraId="5A9C1499" w14:textId="7E2E03BE" w:rsidR="00EF46CD" w:rsidRPr="00EE58F2" w:rsidRDefault="005D3B29" w:rsidP="00EF46CD">
      <w:pPr>
        <w:pStyle w:val="AnnexNo"/>
        <w:rPr>
          <w:lang w:eastAsia="zh-CN"/>
        </w:rPr>
      </w:pPr>
      <w:bookmarkStart w:id="8" w:name="Annex_2"/>
      <w:r>
        <w:rPr>
          <w:rFonts w:hint="eastAsia"/>
          <w:lang w:eastAsia="zh-CN"/>
        </w:rPr>
        <w:lastRenderedPageBreak/>
        <w:t>附件</w:t>
      </w:r>
      <w:r w:rsidR="00EF46CD" w:rsidRPr="00EE58F2">
        <w:rPr>
          <w:lang w:eastAsia="zh-CN"/>
        </w:rPr>
        <w:t>2</w:t>
      </w:r>
      <w:bookmarkEnd w:id="8"/>
    </w:p>
    <w:p w14:paraId="112CC8F6" w14:textId="0C1DD2A0" w:rsidR="00EF46CD" w:rsidRPr="002C510C" w:rsidRDefault="005D3B29" w:rsidP="007F612B">
      <w:pPr>
        <w:pStyle w:val="Headingb"/>
        <w:spacing w:before="360" w:after="240"/>
        <w:rPr>
          <w:u w:val="single"/>
          <w:lang w:val="en-US" w:eastAsia="zh-CN"/>
        </w:rPr>
      </w:pPr>
      <w:r w:rsidRPr="002C510C">
        <w:rPr>
          <w:rFonts w:hint="eastAsia"/>
          <w:u w:val="single"/>
          <w:lang w:val="en-US" w:eastAsia="zh-CN"/>
        </w:rPr>
        <w:t>官方发展援助组织、各国外交部和使团在</w:t>
      </w:r>
      <w:r w:rsidRPr="002C510C">
        <w:rPr>
          <w:rFonts w:hint="eastAsia"/>
          <w:u w:val="single"/>
          <w:lang w:val="en-US" w:eastAsia="zh-CN"/>
        </w:rPr>
        <w:t>2022</w:t>
      </w:r>
      <w:r w:rsidRPr="002C510C">
        <w:rPr>
          <w:rFonts w:hint="eastAsia"/>
          <w:u w:val="single"/>
          <w:lang w:val="en-US" w:eastAsia="zh-CN"/>
        </w:rPr>
        <w:t>年的捐款</w:t>
      </w:r>
    </w:p>
    <w:tbl>
      <w:tblPr>
        <w:tblW w:w="9173" w:type="dxa"/>
        <w:tblLayout w:type="fixed"/>
        <w:tblLook w:val="06A0" w:firstRow="1" w:lastRow="0" w:firstColumn="1" w:lastColumn="0" w:noHBand="1" w:noVBand="1"/>
      </w:tblPr>
      <w:tblGrid>
        <w:gridCol w:w="5265"/>
        <w:gridCol w:w="1860"/>
        <w:gridCol w:w="2048"/>
      </w:tblGrid>
      <w:tr w:rsidR="00EF46CD" w:rsidRPr="00EE58F2" w14:paraId="7CE44C47" w14:textId="77777777" w:rsidTr="00AC5BD7">
        <w:trPr>
          <w:trHeight w:val="315"/>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264C52" w14:textId="5C2251EA" w:rsidR="00EF46CD" w:rsidRPr="00EE58F2" w:rsidRDefault="005D3B29" w:rsidP="004166E6">
            <w:pPr>
              <w:pStyle w:val="Tablehead"/>
            </w:pPr>
            <w:r>
              <w:rPr>
                <w:rFonts w:hint="eastAsia"/>
                <w:lang w:eastAsia="zh-CN"/>
              </w:rPr>
              <w:t>组织</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4AE685" w14:textId="54CB64A7" w:rsidR="00EF46CD" w:rsidRPr="00EE58F2" w:rsidRDefault="005D3B29" w:rsidP="004166E6">
            <w:pPr>
              <w:pStyle w:val="Tablehead"/>
            </w:pPr>
            <w:r>
              <w:rPr>
                <w:rFonts w:hint="eastAsia"/>
                <w:lang w:eastAsia="zh-CN"/>
              </w:rPr>
              <w:t>国家</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7A3231" w14:textId="16739B46" w:rsidR="00EF46CD" w:rsidRPr="00EE58F2" w:rsidRDefault="005D3B29" w:rsidP="004166E6">
            <w:pPr>
              <w:pStyle w:val="Tablehead"/>
            </w:pPr>
            <w:r>
              <w:rPr>
                <w:rFonts w:hint="eastAsia"/>
                <w:lang w:eastAsia="zh-CN"/>
              </w:rPr>
              <w:t>金额（瑞士法郎）</w:t>
            </w:r>
          </w:p>
        </w:tc>
      </w:tr>
      <w:tr w:rsidR="00EF46CD" w:rsidRPr="00EE58F2" w14:paraId="3D9C0ED6" w14:textId="77777777" w:rsidTr="00AC5BD7">
        <w:trPr>
          <w:trHeight w:val="315"/>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D4F2EC3" w14:textId="49854AF9" w:rsidR="00EF46CD" w:rsidRPr="00EE58F2" w:rsidRDefault="005D3B29" w:rsidP="004166E6">
            <w:pPr>
              <w:pStyle w:val="Tabletext"/>
            </w:pPr>
            <w:r w:rsidRPr="00CF5219">
              <w:rPr>
                <w:rFonts w:hint="eastAsia"/>
              </w:rPr>
              <w:t>联邦外交事务部</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1C1C921" w14:textId="2F9935BD" w:rsidR="00EF46CD" w:rsidRPr="00EE58F2" w:rsidRDefault="005D3B29" w:rsidP="004166E6">
            <w:pPr>
              <w:pStyle w:val="Tabletext"/>
              <w:jc w:val="center"/>
            </w:pPr>
            <w:r>
              <w:rPr>
                <w:rFonts w:hint="eastAsia"/>
                <w:lang w:eastAsia="zh-CN"/>
              </w:rPr>
              <w:t>瑞士</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24DCC1B" w14:textId="77777777" w:rsidR="00EF46CD" w:rsidRPr="00EE58F2" w:rsidRDefault="00EF46CD" w:rsidP="004166E6">
            <w:pPr>
              <w:pStyle w:val="Tabletext"/>
              <w:jc w:val="center"/>
            </w:pPr>
            <w:r w:rsidRPr="00EE58F2">
              <w:t>1</w:t>
            </w:r>
            <w:r>
              <w:t> </w:t>
            </w:r>
            <w:r w:rsidRPr="00EE58F2">
              <w:t>020</w:t>
            </w:r>
            <w:r>
              <w:t> </w:t>
            </w:r>
            <w:r w:rsidRPr="00EE58F2">
              <w:t>000</w:t>
            </w:r>
          </w:p>
        </w:tc>
      </w:tr>
      <w:tr w:rsidR="00EF46CD" w:rsidRPr="00EE58F2" w14:paraId="57AF822A" w14:textId="77777777" w:rsidTr="007F612B">
        <w:trPr>
          <w:trHeight w:val="410"/>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6F1F838" w14:textId="17004E1B" w:rsidR="00EF46CD" w:rsidRPr="00EE58F2" w:rsidRDefault="005D3B29" w:rsidP="004166E6">
            <w:pPr>
              <w:pStyle w:val="Tabletext"/>
            </w:pPr>
            <w:r w:rsidRPr="00CF5219">
              <w:rPr>
                <w:rFonts w:hint="eastAsia"/>
              </w:rPr>
              <w:t>挪威</w:t>
            </w:r>
            <w:r w:rsidR="003074DD">
              <w:rPr>
                <w:rFonts w:hint="eastAsia"/>
                <w:lang w:eastAsia="zh-CN"/>
              </w:rPr>
              <w:t>开发</w:t>
            </w:r>
            <w:r w:rsidRPr="00CF5219">
              <w:rPr>
                <w:rFonts w:hint="eastAsia"/>
              </w:rPr>
              <w:t>合作署</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BCC32F8" w14:textId="26AE060A" w:rsidR="00EF46CD" w:rsidRPr="00EE58F2" w:rsidRDefault="005D3B29" w:rsidP="004166E6">
            <w:pPr>
              <w:pStyle w:val="Tabletext"/>
              <w:jc w:val="center"/>
            </w:pPr>
            <w:r>
              <w:rPr>
                <w:rFonts w:hint="eastAsia"/>
                <w:lang w:eastAsia="zh-CN"/>
              </w:rPr>
              <w:t>挪威</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3CC1787" w14:textId="77777777" w:rsidR="00EF46CD" w:rsidRPr="00EE58F2" w:rsidRDefault="00EF46CD" w:rsidP="004166E6">
            <w:pPr>
              <w:pStyle w:val="Tabletext"/>
              <w:jc w:val="center"/>
            </w:pPr>
            <w:r w:rsidRPr="00EE58F2">
              <w:t>932</w:t>
            </w:r>
            <w:r>
              <w:t> </w:t>
            </w:r>
            <w:r w:rsidRPr="00EE58F2">
              <w:t>498</w:t>
            </w:r>
          </w:p>
        </w:tc>
      </w:tr>
      <w:tr w:rsidR="00EF46CD" w:rsidRPr="00EE58F2" w14:paraId="3B1FF13F" w14:textId="77777777" w:rsidTr="007F612B">
        <w:trPr>
          <w:trHeight w:val="388"/>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3216339" w14:textId="36574553" w:rsidR="00EF46CD" w:rsidRPr="00EE58F2" w:rsidRDefault="005D3B29" w:rsidP="004166E6">
            <w:pPr>
              <w:pStyle w:val="Tabletext"/>
            </w:pPr>
            <w:r>
              <w:rPr>
                <w:rFonts w:hint="eastAsia"/>
                <w:lang w:eastAsia="zh-CN"/>
              </w:rPr>
              <w:t>外交贸易部</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2E82CA4" w14:textId="247F5772" w:rsidR="00EF46CD" w:rsidRPr="00EE58F2" w:rsidRDefault="005D3B29" w:rsidP="004166E6">
            <w:pPr>
              <w:pStyle w:val="Tabletext"/>
              <w:jc w:val="center"/>
            </w:pPr>
            <w:r>
              <w:rPr>
                <w:rFonts w:hint="eastAsia"/>
                <w:lang w:eastAsia="zh-CN"/>
              </w:rPr>
              <w:t>澳大利亚</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0056C7F" w14:textId="77777777" w:rsidR="00EF46CD" w:rsidRPr="00EE58F2" w:rsidRDefault="00EF46CD" w:rsidP="004166E6">
            <w:pPr>
              <w:pStyle w:val="Tabletext"/>
              <w:jc w:val="center"/>
            </w:pPr>
            <w:r w:rsidRPr="00EE58F2">
              <w:t>826</w:t>
            </w:r>
            <w:r>
              <w:t> </w:t>
            </w:r>
            <w:r w:rsidRPr="00EE58F2">
              <w:t>259</w:t>
            </w:r>
          </w:p>
        </w:tc>
      </w:tr>
      <w:tr w:rsidR="00EF46CD" w:rsidRPr="00EE58F2" w14:paraId="17CEA95A" w14:textId="77777777" w:rsidTr="007F612B">
        <w:trPr>
          <w:trHeight w:val="393"/>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38D464E" w14:textId="52DE512E" w:rsidR="00EF46CD" w:rsidRPr="00EE58F2" w:rsidRDefault="005D3B29" w:rsidP="004166E6">
            <w:pPr>
              <w:pStyle w:val="Tabletext"/>
              <w:rPr>
                <w:lang w:eastAsia="zh-CN"/>
              </w:rPr>
            </w:pPr>
            <w:r w:rsidRPr="00614663">
              <w:rPr>
                <w:rFonts w:hint="eastAsia"/>
                <w:lang w:eastAsia="zh-CN"/>
              </w:rPr>
              <w:t>外交、联邦和发展</w:t>
            </w:r>
            <w:r w:rsidR="003074DD">
              <w:rPr>
                <w:rFonts w:hint="eastAsia"/>
                <w:lang w:eastAsia="zh-CN"/>
              </w:rPr>
              <w:t>事务部</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DCEF973" w14:textId="573C43D1" w:rsidR="00EF46CD" w:rsidRPr="00EE58F2" w:rsidRDefault="005D3B29" w:rsidP="004166E6">
            <w:pPr>
              <w:pStyle w:val="Tabletext"/>
              <w:jc w:val="center"/>
            </w:pPr>
            <w:r>
              <w:rPr>
                <w:rFonts w:hint="eastAsia"/>
                <w:lang w:eastAsia="zh-CN"/>
              </w:rPr>
              <w:t>联合王国</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84485D3" w14:textId="77777777" w:rsidR="00EF46CD" w:rsidRPr="00EE58F2" w:rsidRDefault="00EF46CD" w:rsidP="004166E6">
            <w:pPr>
              <w:pStyle w:val="Tabletext"/>
              <w:jc w:val="center"/>
            </w:pPr>
            <w:r w:rsidRPr="00EE58F2">
              <w:t>525</w:t>
            </w:r>
            <w:r>
              <w:t> </w:t>
            </w:r>
            <w:r w:rsidRPr="00EE58F2">
              <w:t>555</w:t>
            </w:r>
          </w:p>
        </w:tc>
      </w:tr>
      <w:tr w:rsidR="00EF46CD" w:rsidRPr="00EE58F2" w14:paraId="666F9744" w14:textId="77777777" w:rsidTr="007F612B">
        <w:trPr>
          <w:trHeight w:val="400"/>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E438FEC" w14:textId="6010D007" w:rsidR="00EF46CD" w:rsidRPr="001648B1" w:rsidRDefault="005D3B29" w:rsidP="004166E6">
            <w:pPr>
              <w:pStyle w:val="Tabletext"/>
              <w:rPr>
                <w:lang w:val="es-ES" w:eastAsia="zh-CN"/>
              </w:rPr>
            </w:pPr>
            <w:r w:rsidRPr="005D3B29">
              <w:rPr>
                <w:rFonts w:hint="eastAsia"/>
                <w:lang w:val="es-ES" w:eastAsia="zh-CN"/>
              </w:rPr>
              <w:t>外交和全球事务国务秘书处</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0F553B6" w14:textId="0C77D116" w:rsidR="00EF46CD" w:rsidRPr="00EE58F2" w:rsidRDefault="005D3B29" w:rsidP="004166E6">
            <w:pPr>
              <w:pStyle w:val="Tabletext"/>
              <w:jc w:val="center"/>
            </w:pPr>
            <w:r>
              <w:rPr>
                <w:rFonts w:hint="eastAsia"/>
                <w:lang w:eastAsia="zh-CN"/>
              </w:rPr>
              <w:t>西班牙</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E993413" w14:textId="77777777" w:rsidR="00EF46CD" w:rsidRPr="00EE58F2" w:rsidRDefault="00EF46CD" w:rsidP="004166E6">
            <w:pPr>
              <w:pStyle w:val="Tabletext"/>
              <w:jc w:val="center"/>
            </w:pPr>
            <w:r w:rsidRPr="00EE58F2">
              <w:t>394</w:t>
            </w:r>
            <w:r>
              <w:t> </w:t>
            </w:r>
            <w:r w:rsidRPr="00EE58F2">
              <w:t>031</w:t>
            </w:r>
          </w:p>
        </w:tc>
      </w:tr>
      <w:tr w:rsidR="00AC5BD7" w:rsidRPr="00EE58F2" w14:paraId="035FF2AC" w14:textId="77777777" w:rsidTr="007F612B">
        <w:trPr>
          <w:trHeight w:val="406"/>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421AD54" w14:textId="16BEB9EA" w:rsidR="00AC5BD7" w:rsidRPr="005D3B29" w:rsidRDefault="00AC5BD7" w:rsidP="00AC5BD7">
            <w:pPr>
              <w:pStyle w:val="Tabletext"/>
              <w:rPr>
                <w:lang w:val="es-ES" w:eastAsia="zh-CN"/>
              </w:rPr>
            </w:pPr>
            <w:r w:rsidRPr="00614663">
              <w:rPr>
                <w:rFonts w:hint="eastAsia"/>
                <w:lang w:eastAsia="zh-CN"/>
              </w:rPr>
              <w:t>大韩民国</w:t>
            </w:r>
            <w:r>
              <w:rPr>
                <w:rFonts w:hint="eastAsia"/>
                <w:lang w:eastAsia="zh-CN"/>
              </w:rPr>
              <w:t>使</w:t>
            </w:r>
            <w:r w:rsidRPr="00614663">
              <w:rPr>
                <w:rFonts w:hint="eastAsia"/>
                <w:lang w:eastAsia="zh-CN"/>
              </w:rPr>
              <w:t>团常驻代表和大使</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B035B09" w14:textId="2DEF01E0" w:rsidR="00AC5BD7" w:rsidRDefault="00AC5BD7" w:rsidP="00AC5BD7">
            <w:pPr>
              <w:pStyle w:val="Tabletext"/>
              <w:jc w:val="center"/>
              <w:rPr>
                <w:lang w:eastAsia="zh-CN"/>
              </w:rPr>
            </w:pPr>
            <w:r>
              <w:rPr>
                <w:rFonts w:hint="eastAsia"/>
                <w:lang w:eastAsia="zh-CN"/>
              </w:rPr>
              <w:t>大韩民国</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AC85B36" w14:textId="016094F9" w:rsidR="00AC5BD7" w:rsidRPr="00EE58F2" w:rsidRDefault="00AC5BD7" w:rsidP="00AC5BD7">
            <w:pPr>
              <w:pStyle w:val="Tabletext"/>
              <w:jc w:val="center"/>
            </w:pPr>
            <w:r>
              <w:t>347 529</w:t>
            </w:r>
          </w:p>
        </w:tc>
      </w:tr>
      <w:tr w:rsidR="00AC5BD7" w:rsidRPr="00EE58F2" w14:paraId="5C3AB566" w14:textId="77777777" w:rsidTr="00AC5BD7">
        <w:trPr>
          <w:trHeight w:val="315"/>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20AE7CA" w14:textId="474D0952" w:rsidR="00AC5BD7" w:rsidRPr="00EE58F2" w:rsidRDefault="00AC5BD7" w:rsidP="00AC5BD7">
            <w:pPr>
              <w:pStyle w:val="Tabletext"/>
            </w:pPr>
            <w:r>
              <w:rPr>
                <w:rFonts w:hint="eastAsia"/>
                <w:lang w:eastAsia="zh-CN"/>
              </w:rPr>
              <w:t>日本常驻使团</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76B1349" w14:textId="713ACCDF" w:rsidR="00AC5BD7" w:rsidRPr="00EE58F2" w:rsidRDefault="00AC5BD7" w:rsidP="00AC5BD7">
            <w:pPr>
              <w:pStyle w:val="Tabletext"/>
              <w:jc w:val="center"/>
            </w:pPr>
            <w:r>
              <w:rPr>
                <w:rFonts w:hint="eastAsia"/>
                <w:lang w:eastAsia="zh-CN"/>
              </w:rPr>
              <w:t>日本</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1CFCEBB" w14:textId="77777777" w:rsidR="00AC5BD7" w:rsidRPr="00EE58F2" w:rsidRDefault="00AC5BD7" w:rsidP="00AC5BD7">
            <w:pPr>
              <w:pStyle w:val="Tabletext"/>
              <w:jc w:val="center"/>
            </w:pPr>
            <w:r w:rsidRPr="00EE58F2">
              <w:t>138</w:t>
            </w:r>
            <w:r>
              <w:t> </w:t>
            </w:r>
            <w:r w:rsidRPr="00EE58F2">
              <w:t>365</w:t>
            </w:r>
          </w:p>
        </w:tc>
      </w:tr>
      <w:tr w:rsidR="00AC5BD7" w:rsidRPr="00EE58F2" w14:paraId="16012A94" w14:textId="77777777" w:rsidTr="007F612B">
        <w:trPr>
          <w:trHeight w:val="431"/>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34DDF3F" w14:textId="1C299297" w:rsidR="00AC5BD7" w:rsidRPr="00EE58F2" w:rsidRDefault="00AC5BD7" w:rsidP="00AC5BD7">
            <w:pPr>
              <w:pStyle w:val="Tabletext"/>
            </w:pPr>
            <w:r>
              <w:rPr>
                <w:rFonts w:hint="eastAsia"/>
                <w:lang w:eastAsia="zh-CN"/>
              </w:rPr>
              <w:t>国际组织管理办公室</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D7A61E1" w14:textId="0E27E4F2" w:rsidR="00AC5BD7" w:rsidRPr="00EE58F2" w:rsidRDefault="00AC5BD7" w:rsidP="00AC5BD7">
            <w:pPr>
              <w:pStyle w:val="Tabletext"/>
              <w:jc w:val="center"/>
            </w:pPr>
            <w:r>
              <w:rPr>
                <w:rFonts w:hint="eastAsia"/>
                <w:lang w:eastAsia="zh-CN"/>
              </w:rPr>
              <w:t>德国</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B09E775" w14:textId="77777777" w:rsidR="00AC5BD7" w:rsidRPr="00EE58F2" w:rsidRDefault="00AC5BD7" w:rsidP="00AC5BD7">
            <w:pPr>
              <w:pStyle w:val="Tabletext"/>
              <w:jc w:val="center"/>
            </w:pPr>
            <w:r w:rsidRPr="00EE58F2">
              <w:t>127</w:t>
            </w:r>
            <w:r>
              <w:t> </w:t>
            </w:r>
            <w:r w:rsidRPr="00EE58F2">
              <w:t>421</w:t>
            </w:r>
          </w:p>
        </w:tc>
      </w:tr>
      <w:tr w:rsidR="00AC5BD7" w:rsidRPr="00EE58F2" w14:paraId="30FC8054" w14:textId="77777777" w:rsidTr="00AC5BD7">
        <w:trPr>
          <w:trHeight w:val="315"/>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5CB36A6" w14:textId="5466E952" w:rsidR="00AC5BD7" w:rsidRPr="00EE58F2" w:rsidRDefault="00AC5BD7" w:rsidP="00AC5BD7">
            <w:pPr>
              <w:pStyle w:val="Tabletext"/>
            </w:pPr>
            <w:r>
              <w:rPr>
                <w:rFonts w:hint="eastAsia"/>
                <w:lang w:eastAsia="zh-CN"/>
              </w:rPr>
              <w:t>捷克共和国常驻使团</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FFC51B4" w14:textId="39C2CC57" w:rsidR="00AC5BD7" w:rsidRPr="00EE58F2" w:rsidRDefault="00AC5BD7" w:rsidP="00AC5BD7">
            <w:pPr>
              <w:pStyle w:val="Tabletext"/>
              <w:jc w:val="center"/>
            </w:pPr>
            <w:r>
              <w:rPr>
                <w:rFonts w:hint="eastAsia"/>
                <w:lang w:eastAsia="zh-CN"/>
              </w:rPr>
              <w:t>捷克共和国</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DD7203D" w14:textId="77777777" w:rsidR="00AC5BD7" w:rsidRPr="00EE58F2" w:rsidRDefault="00AC5BD7" w:rsidP="00AC5BD7">
            <w:pPr>
              <w:pStyle w:val="Tabletext"/>
              <w:jc w:val="center"/>
            </w:pPr>
            <w:r w:rsidRPr="00EE58F2">
              <w:t>20</w:t>
            </w:r>
            <w:r>
              <w:t> </w:t>
            </w:r>
            <w:r w:rsidRPr="00EE58F2">
              <w:t>373</w:t>
            </w:r>
          </w:p>
        </w:tc>
      </w:tr>
      <w:tr w:rsidR="00AC5BD7" w:rsidRPr="00EE58F2" w14:paraId="41562693" w14:textId="77777777" w:rsidTr="00AC5BD7">
        <w:trPr>
          <w:trHeight w:val="315"/>
        </w:trPr>
        <w:tc>
          <w:tcPr>
            <w:tcW w:w="52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1D3EAE2" w14:textId="6302BCB4" w:rsidR="00AC5BD7" w:rsidRPr="001648B1" w:rsidRDefault="00AC5BD7" w:rsidP="00AC5BD7">
            <w:pPr>
              <w:pStyle w:val="Tabletext"/>
              <w:rPr>
                <w:lang w:val="fr-FR" w:eastAsia="zh-CN"/>
              </w:rPr>
            </w:pPr>
            <w:r w:rsidRPr="005D3B29">
              <w:rPr>
                <w:rFonts w:hint="eastAsia"/>
                <w:lang w:val="fr-FR" w:eastAsia="zh-CN"/>
              </w:rPr>
              <w:t>日内瓦共和国和日内瓦州</w:t>
            </w:r>
          </w:p>
        </w:tc>
        <w:tc>
          <w:tcPr>
            <w:tcW w:w="186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9E6CE2D" w14:textId="17C3BEB9" w:rsidR="00AC5BD7" w:rsidRPr="00EE58F2" w:rsidRDefault="00AC5BD7" w:rsidP="00AC5BD7">
            <w:pPr>
              <w:pStyle w:val="Tabletext"/>
              <w:jc w:val="center"/>
            </w:pPr>
            <w:r>
              <w:rPr>
                <w:rFonts w:hint="eastAsia"/>
                <w:lang w:eastAsia="zh-CN"/>
              </w:rPr>
              <w:t>瑞士</w:t>
            </w:r>
          </w:p>
        </w:tc>
        <w:tc>
          <w:tcPr>
            <w:tcW w:w="2048"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680414E" w14:textId="77777777" w:rsidR="00AC5BD7" w:rsidRPr="00EE58F2" w:rsidRDefault="00AC5BD7" w:rsidP="00AC5BD7">
            <w:pPr>
              <w:pStyle w:val="Tabletext"/>
              <w:jc w:val="center"/>
            </w:pPr>
            <w:r w:rsidRPr="00EE58F2">
              <w:t>1</w:t>
            </w:r>
            <w:r>
              <w:t> </w:t>
            </w:r>
            <w:r w:rsidRPr="00EE58F2">
              <w:t>500</w:t>
            </w:r>
          </w:p>
        </w:tc>
      </w:tr>
    </w:tbl>
    <w:p w14:paraId="299A8EF5" w14:textId="1A60EF97" w:rsidR="00AE195F" w:rsidRPr="00E24D59" w:rsidRDefault="00C22097" w:rsidP="00E40AD7">
      <w:pPr>
        <w:spacing w:before="840"/>
        <w:jc w:val="center"/>
      </w:pPr>
      <w:r>
        <w:t>______________</w:t>
      </w:r>
    </w:p>
    <w:sectPr w:rsidR="00AE195F" w:rsidRPr="00E24D59" w:rsidSect="00E24D59">
      <w:headerReference w:type="even" r:id="rId14"/>
      <w:headerReference w:type="default" r:id="rId15"/>
      <w:footerReference w:type="even" r:id="rId1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20A8" w14:textId="77777777" w:rsidR="00281396" w:rsidRDefault="00281396">
      <w:r>
        <w:separator/>
      </w:r>
    </w:p>
  </w:endnote>
  <w:endnote w:type="continuationSeparator" w:id="0">
    <w:p w14:paraId="09F0AEF6" w14:textId="77777777" w:rsidR="00281396" w:rsidRDefault="0028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6F6A" w14:textId="77777777" w:rsidR="00AC5BD7" w:rsidRDefault="00AC5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DF0D4B6" w14:textId="77777777" w:rsidTr="00E31DCE">
      <w:trPr>
        <w:jc w:val="center"/>
      </w:trPr>
      <w:tc>
        <w:tcPr>
          <w:tcW w:w="1803" w:type="dxa"/>
          <w:vAlign w:val="center"/>
        </w:tcPr>
        <w:p w14:paraId="2B0AFAF7" w14:textId="5C123A2C" w:rsidR="00E24D59" w:rsidRDefault="00E24D59" w:rsidP="00E24D59">
          <w:pPr>
            <w:pStyle w:val="Header"/>
            <w:jc w:val="left"/>
            <w:rPr>
              <w:noProof/>
            </w:rPr>
          </w:pPr>
          <w:r>
            <w:rPr>
              <w:noProof/>
            </w:rPr>
            <w:t xml:space="preserve">DPS </w:t>
          </w:r>
          <w:r w:rsidR="00E40AD7">
            <w:rPr>
              <w:noProof/>
            </w:rPr>
            <w:t>52</w:t>
          </w:r>
          <w:r w:rsidR="00AC5BD7">
            <w:rPr>
              <w:noProof/>
            </w:rPr>
            <w:t>5708</w:t>
          </w:r>
        </w:p>
      </w:tc>
      <w:tc>
        <w:tcPr>
          <w:tcW w:w="8261" w:type="dxa"/>
        </w:tcPr>
        <w:p w14:paraId="5F4AA6E0" w14:textId="4A7691DC" w:rsidR="00E24D59" w:rsidRPr="00E06FD5" w:rsidRDefault="00E24D59" w:rsidP="00E24D59">
          <w:pPr>
            <w:pStyle w:val="Header"/>
            <w:tabs>
              <w:tab w:val="left" w:pos="6579"/>
              <w:tab w:val="right" w:pos="8505"/>
              <w:tab w:val="right" w:pos="9639"/>
            </w:tabs>
            <w:jc w:val="left"/>
            <w:rPr>
              <w:rFonts w:ascii="Arial" w:hAnsi="Arial" w:cs="Arial"/>
              <w:b/>
              <w:bCs/>
              <w:szCs w:val="18"/>
            </w:rPr>
          </w:pPr>
          <w:r>
            <w:rPr>
              <w:bCs/>
            </w:rPr>
            <w:tab/>
          </w:r>
          <w:r w:rsidR="00AC5BD7" w:rsidRPr="00623AE3">
            <w:rPr>
              <w:bCs/>
            </w:rPr>
            <w:t>C</w:t>
          </w:r>
          <w:r w:rsidR="00AC5BD7">
            <w:rPr>
              <w:bCs/>
            </w:rPr>
            <w:t>23</w:t>
          </w:r>
          <w:r w:rsidR="00AC5BD7" w:rsidRPr="00623AE3">
            <w:rPr>
              <w:bCs/>
            </w:rPr>
            <w:t>/</w:t>
          </w:r>
          <w:r w:rsidR="00AC5BD7">
            <w:rPr>
              <w:bCs/>
            </w:rPr>
            <w:t>62</w:t>
          </w:r>
          <w:r w:rsidR="00AC5BD7" w:rsidRPr="00AC5BD7">
            <w:rPr>
              <w:bCs/>
            </w:rPr>
            <w:t>(Rev.1)</w:t>
          </w:r>
          <w:r w:rsidR="00AC5BD7" w:rsidRPr="00623AE3">
            <w:rPr>
              <w:bCs/>
            </w:rPr>
            <w:t>-</w:t>
          </w:r>
          <w:r w:rsidR="00AC5BD7">
            <w:rPr>
              <w:bCs/>
            </w:rPr>
            <w:t>C</w:t>
          </w:r>
          <w:r>
            <w:rPr>
              <w:bCs/>
            </w:rPr>
            <w:tab/>
          </w:r>
          <w:r>
            <w:fldChar w:fldCharType="begin"/>
          </w:r>
          <w:r>
            <w:instrText>PAGE</w:instrText>
          </w:r>
          <w:r>
            <w:fldChar w:fldCharType="separate"/>
          </w:r>
          <w:r>
            <w:t>1</w:t>
          </w:r>
          <w:r>
            <w:rPr>
              <w:noProof/>
            </w:rPr>
            <w:fldChar w:fldCharType="end"/>
          </w:r>
        </w:p>
      </w:tc>
    </w:tr>
  </w:tbl>
  <w:p w14:paraId="2B1D3531" w14:textId="77777777" w:rsidR="00B40A53" w:rsidRPr="00E24D59" w:rsidRDefault="00B40A53" w:rsidP="00E24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1F8773BC" w14:textId="77777777" w:rsidTr="00E31DCE">
      <w:trPr>
        <w:jc w:val="center"/>
      </w:trPr>
      <w:tc>
        <w:tcPr>
          <w:tcW w:w="1803" w:type="dxa"/>
          <w:vAlign w:val="center"/>
        </w:tcPr>
        <w:p w14:paraId="507310A6" w14:textId="77777777" w:rsidR="00E24D59" w:rsidRDefault="00D41DB9" w:rsidP="00E24D59">
          <w:pPr>
            <w:pStyle w:val="Header"/>
            <w:jc w:val="left"/>
            <w:rPr>
              <w:noProof/>
            </w:rPr>
          </w:pPr>
          <w:hyperlink r:id="rId1" w:history="1">
            <w:r w:rsidR="00E24D59" w:rsidRPr="00A514A4">
              <w:rPr>
                <w:rStyle w:val="Hyperlink"/>
                <w:szCs w:val="14"/>
              </w:rPr>
              <w:t>www.itu.int/council</w:t>
            </w:r>
          </w:hyperlink>
        </w:p>
      </w:tc>
      <w:tc>
        <w:tcPr>
          <w:tcW w:w="8261" w:type="dxa"/>
        </w:tcPr>
        <w:p w14:paraId="695290BC" w14:textId="2DD5F942" w:rsidR="00E24D59" w:rsidRPr="00E06FD5" w:rsidRDefault="00E24D59" w:rsidP="00AC5BD7">
          <w:pPr>
            <w:pStyle w:val="Header"/>
            <w:tabs>
              <w:tab w:val="left" w:pos="660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576871">
            <w:rPr>
              <w:bCs/>
            </w:rPr>
            <w:t>62</w:t>
          </w:r>
          <w:r w:rsidR="00AC5BD7" w:rsidRPr="00AC5BD7">
            <w:rPr>
              <w:bCs/>
            </w:rPr>
            <w:t>(Rev.1)</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2A6FBB4E"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B0F9E" w14:textId="77777777" w:rsidR="00281396" w:rsidRDefault="00281396">
      <w:r>
        <w:t>____________________</w:t>
      </w:r>
    </w:p>
  </w:footnote>
  <w:footnote w:type="continuationSeparator" w:id="0">
    <w:p w14:paraId="20874A5D" w14:textId="77777777" w:rsidR="00281396" w:rsidRDefault="00281396">
      <w:r>
        <w:continuationSeparator/>
      </w:r>
    </w:p>
  </w:footnote>
  <w:footnote w:id="1">
    <w:p w14:paraId="372BA5DC" w14:textId="71F47340" w:rsidR="00EF46CD" w:rsidRPr="00AA1FD1" w:rsidRDefault="00EF46CD" w:rsidP="00EF46CD">
      <w:pPr>
        <w:pStyle w:val="FootnoteText"/>
        <w:rPr>
          <w:lang w:eastAsia="zh-CN"/>
        </w:rPr>
      </w:pPr>
      <w:r>
        <w:rPr>
          <w:rStyle w:val="FootnoteReference"/>
        </w:rPr>
        <w:footnoteRef/>
      </w:r>
      <w:r w:rsidR="003B1907">
        <w:rPr>
          <w:lang w:eastAsia="zh-CN"/>
        </w:rPr>
        <w:tab/>
      </w:r>
      <w:r w:rsidR="00936D60" w:rsidRPr="00936D60">
        <w:rPr>
          <w:rFonts w:hint="eastAsia"/>
          <w:lang w:eastAsia="zh-CN"/>
        </w:rPr>
        <w:t>国际移民组织</w:t>
      </w:r>
      <w:r w:rsidR="00936D60" w:rsidRPr="00936D60">
        <w:rPr>
          <w:rFonts w:hint="eastAsia"/>
          <w:lang w:eastAsia="zh-CN"/>
        </w:rPr>
        <w:t>2023</w:t>
      </w:r>
      <w:r w:rsidR="00936D60" w:rsidRPr="00936D60">
        <w:rPr>
          <w:rFonts w:hint="eastAsia"/>
          <w:lang w:eastAsia="zh-CN"/>
        </w:rPr>
        <w:t>年的计划和预算。见</w:t>
      </w:r>
      <w:hyperlink r:id="rId1" w:history="1">
        <w:r w:rsidRPr="00AA1FD1">
          <w:rPr>
            <w:rStyle w:val="Hyperlink"/>
            <w:lang w:eastAsia="zh-CN"/>
          </w:rPr>
          <w:t>C/113/7</w:t>
        </w:r>
      </w:hyperlink>
      <w:r w:rsidR="00936D60">
        <w:rPr>
          <w:rFonts w:hint="eastAsia"/>
          <w:lang w:eastAsia="zh-CN"/>
        </w:rPr>
        <w:t>号文件。</w:t>
      </w:r>
    </w:p>
  </w:footnote>
  <w:footnote w:id="2">
    <w:p w14:paraId="2086AA7D" w14:textId="0A506860" w:rsidR="00EF46CD" w:rsidRPr="001B6D79" w:rsidRDefault="00EF46CD" w:rsidP="00EF46CD">
      <w:pPr>
        <w:pStyle w:val="FootnoteText"/>
        <w:rPr>
          <w:lang w:eastAsia="zh-CN"/>
        </w:rPr>
      </w:pPr>
      <w:r>
        <w:rPr>
          <w:rStyle w:val="FootnoteReference"/>
        </w:rPr>
        <w:footnoteRef/>
      </w:r>
      <w:r w:rsidR="003B1907">
        <w:rPr>
          <w:lang w:eastAsia="zh-CN"/>
        </w:rPr>
        <w:tab/>
      </w:r>
      <w:r w:rsidR="00D41DB9">
        <w:fldChar w:fldCharType="begin"/>
      </w:r>
      <w:r w:rsidR="00D41DB9">
        <w:instrText>HYPERLINK "https://www.who.int/zh/news/item/22-05-2023-seventy-sixth-world</w:instrText>
      </w:r>
      <w:r w:rsidR="00D41DB9">
        <w:instrText>-health-assembly---daily-update--22-may-2023"</w:instrText>
      </w:r>
      <w:r w:rsidR="00D41DB9">
        <w:fldChar w:fldCharType="separate"/>
      </w:r>
      <w:r w:rsidRPr="00FE2ED5">
        <w:rPr>
          <w:rStyle w:val="Hyperlink"/>
          <w:lang w:eastAsia="zh-CN"/>
        </w:rPr>
        <w:t>WHO</w:t>
      </w:r>
      <w:r w:rsidR="00936D60">
        <w:rPr>
          <w:rStyle w:val="Hyperlink"/>
          <w:rFonts w:hint="eastAsia"/>
          <w:lang w:eastAsia="zh-CN"/>
        </w:rPr>
        <w:t>新闻稿</w:t>
      </w:r>
      <w:r w:rsidR="00D41DB9">
        <w:rPr>
          <w:rStyle w:val="Hyperlink"/>
          <w:lang w:eastAsia="zh-CN"/>
        </w:rPr>
        <w:fldChar w:fldCharType="end"/>
      </w:r>
    </w:p>
  </w:footnote>
  <w:footnote w:id="3">
    <w:p w14:paraId="69472E69" w14:textId="0847070D" w:rsidR="00EF46CD" w:rsidRPr="001B6D79" w:rsidRDefault="00EF46CD" w:rsidP="00EF46CD">
      <w:pPr>
        <w:pStyle w:val="FootnoteText"/>
        <w:rPr>
          <w:lang w:val="en-US" w:eastAsia="zh-CN"/>
        </w:rPr>
      </w:pPr>
      <w:r>
        <w:rPr>
          <w:rStyle w:val="FootnoteReference"/>
        </w:rPr>
        <w:footnoteRef/>
      </w:r>
      <w:r w:rsidR="003B1907">
        <w:rPr>
          <w:lang w:eastAsia="zh-CN"/>
        </w:rPr>
        <w:tab/>
      </w:r>
      <w:hyperlink r:id="rId2" w:history="1">
        <w:r w:rsidRPr="001B6D79">
          <w:rPr>
            <w:rStyle w:val="Hyperlink"/>
            <w:lang w:eastAsia="zh-CN"/>
          </w:rPr>
          <w:t>WMO</w:t>
        </w:r>
        <w:r w:rsidR="00936D60">
          <w:rPr>
            <w:rStyle w:val="Hyperlink"/>
            <w:rFonts w:hint="eastAsia"/>
            <w:lang w:eastAsia="zh-CN"/>
          </w:rPr>
          <w:t>新闻稿</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E5D0" w14:textId="77777777" w:rsidR="00AC5BD7" w:rsidRDefault="00AC5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6C05" w14:textId="77777777" w:rsidR="00AC5BD7" w:rsidRDefault="00AC5B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0DD03EB3" w14:textId="77777777" w:rsidTr="00E31DCE">
      <w:trPr>
        <w:trHeight w:val="1104"/>
        <w:jc w:val="center"/>
      </w:trPr>
      <w:tc>
        <w:tcPr>
          <w:tcW w:w="4390" w:type="dxa"/>
          <w:vAlign w:val="center"/>
        </w:tcPr>
        <w:p w14:paraId="634FCC16" w14:textId="77777777" w:rsidR="00E24D59" w:rsidRPr="009621F8" w:rsidRDefault="00E24D59" w:rsidP="00E24D59">
          <w:pPr>
            <w:pStyle w:val="Header"/>
            <w:jc w:val="left"/>
            <w:rPr>
              <w:rFonts w:ascii="Arial" w:hAnsi="Arial" w:cs="Arial"/>
              <w:b/>
              <w:bCs/>
              <w:color w:val="009CD6"/>
              <w:sz w:val="36"/>
              <w:szCs w:val="36"/>
            </w:rPr>
          </w:pPr>
          <w:bookmarkStart w:id="9" w:name="_Hlk133422111"/>
          <w:r>
            <w:rPr>
              <w:noProof/>
            </w:rPr>
            <w:drawing>
              <wp:inline distT="0" distB="0" distL="0" distR="0" wp14:anchorId="29860507" wp14:editId="157BA374">
                <wp:extent cx="1918260" cy="539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07556606" w14:textId="77777777" w:rsidR="00E24D59" w:rsidRDefault="00E24D59" w:rsidP="00E24D59">
          <w:pPr>
            <w:pStyle w:val="Header"/>
            <w:jc w:val="right"/>
            <w:rPr>
              <w:rFonts w:ascii="Arial" w:hAnsi="Arial" w:cs="Arial"/>
              <w:b/>
              <w:bCs/>
              <w:color w:val="009CD6"/>
              <w:szCs w:val="18"/>
            </w:rPr>
          </w:pPr>
        </w:p>
        <w:p w14:paraId="7237BB95" w14:textId="77777777" w:rsidR="00E24D59" w:rsidRDefault="00E24D59" w:rsidP="00E24D59">
          <w:pPr>
            <w:pStyle w:val="Header"/>
            <w:jc w:val="right"/>
            <w:rPr>
              <w:rFonts w:ascii="Arial" w:hAnsi="Arial" w:cs="Arial"/>
              <w:b/>
              <w:bCs/>
              <w:color w:val="009CD6"/>
              <w:szCs w:val="18"/>
            </w:rPr>
          </w:pPr>
        </w:p>
        <w:p w14:paraId="5F24474D"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
  <w:p w14:paraId="090217D2"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33A5EAD" wp14:editId="314EDBE7">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DA4C7"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BA6001"/>
    <w:multiLevelType w:val="hybridMultilevel"/>
    <w:tmpl w:val="AF1E87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4D1F0B"/>
    <w:multiLevelType w:val="hybridMultilevel"/>
    <w:tmpl w:val="612C6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B925AD9"/>
    <w:multiLevelType w:val="hybridMultilevel"/>
    <w:tmpl w:val="AF1E87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5003F5"/>
    <w:multiLevelType w:val="hybridMultilevel"/>
    <w:tmpl w:val="1EFE3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83308D"/>
    <w:multiLevelType w:val="hybridMultilevel"/>
    <w:tmpl w:val="B54C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025AC1"/>
    <w:multiLevelType w:val="hybridMultilevel"/>
    <w:tmpl w:val="F4CE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C4F2EC9"/>
    <w:multiLevelType w:val="hybridMultilevel"/>
    <w:tmpl w:val="1AF0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449368">
    <w:abstractNumId w:val="0"/>
  </w:num>
  <w:num w:numId="2" w16cid:durableId="501241818">
    <w:abstractNumId w:val="4"/>
  </w:num>
  <w:num w:numId="3" w16cid:durableId="371539808">
    <w:abstractNumId w:val="5"/>
  </w:num>
  <w:num w:numId="4" w16cid:durableId="1525828948">
    <w:abstractNumId w:val="7"/>
  </w:num>
  <w:num w:numId="5" w16cid:durableId="2033219779">
    <w:abstractNumId w:val="11"/>
  </w:num>
  <w:num w:numId="6" w16cid:durableId="349645790">
    <w:abstractNumId w:val="10"/>
  </w:num>
  <w:num w:numId="7" w16cid:durableId="1451586466">
    <w:abstractNumId w:val="3"/>
  </w:num>
  <w:num w:numId="8" w16cid:durableId="681778347">
    <w:abstractNumId w:val="8"/>
  </w:num>
  <w:num w:numId="9" w16cid:durableId="50734255">
    <w:abstractNumId w:val="1"/>
  </w:num>
  <w:num w:numId="10" w16cid:durableId="1968271887">
    <w:abstractNumId w:val="12"/>
  </w:num>
  <w:num w:numId="11" w16cid:durableId="1820532724">
    <w:abstractNumId w:val="2"/>
  </w:num>
  <w:num w:numId="12" w16cid:durableId="14893357">
    <w:abstractNumId w:val="9"/>
  </w:num>
  <w:num w:numId="13" w16cid:durableId="747729974">
    <w:abstractNumId w:val="13"/>
  </w:num>
  <w:num w:numId="14" w16cid:durableId="3210880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96"/>
    <w:rsid w:val="00001B77"/>
    <w:rsid w:val="0000517A"/>
    <w:rsid w:val="00024DA8"/>
    <w:rsid w:val="00031E72"/>
    <w:rsid w:val="000404D2"/>
    <w:rsid w:val="00070F54"/>
    <w:rsid w:val="000853C0"/>
    <w:rsid w:val="0009409E"/>
    <w:rsid w:val="000A1C21"/>
    <w:rsid w:val="000C0BC5"/>
    <w:rsid w:val="000D15EA"/>
    <w:rsid w:val="00100D84"/>
    <w:rsid w:val="00124C9D"/>
    <w:rsid w:val="00145FD6"/>
    <w:rsid w:val="001510A0"/>
    <w:rsid w:val="00157773"/>
    <w:rsid w:val="00157E2C"/>
    <w:rsid w:val="0018251A"/>
    <w:rsid w:val="00190272"/>
    <w:rsid w:val="00193244"/>
    <w:rsid w:val="00195C6C"/>
    <w:rsid w:val="00195FED"/>
    <w:rsid w:val="001A4BD6"/>
    <w:rsid w:val="001B6DDE"/>
    <w:rsid w:val="001D5A18"/>
    <w:rsid w:val="00215809"/>
    <w:rsid w:val="002239A5"/>
    <w:rsid w:val="0025145E"/>
    <w:rsid w:val="00280EB8"/>
    <w:rsid w:val="00281396"/>
    <w:rsid w:val="002871BF"/>
    <w:rsid w:val="002A39C5"/>
    <w:rsid w:val="002A6670"/>
    <w:rsid w:val="002B44BA"/>
    <w:rsid w:val="002C510C"/>
    <w:rsid w:val="00303502"/>
    <w:rsid w:val="003074DD"/>
    <w:rsid w:val="00325C25"/>
    <w:rsid w:val="003363EF"/>
    <w:rsid w:val="00366484"/>
    <w:rsid w:val="00372C8F"/>
    <w:rsid w:val="00380ECE"/>
    <w:rsid w:val="00393DDF"/>
    <w:rsid w:val="00397F55"/>
    <w:rsid w:val="003B1907"/>
    <w:rsid w:val="003B4454"/>
    <w:rsid w:val="003B5BF6"/>
    <w:rsid w:val="003C25DC"/>
    <w:rsid w:val="003C2E37"/>
    <w:rsid w:val="003F1415"/>
    <w:rsid w:val="0040144C"/>
    <w:rsid w:val="00403EB7"/>
    <w:rsid w:val="004166E6"/>
    <w:rsid w:val="0042398E"/>
    <w:rsid w:val="00430BF0"/>
    <w:rsid w:val="00454500"/>
    <w:rsid w:val="004672E6"/>
    <w:rsid w:val="004739CC"/>
    <w:rsid w:val="00474ED1"/>
    <w:rsid w:val="00493085"/>
    <w:rsid w:val="004A36EC"/>
    <w:rsid w:val="004D163F"/>
    <w:rsid w:val="004E4BFF"/>
    <w:rsid w:val="004F17CD"/>
    <w:rsid w:val="004F2598"/>
    <w:rsid w:val="005403F7"/>
    <w:rsid w:val="00540632"/>
    <w:rsid w:val="00541CF4"/>
    <w:rsid w:val="005451E8"/>
    <w:rsid w:val="005507F2"/>
    <w:rsid w:val="00555DBD"/>
    <w:rsid w:val="005755E2"/>
    <w:rsid w:val="005759CC"/>
    <w:rsid w:val="00576871"/>
    <w:rsid w:val="00594D01"/>
    <w:rsid w:val="005A72E1"/>
    <w:rsid w:val="005B7C84"/>
    <w:rsid w:val="005C6632"/>
    <w:rsid w:val="005D1250"/>
    <w:rsid w:val="005D1C9E"/>
    <w:rsid w:val="005D3B29"/>
    <w:rsid w:val="005E5E12"/>
    <w:rsid w:val="00603289"/>
    <w:rsid w:val="00614663"/>
    <w:rsid w:val="00654257"/>
    <w:rsid w:val="0065435A"/>
    <w:rsid w:val="006A2DD3"/>
    <w:rsid w:val="006A5AF8"/>
    <w:rsid w:val="006C36CD"/>
    <w:rsid w:val="00700D1F"/>
    <w:rsid w:val="0070479D"/>
    <w:rsid w:val="007205CB"/>
    <w:rsid w:val="00726073"/>
    <w:rsid w:val="00734FE8"/>
    <w:rsid w:val="007360CE"/>
    <w:rsid w:val="00772315"/>
    <w:rsid w:val="00775157"/>
    <w:rsid w:val="007813AE"/>
    <w:rsid w:val="00796CE0"/>
    <w:rsid w:val="007A37DB"/>
    <w:rsid w:val="007C008F"/>
    <w:rsid w:val="007E189D"/>
    <w:rsid w:val="007F05D4"/>
    <w:rsid w:val="007F612B"/>
    <w:rsid w:val="007F6A9F"/>
    <w:rsid w:val="00811259"/>
    <w:rsid w:val="00813AA2"/>
    <w:rsid w:val="008173A3"/>
    <w:rsid w:val="008418F5"/>
    <w:rsid w:val="0086059C"/>
    <w:rsid w:val="00864589"/>
    <w:rsid w:val="00874B02"/>
    <w:rsid w:val="00890AFB"/>
    <w:rsid w:val="00890FC4"/>
    <w:rsid w:val="00894021"/>
    <w:rsid w:val="00895905"/>
    <w:rsid w:val="00911867"/>
    <w:rsid w:val="009164A9"/>
    <w:rsid w:val="009258CB"/>
    <w:rsid w:val="0093362E"/>
    <w:rsid w:val="009355C8"/>
    <w:rsid w:val="00936D60"/>
    <w:rsid w:val="00944563"/>
    <w:rsid w:val="00953160"/>
    <w:rsid w:val="009625D8"/>
    <w:rsid w:val="0098459B"/>
    <w:rsid w:val="00997185"/>
    <w:rsid w:val="009C2458"/>
    <w:rsid w:val="009C4A7B"/>
    <w:rsid w:val="009C6123"/>
    <w:rsid w:val="009D60B3"/>
    <w:rsid w:val="009F1E3E"/>
    <w:rsid w:val="00A0152F"/>
    <w:rsid w:val="00A0651A"/>
    <w:rsid w:val="00A1213C"/>
    <w:rsid w:val="00A1412F"/>
    <w:rsid w:val="00A272FF"/>
    <w:rsid w:val="00A44ACF"/>
    <w:rsid w:val="00A5354B"/>
    <w:rsid w:val="00A71B57"/>
    <w:rsid w:val="00A80C09"/>
    <w:rsid w:val="00AA10A3"/>
    <w:rsid w:val="00AB42C1"/>
    <w:rsid w:val="00AC40A0"/>
    <w:rsid w:val="00AC516F"/>
    <w:rsid w:val="00AC5BD7"/>
    <w:rsid w:val="00AE195F"/>
    <w:rsid w:val="00AE2926"/>
    <w:rsid w:val="00B0184B"/>
    <w:rsid w:val="00B035CD"/>
    <w:rsid w:val="00B0769D"/>
    <w:rsid w:val="00B11D9A"/>
    <w:rsid w:val="00B217F8"/>
    <w:rsid w:val="00B332EA"/>
    <w:rsid w:val="00B40A53"/>
    <w:rsid w:val="00B45365"/>
    <w:rsid w:val="00B46A65"/>
    <w:rsid w:val="00B46C3D"/>
    <w:rsid w:val="00B60184"/>
    <w:rsid w:val="00B62D20"/>
    <w:rsid w:val="00B81E75"/>
    <w:rsid w:val="00BA1641"/>
    <w:rsid w:val="00BB1CDB"/>
    <w:rsid w:val="00BD1A5A"/>
    <w:rsid w:val="00BD7A9B"/>
    <w:rsid w:val="00BD7BE1"/>
    <w:rsid w:val="00BF38AF"/>
    <w:rsid w:val="00BF416B"/>
    <w:rsid w:val="00C22097"/>
    <w:rsid w:val="00C448A4"/>
    <w:rsid w:val="00C56249"/>
    <w:rsid w:val="00C64E4E"/>
    <w:rsid w:val="00C66E64"/>
    <w:rsid w:val="00C761A0"/>
    <w:rsid w:val="00C85F7E"/>
    <w:rsid w:val="00C90D53"/>
    <w:rsid w:val="00C91DB0"/>
    <w:rsid w:val="00CA0B2E"/>
    <w:rsid w:val="00CD47F0"/>
    <w:rsid w:val="00CD5566"/>
    <w:rsid w:val="00CD64D7"/>
    <w:rsid w:val="00CE6F22"/>
    <w:rsid w:val="00CF2C52"/>
    <w:rsid w:val="00CF41F6"/>
    <w:rsid w:val="00CF5219"/>
    <w:rsid w:val="00CF7D3E"/>
    <w:rsid w:val="00D02B4E"/>
    <w:rsid w:val="00D02EF3"/>
    <w:rsid w:val="00D21F11"/>
    <w:rsid w:val="00D36338"/>
    <w:rsid w:val="00D36817"/>
    <w:rsid w:val="00D41DB9"/>
    <w:rsid w:val="00D42BF7"/>
    <w:rsid w:val="00D453EE"/>
    <w:rsid w:val="00D5666C"/>
    <w:rsid w:val="00D666BC"/>
    <w:rsid w:val="00D71F40"/>
    <w:rsid w:val="00D8302E"/>
    <w:rsid w:val="00D83542"/>
    <w:rsid w:val="00D92F45"/>
    <w:rsid w:val="00D93496"/>
    <w:rsid w:val="00D94637"/>
    <w:rsid w:val="00D9725C"/>
    <w:rsid w:val="00DA7006"/>
    <w:rsid w:val="00DB3621"/>
    <w:rsid w:val="00DC6427"/>
    <w:rsid w:val="00DD66A1"/>
    <w:rsid w:val="00DE196D"/>
    <w:rsid w:val="00DF6B49"/>
    <w:rsid w:val="00E067C5"/>
    <w:rsid w:val="00E24D59"/>
    <w:rsid w:val="00E265BF"/>
    <w:rsid w:val="00E34AA2"/>
    <w:rsid w:val="00E378D8"/>
    <w:rsid w:val="00E40AD7"/>
    <w:rsid w:val="00E43A12"/>
    <w:rsid w:val="00E67C67"/>
    <w:rsid w:val="00E77476"/>
    <w:rsid w:val="00E8195A"/>
    <w:rsid w:val="00E8228B"/>
    <w:rsid w:val="00E93961"/>
    <w:rsid w:val="00EC06B4"/>
    <w:rsid w:val="00ED3271"/>
    <w:rsid w:val="00EE5706"/>
    <w:rsid w:val="00EF373D"/>
    <w:rsid w:val="00EF46CD"/>
    <w:rsid w:val="00F11595"/>
    <w:rsid w:val="00F13BC9"/>
    <w:rsid w:val="00F357B2"/>
    <w:rsid w:val="00F36556"/>
    <w:rsid w:val="00F705DF"/>
    <w:rsid w:val="00F70622"/>
    <w:rsid w:val="00F85624"/>
    <w:rsid w:val="00F87C05"/>
    <w:rsid w:val="00F93191"/>
    <w:rsid w:val="00F93A17"/>
    <w:rsid w:val="00FA2AF6"/>
    <w:rsid w:val="00FB073D"/>
    <w:rsid w:val="00FB771F"/>
    <w:rsid w:val="00FC3816"/>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3DAB8D"/>
  <w15:docId w15:val="{B7DDDEE3-4AAB-4025-B741-5B3E7A6F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EF46CD"/>
    <w:rPr>
      <w:color w:val="605E5C"/>
      <w:shd w:val="clear" w:color="auto" w:fill="E1DFDD"/>
    </w:rPr>
  </w:style>
  <w:style w:type="paragraph" w:styleId="Revision">
    <w:name w:val="Revision"/>
    <w:hidden/>
    <w:uiPriority w:val="99"/>
    <w:semiHidden/>
    <w:rsid w:val="00AC5BD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DEC-005-c.pdf" TargetMode="Externa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hub/membership/how-we-are-funded/principles-for-resource-mobiliza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itu-d/opb/tdc/D-TDC-WTDC-2022-PDF-c.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md/S23-CL-INF-0012/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S17-CL-C-0067/en"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public.wmo.int/zh-hans/media/%E6%96%B0%E9%97%BB%E9%80%9A%E7%A8%BF/%E4%B8%96%E7%95%8C%E6%B0%94%E8%B1%A1%E5%A4%A7%E4%BC%9A%E4%B8%BA%E8%BF%99%E4%B8%AA%E6%B0%94%E5%80%99%E3%80%81%E7%A4%BE%E4%BC%9A%E5%92%8C%E6%8A%80%E6%9C%AF%E5%BF%AB%E9%80%9F%E5%8F%98%E5%8C%96%E7%9A%84%E6%97%B6%E4%BB%A3%E8%AE%BE%E5%AE%9A%E4%BA%86%E6%96%B0%E7%9A%84%E6%88%98%E7%95%A5%E4%BC%98%E5%85%88%E4%BA%8B%E9%A1%B9" TargetMode="External"/><Relationship Id="rId1" Type="http://schemas.openxmlformats.org/officeDocument/2006/relationships/hyperlink" Target="https://governingbodies.iom.int/system/files/en/council/113/C-113-7%20-%20Programme%20and%20Budget%20for%202023_0.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4612</Words>
  <Characters>1434</Characters>
  <Application>Microsoft Office Word</Application>
  <DocSecurity>4</DocSecurity>
  <Lines>11</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6034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Towards a new "One ITU" resource mobilization strategy</dc:title>
  <dc:subject>Council 2023</dc:subject>
  <dc:creator>p</dc:creator>
  <cp:keywords>C2023, C23, Council-23</cp:keywords>
  <dc:description/>
  <cp:lastModifiedBy>Xue, Kun</cp:lastModifiedBy>
  <cp:revision>2</cp:revision>
  <cp:lastPrinted>2015-02-24T13:23:00Z</cp:lastPrinted>
  <dcterms:created xsi:type="dcterms:W3CDTF">2023-07-06T18:39:00Z</dcterms:created>
  <dcterms:modified xsi:type="dcterms:W3CDTF">2023-07-06T18:39:00Z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