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A1531" w14:paraId="1591300A" w14:textId="77777777" w:rsidTr="00AD3606">
        <w:trPr>
          <w:cantSplit/>
          <w:trHeight w:val="23"/>
        </w:trPr>
        <w:tc>
          <w:tcPr>
            <w:tcW w:w="3969" w:type="dxa"/>
            <w:vMerge w:val="restart"/>
            <w:tcMar>
              <w:left w:w="0" w:type="dxa"/>
            </w:tcMar>
          </w:tcPr>
          <w:p w14:paraId="4F2DE73B" w14:textId="64B58CAE"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EE58F2">
              <w:rPr>
                <w:b/>
              </w:rPr>
              <w:t>ADM 1</w:t>
            </w:r>
          </w:p>
        </w:tc>
        <w:tc>
          <w:tcPr>
            <w:tcW w:w="5245" w:type="dxa"/>
          </w:tcPr>
          <w:p w14:paraId="2F0CB53A" w14:textId="2E28D244" w:rsidR="00AD3606" w:rsidRPr="004A1531" w:rsidRDefault="004A1531" w:rsidP="00472BAD">
            <w:pPr>
              <w:tabs>
                <w:tab w:val="left" w:pos="851"/>
              </w:tabs>
              <w:spacing w:before="0" w:line="240" w:lineRule="atLeast"/>
              <w:jc w:val="right"/>
              <w:rPr>
                <w:b/>
              </w:rPr>
            </w:pPr>
            <w:r w:rsidRPr="004A1531">
              <w:rPr>
                <w:b/>
              </w:rPr>
              <w:t>Revision 1 to</w:t>
            </w:r>
            <w:r w:rsidRPr="004A1531">
              <w:rPr>
                <w:b/>
              </w:rPr>
              <w:br/>
            </w:r>
            <w:r w:rsidR="00AD3606" w:rsidRPr="004A1531">
              <w:rPr>
                <w:b/>
              </w:rPr>
              <w:t>Document C23/</w:t>
            </w:r>
            <w:r w:rsidR="00EE58F2" w:rsidRPr="004A1531">
              <w:rPr>
                <w:b/>
              </w:rPr>
              <w:t>62</w:t>
            </w:r>
            <w:r w:rsidR="00AD3606" w:rsidRPr="004A1531">
              <w:rPr>
                <w:b/>
              </w:rPr>
              <w:t>-E</w:t>
            </w:r>
          </w:p>
        </w:tc>
      </w:tr>
      <w:tr w:rsidR="00AD3606" w:rsidRPr="00813E5E" w14:paraId="777833CB" w14:textId="77777777" w:rsidTr="00AD3606">
        <w:trPr>
          <w:cantSplit/>
        </w:trPr>
        <w:tc>
          <w:tcPr>
            <w:tcW w:w="3969" w:type="dxa"/>
            <w:vMerge/>
          </w:tcPr>
          <w:p w14:paraId="7DECAB6C" w14:textId="77777777" w:rsidR="00AD3606" w:rsidRPr="004A1531"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B8566B9" w:rsidR="00AD3606" w:rsidRPr="00E85629" w:rsidRDefault="004A1531" w:rsidP="00AD3606">
            <w:pPr>
              <w:tabs>
                <w:tab w:val="left" w:pos="851"/>
              </w:tabs>
              <w:spacing w:before="0"/>
              <w:jc w:val="right"/>
              <w:rPr>
                <w:b/>
              </w:rPr>
            </w:pPr>
            <w:r>
              <w:rPr>
                <w:b/>
              </w:rPr>
              <w:t>4 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EE3906">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24576261" w:rsidR="00AD3606" w:rsidRPr="00813E5E" w:rsidRDefault="00EE58F2" w:rsidP="00EE3906">
            <w:pPr>
              <w:pStyle w:val="Subtitle"/>
              <w:framePr w:hSpace="0" w:wrap="auto" w:xAlign="left" w:yAlign="inline"/>
            </w:pPr>
            <w:bookmarkStart w:id="5" w:name="dtitle1" w:colFirst="0" w:colLast="0"/>
            <w:bookmarkEnd w:id="4"/>
            <w:r w:rsidRPr="00EE58F2">
              <w:t>TOWARDS A NEW “One ITU” RESOURCE MOBILIZATION STRATEGY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063A50D2" w:rsidR="00AD3606" w:rsidRPr="00F16BAB" w:rsidRDefault="00F16BAB" w:rsidP="00F16BAB">
            <w:pPr>
              <w:spacing w:before="160"/>
              <w:rPr>
                <w:b/>
                <w:bCs/>
                <w:sz w:val="26"/>
                <w:szCs w:val="26"/>
              </w:rPr>
            </w:pPr>
            <w:r w:rsidRPr="00F16BAB">
              <w:rPr>
                <w:b/>
                <w:bCs/>
                <w:sz w:val="26"/>
                <w:szCs w:val="26"/>
              </w:rPr>
              <w:t>Purpose</w:t>
            </w:r>
          </w:p>
          <w:p w14:paraId="03515E74" w14:textId="30975D93" w:rsidR="00EE58F2" w:rsidRPr="00EE3906" w:rsidRDefault="00EE58F2" w:rsidP="00EE3906">
            <w:pPr>
              <w:spacing w:before="160" w:after="120"/>
              <w:jc w:val="both"/>
              <w:rPr>
                <w:szCs w:val="24"/>
              </w:rPr>
            </w:pPr>
            <w:r w:rsidRPr="00EE3906">
              <w:rPr>
                <w:szCs w:val="24"/>
              </w:rPr>
              <w:t>The Plenipotentiary Conference</w:t>
            </w:r>
            <w:r w:rsidR="00FA37FB" w:rsidRPr="00EE3906">
              <w:rPr>
                <w:szCs w:val="24"/>
              </w:rPr>
              <w:t xml:space="preserve"> (Bucharest, 2022)</w:t>
            </w:r>
            <w:r w:rsidRPr="00EE3906">
              <w:rPr>
                <w:szCs w:val="24"/>
              </w:rPr>
              <w:t xml:space="preserve"> instructed the Secretary</w:t>
            </w:r>
            <w:r w:rsidR="00FA37FB" w:rsidRPr="00EE3906">
              <w:rPr>
                <w:szCs w:val="24"/>
              </w:rPr>
              <w:t>-</w:t>
            </w:r>
            <w:r w:rsidRPr="00EE3906">
              <w:rPr>
                <w:szCs w:val="24"/>
              </w:rPr>
              <w:t>General in Decision 5</w:t>
            </w:r>
            <w:r w:rsidR="006D1B47">
              <w:rPr>
                <w:szCs w:val="24"/>
              </w:rPr>
              <w:t xml:space="preserve"> (Rev. Bucharest, 2022)</w:t>
            </w:r>
            <w:r w:rsidRPr="00EE3906">
              <w:rPr>
                <w:szCs w:val="24"/>
              </w:rPr>
              <w:t xml:space="preserve"> to develop an ITU-wide resource mobilization strategy to address the need for additional funding to meet organizational priorities and </w:t>
            </w:r>
            <w:r w:rsidR="007F690D">
              <w:rPr>
                <w:szCs w:val="24"/>
              </w:rPr>
              <w:t xml:space="preserve">to </w:t>
            </w:r>
            <w:r w:rsidRPr="00EE3906">
              <w:rPr>
                <w:szCs w:val="24"/>
              </w:rPr>
              <w:t xml:space="preserve">present it to the </w:t>
            </w:r>
            <w:r w:rsidR="006D1B47">
              <w:rPr>
                <w:szCs w:val="24"/>
              </w:rPr>
              <w:t xml:space="preserve">ITU </w:t>
            </w:r>
            <w:r w:rsidRPr="00EE3906">
              <w:rPr>
                <w:szCs w:val="24"/>
              </w:rPr>
              <w:t>Council for review and guidance on its implementation.</w:t>
            </w:r>
          </w:p>
          <w:p w14:paraId="01EEEAC5" w14:textId="74E432E1" w:rsidR="00AD3606" w:rsidRPr="00813E5E" w:rsidRDefault="00EE58F2" w:rsidP="00EE3906">
            <w:pPr>
              <w:spacing w:before="160" w:after="120"/>
              <w:jc w:val="both"/>
            </w:pPr>
            <w:r w:rsidRPr="00EE3906">
              <w:rPr>
                <w:szCs w:val="24"/>
              </w:rPr>
              <w:t xml:space="preserve">This document is a first step towards that strategy. It provides baseline data and background information, along with initial plans of the </w:t>
            </w:r>
            <w:r w:rsidR="00FA37FB" w:rsidRPr="00EE3906">
              <w:rPr>
                <w:szCs w:val="24"/>
              </w:rPr>
              <w:t>s</w:t>
            </w:r>
            <w:r w:rsidRPr="00EE3906">
              <w:rPr>
                <w:szCs w:val="24"/>
              </w:rPr>
              <w:t xml:space="preserve">ecretariat and recommendations for </w:t>
            </w:r>
            <w:r w:rsidR="00FA37FB" w:rsidRPr="00EE3906">
              <w:rPr>
                <w:szCs w:val="24"/>
              </w:rPr>
              <w:t xml:space="preserve">the </w:t>
            </w:r>
            <w:r w:rsidRPr="00EE3906">
              <w:rPr>
                <w:szCs w:val="24"/>
              </w:rPr>
              <w:t xml:space="preserve">Council. The purpose of this document is to identify ways of strengthening both </w:t>
            </w:r>
            <w:r w:rsidR="00AC3C53">
              <w:rPr>
                <w:szCs w:val="24"/>
              </w:rPr>
              <w:t xml:space="preserve">the </w:t>
            </w:r>
            <w:r w:rsidRPr="00EE3906">
              <w:rPr>
                <w:szCs w:val="24"/>
              </w:rPr>
              <w:t>regular budget and extra</w:t>
            </w:r>
            <w:r w:rsidR="00AC3C53">
              <w:rPr>
                <w:szCs w:val="24"/>
              </w:rPr>
              <w:t>-</w:t>
            </w:r>
            <w:r w:rsidRPr="00EE3906">
              <w:rPr>
                <w:szCs w:val="24"/>
              </w:rPr>
              <w:t xml:space="preserve">budgetary revenues. With inputs from </w:t>
            </w:r>
            <w:r w:rsidR="00AC3C53">
              <w:rPr>
                <w:szCs w:val="24"/>
              </w:rPr>
              <w:t xml:space="preserve">the 2023 session of the </w:t>
            </w:r>
            <w:r w:rsidRPr="00EE3906">
              <w:rPr>
                <w:szCs w:val="24"/>
              </w:rPr>
              <w:t xml:space="preserve">Council, the </w:t>
            </w:r>
            <w:r w:rsidR="00FA37FB" w:rsidRPr="00EE3906">
              <w:rPr>
                <w:szCs w:val="24"/>
              </w:rPr>
              <w:t>s</w:t>
            </w:r>
            <w:r w:rsidRPr="00EE3906">
              <w:rPr>
                <w:szCs w:val="24"/>
              </w:rPr>
              <w:t xml:space="preserve">ecretariat will then refine the concepts presented and further develop the strategy </w:t>
            </w:r>
            <w:r w:rsidR="00AC3C53">
              <w:rPr>
                <w:szCs w:val="24"/>
              </w:rPr>
              <w:t>for presentation to the 2024 session</w:t>
            </w:r>
            <w:r w:rsidRPr="00EE3906">
              <w:rPr>
                <w:szCs w:val="24"/>
              </w:rPr>
              <w:t>.</w:t>
            </w:r>
          </w:p>
          <w:p w14:paraId="45B1495A" w14:textId="77777777" w:rsidR="00AD3606" w:rsidRPr="00F16BAB" w:rsidRDefault="00AD3606" w:rsidP="00EE3906">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6BB1F99" w:rsidR="00AD3606" w:rsidRPr="00EE3906" w:rsidRDefault="00EE58F2" w:rsidP="00EE3906">
            <w:pPr>
              <w:spacing w:after="120"/>
              <w:jc w:val="both"/>
              <w:rPr>
                <w:szCs w:val="24"/>
              </w:rPr>
            </w:pPr>
            <w:r w:rsidRPr="00EE3906">
              <w:rPr>
                <w:szCs w:val="24"/>
              </w:rPr>
              <w:t xml:space="preserve">The Council is invited </w:t>
            </w:r>
            <w:r w:rsidRPr="00EE3906">
              <w:rPr>
                <w:b/>
                <w:bCs/>
                <w:szCs w:val="24"/>
              </w:rPr>
              <w:t>to note</w:t>
            </w:r>
            <w:r w:rsidRPr="00EE3906">
              <w:rPr>
                <w:szCs w:val="24"/>
              </w:rPr>
              <w:t xml:space="preserve"> th</w:t>
            </w:r>
            <w:r w:rsidR="00FA37FB" w:rsidRPr="00EE3906">
              <w:rPr>
                <w:szCs w:val="24"/>
              </w:rPr>
              <w:t>is</w:t>
            </w:r>
            <w:r w:rsidRPr="00EE3906">
              <w:rPr>
                <w:szCs w:val="24"/>
              </w:rPr>
              <w:t xml:space="preserve"> document.</w:t>
            </w:r>
          </w:p>
          <w:p w14:paraId="71511FA1" w14:textId="1F544385" w:rsidR="00F16BAB" w:rsidRDefault="00F16BAB" w:rsidP="00EE3906">
            <w:pPr>
              <w:spacing w:before="160" w:after="120"/>
              <w:jc w:val="both"/>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17F687C1" w:rsidR="00F16BAB" w:rsidRPr="00F16BAB" w:rsidRDefault="00EE58F2" w:rsidP="000E4B04">
            <w:pPr>
              <w:spacing w:before="160" w:after="120"/>
              <w:jc w:val="both"/>
            </w:pPr>
            <w:r w:rsidRPr="00EE3906">
              <w:rPr>
                <w:szCs w:val="24"/>
              </w:rPr>
              <w:t>Resource mobilization</w:t>
            </w:r>
            <w:r w:rsidR="00AC3C53">
              <w:rPr>
                <w:szCs w:val="24"/>
              </w:rPr>
              <w:t>.</w:t>
            </w:r>
          </w:p>
          <w:p w14:paraId="74189BBD" w14:textId="5A13B160" w:rsidR="00F16BAB" w:rsidRDefault="00F16BAB" w:rsidP="00EE3906">
            <w:pPr>
              <w:keepNext/>
              <w:keepLines/>
              <w:spacing w:before="160"/>
              <w:jc w:val="both"/>
              <w:rPr>
                <w:b/>
                <w:bCs/>
                <w:sz w:val="26"/>
                <w:szCs w:val="26"/>
              </w:rPr>
            </w:pPr>
            <w:r>
              <w:rPr>
                <w:b/>
                <w:bCs/>
                <w:sz w:val="26"/>
                <w:szCs w:val="26"/>
              </w:rPr>
              <w:t>Financial implications</w:t>
            </w:r>
          </w:p>
          <w:p w14:paraId="46C2F8E0" w14:textId="1DEBCCBA" w:rsidR="00FA37FB" w:rsidRPr="00EE3906" w:rsidRDefault="00EE58F2" w:rsidP="00EE3906">
            <w:pPr>
              <w:keepNext/>
              <w:keepLines/>
              <w:spacing w:after="120"/>
              <w:jc w:val="both"/>
              <w:rPr>
                <w:szCs w:val="24"/>
              </w:rPr>
            </w:pPr>
            <w:r w:rsidRPr="00EE3906">
              <w:rPr>
                <w:szCs w:val="24"/>
              </w:rPr>
              <w:t xml:space="preserve">Potential to increase regular budget and extra-budgetary funding. </w:t>
            </w:r>
          </w:p>
          <w:p w14:paraId="6F1B8B4E" w14:textId="77777777" w:rsidR="00AD3606" w:rsidRPr="00813E5E" w:rsidRDefault="00AD3606" w:rsidP="00EE3906">
            <w:pPr>
              <w:keepNext/>
              <w:keepLines/>
              <w:rPr>
                <w:caps/>
                <w:sz w:val="22"/>
              </w:rPr>
            </w:pPr>
            <w:r w:rsidRPr="00813E5E">
              <w:rPr>
                <w:sz w:val="22"/>
              </w:rPr>
              <w:t>____________</w:t>
            </w:r>
            <w:r>
              <w:rPr>
                <w:sz w:val="22"/>
              </w:rPr>
              <w:t>______</w:t>
            </w:r>
          </w:p>
          <w:p w14:paraId="0EBC340A" w14:textId="77777777" w:rsidR="00AD3606" w:rsidRDefault="00AD3606" w:rsidP="00EE3906">
            <w:pPr>
              <w:keepNext/>
              <w:keepLines/>
              <w:spacing w:before="160"/>
              <w:rPr>
                <w:b/>
                <w:bCs/>
                <w:sz w:val="26"/>
                <w:szCs w:val="26"/>
              </w:rPr>
            </w:pPr>
            <w:r w:rsidRPr="00F16BAB">
              <w:rPr>
                <w:b/>
                <w:bCs/>
                <w:sz w:val="26"/>
                <w:szCs w:val="26"/>
              </w:rPr>
              <w:t>References</w:t>
            </w:r>
          </w:p>
          <w:p w14:paraId="6647191C" w14:textId="3AC72E16" w:rsidR="00AD3606" w:rsidRPr="00A84FCA" w:rsidRDefault="004A1531" w:rsidP="00EE3906">
            <w:pPr>
              <w:keepNext/>
              <w:keepLines/>
              <w:spacing w:before="160"/>
              <w:jc w:val="both"/>
              <w:rPr>
                <w:i/>
                <w:iCs/>
                <w:szCs w:val="24"/>
              </w:rPr>
            </w:pPr>
            <w:hyperlink r:id="rId11" w:history="1">
              <w:r w:rsidR="00EE58F2" w:rsidRPr="00A84FCA">
                <w:rPr>
                  <w:rStyle w:val="Hyperlink"/>
                  <w:i/>
                  <w:iCs/>
                  <w:szCs w:val="24"/>
                </w:rPr>
                <w:t>Decision 5</w:t>
              </w:r>
            </w:hyperlink>
            <w:r w:rsidR="00EE58F2" w:rsidRPr="00A84FCA">
              <w:rPr>
                <w:i/>
                <w:iCs/>
                <w:szCs w:val="24"/>
              </w:rPr>
              <w:t xml:space="preserve"> (Rev. Bucharest, 2022)</w:t>
            </w:r>
            <w:r w:rsidR="00EA39D9" w:rsidRPr="00A84FCA">
              <w:rPr>
                <w:i/>
                <w:iCs/>
                <w:szCs w:val="24"/>
              </w:rPr>
              <w:t xml:space="preserve"> of the Plenipotentiary Conference; Council documents </w:t>
            </w:r>
            <w:hyperlink r:id="rId12" w:history="1">
              <w:r w:rsidR="00EE58F2" w:rsidRPr="00A84FCA">
                <w:rPr>
                  <w:rStyle w:val="Hyperlink"/>
                  <w:i/>
                  <w:iCs/>
                  <w:szCs w:val="24"/>
                </w:rPr>
                <w:t>C17/67</w:t>
              </w:r>
            </w:hyperlink>
            <w:r w:rsidR="00EE58F2" w:rsidRPr="00A84FCA">
              <w:rPr>
                <w:i/>
                <w:iCs/>
                <w:szCs w:val="24"/>
              </w:rPr>
              <w:t>,</w:t>
            </w:r>
            <w:r w:rsidR="00EA39D9" w:rsidRPr="00A84FCA">
              <w:rPr>
                <w:i/>
                <w:iCs/>
                <w:szCs w:val="24"/>
              </w:rPr>
              <w:t xml:space="preserve"> and</w:t>
            </w:r>
            <w:r w:rsidR="00EE58F2" w:rsidRPr="00A84FCA">
              <w:rPr>
                <w:i/>
                <w:iCs/>
                <w:szCs w:val="24"/>
              </w:rPr>
              <w:t xml:space="preserve"> </w:t>
            </w:r>
            <w:hyperlink r:id="rId13" w:history="1">
              <w:r w:rsidR="00EE58F2" w:rsidRPr="00A84FCA">
                <w:rPr>
                  <w:rStyle w:val="Hyperlink"/>
                  <w:i/>
                  <w:iCs/>
                  <w:szCs w:val="24"/>
                </w:rPr>
                <w:t>C23/INF/12</w:t>
              </w:r>
            </w:hyperlink>
            <w:r w:rsidR="00EA39D9" w:rsidRPr="00A84FCA">
              <w:rPr>
                <w:i/>
                <w:iCs/>
                <w:szCs w:val="24"/>
              </w:rPr>
              <w:t>;</w:t>
            </w:r>
            <w:r w:rsidR="00EE58F2" w:rsidRPr="00A84FCA">
              <w:rPr>
                <w:i/>
                <w:iCs/>
                <w:szCs w:val="24"/>
              </w:rPr>
              <w:t xml:space="preserve"> </w:t>
            </w:r>
            <w:hyperlink r:id="rId14" w:history="1">
              <w:r w:rsidR="00EE58F2" w:rsidRPr="00A84FCA">
                <w:rPr>
                  <w:rStyle w:val="Hyperlink"/>
                  <w:i/>
                  <w:iCs/>
                  <w:szCs w:val="24"/>
                </w:rPr>
                <w:t>Kigali Action Plan</w:t>
              </w:r>
            </w:hyperlink>
            <w:r w:rsidR="00EA39D9" w:rsidRPr="00A84FCA">
              <w:rPr>
                <w:i/>
                <w:iCs/>
                <w:szCs w:val="24"/>
              </w:rPr>
              <w:t>.</w:t>
            </w:r>
          </w:p>
          <w:p w14:paraId="65250B1E" w14:textId="693D0DCB" w:rsidR="0086101E" w:rsidRPr="00EE3906" w:rsidRDefault="0086101E" w:rsidP="00EE3906">
            <w:pPr>
              <w:keepNext/>
              <w:keepLines/>
              <w:spacing w:before="160"/>
              <w:jc w:val="both"/>
              <w:rPr>
                <w:szCs w:val="24"/>
              </w:rPr>
            </w:pPr>
          </w:p>
        </w:tc>
      </w:tr>
      <w:bookmarkEnd w:id="5"/>
    </w:tbl>
    <w:p w14:paraId="7FE52F59" w14:textId="77777777" w:rsidR="0090147A" w:rsidRPr="00ED120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D1202">
        <w:br w:type="page"/>
      </w:r>
    </w:p>
    <w:p w14:paraId="6E8734C4" w14:textId="5E28549A"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sz w:val="26"/>
          <w:szCs w:val="26"/>
        </w:rPr>
      </w:pPr>
      <w:r w:rsidRPr="00EE58F2">
        <w:rPr>
          <w:b/>
          <w:sz w:val="26"/>
          <w:szCs w:val="26"/>
        </w:rPr>
        <w:lastRenderedPageBreak/>
        <w:t>1.</w:t>
      </w:r>
      <w:r w:rsidR="00EE3906" w:rsidRPr="00EA39D9">
        <w:rPr>
          <w:b/>
          <w:sz w:val="26"/>
          <w:szCs w:val="26"/>
        </w:rPr>
        <w:tab/>
      </w:r>
      <w:r w:rsidRPr="00EE58F2">
        <w:rPr>
          <w:b/>
          <w:sz w:val="26"/>
          <w:szCs w:val="26"/>
        </w:rPr>
        <w:t>Background</w:t>
      </w:r>
    </w:p>
    <w:p w14:paraId="07E5B684" w14:textId="2036AACC" w:rsidR="00EA39D9"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1.1</w:t>
      </w:r>
      <w:r w:rsidR="00EA39D9">
        <w:tab/>
      </w:r>
      <w:r w:rsidR="00EA39D9" w:rsidRPr="00EE3906">
        <w:rPr>
          <w:szCs w:val="24"/>
        </w:rPr>
        <w:t>The Plenipotentiary Conference (Bucharest, 2022)</w:t>
      </w:r>
      <w:r w:rsidR="00AC3C53">
        <w:rPr>
          <w:szCs w:val="24"/>
        </w:rPr>
        <w:t xml:space="preserve"> (PP-22)</w:t>
      </w:r>
      <w:r w:rsidR="00EA39D9" w:rsidRPr="00EE3906">
        <w:rPr>
          <w:szCs w:val="24"/>
        </w:rPr>
        <w:t xml:space="preserve"> instructed the Secretary-General in Decision 5 </w:t>
      </w:r>
      <w:r w:rsidR="00AC3C53">
        <w:rPr>
          <w:szCs w:val="24"/>
        </w:rPr>
        <w:t xml:space="preserve">(Rev. Bucharest, 2022) </w:t>
      </w:r>
      <w:r w:rsidR="00EA39D9" w:rsidRPr="00EE3906">
        <w:rPr>
          <w:szCs w:val="24"/>
        </w:rPr>
        <w:t xml:space="preserve">to </w:t>
      </w:r>
      <w:r w:rsidR="00EA39D9" w:rsidRPr="001648B1">
        <w:rPr>
          <w:szCs w:val="24"/>
        </w:rPr>
        <w:t xml:space="preserve">develop an ITU-wide resource mobilization strategy to address the need for additional funding to meet organizational priorities and present it to the </w:t>
      </w:r>
      <w:r w:rsidR="00AC3C53">
        <w:rPr>
          <w:szCs w:val="24"/>
        </w:rPr>
        <w:t xml:space="preserve">ITU </w:t>
      </w:r>
      <w:r w:rsidR="00EA39D9" w:rsidRPr="001648B1">
        <w:rPr>
          <w:szCs w:val="24"/>
        </w:rPr>
        <w:t>Council for review and guidance on its implementation</w:t>
      </w:r>
      <w:r w:rsidR="00EA39D9" w:rsidRPr="00EE3906">
        <w:rPr>
          <w:szCs w:val="24"/>
        </w:rPr>
        <w:t>.</w:t>
      </w:r>
    </w:p>
    <w:p w14:paraId="2B071186" w14:textId="09B51D18" w:rsidR="00AC3C53"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1.2</w:t>
      </w:r>
      <w:r w:rsidR="00EA39D9">
        <w:rPr>
          <w:lang w:val="en-US"/>
        </w:rPr>
        <w:tab/>
      </w:r>
      <w:r w:rsidRPr="00EE58F2">
        <w:rPr>
          <w:lang w:val="en-US"/>
        </w:rPr>
        <w:t xml:space="preserve">In addition, the ITU </w:t>
      </w:r>
      <w:r w:rsidR="00AC3C53">
        <w:rPr>
          <w:lang w:val="en-US"/>
        </w:rPr>
        <w:t>s</w:t>
      </w:r>
      <w:r w:rsidRPr="00EE58F2">
        <w:rPr>
          <w:lang w:val="en-US"/>
        </w:rPr>
        <w:t xml:space="preserve">trategic </w:t>
      </w:r>
      <w:r w:rsidR="00AC3C53">
        <w:rPr>
          <w:lang w:val="en-US"/>
        </w:rPr>
        <w:t>p</w:t>
      </w:r>
      <w:r w:rsidRPr="00EE58F2">
        <w:rPr>
          <w:lang w:val="en-US"/>
        </w:rPr>
        <w:t>lan</w:t>
      </w:r>
      <w:r w:rsidR="00AC3C53">
        <w:rPr>
          <w:lang w:val="en-US"/>
        </w:rPr>
        <w:t xml:space="preserve"> for 2024-2027, as</w:t>
      </w:r>
      <w:r w:rsidRPr="00EE58F2">
        <w:rPr>
          <w:lang w:val="en-US"/>
        </w:rPr>
        <w:t xml:space="preserve"> approved by PP-22</w:t>
      </w:r>
      <w:r w:rsidR="00AC3C53">
        <w:rPr>
          <w:lang w:val="en-US"/>
        </w:rPr>
        <w:t>,</w:t>
      </w:r>
      <w:r w:rsidRPr="00EE58F2">
        <w:rPr>
          <w:lang w:val="en-US"/>
        </w:rPr>
        <w:t xml:space="preserve"> notes</w:t>
      </w:r>
      <w:r w:rsidR="00AC3C53">
        <w:rPr>
          <w:lang w:val="en-US"/>
        </w:rPr>
        <w:t>:</w:t>
      </w:r>
      <w:r w:rsidRPr="00EE58F2">
        <w:rPr>
          <w:lang w:val="en-US"/>
        </w:rPr>
        <w:t xml:space="preserve"> </w:t>
      </w:r>
    </w:p>
    <w:p w14:paraId="6C38FE37" w14:textId="56B1C6C9" w:rsidR="00EE58F2" w:rsidRPr="00EE58F2" w:rsidRDefault="00AC3C53" w:rsidP="001648B1">
      <w:pPr>
        <w:tabs>
          <w:tab w:val="clear" w:pos="567"/>
          <w:tab w:val="clear" w:pos="1134"/>
          <w:tab w:val="clear" w:pos="1701"/>
          <w:tab w:val="clear" w:pos="2268"/>
          <w:tab w:val="clear" w:pos="2835"/>
        </w:tabs>
        <w:overflowPunct/>
        <w:autoSpaceDE/>
        <w:autoSpaceDN/>
        <w:adjustRightInd/>
        <w:spacing w:after="120"/>
        <w:ind w:left="270"/>
        <w:jc w:val="both"/>
        <w:textAlignment w:val="auto"/>
      </w:pPr>
      <w:r>
        <w:t>A</w:t>
      </w:r>
      <w:r w:rsidR="00EE58F2" w:rsidRPr="001648B1">
        <w:t>ccelerated resource</w:t>
      </w:r>
      <w:r w:rsidR="00164668">
        <w:t xml:space="preserve"> </w:t>
      </w:r>
      <w:r w:rsidR="00EE58F2" w:rsidRPr="001648B1">
        <w:t>mobilization efforts and increased financing are critical to achieving the goals of the Union and enhancing ITU support for the membership. ITU, therefore, recognizes the need to identify the most effective ways to mobilize extrabudgetary resources, build its resource</w:t>
      </w:r>
      <w:r w:rsidR="00164668">
        <w:t xml:space="preserve"> </w:t>
      </w:r>
      <w:r w:rsidR="00EE58F2" w:rsidRPr="001648B1">
        <w:t xml:space="preserve">mobilization capacity and enhance its current fundraising strategy while leveraging partner inputs to complement these efforts. ITU will develop long-term financial commitment frameworks </w:t>
      </w:r>
      <w:proofErr w:type="gramStart"/>
      <w:r w:rsidR="00EE58F2" w:rsidRPr="001648B1">
        <w:t>in order to</w:t>
      </w:r>
      <w:proofErr w:type="gramEnd"/>
      <w:r w:rsidR="00EE58F2" w:rsidRPr="001648B1">
        <w:t xml:space="preserve"> effectively plan, programme and deliver on projects and enhance predictability of resource flows</w:t>
      </w:r>
      <w:r w:rsidR="00EE58F2" w:rsidRPr="00EE58F2">
        <w:rPr>
          <w:i/>
          <w:iCs/>
        </w:rPr>
        <w:t>.</w:t>
      </w:r>
    </w:p>
    <w:p w14:paraId="0C38082B" w14:textId="762A26FE" w:rsidR="00AC3C53"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i/>
          <w:iCs/>
        </w:rPr>
      </w:pPr>
      <w:r w:rsidRPr="00EE58F2">
        <w:t>1.3</w:t>
      </w:r>
      <w:r w:rsidR="00EA39D9">
        <w:tab/>
      </w:r>
      <w:r w:rsidRPr="00EE58F2">
        <w:t xml:space="preserve">At its 2017 session, </w:t>
      </w:r>
      <w:r w:rsidR="00EA39D9">
        <w:t xml:space="preserve">the </w:t>
      </w:r>
      <w:r w:rsidRPr="00EE58F2">
        <w:t xml:space="preserve">Council agreed to principles for </w:t>
      </w:r>
      <w:r w:rsidR="003E2239">
        <w:t>r</w:t>
      </w:r>
      <w:r w:rsidRPr="00EE58F2">
        <w:t xml:space="preserve">esource </w:t>
      </w:r>
      <w:r w:rsidR="003E2239">
        <w:t>m</w:t>
      </w:r>
      <w:r w:rsidRPr="00EE58F2">
        <w:t xml:space="preserve">obilization, available </w:t>
      </w:r>
      <w:hyperlink r:id="rId15" w:anchor=":~:text=Defining%20the%20scope%3A%20%E2%80%9CResource%20Mobilization,revenues%20and%20extra%2Dbudgetary%20contributions.">
        <w:r w:rsidRPr="00EE58F2">
          <w:rPr>
            <w:rStyle w:val="Hyperlink"/>
          </w:rPr>
          <w:t>here</w:t>
        </w:r>
      </w:hyperlink>
      <w:r w:rsidRPr="00EE58F2">
        <w:t>.</w:t>
      </w:r>
      <w:r w:rsidR="00EA39D9">
        <w:t xml:space="preserve"> </w:t>
      </w:r>
      <w:r w:rsidRPr="00EE58F2">
        <w:t xml:space="preserve">In these principles, </w:t>
      </w:r>
      <w:r w:rsidR="00AC3C53">
        <w:t xml:space="preserve">the </w:t>
      </w:r>
      <w:r w:rsidRPr="00EE58F2">
        <w:t xml:space="preserve">Council agreed: </w:t>
      </w:r>
    </w:p>
    <w:p w14:paraId="5F21A452" w14:textId="1A6E045B" w:rsidR="00AC3C53" w:rsidRPr="00AC3C53" w:rsidRDefault="00EE58F2" w:rsidP="001648B1">
      <w:pPr>
        <w:tabs>
          <w:tab w:val="clear" w:pos="567"/>
          <w:tab w:val="clear" w:pos="1134"/>
          <w:tab w:val="clear" w:pos="1701"/>
          <w:tab w:val="clear" w:pos="2268"/>
          <w:tab w:val="clear" w:pos="2835"/>
        </w:tabs>
        <w:overflowPunct/>
        <w:autoSpaceDE/>
        <w:autoSpaceDN/>
        <w:adjustRightInd/>
        <w:spacing w:after="120"/>
        <w:ind w:left="270"/>
        <w:jc w:val="both"/>
        <w:textAlignment w:val="auto"/>
      </w:pPr>
      <w:r w:rsidRPr="001648B1">
        <w:t>As ITU’s primary source of revenues, the top priority for Resource Mobilization is assessed contributions from ITU’s Member States. These contributions are provided to support an agreed Strategic Plan and its implementation through Operational Plans, using the ITU Regular Budget. Therefore, Member States are encouraged to prioritize their assessed contributions as their main financial support to ITU, either by maintaining or when possible, increasing these contributions before considering providing resources for activities outside of the ITU Regular Budget.</w:t>
      </w:r>
    </w:p>
    <w:p w14:paraId="25E340A8" w14:textId="258F3F24"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I</w:t>
      </w:r>
      <w:r w:rsidR="00AC3C53">
        <w:t>t also agreed that</w:t>
      </w:r>
      <w:r w:rsidRPr="00EE58F2">
        <w:t xml:space="preserve"> the secretariat will encourage members and other stakeholders</w:t>
      </w:r>
      <w:r w:rsidR="00AC3C53">
        <w:t>,</w:t>
      </w:r>
      <w:r w:rsidR="00AC3C53" w:rsidRPr="00EE58F2">
        <w:t xml:space="preserve"> to the extent possible,</w:t>
      </w:r>
      <w:r w:rsidRPr="00EE58F2">
        <w:t xml:space="preserve"> to provide support for extra-budgetary, voluntary contributions </w:t>
      </w:r>
      <w:r w:rsidRPr="00EE58F2">
        <w:rPr>
          <w:lang w:val="en-US"/>
        </w:rPr>
        <w:t>to meet organizational priorities.</w:t>
      </w:r>
    </w:p>
    <w:p w14:paraId="5DF7FF94" w14:textId="7911CC2B"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t>1.4</w:t>
      </w:r>
      <w:r>
        <w:tab/>
      </w:r>
      <w:r w:rsidR="000E4B04">
        <w:t>As</w:t>
      </w:r>
      <w:r>
        <w:t xml:space="preserve"> a follow</w:t>
      </w:r>
      <w:r w:rsidR="001A4795">
        <w:t>-</w:t>
      </w:r>
      <w:r>
        <w:t xml:space="preserve">up to Decision 5 (Rev. Bucharest, 2022), the </w:t>
      </w:r>
      <w:r w:rsidR="001A4795">
        <w:t>s</w:t>
      </w:r>
      <w:r>
        <w:t xml:space="preserve">ecretariat </w:t>
      </w:r>
      <w:r w:rsidR="00AC3C53">
        <w:t xml:space="preserve">raised </w:t>
      </w:r>
      <w:r>
        <w:t xml:space="preserve">this item for discussion during the </w:t>
      </w:r>
      <w:r w:rsidR="003E2239">
        <w:t xml:space="preserve">internal </w:t>
      </w:r>
      <w:r>
        <w:t xml:space="preserve">ITU Visioning Exercise (Pillars I </w:t>
      </w:r>
      <w:r w:rsidR="00AC3C53">
        <w:t xml:space="preserve">and </w:t>
      </w:r>
      <w:r>
        <w:t>II) from November 2022</w:t>
      </w:r>
      <w:r w:rsidR="001A4795">
        <w:t xml:space="preserve"> to </w:t>
      </w:r>
      <w:r>
        <w:t xml:space="preserve">February 2023 and the ITU Senior Management Retreat in February 2023. Following these discussions, the </w:t>
      </w:r>
      <w:r w:rsidR="001A4795">
        <w:t>s</w:t>
      </w:r>
      <w:r>
        <w:t>ecretariat engaged Boston Consulting Group (BCG) on a pro-bono basis to support ITU in the development of an ITU-wide funding and resource mobili</w:t>
      </w:r>
      <w:r w:rsidR="00273361">
        <w:t>z</w:t>
      </w:r>
      <w:r>
        <w:t>ation strategy</w:t>
      </w:r>
      <w:r w:rsidR="00273361">
        <w:t xml:space="preserve">, </w:t>
      </w:r>
      <w:r>
        <w:t>result</w:t>
      </w:r>
      <w:r w:rsidR="00273361">
        <w:t>ing</w:t>
      </w:r>
      <w:r>
        <w:t xml:space="preserve"> in a first draft of a</w:t>
      </w:r>
      <w:r w:rsidR="001A4795">
        <w:t>n</w:t>
      </w:r>
      <w:r>
        <w:t xml:space="preserve"> ITU</w:t>
      </w:r>
      <w:r w:rsidR="00273361">
        <w:t>-</w:t>
      </w:r>
      <w:r>
        <w:t xml:space="preserve">wide resource mobilization strategy that articulates ITU's value proposition and engagement model with a focus on: </w:t>
      </w:r>
    </w:p>
    <w:p w14:paraId="0E14A7B0" w14:textId="0A98737B" w:rsidR="00EE58F2" w:rsidRPr="00EE58F2" w:rsidRDefault="00273361"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t>u</w:t>
      </w:r>
      <w:r w:rsidR="00EE58F2" w:rsidRPr="00EE58F2">
        <w:t xml:space="preserve">nderstanding ITU’s current funding </w:t>
      </w:r>
      <w:proofErr w:type="gramStart"/>
      <w:r w:rsidR="00EE58F2" w:rsidRPr="00EE58F2">
        <w:t>situation;</w:t>
      </w:r>
      <w:proofErr w:type="gramEnd"/>
    </w:p>
    <w:p w14:paraId="4971B306" w14:textId="78B03BF3" w:rsidR="00EE58F2" w:rsidRPr="00EE58F2" w:rsidRDefault="00EE58F2"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rsidRPr="00EE58F2">
        <w:t>articulating ITU’s value proposition</w:t>
      </w:r>
      <w:r w:rsidR="00273361">
        <w:t>,</w:t>
      </w:r>
      <w:r w:rsidR="00273361" w:rsidRPr="00273361">
        <w:t xml:space="preserve"> </w:t>
      </w:r>
      <w:r w:rsidR="00273361">
        <w:t>b</w:t>
      </w:r>
      <w:r w:rsidR="00273361" w:rsidRPr="00EE58F2">
        <w:t xml:space="preserve">ased on </w:t>
      </w:r>
      <w:r w:rsidR="00273361">
        <w:t>m</w:t>
      </w:r>
      <w:r w:rsidR="00273361" w:rsidRPr="00EE58F2">
        <w:t>embership and stakeholder interviews,</w:t>
      </w:r>
      <w:r w:rsidRPr="00EE58F2">
        <w:t xml:space="preserve"> in a compelling way for increased resource </w:t>
      </w:r>
      <w:proofErr w:type="gramStart"/>
      <w:r w:rsidRPr="00EE58F2">
        <w:t>mobilization;</w:t>
      </w:r>
      <w:proofErr w:type="gramEnd"/>
    </w:p>
    <w:p w14:paraId="29EDCDD7" w14:textId="0530BBB2" w:rsidR="00EE58F2" w:rsidRPr="00EE58F2" w:rsidRDefault="00273361" w:rsidP="001A4795">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pPr>
      <w:r>
        <w:t>p</w:t>
      </w:r>
      <w:r w:rsidR="00EE58F2" w:rsidRPr="00EE58F2">
        <w:t>roposing a new engagement and resource</w:t>
      </w:r>
      <w:r w:rsidR="00164668">
        <w:t xml:space="preserve"> </w:t>
      </w:r>
      <w:r w:rsidR="00EE58F2" w:rsidRPr="00EE58F2">
        <w:t xml:space="preserve">mobilization model and options </w:t>
      </w:r>
      <w:r>
        <w:t xml:space="preserve">for its </w:t>
      </w:r>
      <w:r w:rsidR="00EE58F2" w:rsidRPr="00EE58F2">
        <w:t>implement</w:t>
      </w:r>
      <w:r>
        <w:t>ation</w:t>
      </w:r>
      <w:r w:rsidR="00EE58F2" w:rsidRPr="00EE58F2">
        <w:t>.</w:t>
      </w:r>
    </w:p>
    <w:p w14:paraId="163724DA" w14:textId="69EFF1F9" w:rsidR="00EE58F2" w:rsidRPr="00EE58F2" w:rsidRDefault="00EE58F2" w:rsidP="001A4795">
      <w:pPr>
        <w:tabs>
          <w:tab w:val="clear" w:pos="567"/>
          <w:tab w:val="clear" w:pos="1134"/>
          <w:tab w:val="clear" w:pos="1701"/>
          <w:tab w:val="clear" w:pos="2268"/>
          <w:tab w:val="clear" w:pos="2835"/>
        </w:tabs>
        <w:overflowPunct/>
        <w:autoSpaceDE/>
        <w:autoSpaceDN/>
        <w:adjustRightInd/>
        <w:spacing w:before="480" w:after="120"/>
        <w:ind w:left="709" w:hanging="709"/>
        <w:jc w:val="both"/>
        <w:textAlignment w:val="auto"/>
        <w:rPr>
          <w:b/>
          <w:sz w:val="26"/>
          <w:szCs w:val="26"/>
        </w:rPr>
      </w:pPr>
      <w:r w:rsidRPr="00EE58F2">
        <w:rPr>
          <w:b/>
          <w:sz w:val="26"/>
          <w:szCs w:val="26"/>
          <w:lang w:val="en-US"/>
        </w:rPr>
        <w:t>2.</w:t>
      </w:r>
      <w:r w:rsidR="00EA39D9" w:rsidRPr="001A4795">
        <w:rPr>
          <w:b/>
          <w:sz w:val="26"/>
          <w:szCs w:val="26"/>
          <w:lang w:val="en-US"/>
        </w:rPr>
        <w:tab/>
      </w:r>
      <w:r w:rsidRPr="00EE58F2">
        <w:rPr>
          <w:b/>
          <w:sz w:val="26"/>
          <w:szCs w:val="26"/>
          <w:lang w:val="en-US"/>
        </w:rPr>
        <w:t>Key finding</w:t>
      </w:r>
      <w:r w:rsidR="00273361">
        <w:rPr>
          <w:b/>
          <w:sz w:val="26"/>
          <w:szCs w:val="26"/>
          <w:lang w:val="en-US"/>
        </w:rPr>
        <w:t>s</w:t>
      </w:r>
      <w:r w:rsidRPr="00EE58F2">
        <w:rPr>
          <w:b/>
          <w:sz w:val="26"/>
          <w:szCs w:val="26"/>
          <w:lang w:val="en-US"/>
        </w:rPr>
        <w:t xml:space="preserve"> from the Visioning Exercise, </w:t>
      </w:r>
      <w:r w:rsidRPr="00EE58F2">
        <w:rPr>
          <w:b/>
          <w:sz w:val="26"/>
          <w:szCs w:val="26"/>
        </w:rPr>
        <w:t>Senior Management Retreat and BCG</w:t>
      </w:r>
      <w:r w:rsidR="00273361">
        <w:rPr>
          <w:b/>
          <w:sz w:val="26"/>
          <w:szCs w:val="26"/>
        </w:rPr>
        <w:t>-</w:t>
      </w:r>
      <w:r w:rsidRPr="00EE58F2">
        <w:rPr>
          <w:b/>
          <w:bCs/>
          <w:sz w:val="26"/>
          <w:szCs w:val="26"/>
        </w:rPr>
        <w:t xml:space="preserve">supported </w:t>
      </w:r>
      <w:r w:rsidR="00273361">
        <w:rPr>
          <w:b/>
          <w:bCs/>
          <w:sz w:val="26"/>
          <w:szCs w:val="26"/>
        </w:rPr>
        <w:t>r</w:t>
      </w:r>
      <w:r w:rsidRPr="00EE58F2">
        <w:rPr>
          <w:b/>
          <w:bCs/>
          <w:sz w:val="26"/>
          <w:szCs w:val="26"/>
        </w:rPr>
        <w:t xml:space="preserve">esource </w:t>
      </w:r>
      <w:r w:rsidR="00273361">
        <w:rPr>
          <w:b/>
          <w:bCs/>
          <w:sz w:val="26"/>
          <w:szCs w:val="26"/>
        </w:rPr>
        <w:t>m</w:t>
      </w:r>
      <w:r w:rsidRPr="00EE58F2">
        <w:rPr>
          <w:b/>
          <w:bCs/>
          <w:sz w:val="26"/>
          <w:szCs w:val="26"/>
        </w:rPr>
        <w:t>obilization project</w:t>
      </w:r>
    </w:p>
    <w:p w14:paraId="3CD35B5C" w14:textId="08B668A8" w:rsidR="00EE58F2" w:rsidRPr="00EE58F2" w:rsidRDefault="00EE58F2" w:rsidP="001A4795">
      <w:pPr>
        <w:tabs>
          <w:tab w:val="clear" w:pos="567"/>
          <w:tab w:val="clear" w:pos="1134"/>
          <w:tab w:val="clear" w:pos="1701"/>
          <w:tab w:val="clear" w:pos="2268"/>
          <w:tab w:val="clear" w:pos="2835"/>
        </w:tabs>
        <w:overflowPunct/>
        <w:autoSpaceDE/>
        <w:autoSpaceDN/>
        <w:adjustRightInd/>
        <w:spacing w:after="120"/>
        <w:jc w:val="both"/>
        <w:textAlignment w:val="auto"/>
      </w:pPr>
      <w:r w:rsidRPr="00EE58F2">
        <w:rPr>
          <w:b/>
          <w:bCs/>
          <w:lang w:val="en-US"/>
        </w:rPr>
        <w:t>2.1</w:t>
      </w:r>
      <w:r w:rsidR="00EA39D9">
        <w:rPr>
          <w:b/>
          <w:bCs/>
          <w:lang w:val="en-US"/>
        </w:rPr>
        <w:tab/>
      </w:r>
      <w:r w:rsidRPr="00EE58F2">
        <w:rPr>
          <w:b/>
          <w:bCs/>
          <w:lang w:val="en-US"/>
        </w:rPr>
        <w:t xml:space="preserve">ITU </w:t>
      </w:r>
      <w:r w:rsidR="00273361">
        <w:rPr>
          <w:b/>
          <w:bCs/>
          <w:lang w:val="en-US"/>
        </w:rPr>
        <w:t>f</w:t>
      </w:r>
      <w:r w:rsidRPr="00EE58F2">
        <w:rPr>
          <w:b/>
          <w:bCs/>
          <w:lang w:val="en-US"/>
        </w:rPr>
        <w:t xml:space="preserve">unding </w:t>
      </w:r>
      <w:r w:rsidR="00273361">
        <w:rPr>
          <w:b/>
          <w:bCs/>
          <w:lang w:val="en-US"/>
        </w:rPr>
        <w:t>a</w:t>
      </w:r>
      <w:r w:rsidRPr="00EE58F2">
        <w:rPr>
          <w:b/>
          <w:bCs/>
          <w:lang w:val="en-US"/>
        </w:rPr>
        <w:t xml:space="preserve">nalysis: </w:t>
      </w:r>
      <w:r w:rsidR="00273361">
        <w:rPr>
          <w:b/>
          <w:bCs/>
          <w:lang w:val="en-US"/>
        </w:rPr>
        <w:t>c</w:t>
      </w:r>
      <w:r w:rsidRPr="00EE58F2">
        <w:rPr>
          <w:b/>
          <w:bCs/>
          <w:lang w:val="en-US"/>
        </w:rPr>
        <w:t xml:space="preserve">urrent </w:t>
      </w:r>
      <w:r w:rsidR="00273361">
        <w:rPr>
          <w:b/>
          <w:bCs/>
          <w:lang w:val="en-US"/>
        </w:rPr>
        <w:t>s</w:t>
      </w:r>
      <w:r w:rsidRPr="00EE58F2">
        <w:rPr>
          <w:b/>
          <w:bCs/>
          <w:lang w:val="en-US"/>
        </w:rPr>
        <w:t xml:space="preserve">ituation and </w:t>
      </w:r>
      <w:r w:rsidR="00273361">
        <w:rPr>
          <w:b/>
          <w:bCs/>
          <w:lang w:val="en-US"/>
        </w:rPr>
        <w:t>t</w:t>
      </w:r>
      <w:r w:rsidRPr="00EE58F2">
        <w:rPr>
          <w:b/>
          <w:bCs/>
          <w:lang w:val="en-US"/>
        </w:rPr>
        <w:t>rends</w:t>
      </w:r>
    </w:p>
    <w:p w14:paraId="17B8D5CB" w14:textId="7014FC22" w:rsidR="00EE58F2" w:rsidRPr="00EE58F2" w:rsidRDefault="00D91304" w:rsidP="00D91304">
      <w:pPr>
        <w:tabs>
          <w:tab w:val="clear" w:pos="567"/>
          <w:tab w:val="clear" w:pos="1134"/>
          <w:tab w:val="clear" w:pos="1701"/>
          <w:tab w:val="clear" w:pos="2268"/>
          <w:tab w:val="clear" w:pos="2835"/>
        </w:tabs>
        <w:overflowPunct/>
        <w:autoSpaceDE/>
        <w:autoSpaceDN/>
        <w:adjustRightInd/>
        <w:spacing w:after="120"/>
        <w:ind w:left="284"/>
        <w:jc w:val="both"/>
        <w:textAlignment w:val="auto"/>
        <w:rPr>
          <w:lang w:val="en-US"/>
        </w:rPr>
      </w:pPr>
      <w:r>
        <w:rPr>
          <w:b/>
          <w:bCs/>
          <w:lang w:val="en-US"/>
        </w:rPr>
        <w:t>a.</w:t>
      </w:r>
      <w:r>
        <w:rPr>
          <w:b/>
          <w:bCs/>
          <w:lang w:val="en-US"/>
        </w:rPr>
        <w:tab/>
      </w:r>
      <w:r w:rsidR="00EE58F2" w:rsidRPr="00EE58F2">
        <w:rPr>
          <w:b/>
          <w:bCs/>
          <w:lang w:val="en-US"/>
        </w:rPr>
        <w:t xml:space="preserve">Regular </w:t>
      </w:r>
      <w:r w:rsidR="00273361">
        <w:rPr>
          <w:b/>
          <w:bCs/>
          <w:lang w:val="en-US"/>
        </w:rPr>
        <w:t>b</w:t>
      </w:r>
      <w:r w:rsidR="00EE58F2" w:rsidRPr="00EE58F2">
        <w:rPr>
          <w:b/>
          <w:bCs/>
          <w:lang w:val="en-US"/>
        </w:rPr>
        <w:t xml:space="preserve">udget and </w:t>
      </w:r>
      <w:r w:rsidR="00273361">
        <w:rPr>
          <w:b/>
          <w:bCs/>
          <w:lang w:val="en-US"/>
        </w:rPr>
        <w:t>e</w:t>
      </w:r>
      <w:r w:rsidR="00EE58F2" w:rsidRPr="00EE58F2">
        <w:rPr>
          <w:b/>
          <w:bCs/>
          <w:lang w:val="en-US"/>
        </w:rPr>
        <w:t>xtra-budgetary revenues</w:t>
      </w:r>
    </w:p>
    <w:p w14:paraId="28EE83D2" w14:textId="7EE32B41" w:rsidR="00EE58F2" w:rsidRPr="00EE58F2" w:rsidRDefault="00EE58F2" w:rsidP="001A4795">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lastRenderedPageBreak/>
        <w:t xml:space="preserve">Revenues from Member State units have been stable over the past </w:t>
      </w:r>
      <w:r w:rsidR="001A4795">
        <w:rPr>
          <w:lang w:val="en-US"/>
        </w:rPr>
        <w:t>five</w:t>
      </w:r>
      <w:r w:rsidRPr="00EE58F2">
        <w:rPr>
          <w:lang w:val="en-US"/>
        </w:rPr>
        <w:t xml:space="preserve"> years. In 2022, Member States</w:t>
      </w:r>
      <w:r w:rsidR="00273361">
        <w:rPr>
          <w:lang w:val="en-US"/>
        </w:rPr>
        <w:t>’</w:t>
      </w:r>
      <w:r w:rsidRPr="00EE58F2">
        <w:rPr>
          <w:lang w:val="en-US"/>
        </w:rPr>
        <w:t xml:space="preserve"> </w:t>
      </w:r>
      <w:r w:rsidR="00273361">
        <w:rPr>
          <w:lang w:val="en-US"/>
        </w:rPr>
        <w:t>a</w:t>
      </w:r>
      <w:r w:rsidRPr="00EE58F2">
        <w:rPr>
          <w:lang w:val="en-US"/>
        </w:rPr>
        <w:t>ssessed contributions represent</w:t>
      </w:r>
      <w:r w:rsidR="00273361">
        <w:rPr>
          <w:lang w:val="en-US"/>
        </w:rPr>
        <w:t>ed</w:t>
      </w:r>
      <w:r w:rsidRPr="00EE58F2">
        <w:rPr>
          <w:lang w:val="en-US"/>
        </w:rPr>
        <w:t xml:space="preserve"> 61</w:t>
      </w:r>
      <w:r w:rsidR="001A4795">
        <w:rPr>
          <w:lang w:val="en-US"/>
        </w:rPr>
        <w:t xml:space="preserve"> per cent</w:t>
      </w:r>
      <w:r w:rsidRPr="00EE58F2">
        <w:rPr>
          <w:lang w:val="en-US"/>
        </w:rPr>
        <w:t xml:space="preserve"> of ITU</w:t>
      </w:r>
      <w:r w:rsidR="00273361">
        <w:rPr>
          <w:lang w:val="en-US"/>
        </w:rPr>
        <w:t>’s</w:t>
      </w:r>
      <w:r w:rsidRPr="00EE58F2">
        <w:rPr>
          <w:lang w:val="en-US"/>
        </w:rPr>
        <w:t xml:space="preserve"> total revenues.</w:t>
      </w:r>
    </w:p>
    <w:p w14:paraId="027C2962" w14:textId="31616012" w:rsidR="00EE58F2" w:rsidRPr="00EE58F2" w:rsidRDefault="00EE58F2" w:rsidP="00273361">
      <w:pPr>
        <w:tabs>
          <w:tab w:val="clear" w:pos="567"/>
          <w:tab w:val="clear" w:pos="1134"/>
          <w:tab w:val="clear" w:pos="1701"/>
          <w:tab w:val="clear" w:pos="2268"/>
          <w:tab w:val="clear" w:pos="2835"/>
        </w:tabs>
        <w:overflowPunct/>
        <w:autoSpaceDE/>
        <w:autoSpaceDN/>
        <w:adjustRightInd/>
        <w:spacing w:after="120"/>
        <w:jc w:val="both"/>
        <w:textAlignment w:val="auto"/>
      </w:pPr>
      <w:r w:rsidRPr="00EE58F2">
        <w:t>Revenues from Sector Members’ contributions</w:t>
      </w:r>
      <w:r w:rsidR="00273361">
        <w:t>,</w:t>
      </w:r>
      <w:r w:rsidRPr="00EE58F2">
        <w:t xml:space="preserve"> </w:t>
      </w:r>
      <w:r w:rsidR="001A4795" w:rsidRPr="00EE58F2">
        <w:t>including Associates and Academia</w:t>
      </w:r>
      <w:r w:rsidR="00273361">
        <w:t>,</w:t>
      </w:r>
      <w:r w:rsidR="001A4795" w:rsidRPr="00EE58F2">
        <w:t xml:space="preserve"> </w:t>
      </w:r>
      <w:r w:rsidRPr="00EE58F2">
        <w:t>represent approximately 9</w:t>
      </w:r>
      <w:r w:rsidR="001A4795">
        <w:t xml:space="preserve"> per cent</w:t>
      </w:r>
      <w:r w:rsidRPr="00EE58F2">
        <w:t xml:space="preserve"> of ITU</w:t>
      </w:r>
      <w:r w:rsidR="00273361">
        <w:t>’s</w:t>
      </w:r>
      <w:r w:rsidRPr="00EE58F2">
        <w:t xml:space="preserve"> total revenues. While Sector </w:t>
      </w:r>
      <w:r w:rsidR="001A4795">
        <w:t>m</w:t>
      </w:r>
      <w:r w:rsidRPr="00EE58F2">
        <w:t>embership has grown to its highest</w:t>
      </w:r>
      <w:r w:rsidR="00273361">
        <w:t xml:space="preserve">-ever </w:t>
      </w:r>
      <w:r w:rsidRPr="00EE58F2">
        <w:t>level, approaching 1</w:t>
      </w:r>
      <w:r w:rsidR="00273361">
        <w:t> </w:t>
      </w:r>
      <w:r w:rsidRPr="00EE58F2">
        <w:t xml:space="preserve">000 member entities, revenues from Sector </w:t>
      </w:r>
      <w:r w:rsidR="001A4795">
        <w:t>m</w:t>
      </w:r>
      <w:r w:rsidRPr="00EE58F2">
        <w:t xml:space="preserve">embership fees have </w:t>
      </w:r>
      <w:r w:rsidR="00273361">
        <w:t>remained</w:t>
      </w:r>
      <w:r w:rsidR="00273361" w:rsidRPr="00EE58F2">
        <w:t xml:space="preserve"> </w:t>
      </w:r>
      <w:r w:rsidRPr="00EE58F2">
        <w:t>largely flat for more than a decade,</w:t>
      </w:r>
      <w:r w:rsidR="00273361" w:rsidRPr="00273361">
        <w:t xml:space="preserve"> </w:t>
      </w:r>
      <w:r w:rsidR="00273361" w:rsidRPr="00EE58F2">
        <w:t>hovering between CHF</w:t>
      </w:r>
      <w:r w:rsidR="00273361">
        <w:t> </w:t>
      </w:r>
      <w:r w:rsidR="00273361" w:rsidRPr="00EE58F2">
        <w:t>16</w:t>
      </w:r>
      <w:r w:rsidR="00273361">
        <w:t> </w:t>
      </w:r>
      <w:r w:rsidR="00273361" w:rsidRPr="00EE58F2">
        <w:t xml:space="preserve">million </w:t>
      </w:r>
      <w:r w:rsidR="00273361">
        <w:t>and</w:t>
      </w:r>
      <w:r w:rsidR="00273361" w:rsidRPr="00EE58F2">
        <w:t xml:space="preserve"> CHF</w:t>
      </w:r>
      <w:r w:rsidR="00273361">
        <w:t> </w:t>
      </w:r>
      <w:r w:rsidR="00273361" w:rsidRPr="00EE58F2">
        <w:t>17</w:t>
      </w:r>
      <w:r w:rsidR="00273361">
        <w:t> </w:t>
      </w:r>
      <w:r w:rsidR="00273361" w:rsidRPr="00EE58F2">
        <w:t>million</w:t>
      </w:r>
      <w:r w:rsidR="00273361">
        <w:t>,</w:t>
      </w:r>
      <w:r w:rsidRPr="00EE58F2">
        <w:t xml:space="preserve"> as most growth has come from lower</w:t>
      </w:r>
      <w:r w:rsidR="00273361">
        <w:t>-</w:t>
      </w:r>
      <w:r w:rsidRPr="00EE58F2">
        <w:t xml:space="preserve">fee-paying categories of membership, including </w:t>
      </w:r>
      <w:r w:rsidR="00273361">
        <w:t>A</w:t>
      </w:r>
      <w:r w:rsidRPr="00EE58F2">
        <w:t xml:space="preserve">ssociates, </w:t>
      </w:r>
      <w:r w:rsidR="00273361">
        <w:t>A</w:t>
      </w:r>
      <w:r w:rsidRPr="00EE58F2">
        <w:t>cademia and</w:t>
      </w:r>
      <w:r w:rsidR="00273361">
        <w:t>,</w:t>
      </w:r>
      <w:r w:rsidRPr="00EE58F2">
        <w:t xml:space="preserve"> most recently, </w:t>
      </w:r>
      <w:r w:rsidR="00273361">
        <w:t>small and medium enterprises</w:t>
      </w:r>
      <w:r w:rsidRPr="00EE58F2">
        <w:t xml:space="preserve">, </w:t>
      </w:r>
      <w:r w:rsidR="00273361">
        <w:t>and owing to</w:t>
      </w:r>
      <w:r w:rsidRPr="00EE58F2">
        <w:t xml:space="preserve"> fee exemptions for qualifying organizations of an international character.</w:t>
      </w:r>
    </w:p>
    <w:p w14:paraId="3A6A4DF3" w14:textId="380340E6"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t xml:space="preserve">Cost recovery has been applied to </w:t>
      </w:r>
      <w:r w:rsidR="00273361">
        <w:t xml:space="preserve">the </w:t>
      </w:r>
      <w:r>
        <w:t xml:space="preserve">processing </w:t>
      </w:r>
      <w:r w:rsidR="00273361">
        <w:t xml:space="preserve">of </w:t>
      </w:r>
      <w:r>
        <w:t>satellite network filings, allocation of numbering resources and BDT project support. Other extra-budgetary revenues from the sales of publications have a relatively predictable cycle based mainly on scheduled releases of key maritime radiocommunication service-related publications. The lower-revenue years in this cycle present</w:t>
      </w:r>
      <w:r w:rsidR="25733579">
        <w:t>ed</w:t>
      </w:r>
      <w:r>
        <w:t xml:space="preserve"> a challenge for ITU budget planning. </w:t>
      </w:r>
    </w:p>
    <w:p w14:paraId="143F5D87" w14:textId="73C2B251" w:rsidR="00EE58F2" w:rsidRPr="00EE58F2" w:rsidRDefault="00EE58F2" w:rsidP="001A4795">
      <w:pPr>
        <w:tabs>
          <w:tab w:val="clear" w:pos="567"/>
          <w:tab w:val="clear" w:pos="1134"/>
          <w:tab w:val="clear" w:pos="1701"/>
          <w:tab w:val="clear" w:pos="2268"/>
          <w:tab w:val="clear" w:pos="2835"/>
        </w:tabs>
        <w:overflowPunct/>
        <w:autoSpaceDE/>
        <w:autoSpaceDN/>
        <w:adjustRightInd/>
        <w:spacing w:before="240" w:after="120"/>
        <w:textAlignment w:val="auto"/>
        <w:rPr>
          <w:b/>
          <w:bCs/>
          <w:lang w:val="en-US"/>
        </w:rPr>
      </w:pPr>
      <w:r w:rsidRPr="00EE58F2">
        <w:rPr>
          <w:b/>
          <w:bCs/>
          <w:lang w:val="en-US"/>
        </w:rPr>
        <w:t>Table 1. Regular budget and extra-budgetary revenues</w:t>
      </w:r>
    </w:p>
    <w:tbl>
      <w:tblPr>
        <w:tblW w:w="9177" w:type="dxa"/>
        <w:tblLook w:val="0600" w:firstRow="0" w:lastRow="0" w:firstColumn="0" w:lastColumn="0" w:noHBand="1" w:noVBand="1"/>
      </w:tblPr>
      <w:tblGrid>
        <w:gridCol w:w="3442"/>
        <w:gridCol w:w="1147"/>
        <w:gridCol w:w="1147"/>
        <w:gridCol w:w="1147"/>
        <w:gridCol w:w="1147"/>
        <w:gridCol w:w="1147"/>
      </w:tblGrid>
      <w:tr w:rsidR="00EE58F2" w:rsidRPr="00EE58F2" w14:paraId="27ABF87F" w14:textId="77777777" w:rsidTr="00DD5FF4">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3B1D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8F9C4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100659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1746E9C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1683B53D"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5CCAA3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t>2022</w:t>
            </w:r>
          </w:p>
        </w:tc>
      </w:tr>
      <w:tr w:rsidR="00EE58F2" w:rsidRPr="00EE58F2" w14:paraId="2F723D81"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0B68F02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Member States</w:t>
            </w:r>
          </w:p>
        </w:tc>
        <w:tc>
          <w:tcPr>
            <w:tcW w:w="1147" w:type="dxa"/>
            <w:tcBorders>
              <w:top w:val="nil"/>
              <w:left w:val="nil"/>
              <w:bottom w:val="single" w:sz="4" w:space="0" w:color="auto"/>
              <w:right w:val="single" w:sz="4" w:space="0" w:color="auto"/>
            </w:tcBorders>
            <w:shd w:val="clear" w:color="auto" w:fill="auto"/>
            <w:vAlign w:val="bottom"/>
            <w:hideMark/>
          </w:tcPr>
          <w:p w14:paraId="53D22E6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108.6</w:t>
            </w:r>
          </w:p>
        </w:tc>
        <w:tc>
          <w:tcPr>
            <w:tcW w:w="1147" w:type="dxa"/>
            <w:tcBorders>
              <w:top w:val="nil"/>
              <w:left w:val="nil"/>
              <w:bottom w:val="single" w:sz="4" w:space="0" w:color="auto"/>
              <w:right w:val="single" w:sz="4" w:space="0" w:color="auto"/>
            </w:tcBorders>
            <w:shd w:val="clear" w:color="auto" w:fill="auto"/>
            <w:vAlign w:val="bottom"/>
            <w:hideMark/>
          </w:tcPr>
          <w:p w14:paraId="414C347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109.9</w:t>
            </w:r>
          </w:p>
        </w:tc>
        <w:tc>
          <w:tcPr>
            <w:tcW w:w="1147" w:type="dxa"/>
            <w:tcBorders>
              <w:top w:val="nil"/>
              <w:left w:val="nil"/>
              <w:bottom w:val="single" w:sz="4" w:space="0" w:color="auto"/>
              <w:right w:val="single" w:sz="4" w:space="0" w:color="auto"/>
            </w:tcBorders>
            <w:shd w:val="clear" w:color="auto" w:fill="auto"/>
            <w:vAlign w:val="bottom"/>
            <w:hideMark/>
          </w:tcPr>
          <w:p w14:paraId="238662E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758DC47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5AB6BCB4"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109.2</w:t>
            </w:r>
          </w:p>
        </w:tc>
      </w:tr>
      <w:tr w:rsidR="00EE58F2" w:rsidRPr="00EE58F2" w14:paraId="7B2CD72D"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CAE37DB" w14:textId="45DE399C"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Sector </w:t>
            </w:r>
            <w:r w:rsidR="00273361">
              <w:t>m</w:t>
            </w:r>
            <w:r w:rsidRPr="00EE58F2">
              <w:t>embership</w:t>
            </w:r>
          </w:p>
        </w:tc>
        <w:tc>
          <w:tcPr>
            <w:tcW w:w="1147" w:type="dxa"/>
            <w:tcBorders>
              <w:top w:val="nil"/>
              <w:left w:val="nil"/>
              <w:bottom w:val="single" w:sz="4" w:space="0" w:color="auto"/>
              <w:right w:val="single" w:sz="4" w:space="0" w:color="auto"/>
            </w:tcBorders>
            <w:shd w:val="clear" w:color="auto" w:fill="auto"/>
            <w:vAlign w:val="bottom"/>
            <w:hideMark/>
          </w:tcPr>
          <w:p w14:paraId="52A1BD0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21DD81A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16.6</w:t>
            </w:r>
          </w:p>
        </w:tc>
        <w:tc>
          <w:tcPr>
            <w:tcW w:w="1147" w:type="dxa"/>
            <w:tcBorders>
              <w:top w:val="nil"/>
              <w:left w:val="nil"/>
              <w:bottom w:val="single" w:sz="4" w:space="0" w:color="auto"/>
              <w:right w:val="single" w:sz="4" w:space="0" w:color="auto"/>
            </w:tcBorders>
            <w:shd w:val="clear" w:color="auto" w:fill="auto"/>
            <w:vAlign w:val="bottom"/>
            <w:hideMark/>
          </w:tcPr>
          <w:p w14:paraId="49C46BF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16.4</w:t>
            </w:r>
          </w:p>
        </w:tc>
        <w:tc>
          <w:tcPr>
            <w:tcW w:w="1147" w:type="dxa"/>
            <w:tcBorders>
              <w:top w:val="nil"/>
              <w:left w:val="nil"/>
              <w:bottom w:val="single" w:sz="4" w:space="0" w:color="auto"/>
              <w:right w:val="single" w:sz="4" w:space="0" w:color="auto"/>
            </w:tcBorders>
            <w:shd w:val="clear" w:color="auto" w:fill="auto"/>
            <w:vAlign w:val="bottom"/>
            <w:hideMark/>
          </w:tcPr>
          <w:p w14:paraId="0F6DC8D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01BE436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16.3</w:t>
            </w:r>
          </w:p>
        </w:tc>
      </w:tr>
      <w:tr w:rsidR="00EE58F2" w:rsidRPr="00EE58F2" w14:paraId="20163BFC"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0247D6D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Publications</w:t>
            </w:r>
          </w:p>
        </w:tc>
        <w:tc>
          <w:tcPr>
            <w:tcW w:w="1147" w:type="dxa"/>
            <w:tcBorders>
              <w:top w:val="nil"/>
              <w:left w:val="nil"/>
              <w:bottom w:val="single" w:sz="4" w:space="0" w:color="auto"/>
              <w:right w:val="single" w:sz="4" w:space="0" w:color="auto"/>
            </w:tcBorders>
            <w:shd w:val="clear" w:color="auto" w:fill="auto"/>
            <w:vAlign w:val="bottom"/>
            <w:hideMark/>
          </w:tcPr>
          <w:p w14:paraId="190A638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13.9</w:t>
            </w:r>
          </w:p>
        </w:tc>
        <w:tc>
          <w:tcPr>
            <w:tcW w:w="1147" w:type="dxa"/>
            <w:tcBorders>
              <w:top w:val="nil"/>
              <w:left w:val="nil"/>
              <w:bottom w:val="single" w:sz="4" w:space="0" w:color="auto"/>
              <w:right w:val="single" w:sz="4" w:space="0" w:color="auto"/>
            </w:tcBorders>
            <w:shd w:val="clear" w:color="auto" w:fill="auto"/>
            <w:vAlign w:val="bottom"/>
            <w:hideMark/>
          </w:tcPr>
          <w:p w14:paraId="3E9A09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15.6</w:t>
            </w:r>
          </w:p>
        </w:tc>
        <w:tc>
          <w:tcPr>
            <w:tcW w:w="1147" w:type="dxa"/>
            <w:tcBorders>
              <w:top w:val="nil"/>
              <w:left w:val="nil"/>
              <w:bottom w:val="single" w:sz="4" w:space="0" w:color="auto"/>
              <w:right w:val="single" w:sz="4" w:space="0" w:color="auto"/>
            </w:tcBorders>
            <w:shd w:val="clear" w:color="auto" w:fill="auto"/>
            <w:vAlign w:val="bottom"/>
            <w:hideMark/>
          </w:tcPr>
          <w:p w14:paraId="36776F7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17.1</w:t>
            </w:r>
          </w:p>
        </w:tc>
        <w:tc>
          <w:tcPr>
            <w:tcW w:w="1147" w:type="dxa"/>
            <w:tcBorders>
              <w:top w:val="nil"/>
              <w:left w:val="nil"/>
              <w:bottom w:val="single" w:sz="4" w:space="0" w:color="auto"/>
              <w:right w:val="single" w:sz="4" w:space="0" w:color="auto"/>
            </w:tcBorders>
            <w:shd w:val="clear" w:color="auto" w:fill="auto"/>
            <w:vAlign w:val="bottom"/>
            <w:hideMark/>
          </w:tcPr>
          <w:p w14:paraId="1EFD031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19.4</w:t>
            </w:r>
          </w:p>
        </w:tc>
        <w:tc>
          <w:tcPr>
            <w:tcW w:w="1147" w:type="dxa"/>
            <w:tcBorders>
              <w:top w:val="nil"/>
              <w:left w:val="nil"/>
              <w:bottom w:val="single" w:sz="4" w:space="0" w:color="auto"/>
              <w:right w:val="single" w:sz="4" w:space="0" w:color="auto"/>
            </w:tcBorders>
            <w:shd w:val="clear" w:color="auto" w:fill="auto"/>
            <w:vAlign w:val="bottom"/>
            <w:hideMark/>
          </w:tcPr>
          <w:p w14:paraId="6B6BC29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14.6</w:t>
            </w:r>
          </w:p>
        </w:tc>
      </w:tr>
      <w:tr w:rsidR="00EE58F2" w:rsidRPr="00EE58F2" w14:paraId="04B94E27"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1007ED85" w14:textId="0462F30B"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Satellite </w:t>
            </w:r>
            <w:r w:rsidR="00273361">
              <w:t>f</w:t>
            </w:r>
            <w:r w:rsidRPr="00EE58F2">
              <w:t>ilings</w:t>
            </w:r>
          </w:p>
        </w:tc>
        <w:tc>
          <w:tcPr>
            <w:tcW w:w="1147" w:type="dxa"/>
            <w:tcBorders>
              <w:top w:val="nil"/>
              <w:left w:val="nil"/>
              <w:bottom w:val="single" w:sz="4" w:space="0" w:color="auto"/>
              <w:right w:val="single" w:sz="4" w:space="0" w:color="auto"/>
            </w:tcBorders>
            <w:shd w:val="clear" w:color="auto" w:fill="auto"/>
            <w:vAlign w:val="bottom"/>
            <w:hideMark/>
          </w:tcPr>
          <w:p w14:paraId="1B2FB8E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19.1</w:t>
            </w:r>
          </w:p>
        </w:tc>
        <w:tc>
          <w:tcPr>
            <w:tcW w:w="1147" w:type="dxa"/>
            <w:tcBorders>
              <w:top w:val="nil"/>
              <w:left w:val="nil"/>
              <w:bottom w:val="single" w:sz="4" w:space="0" w:color="auto"/>
              <w:right w:val="single" w:sz="4" w:space="0" w:color="auto"/>
            </w:tcBorders>
            <w:shd w:val="clear" w:color="auto" w:fill="auto"/>
            <w:vAlign w:val="bottom"/>
            <w:hideMark/>
          </w:tcPr>
          <w:p w14:paraId="10D5F2A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12.1</w:t>
            </w:r>
          </w:p>
        </w:tc>
        <w:tc>
          <w:tcPr>
            <w:tcW w:w="1147" w:type="dxa"/>
            <w:tcBorders>
              <w:top w:val="nil"/>
              <w:left w:val="nil"/>
              <w:bottom w:val="single" w:sz="4" w:space="0" w:color="auto"/>
              <w:right w:val="single" w:sz="4" w:space="0" w:color="auto"/>
            </w:tcBorders>
            <w:shd w:val="clear" w:color="auto" w:fill="auto"/>
            <w:vAlign w:val="bottom"/>
            <w:hideMark/>
          </w:tcPr>
          <w:p w14:paraId="7ACABDF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13.6</w:t>
            </w:r>
          </w:p>
        </w:tc>
        <w:tc>
          <w:tcPr>
            <w:tcW w:w="1147" w:type="dxa"/>
            <w:tcBorders>
              <w:top w:val="nil"/>
              <w:left w:val="nil"/>
              <w:bottom w:val="single" w:sz="4" w:space="0" w:color="auto"/>
              <w:right w:val="single" w:sz="4" w:space="0" w:color="auto"/>
            </w:tcBorders>
            <w:shd w:val="clear" w:color="auto" w:fill="auto"/>
            <w:vAlign w:val="bottom"/>
            <w:hideMark/>
          </w:tcPr>
          <w:p w14:paraId="4EE7A47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11.2</w:t>
            </w:r>
          </w:p>
        </w:tc>
        <w:tc>
          <w:tcPr>
            <w:tcW w:w="1147" w:type="dxa"/>
            <w:tcBorders>
              <w:top w:val="nil"/>
              <w:left w:val="nil"/>
              <w:bottom w:val="single" w:sz="4" w:space="0" w:color="auto"/>
              <w:right w:val="single" w:sz="4" w:space="0" w:color="auto"/>
            </w:tcBorders>
            <w:shd w:val="clear" w:color="auto" w:fill="auto"/>
            <w:vAlign w:val="bottom"/>
            <w:hideMark/>
          </w:tcPr>
          <w:p w14:paraId="279E734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10.2</w:t>
            </w:r>
          </w:p>
        </w:tc>
      </w:tr>
      <w:tr w:rsidR="00EE58F2" w:rsidRPr="00EE58F2" w14:paraId="45A469DC" w14:textId="77777777" w:rsidTr="00DD5FF4">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3F7DC19" w14:textId="4991BED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Others (</w:t>
            </w:r>
            <w:r w:rsidR="00273361">
              <w:t>n</w:t>
            </w:r>
            <w:r w:rsidRPr="00EE58F2">
              <w:t xml:space="preserve">umbering, </w:t>
            </w:r>
            <w:r w:rsidR="00273361">
              <w:t>p</w:t>
            </w:r>
            <w:r w:rsidRPr="00EE58F2">
              <w:t xml:space="preserve">roject support, </w:t>
            </w:r>
            <w:r w:rsidR="00273361">
              <w:t xml:space="preserve">ITU </w:t>
            </w:r>
            <w:r w:rsidRPr="00EE58F2">
              <w:t>Telecom)</w:t>
            </w:r>
          </w:p>
        </w:tc>
        <w:tc>
          <w:tcPr>
            <w:tcW w:w="1147" w:type="dxa"/>
            <w:tcBorders>
              <w:top w:val="nil"/>
              <w:left w:val="nil"/>
              <w:bottom w:val="single" w:sz="4" w:space="0" w:color="auto"/>
              <w:right w:val="single" w:sz="4" w:space="0" w:color="auto"/>
            </w:tcBorders>
            <w:shd w:val="clear" w:color="auto" w:fill="auto"/>
            <w:vAlign w:val="bottom"/>
            <w:hideMark/>
          </w:tcPr>
          <w:p w14:paraId="66C3922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3.4</w:t>
            </w:r>
          </w:p>
        </w:tc>
        <w:tc>
          <w:tcPr>
            <w:tcW w:w="1147" w:type="dxa"/>
            <w:tcBorders>
              <w:top w:val="nil"/>
              <w:left w:val="nil"/>
              <w:bottom w:val="single" w:sz="4" w:space="0" w:color="auto"/>
              <w:right w:val="single" w:sz="4" w:space="0" w:color="auto"/>
            </w:tcBorders>
            <w:shd w:val="clear" w:color="auto" w:fill="auto"/>
            <w:vAlign w:val="bottom"/>
            <w:hideMark/>
          </w:tcPr>
          <w:p w14:paraId="77CBEC83"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2.6</w:t>
            </w:r>
          </w:p>
        </w:tc>
        <w:tc>
          <w:tcPr>
            <w:tcW w:w="1147" w:type="dxa"/>
            <w:tcBorders>
              <w:top w:val="nil"/>
              <w:left w:val="nil"/>
              <w:bottom w:val="single" w:sz="4" w:space="0" w:color="auto"/>
              <w:right w:val="single" w:sz="4" w:space="0" w:color="auto"/>
            </w:tcBorders>
            <w:shd w:val="clear" w:color="auto" w:fill="auto"/>
            <w:vAlign w:val="bottom"/>
            <w:hideMark/>
          </w:tcPr>
          <w:p w14:paraId="653D5CD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w:t>
            </w:r>
          </w:p>
        </w:tc>
        <w:tc>
          <w:tcPr>
            <w:tcW w:w="1147" w:type="dxa"/>
            <w:tcBorders>
              <w:top w:val="nil"/>
              <w:left w:val="nil"/>
              <w:bottom w:val="single" w:sz="4" w:space="0" w:color="auto"/>
              <w:right w:val="single" w:sz="4" w:space="0" w:color="auto"/>
            </w:tcBorders>
            <w:shd w:val="clear" w:color="auto" w:fill="auto"/>
            <w:vAlign w:val="bottom"/>
            <w:hideMark/>
          </w:tcPr>
          <w:p w14:paraId="7E1EA83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0.9</w:t>
            </w:r>
          </w:p>
        </w:tc>
        <w:tc>
          <w:tcPr>
            <w:tcW w:w="1147" w:type="dxa"/>
            <w:tcBorders>
              <w:top w:val="nil"/>
              <w:left w:val="nil"/>
              <w:bottom w:val="single" w:sz="4" w:space="0" w:color="auto"/>
              <w:right w:val="single" w:sz="4" w:space="0" w:color="auto"/>
            </w:tcBorders>
            <w:shd w:val="clear" w:color="auto" w:fill="auto"/>
            <w:vAlign w:val="bottom"/>
            <w:hideMark/>
          </w:tcPr>
          <w:p w14:paraId="79296F6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1.25</w:t>
            </w:r>
          </w:p>
        </w:tc>
      </w:tr>
      <w:tr w:rsidR="00EE58F2" w:rsidRPr="00EE58F2" w14:paraId="4BAEA1F9" w14:textId="77777777" w:rsidTr="00DD5FF4">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F7DFEDA" w14:textId="0D9C6A95"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Voluntary </w:t>
            </w:r>
            <w:r w:rsidR="00273361">
              <w:t>c</w:t>
            </w:r>
            <w:r w:rsidRPr="00EE58F2">
              <w:t>ontributions</w:t>
            </w:r>
          </w:p>
        </w:tc>
        <w:tc>
          <w:tcPr>
            <w:tcW w:w="1147" w:type="dxa"/>
            <w:tcBorders>
              <w:top w:val="nil"/>
              <w:left w:val="nil"/>
              <w:bottom w:val="single" w:sz="4" w:space="0" w:color="auto"/>
              <w:right w:val="single" w:sz="4" w:space="0" w:color="auto"/>
            </w:tcBorders>
            <w:shd w:val="clear" w:color="auto" w:fill="auto"/>
            <w:vAlign w:val="bottom"/>
            <w:hideMark/>
          </w:tcPr>
          <w:p w14:paraId="2FA6DA8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13.8</w:t>
            </w:r>
          </w:p>
        </w:tc>
        <w:tc>
          <w:tcPr>
            <w:tcW w:w="1147" w:type="dxa"/>
            <w:tcBorders>
              <w:top w:val="nil"/>
              <w:left w:val="nil"/>
              <w:bottom w:val="single" w:sz="4" w:space="0" w:color="auto"/>
              <w:right w:val="single" w:sz="4" w:space="0" w:color="auto"/>
            </w:tcBorders>
            <w:shd w:val="clear" w:color="auto" w:fill="auto"/>
            <w:vAlign w:val="bottom"/>
            <w:hideMark/>
          </w:tcPr>
          <w:p w14:paraId="2F1AEF2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14</w:t>
            </w:r>
          </w:p>
        </w:tc>
        <w:tc>
          <w:tcPr>
            <w:tcW w:w="1147" w:type="dxa"/>
            <w:tcBorders>
              <w:top w:val="nil"/>
              <w:left w:val="nil"/>
              <w:bottom w:val="single" w:sz="4" w:space="0" w:color="auto"/>
              <w:right w:val="single" w:sz="4" w:space="0" w:color="auto"/>
            </w:tcBorders>
            <w:shd w:val="clear" w:color="auto" w:fill="auto"/>
            <w:vAlign w:val="bottom"/>
            <w:hideMark/>
          </w:tcPr>
          <w:p w14:paraId="37563B4F"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10.8</w:t>
            </w:r>
          </w:p>
        </w:tc>
        <w:tc>
          <w:tcPr>
            <w:tcW w:w="1147" w:type="dxa"/>
            <w:tcBorders>
              <w:top w:val="nil"/>
              <w:left w:val="nil"/>
              <w:bottom w:val="single" w:sz="4" w:space="0" w:color="auto"/>
              <w:right w:val="single" w:sz="4" w:space="0" w:color="auto"/>
            </w:tcBorders>
            <w:shd w:val="clear" w:color="auto" w:fill="auto"/>
            <w:vAlign w:val="bottom"/>
            <w:hideMark/>
          </w:tcPr>
          <w:p w14:paraId="022E14C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19.9</w:t>
            </w:r>
          </w:p>
        </w:tc>
        <w:tc>
          <w:tcPr>
            <w:tcW w:w="1147" w:type="dxa"/>
            <w:tcBorders>
              <w:top w:val="nil"/>
              <w:left w:val="nil"/>
              <w:bottom w:val="single" w:sz="4" w:space="0" w:color="auto"/>
              <w:right w:val="single" w:sz="4" w:space="0" w:color="auto"/>
            </w:tcBorders>
            <w:shd w:val="clear" w:color="auto" w:fill="auto"/>
            <w:vAlign w:val="bottom"/>
            <w:hideMark/>
          </w:tcPr>
          <w:p w14:paraId="3CDED56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12.8</w:t>
            </w:r>
          </w:p>
        </w:tc>
      </w:tr>
    </w:tbl>
    <w:p w14:paraId="65E5E785" w14:textId="37BBB348" w:rsidR="00EE58F2" w:rsidRPr="00EE58F2" w:rsidRDefault="00D91304" w:rsidP="00D91304">
      <w:pPr>
        <w:tabs>
          <w:tab w:val="clear" w:pos="567"/>
          <w:tab w:val="clear" w:pos="1134"/>
          <w:tab w:val="clear" w:pos="1701"/>
          <w:tab w:val="clear" w:pos="2268"/>
          <w:tab w:val="clear" w:pos="2835"/>
        </w:tabs>
        <w:overflowPunct/>
        <w:autoSpaceDE/>
        <w:autoSpaceDN/>
        <w:adjustRightInd/>
        <w:spacing w:before="360" w:after="120"/>
        <w:ind w:left="284"/>
        <w:jc w:val="both"/>
        <w:textAlignment w:val="auto"/>
      </w:pPr>
      <w:r>
        <w:rPr>
          <w:b/>
          <w:bCs/>
          <w:lang w:val="en-US"/>
        </w:rPr>
        <w:t>b</w:t>
      </w:r>
      <w:r w:rsidR="00EE58F2" w:rsidRPr="00EE58F2">
        <w:rPr>
          <w:b/>
          <w:bCs/>
          <w:lang w:val="en-US"/>
        </w:rPr>
        <w:t>.</w:t>
      </w:r>
      <w:r w:rsidR="001A4795">
        <w:rPr>
          <w:b/>
          <w:bCs/>
          <w:lang w:val="en-US"/>
        </w:rPr>
        <w:tab/>
      </w:r>
      <w:r w:rsidR="00EE58F2" w:rsidRPr="00EE58F2">
        <w:rPr>
          <w:b/>
          <w:bCs/>
          <w:lang w:val="en-US"/>
        </w:rPr>
        <w:t>Overview of extra-budgetary funding</w:t>
      </w:r>
    </w:p>
    <w:p w14:paraId="3FEFD9AB" w14:textId="5E941E7E"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In 2022, </w:t>
      </w:r>
      <w:r w:rsidR="001A4795">
        <w:rPr>
          <w:lang w:val="en-US"/>
        </w:rPr>
        <w:t>a total of</w:t>
      </w:r>
      <w:r w:rsidRPr="00EE58F2">
        <w:rPr>
          <w:lang w:val="en-US"/>
        </w:rPr>
        <w:t xml:space="preserve"> CHF</w:t>
      </w:r>
      <w:r w:rsidR="001A4795">
        <w:rPr>
          <w:lang w:val="en-US"/>
        </w:rPr>
        <w:t> </w:t>
      </w:r>
      <w:r w:rsidRPr="00EE58F2">
        <w:rPr>
          <w:lang w:val="en-US"/>
        </w:rPr>
        <w:t>12.8</w:t>
      </w:r>
      <w:r w:rsidR="001A4795">
        <w:rPr>
          <w:lang w:val="en-US"/>
        </w:rPr>
        <w:t> </w:t>
      </w:r>
      <w:r w:rsidRPr="00EE58F2">
        <w:rPr>
          <w:lang w:val="en-US"/>
        </w:rPr>
        <w:t>million was received as extra-budgetary funding</w:t>
      </w:r>
      <w:r w:rsidR="00273361">
        <w:rPr>
          <w:lang w:val="en-US"/>
        </w:rPr>
        <w:t>, of which</w:t>
      </w:r>
      <w:r w:rsidRPr="00EE58F2">
        <w:rPr>
          <w:lang w:val="en-US"/>
        </w:rPr>
        <w:t xml:space="preserve"> 56</w:t>
      </w:r>
      <w:r w:rsidR="001A4795">
        <w:rPr>
          <w:lang w:val="en-US"/>
        </w:rPr>
        <w:t xml:space="preserve"> per cent</w:t>
      </w:r>
      <w:r w:rsidRPr="00EE58F2">
        <w:rPr>
          <w:lang w:val="en-US"/>
        </w:rPr>
        <w:t xml:space="preserve"> was received for projects</w:t>
      </w:r>
      <w:r w:rsidRPr="00EE58F2">
        <w:t>, 19</w:t>
      </w:r>
      <w:r w:rsidR="001A4795">
        <w:t xml:space="preserve"> per cent</w:t>
      </w:r>
      <w:r w:rsidRPr="00EE58F2">
        <w:t xml:space="preserve"> </w:t>
      </w:r>
      <w:r w:rsidR="00273361">
        <w:t>f</w:t>
      </w:r>
      <w:r w:rsidRPr="00EE58F2">
        <w:t>o</w:t>
      </w:r>
      <w:r w:rsidR="00273361">
        <w:t>r</w:t>
      </w:r>
      <w:r w:rsidRPr="00EE58F2">
        <w:t xml:space="preserve"> staff-related </w:t>
      </w:r>
      <w:r w:rsidR="003E2239">
        <w:t>reasons</w:t>
      </w:r>
      <w:r w:rsidR="003E2239" w:rsidRPr="00EE58F2">
        <w:t xml:space="preserve"> </w:t>
      </w:r>
      <w:r w:rsidRPr="00EE58F2">
        <w:t xml:space="preserve">such as </w:t>
      </w:r>
      <w:r w:rsidRPr="00EE58F2">
        <w:rPr>
          <w:lang w:val="en-US"/>
        </w:rPr>
        <w:t>secondment or loan, 15</w:t>
      </w:r>
      <w:r w:rsidR="001A4795">
        <w:rPr>
          <w:lang w:val="en-US"/>
        </w:rPr>
        <w:t> per cent</w:t>
      </w:r>
      <w:r w:rsidRPr="00EE58F2">
        <w:rPr>
          <w:lang w:val="en-US"/>
        </w:rPr>
        <w:t xml:space="preserve"> for event-related sponsorship (mainly AI for Good, WSIS, Broadband Commission</w:t>
      </w:r>
      <w:r w:rsidR="00273361">
        <w:rPr>
          <w:lang w:val="en-US"/>
        </w:rPr>
        <w:t xml:space="preserve"> and</w:t>
      </w:r>
      <w:r w:rsidRPr="00EE58F2">
        <w:rPr>
          <w:lang w:val="en-US"/>
        </w:rPr>
        <w:t xml:space="preserve"> youth summit) and 10 </w:t>
      </w:r>
      <w:r w:rsidR="001A4795">
        <w:rPr>
          <w:lang w:val="en-US"/>
        </w:rPr>
        <w:t>per cent</w:t>
      </w:r>
      <w:r w:rsidRPr="00EE58F2">
        <w:rPr>
          <w:lang w:val="en-US"/>
        </w:rPr>
        <w:t xml:space="preserve"> for other contributions. </w:t>
      </w:r>
    </w:p>
    <w:p w14:paraId="5C855B14" w14:textId="5DF384EC" w:rsidR="00EE58F2" w:rsidRPr="00EE58F2" w:rsidRDefault="00EE58F2" w:rsidP="1DB9ED11">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1DB9ED11">
        <w:rPr>
          <w:lang w:val="en-US"/>
        </w:rPr>
        <w:t>Extra-budgetary funding represent</w:t>
      </w:r>
      <w:r w:rsidR="00273361">
        <w:rPr>
          <w:lang w:val="en-US"/>
        </w:rPr>
        <w:t>ed</w:t>
      </w:r>
      <w:r w:rsidRPr="1DB9ED11">
        <w:rPr>
          <w:lang w:val="en-US"/>
        </w:rPr>
        <w:t xml:space="preserve"> a</w:t>
      </w:r>
      <w:r w:rsidR="00273361">
        <w:rPr>
          <w:lang w:val="en-US"/>
        </w:rPr>
        <w:t>pproximately</w:t>
      </w:r>
      <w:r w:rsidRPr="1DB9ED11">
        <w:rPr>
          <w:lang w:val="en-US"/>
        </w:rPr>
        <w:t xml:space="preserve"> 8 </w:t>
      </w:r>
      <w:r w:rsidR="001A4795" w:rsidRPr="1DB9ED11">
        <w:rPr>
          <w:lang w:val="en-US"/>
        </w:rPr>
        <w:t>per cent</w:t>
      </w:r>
      <w:r w:rsidRPr="1DB9ED11">
        <w:rPr>
          <w:lang w:val="en-US"/>
        </w:rPr>
        <w:t xml:space="preserve"> of total revenues in 2022. This </w:t>
      </w:r>
      <w:r w:rsidR="00273361">
        <w:rPr>
          <w:lang w:val="en-US"/>
        </w:rPr>
        <w:t>share</w:t>
      </w:r>
      <w:r w:rsidRPr="1DB9ED11">
        <w:rPr>
          <w:lang w:val="en-US"/>
        </w:rPr>
        <w:t xml:space="preserve"> is small </w:t>
      </w:r>
      <w:r w:rsidR="00273361">
        <w:rPr>
          <w:lang w:val="en-US"/>
        </w:rPr>
        <w:t xml:space="preserve">compared </w:t>
      </w:r>
      <w:r w:rsidRPr="1DB9ED11">
        <w:rPr>
          <w:lang w:val="en-US"/>
        </w:rPr>
        <w:t xml:space="preserve">to </w:t>
      </w:r>
      <w:r w:rsidR="00273361">
        <w:rPr>
          <w:lang w:val="en-US"/>
        </w:rPr>
        <w:t xml:space="preserve">that of </w:t>
      </w:r>
      <w:r w:rsidRPr="1DB9ED11">
        <w:rPr>
          <w:lang w:val="en-US"/>
        </w:rPr>
        <w:t>many other U</w:t>
      </w:r>
      <w:r w:rsidR="00273361">
        <w:rPr>
          <w:lang w:val="en-US"/>
        </w:rPr>
        <w:t xml:space="preserve">nited </w:t>
      </w:r>
      <w:r w:rsidRPr="1DB9ED11">
        <w:rPr>
          <w:lang w:val="en-US"/>
        </w:rPr>
        <w:t>N</w:t>
      </w:r>
      <w:r w:rsidR="00273361">
        <w:rPr>
          <w:lang w:val="en-US"/>
        </w:rPr>
        <w:t>ations</w:t>
      </w:r>
      <w:r w:rsidRPr="1DB9ED11">
        <w:rPr>
          <w:lang w:val="en-US"/>
        </w:rPr>
        <w:t xml:space="preserve"> agencies, including </w:t>
      </w:r>
      <w:r w:rsidR="69FA7EEC" w:rsidRPr="1DB9ED11">
        <w:rPr>
          <w:lang w:val="en-US"/>
        </w:rPr>
        <w:t xml:space="preserve">other </w:t>
      </w:r>
      <w:r w:rsidRPr="1DB9ED11">
        <w:rPr>
          <w:lang w:val="en-US"/>
        </w:rPr>
        <w:t xml:space="preserve">specialized agencies </w:t>
      </w:r>
      <w:r w:rsidR="70611550" w:rsidRPr="1DB9ED11">
        <w:rPr>
          <w:lang w:val="en-US"/>
        </w:rPr>
        <w:t xml:space="preserve">that </w:t>
      </w:r>
      <w:r w:rsidRPr="1DB9ED11">
        <w:rPr>
          <w:lang w:val="en-US"/>
        </w:rPr>
        <w:t>rely mainly on assessed contributions.</w:t>
      </w:r>
    </w:p>
    <w:p w14:paraId="4C0DF5E3" w14:textId="067A9470"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EE58F2">
        <w:rPr>
          <w:lang w:val="en-US"/>
        </w:rPr>
        <w:t>In 2022, extra-budgetary funding was distributed across ITU</w:t>
      </w:r>
      <w:r w:rsidR="00BF56EF">
        <w:rPr>
          <w:lang w:val="en-US"/>
        </w:rPr>
        <w:t>,</w:t>
      </w:r>
      <w:r w:rsidRPr="00EE58F2">
        <w:rPr>
          <w:lang w:val="en-US"/>
        </w:rPr>
        <w:t xml:space="preserve"> with BDT receiving 64</w:t>
      </w:r>
      <w:r w:rsidR="001A4795">
        <w:rPr>
          <w:lang w:val="en-US"/>
        </w:rPr>
        <w:t> per cent</w:t>
      </w:r>
      <w:r w:rsidRPr="00EE58F2">
        <w:rPr>
          <w:lang w:val="en-US"/>
        </w:rPr>
        <w:t>, TSB 18</w:t>
      </w:r>
      <w:r w:rsidR="001A4795">
        <w:rPr>
          <w:lang w:val="en-US"/>
        </w:rPr>
        <w:t xml:space="preserve"> per cent</w:t>
      </w:r>
      <w:r w:rsidRPr="00EE58F2">
        <w:rPr>
          <w:lang w:val="en-US"/>
        </w:rPr>
        <w:t>, BR 2</w:t>
      </w:r>
      <w:r w:rsidR="001A4795">
        <w:rPr>
          <w:lang w:val="en-US"/>
        </w:rPr>
        <w:t xml:space="preserve"> per cent</w:t>
      </w:r>
      <w:r w:rsidRPr="00EE58F2">
        <w:rPr>
          <w:lang w:val="en-US"/>
        </w:rPr>
        <w:t xml:space="preserve"> and </w:t>
      </w:r>
      <w:r w:rsidR="00BF56EF">
        <w:rPr>
          <w:lang w:val="en-US"/>
        </w:rPr>
        <w:t xml:space="preserve">the </w:t>
      </w:r>
      <w:r w:rsidRPr="00EE58F2">
        <w:rPr>
          <w:lang w:val="en-US"/>
        </w:rPr>
        <w:t>G</w:t>
      </w:r>
      <w:r w:rsidR="00BF56EF">
        <w:rPr>
          <w:lang w:val="en-US"/>
        </w:rPr>
        <w:t xml:space="preserve">eneral </w:t>
      </w:r>
      <w:r w:rsidRPr="00EE58F2">
        <w:rPr>
          <w:lang w:val="en-US"/>
        </w:rPr>
        <w:t>S</w:t>
      </w:r>
      <w:r w:rsidR="00BF56EF">
        <w:rPr>
          <w:lang w:val="en-US"/>
        </w:rPr>
        <w:t>ecretariat</w:t>
      </w:r>
      <w:r w:rsidRPr="00EE58F2">
        <w:rPr>
          <w:lang w:val="en-US"/>
        </w:rPr>
        <w:t xml:space="preserve"> 16</w:t>
      </w:r>
      <w:r w:rsidR="001A4795">
        <w:rPr>
          <w:lang w:val="en-US"/>
        </w:rPr>
        <w:t xml:space="preserve"> per cent</w:t>
      </w:r>
      <w:r w:rsidRPr="00EE58F2">
        <w:rPr>
          <w:lang w:val="en-US"/>
        </w:rPr>
        <w:t xml:space="preserve">. The list of top donors for 2022 is available in </w:t>
      </w:r>
      <w:hyperlink w:anchor="Annex_1" w:history="1">
        <w:r w:rsidRPr="00EE58F2">
          <w:rPr>
            <w:rStyle w:val="Hyperlink"/>
            <w:lang w:val="en-US"/>
          </w:rPr>
          <w:t>Annex 1</w:t>
        </w:r>
      </w:hyperlink>
      <w:r w:rsidR="00D91304">
        <w:rPr>
          <w:b/>
          <w:bCs/>
          <w:lang w:val="en-US"/>
        </w:rPr>
        <w:t xml:space="preserve"> </w:t>
      </w:r>
      <w:r w:rsidR="00D91304" w:rsidRPr="00D91304">
        <w:rPr>
          <w:lang w:val="en-US"/>
        </w:rPr>
        <w:t>hereto</w:t>
      </w:r>
      <w:r w:rsidRPr="00EE58F2">
        <w:rPr>
          <w:lang w:val="en-US"/>
        </w:rPr>
        <w:t>.</w:t>
      </w:r>
    </w:p>
    <w:p w14:paraId="428A3DC0" w14:textId="37115836"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1DB9ED11">
        <w:rPr>
          <w:lang w:val="en-US"/>
        </w:rPr>
        <w:t>In 2022,</w:t>
      </w:r>
      <w:r w:rsidRPr="1DB9ED11">
        <w:rPr>
          <w:b/>
          <w:bCs/>
          <w:lang w:val="en-US"/>
        </w:rPr>
        <w:t xml:space="preserve"> </w:t>
      </w:r>
      <w:r w:rsidRPr="1DB9ED11">
        <w:rPr>
          <w:lang w:val="en-US"/>
        </w:rPr>
        <w:t>65</w:t>
      </w:r>
      <w:r w:rsidR="00D91304" w:rsidRPr="1DB9ED11">
        <w:rPr>
          <w:lang w:val="en-US"/>
        </w:rPr>
        <w:t xml:space="preserve"> per cent</w:t>
      </w:r>
      <w:r w:rsidRPr="1DB9ED11">
        <w:rPr>
          <w:lang w:val="en-US"/>
        </w:rPr>
        <w:t xml:space="preserve"> of extra-budgetary funding representing CHF</w:t>
      </w:r>
      <w:r w:rsidR="00D91304" w:rsidRPr="1DB9ED11">
        <w:rPr>
          <w:lang w:val="en-US"/>
        </w:rPr>
        <w:t> </w:t>
      </w:r>
      <w:r w:rsidRPr="1DB9ED11">
        <w:rPr>
          <w:lang w:val="en-US"/>
        </w:rPr>
        <w:t>8.4</w:t>
      </w:r>
      <w:r w:rsidR="00D91304" w:rsidRPr="1DB9ED11">
        <w:rPr>
          <w:lang w:val="en-US"/>
        </w:rPr>
        <w:t> </w:t>
      </w:r>
      <w:r w:rsidRPr="1DB9ED11">
        <w:rPr>
          <w:lang w:val="en-US"/>
        </w:rPr>
        <w:t>million came from Member States</w:t>
      </w:r>
      <w:r w:rsidR="00BF56EF">
        <w:rPr>
          <w:lang w:val="en-US"/>
        </w:rPr>
        <w:t>,</w:t>
      </w:r>
      <w:r w:rsidRPr="1DB9ED11">
        <w:rPr>
          <w:lang w:val="en-US"/>
        </w:rPr>
        <w:t xml:space="preserve"> </w:t>
      </w:r>
      <w:r w:rsidR="00BF56EF">
        <w:rPr>
          <w:lang w:val="en-US"/>
        </w:rPr>
        <w:t xml:space="preserve">of which </w:t>
      </w:r>
      <w:r w:rsidRPr="1DB9ED11">
        <w:rPr>
          <w:lang w:val="en-US"/>
        </w:rPr>
        <w:t>a high share</w:t>
      </w:r>
      <w:r w:rsidR="00BF56EF">
        <w:rPr>
          <w:lang w:val="en-US"/>
        </w:rPr>
        <w:t xml:space="preserve">, some </w:t>
      </w:r>
      <w:r w:rsidRPr="1DB9ED11">
        <w:rPr>
          <w:lang w:val="en-US"/>
        </w:rPr>
        <w:t>CHF</w:t>
      </w:r>
      <w:r w:rsidR="00D91304" w:rsidRPr="1DB9ED11">
        <w:rPr>
          <w:lang w:val="en-US"/>
        </w:rPr>
        <w:t> </w:t>
      </w:r>
      <w:r w:rsidRPr="1DB9ED11">
        <w:rPr>
          <w:lang w:val="en-US"/>
        </w:rPr>
        <w:t>3.8</w:t>
      </w:r>
      <w:r w:rsidR="00D91304" w:rsidRPr="1DB9ED11">
        <w:rPr>
          <w:lang w:val="en-US"/>
        </w:rPr>
        <w:t> </w:t>
      </w:r>
      <w:r w:rsidRPr="1DB9ED11">
        <w:rPr>
          <w:lang w:val="en-US"/>
        </w:rPr>
        <w:t>million</w:t>
      </w:r>
      <w:r w:rsidR="00BF56EF">
        <w:rPr>
          <w:lang w:val="en-US"/>
        </w:rPr>
        <w:t>, came</w:t>
      </w:r>
      <w:r w:rsidRPr="1DB9ED11">
        <w:rPr>
          <w:lang w:val="en-US"/>
        </w:rPr>
        <w:t xml:space="preserve"> from national development agencies </w:t>
      </w:r>
      <w:r w:rsidR="436A8D43" w:rsidRPr="1DB9ED11">
        <w:rPr>
          <w:lang w:val="en-US"/>
        </w:rPr>
        <w:t xml:space="preserve">and </w:t>
      </w:r>
      <w:r w:rsidR="00BF56EF" w:rsidRPr="1DB9ED11">
        <w:rPr>
          <w:lang w:val="en-US"/>
        </w:rPr>
        <w:t xml:space="preserve">ministries </w:t>
      </w:r>
      <w:r w:rsidR="00BF56EF">
        <w:rPr>
          <w:lang w:val="en-US"/>
        </w:rPr>
        <w:t xml:space="preserve">of </w:t>
      </w:r>
      <w:r w:rsidRPr="1DB9ED11">
        <w:rPr>
          <w:lang w:val="en-US"/>
        </w:rPr>
        <w:t>foreign affairs.</w:t>
      </w:r>
      <w:r w:rsidRPr="1DB9ED11">
        <w:rPr>
          <w:b/>
          <w:bCs/>
          <w:lang w:val="en-US"/>
        </w:rPr>
        <w:t xml:space="preserve"> </w:t>
      </w:r>
      <w:r w:rsidRPr="1DB9ED11">
        <w:rPr>
          <w:lang w:val="en-US"/>
        </w:rPr>
        <w:t xml:space="preserve">There is </w:t>
      </w:r>
      <w:r w:rsidR="00BF56EF">
        <w:rPr>
          <w:lang w:val="en-US"/>
        </w:rPr>
        <w:t>the</w:t>
      </w:r>
      <w:r w:rsidR="00BF56EF" w:rsidRPr="1DB9ED11">
        <w:rPr>
          <w:lang w:val="en-US"/>
        </w:rPr>
        <w:t xml:space="preserve"> </w:t>
      </w:r>
      <w:r w:rsidRPr="1DB9ED11">
        <w:rPr>
          <w:lang w:val="en-US"/>
        </w:rPr>
        <w:t>potential to deepen collaboration with</w:t>
      </w:r>
      <w:r>
        <w:t xml:space="preserve"> </w:t>
      </w:r>
      <w:r w:rsidR="00BF56EF">
        <w:rPr>
          <w:lang w:val="en-US"/>
        </w:rPr>
        <w:t>o</w:t>
      </w:r>
      <w:r w:rsidRPr="1DB9ED11">
        <w:rPr>
          <w:lang w:val="en-US"/>
        </w:rPr>
        <w:t xml:space="preserve">fficial </w:t>
      </w:r>
      <w:r w:rsidR="00BF56EF">
        <w:rPr>
          <w:lang w:val="en-US"/>
        </w:rPr>
        <w:t>d</w:t>
      </w:r>
      <w:r w:rsidRPr="1DB9ED11">
        <w:rPr>
          <w:lang w:val="en-US"/>
        </w:rPr>
        <w:t xml:space="preserve">evelopment </w:t>
      </w:r>
      <w:r w:rsidR="00BF56EF">
        <w:rPr>
          <w:lang w:val="en-US"/>
        </w:rPr>
        <w:t>a</w:t>
      </w:r>
      <w:r w:rsidRPr="1DB9ED11">
        <w:rPr>
          <w:lang w:val="en-US"/>
        </w:rPr>
        <w:t xml:space="preserve">ssistance (ODA) organizations on projects and technical aid, as ITU </w:t>
      </w:r>
      <w:r w:rsidR="003E2239">
        <w:rPr>
          <w:lang w:val="en-US"/>
        </w:rPr>
        <w:t xml:space="preserve">has </w:t>
      </w:r>
      <w:r w:rsidRPr="1DB9ED11">
        <w:rPr>
          <w:lang w:val="en-US"/>
        </w:rPr>
        <w:t>work</w:t>
      </w:r>
      <w:r w:rsidR="003E2239">
        <w:rPr>
          <w:lang w:val="en-US"/>
        </w:rPr>
        <w:t>ed</w:t>
      </w:r>
      <w:r w:rsidRPr="1DB9ED11">
        <w:rPr>
          <w:lang w:val="en-US"/>
        </w:rPr>
        <w:t xml:space="preserve"> with only a few</w:t>
      </w:r>
      <w:r w:rsidR="00BF56EF" w:rsidRPr="00BF56EF">
        <w:rPr>
          <w:lang w:val="en-US"/>
        </w:rPr>
        <w:t xml:space="preserve"> </w:t>
      </w:r>
      <w:r w:rsidR="00BF56EF" w:rsidRPr="1DB9ED11">
        <w:rPr>
          <w:lang w:val="en-US"/>
        </w:rPr>
        <w:t>to date</w:t>
      </w:r>
      <w:r w:rsidRPr="1DB9ED11">
        <w:rPr>
          <w:lang w:val="en-US"/>
        </w:rPr>
        <w:t>. See</w:t>
      </w:r>
      <w:r w:rsidRPr="1DB9ED11">
        <w:rPr>
          <w:b/>
          <w:bCs/>
          <w:lang w:val="en-US"/>
        </w:rPr>
        <w:t xml:space="preserve"> </w:t>
      </w:r>
      <w:hyperlink w:anchor="Annex_2">
        <w:r w:rsidRPr="1DB9ED11">
          <w:rPr>
            <w:rStyle w:val="Hyperlink"/>
            <w:lang w:val="en-US"/>
          </w:rPr>
          <w:t>Annex 2</w:t>
        </w:r>
      </w:hyperlink>
      <w:r w:rsidR="00D91304" w:rsidRPr="1DB9ED11">
        <w:rPr>
          <w:lang w:val="en-US"/>
        </w:rPr>
        <w:t xml:space="preserve"> hereto</w:t>
      </w:r>
      <w:r w:rsidRPr="1DB9ED11">
        <w:rPr>
          <w:lang w:val="en-US"/>
        </w:rPr>
        <w:t>.</w:t>
      </w:r>
    </w:p>
    <w:p w14:paraId="7538D400" w14:textId="539ADCFC"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In terms of private</w:t>
      </w:r>
      <w:r w:rsidR="00BF56EF">
        <w:rPr>
          <w:lang w:val="en-US"/>
        </w:rPr>
        <w:t>-</w:t>
      </w:r>
      <w:r w:rsidRPr="00EE58F2">
        <w:rPr>
          <w:lang w:val="en-US"/>
        </w:rPr>
        <w:t>sector extra-budgetary contributions, ITU mobilized CHF</w:t>
      </w:r>
      <w:r w:rsidR="00D91304">
        <w:rPr>
          <w:lang w:val="en-US"/>
        </w:rPr>
        <w:t> </w:t>
      </w:r>
      <w:r w:rsidRPr="00EE58F2">
        <w:rPr>
          <w:lang w:val="en-US"/>
        </w:rPr>
        <w:t>1.9</w:t>
      </w:r>
      <w:r w:rsidR="00D91304">
        <w:rPr>
          <w:lang w:val="en-US"/>
        </w:rPr>
        <w:t> million</w:t>
      </w:r>
      <w:r w:rsidRPr="00EE58F2">
        <w:rPr>
          <w:lang w:val="en-US"/>
        </w:rPr>
        <w:t xml:space="preserve"> from industry (</w:t>
      </w:r>
      <w:r w:rsidR="007F690D">
        <w:rPr>
          <w:lang w:val="en-US"/>
        </w:rPr>
        <w:t>M</w:t>
      </w:r>
      <w:r w:rsidRPr="00EE58F2">
        <w:rPr>
          <w:lang w:val="en-US"/>
        </w:rPr>
        <w:t>ember</w:t>
      </w:r>
      <w:r w:rsidR="00D91304">
        <w:rPr>
          <w:lang w:val="en-US"/>
        </w:rPr>
        <w:t>s</w:t>
      </w:r>
      <w:r w:rsidRPr="00EE58F2">
        <w:rPr>
          <w:lang w:val="en-US"/>
        </w:rPr>
        <w:t xml:space="preserve"> and non-member</w:t>
      </w:r>
      <w:r w:rsidR="00D91304">
        <w:rPr>
          <w:lang w:val="en-US"/>
        </w:rPr>
        <w:t>s</w:t>
      </w:r>
      <w:r w:rsidRPr="00EE58F2">
        <w:rPr>
          <w:lang w:val="en-US"/>
        </w:rPr>
        <w:t>) in 2022</w:t>
      </w:r>
      <w:r w:rsidR="00BF56EF">
        <w:rPr>
          <w:lang w:val="en-US"/>
        </w:rPr>
        <w:t>,</w:t>
      </w:r>
      <w:r w:rsidRPr="00EE58F2">
        <w:rPr>
          <w:lang w:val="en-US"/>
        </w:rPr>
        <w:t xml:space="preserve"> represent</w:t>
      </w:r>
      <w:r w:rsidR="00BF56EF">
        <w:rPr>
          <w:lang w:val="en-US"/>
        </w:rPr>
        <w:t>ing</w:t>
      </w:r>
      <w:r w:rsidRPr="00EE58F2">
        <w:rPr>
          <w:lang w:val="en-US"/>
        </w:rPr>
        <w:t xml:space="preserve"> 15</w:t>
      </w:r>
      <w:r w:rsidR="00D91304">
        <w:rPr>
          <w:lang w:val="en-US"/>
        </w:rPr>
        <w:t xml:space="preserve"> per cent</w:t>
      </w:r>
      <w:r w:rsidRPr="00EE58F2">
        <w:rPr>
          <w:lang w:val="en-US"/>
        </w:rPr>
        <w:t xml:space="preserve"> of extra-budgetary funding. The biggest donors from the private sector in 2022 were Huawei, ZTE</w:t>
      </w:r>
      <w:r w:rsidR="00D91304">
        <w:rPr>
          <w:lang w:val="en-US"/>
        </w:rPr>
        <w:t xml:space="preserve"> Corporation</w:t>
      </w:r>
      <w:r w:rsidRPr="00EE58F2">
        <w:rPr>
          <w:lang w:val="en-US"/>
        </w:rPr>
        <w:t xml:space="preserve">, </w:t>
      </w:r>
      <w:r w:rsidRPr="00EE58F2">
        <w:rPr>
          <w:lang w:val="en-US"/>
        </w:rPr>
        <w:lastRenderedPageBreak/>
        <w:t xml:space="preserve">Microsoft, Meta, Technology Innovation </w:t>
      </w:r>
      <w:proofErr w:type="gramStart"/>
      <w:r w:rsidRPr="00EE58F2">
        <w:rPr>
          <w:lang w:val="en-US"/>
        </w:rPr>
        <w:t>Institute</w:t>
      </w:r>
      <w:proofErr w:type="gramEnd"/>
      <w:r w:rsidR="00BF56EF">
        <w:rPr>
          <w:lang w:val="en-US"/>
        </w:rPr>
        <w:t xml:space="preserve"> and</w:t>
      </w:r>
      <w:r w:rsidRPr="00EE58F2">
        <w:rPr>
          <w:lang w:val="en-US"/>
        </w:rPr>
        <w:t xml:space="preserve"> IBM, each providing at least CHF</w:t>
      </w:r>
      <w:r w:rsidR="00D91304">
        <w:rPr>
          <w:lang w:val="en-US"/>
        </w:rPr>
        <w:t> </w:t>
      </w:r>
      <w:r w:rsidR="00BF56EF" w:rsidRPr="00EE58F2">
        <w:rPr>
          <w:lang w:val="en-US"/>
        </w:rPr>
        <w:t>150</w:t>
      </w:r>
      <w:r w:rsidR="00BF56EF">
        <w:rPr>
          <w:lang w:val="en-US"/>
        </w:rPr>
        <w:t> 000</w:t>
      </w:r>
      <w:r w:rsidRPr="00EE58F2">
        <w:rPr>
          <w:lang w:val="en-US"/>
        </w:rPr>
        <w:t>.</w:t>
      </w:r>
    </w:p>
    <w:p w14:paraId="07CD669C" w14:textId="07B6B438"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ITU currently does not raise very significant funding from foundations. Recent contributions have come from </w:t>
      </w:r>
      <w:r w:rsidR="00BF56EF">
        <w:rPr>
          <w:lang w:val="en-US"/>
        </w:rPr>
        <w:t xml:space="preserve">the </w:t>
      </w:r>
      <w:proofErr w:type="spellStart"/>
      <w:r w:rsidRPr="00EE58F2">
        <w:rPr>
          <w:lang w:val="en-US"/>
        </w:rPr>
        <w:t>Botnar</w:t>
      </w:r>
      <w:proofErr w:type="spellEnd"/>
      <w:r w:rsidRPr="00EE58F2">
        <w:rPr>
          <w:lang w:val="en-US"/>
        </w:rPr>
        <w:t xml:space="preserve"> Foundation (CHF</w:t>
      </w:r>
      <w:r w:rsidR="00D91304">
        <w:rPr>
          <w:lang w:val="en-US"/>
        </w:rPr>
        <w:t> </w:t>
      </w:r>
      <w:r w:rsidRPr="00EE58F2">
        <w:rPr>
          <w:lang w:val="en-US"/>
        </w:rPr>
        <w:t>442</w:t>
      </w:r>
      <w:r w:rsidR="00BF56EF">
        <w:rPr>
          <w:lang w:val="en-US"/>
        </w:rPr>
        <w:t> 000</w:t>
      </w:r>
      <w:r w:rsidRPr="00EE58F2">
        <w:rPr>
          <w:lang w:val="en-US"/>
        </w:rPr>
        <w:t xml:space="preserve"> in 2022). </w:t>
      </w:r>
      <w:r w:rsidR="00ED1202" w:rsidRPr="00ED1202">
        <w:rPr>
          <w:lang w:val="en-US"/>
        </w:rPr>
        <w:t xml:space="preserve">This </w:t>
      </w:r>
      <w:r w:rsidR="00BF56EF">
        <w:rPr>
          <w:lang w:val="en-US"/>
        </w:rPr>
        <w:t>re</w:t>
      </w:r>
      <w:r w:rsidR="00ED1202" w:rsidRPr="00ED1202">
        <w:rPr>
          <w:lang w:val="en-US"/>
        </w:rPr>
        <w:t xml:space="preserve">presents an </w:t>
      </w:r>
      <w:r w:rsidR="00BF56EF">
        <w:rPr>
          <w:lang w:val="en-US"/>
        </w:rPr>
        <w:t xml:space="preserve">avenue </w:t>
      </w:r>
      <w:r w:rsidR="00ED1202" w:rsidRPr="00ED1202">
        <w:rPr>
          <w:lang w:val="en-US"/>
        </w:rPr>
        <w:t>for further exploration as ITU areas are of growing interest to foundations and philanthropic institutions.</w:t>
      </w:r>
    </w:p>
    <w:p w14:paraId="2F18103B" w14:textId="417C5D47"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lang w:val="en-US"/>
        </w:rPr>
      </w:pPr>
      <w:r w:rsidRPr="00EE58F2">
        <w:rPr>
          <w:b/>
          <w:bCs/>
          <w:lang w:val="en-US"/>
        </w:rPr>
        <w:t>2.2</w:t>
      </w:r>
      <w:r w:rsidR="00D91304">
        <w:rPr>
          <w:b/>
          <w:bCs/>
          <w:lang w:val="en-US"/>
        </w:rPr>
        <w:tab/>
      </w:r>
      <w:r w:rsidRPr="00EE58F2">
        <w:rPr>
          <w:b/>
          <w:lang w:val="en-US"/>
        </w:rPr>
        <w:t xml:space="preserve">Funding </w:t>
      </w:r>
      <w:r w:rsidR="00DA4C6A">
        <w:rPr>
          <w:b/>
          <w:lang w:val="en-US"/>
        </w:rPr>
        <w:t>m</w:t>
      </w:r>
      <w:r w:rsidRPr="00EE58F2">
        <w:rPr>
          <w:b/>
          <w:lang w:val="en-US"/>
        </w:rPr>
        <w:t>odels across the United Nation</w:t>
      </w:r>
      <w:r w:rsidR="00DA4C6A">
        <w:rPr>
          <w:b/>
          <w:lang w:val="en-US"/>
        </w:rPr>
        <w:t xml:space="preserve">s </w:t>
      </w:r>
      <w:r w:rsidRPr="00EE58F2">
        <w:rPr>
          <w:b/>
          <w:lang w:val="en-US"/>
        </w:rPr>
        <w:t>s</w:t>
      </w:r>
      <w:r w:rsidR="00DA4C6A">
        <w:rPr>
          <w:b/>
          <w:lang w:val="en-US"/>
        </w:rPr>
        <w:t>ystem</w:t>
      </w:r>
    </w:p>
    <w:p w14:paraId="493370A3" w14:textId="66EDA842" w:rsidR="00EE58F2" w:rsidRPr="00EE58F2" w:rsidRDefault="00BF56EF" w:rsidP="00FA37FB">
      <w:pPr>
        <w:tabs>
          <w:tab w:val="clear" w:pos="567"/>
          <w:tab w:val="clear" w:pos="1134"/>
          <w:tab w:val="clear" w:pos="1701"/>
          <w:tab w:val="clear" w:pos="2268"/>
          <w:tab w:val="clear" w:pos="2835"/>
        </w:tabs>
        <w:overflowPunct/>
        <w:autoSpaceDE/>
        <w:autoSpaceDN/>
        <w:adjustRightInd/>
        <w:spacing w:after="120"/>
        <w:jc w:val="both"/>
        <w:textAlignment w:val="auto"/>
      </w:pPr>
      <w:r>
        <w:rPr>
          <w:lang w:val="en-US"/>
        </w:rPr>
        <w:t>V</w:t>
      </w:r>
      <w:r w:rsidRPr="00EE58F2">
        <w:rPr>
          <w:lang w:val="en-US"/>
        </w:rPr>
        <w:t xml:space="preserve">ery different funding models exist </w:t>
      </w:r>
      <w:r>
        <w:rPr>
          <w:lang w:val="en-US"/>
        </w:rPr>
        <w:t>a</w:t>
      </w:r>
      <w:r w:rsidR="00EE58F2" w:rsidRPr="00EE58F2">
        <w:rPr>
          <w:lang w:val="en-US"/>
        </w:rPr>
        <w:t>cross the U</w:t>
      </w:r>
      <w:r w:rsidR="00D91304">
        <w:rPr>
          <w:lang w:val="en-US"/>
        </w:rPr>
        <w:t>nited Nations</w:t>
      </w:r>
      <w:r w:rsidR="00EE58F2" w:rsidRPr="00EE58F2">
        <w:rPr>
          <w:lang w:val="en-US"/>
        </w:rPr>
        <w:t xml:space="preserve"> system, </w:t>
      </w:r>
      <w:r>
        <w:rPr>
          <w:lang w:val="en-US"/>
        </w:rPr>
        <w:t>depending on</w:t>
      </w:r>
      <w:r w:rsidR="00EE58F2" w:rsidRPr="00EE58F2">
        <w:rPr>
          <w:lang w:val="en-US"/>
        </w:rPr>
        <w:t xml:space="preserve"> the different mandates and core activities of each organization. Some organizations</w:t>
      </w:r>
      <w:r>
        <w:rPr>
          <w:lang w:val="en-US"/>
        </w:rPr>
        <w:t>,</w:t>
      </w:r>
      <w:r w:rsidR="00EE58F2" w:rsidRPr="00EE58F2">
        <w:rPr>
          <w:lang w:val="en-US"/>
        </w:rPr>
        <w:t xml:space="preserve"> such as UNICEF, UNHCR and WFP</w:t>
      </w:r>
      <w:r>
        <w:rPr>
          <w:lang w:val="en-US"/>
        </w:rPr>
        <w:t>,</w:t>
      </w:r>
      <w:r w:rsidR="00EE58F2" w:rsidRPr="00EE58F2">
        <w:rPr>
          <w:lang w:val="en-US"/>
        </w:rPr>
        <w:t xml:space="preserve"> rely primarily on voluntary contributions which are mainly earmarked for specific projects and initiatives. Emergency</w:t>
      </w:r>
      <w:r>
        <w:rPr>
          <w:lang w:val="en-US"/>
        </w:rPr>
        <w:t>-</w:t>
      </w:r>
      <w:r w:rsidR="00EE58F2" w:rsidRPr="00EE58F2">
        <w:rPr>
          <w:lang w:val="en-US"/>
        </w:rPr>
        <w:t>related fundraising tends to account for a significant percentage of funds raised. These organizations have developed significant professional fundraising operations, seeking contributions from governments, the private sector, foundations, high</w:t>
      </w:r>
      <w:r>
        <w:rPr>
          <w:lang w:val="en-US"/>
        </w:rPr>
        <w:t>-</w:t>
      </w:r>
      <w:r w:rsidR="00EE58F2" w:rsidRPr="00EE58F2">
        <w:rPr>
          <w:lang w:val="en-US"/>
        </w:rPr>
        <w:t>net</w:t>
      </w:r>
      <w:r>
        <w:rPr>
          <w:lang w:val="en-US"/>
        </w:rPr>
        <w:t>-</w:t>
      </w:r>
      <w:r w:rsidR="00EE58F2" w:rsidRPr="00EE58F2">
        <w:rPr>
          <w:lang w:val="en-US"/>
        </w:rPr>
        <w:t xml:space="preserve">worth individuals and even the </w:t>
      </w:r>
      <w:proofErr w:type="gramStart"/>
      <w:r w:rsidR="00EE58F2" w:rsidRPr="00EE58F2">
        <w:rPr>
          <w:lang w:val="en-US"/>
        </w:rPr>
        <w:t>general public</w:t>
      </w:r>
      <w:proofErr w:type="gramEnd"/>
      <w:r w:rsidR="00EE58F2" w:rsidRPr="00EE58F2">
        <w:rPr>
          <w:lang w:val="en-US"/>
        </w:rPr>
        <w:t>.</w:t>
      </w:r>
    </w:p>
    <w:p w14:paraId="05DFE71D" w14:textId="6EFC3AC3" w:rsid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On the other hand, organizations </w:t>
      </w:r>
      <w:r w:rsidR="00BF56EF">
        <w:rPr>
          <w:lang w:val="en-US"/>
        </w:rPr>
        <w:t>such as</w:t>
      </w:r>
      <w:r w:rsidR="00BF56EF" w:rsidRPr="00EE58F2">
        <w:rPr>
          <w:lang w:val="en-US"/>
        </w:rPr>
        <w:t xml:space="preserve"> </w:t>
      </w:r>
      <w:r w:rsidRPr="00EE58F2">
        <w:rPr>
          <w:lang w:val="en-US"/>
        </w:rPr>
        <w:t>ITU, UPU, IAEA, ILO, IMO, UNESCO</w:t>
      </w:r>
      <w:r w:rsidR="00BF56EF">
        <w:rPr>
          <w:lang w:val="en-US"/>
        </w:rPr>
        <w:t xml:space="preserve"> and</w:t>
      </w:r>
      <w:r w:rsidRPr="00EE58F2">
        <w:rPr>
          <w:lang w:val="en-US"/>
        </w:rPr>
        <w:t xml:space="preserve"> WMO generally rely primarily on assessed contributions to fund their operations and implement agreed </w:t>
      </w:r>
      <w:proofErr w:type="spellStart"/>
      <w:r w:rsidRPr="00EE58F2">
        <w:rPr>
          <w:lang w:val="en-US"/>
        </w:rPr>
        <w:t>programmes</w:t>
      </w:r>
      <w:proofErr w:type="spellEnd"/>
      <w:r w:rsidRPr="00EE58F2">
        <w:rPr>
          <w:lang w:val="en-US"/>
        </w:rPr>
        <w:t xml:space="preserve"> of work, in some cases supplemented by voluntary contributions for projects and special initiatives. WIPO stands out as having developed a business model that generates </w:t>
      </w:r>
      <w:proofErr w:type="gramStart"/>
      <w:r w:rsidRPr="00EE58F2">
        <w:rPr>
          <w:lang w:val="en-US"/>
        </w:rPr>
        <w:t>the vast majority of</w:t>
      </w:r>
      <w:proofErr w:type="gramEnd"/>
      <w:r w:rsidRPr="00EE58F2">
        <w:rPr>
          <w:lang w:val="en-US"/>
        </w:rPr>
        <w:t xml:space="preserve"> its revenues from its patent-related services.</w:t>
      </w:r>
    </w:p>
    <w:p w14:paraId="116D022F" w14:textId="00756FF8"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Several U</w:t>
      </w:r>
      <w:r w:rsidR="00BF56EF">
        <w:rPr>
          <w:lang w:val="en-US"/>
        </w:rPr>
        <w:t xml:space="preserve">nited </w:t>
      </w:r>
      <w:r w:rsidRPr="00F319B3">
        <w:rPr>
          <w:lang w:val="en-US"/>
        </w:rPr>
        <w:t>N</w:t>
      </w:r>
      <w:r w:rsidR="00BF56EF">
        <w:rPr>
          <w:lang w:val="en-US"/>
        </w:rPr>
        <w:t>ations</w:t>
      </w:r>
      <w:r w:rsidRPr="00F319B3">
        <w:rPr>
          <w:lang w:val="en-US"/>
        </w:rPr>
        <w:t xml:space="preserve"> agencies </w:t>
      </w:r>
      <w:r w:rsidR="00DA4C6A">
        <w:rPr>
          <w:lang w:val="en-US"/>
        </w:rPr>
        <w:t xml:space="preserve">have </w:t>
      </w:r>
      <w:r w:rsidRPr="00F319B3">
        <w:rPr>
          <w:lang w:val="en-US"/>
        </w:rPr>
        <w:t xml:space="preserve">had a </w:t>
      </w:r>
      <w:r w:rsidR="00751A52">
        <w:rPr>
          <w:lang w:val="en-US"/>
        </w:rPr>
        <w:t xml:space="preserve">recent </w:t>
      </w:r>
      <w:r w:rsidRPr="00F319B3">
        <w:rPr>
          <w:lang w:val="en-US"/>
        </w:rPr>
        <w:t>budget increase</w:t>
      </w:r>
      <w:r w:rsidR="00BF56EF">
        <w:rPr>
          <w:lang w:val="en-US"/>
        </w:rPr>
        <w:t>,</w:t>
      </w:r>
      <w:r w:rsidRPr="00F319B3">
        <w:rPr>
          <w:lang w:val="en-US"/>
        </w:rPr>
        <w:t xml:space="preserve"> </w:t>
      </w:r>
      <w:r w:rsidR="00751A52">
        <w:rPr>
          <w:lang w:val="en-US"/>
        </w:rPr>
        <w:t>including</w:t>
      </w:r>
      <w:r w:rsidRPr="00F319B3">
        <w:rPr>
          <w:lang w:val="en-US"/>
        </w:rPr>
        <w:t xml:space="preserve"> IOM, WHO</w:t>
      </w:r>
      <w:r w:rsidR="00751A52">
        <w:rPr>
          <w:lang w:val="en-US"/>
        </w:rPr>
        <w:t>,</w:t>
      </w:r>
      <w:r w:rsidRPr="00F319B3">
        <w:rPr>
          <w:lang w:val="en-US"/>
        </w:rPr>
        <w:t xml:space="preserve"> WMO</w:t>
      </w:r>
      <w:r w:rsidR="00DA4C6A">
        <w:rPr>
          <w:lang w:val="en-US"/>
        </w:rPr>
        <w:t>:</w:t>
      </w:r>
      <w:r w:rsidRPr="00F319B3">
        <w:rPr>
          <w:lang w:val="en-US"/>
        </w:rPr>
        <w:t xml:space="preserve"> </w:t>
      </w:r>
    </w:p>
    <w:p w14:paraId="1DF9787A" w14:textId="1CE4C603"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00BF56EF" w:rsidRPr="00F319B3">
        <w:rPr>
          <w:lang w:val="en-US"/>
        </w:rPr>
        <w:t xml:space="preserve"> </w:t>
      </w:r>
      <w:r w:rsidRPr="00F319B3">
        <w:rPr>
          <w:lang w:val="en-US"/>
        </w:rPr>
        <w:t xml:space="preserve">IOM, at </w:t>
      </w:r>
      <w:r w:rsidR="00BF56EF">
        <w:rPr>
          <w:lang w:val="en-US"/>
        </w:rPr>
        <w:t xml:space="preserve">the </w:t>
      </w:r>
      <w:r w:rsidRPr="00F319B3">
        <w:rPr>
          <w:lang w:val="en-US"/>
        </w:rPr>
        <w:t xml:space="preserve">113th </w:t>
      </w:r>
      <w:r w:rsidR="00BF56EF">
        <w:rPr>
          <w:lang w:val="en-US"/>
        </w:rPr>
        <w:t>s</w:t>
      </w:r>
      <w:r w:rsidRPr="00F319B3">
        <w:rPr>
          <w:lang w:val="en-US"/>
        </w:rPr>
        <w:t>ession of</w:t>
      </w:r>
      <w:r w:rsidR="00BF56EF">
        <w:rPr>
          <w:lang w:val="en-US"/>
        </w:rPr>
        <w:t xml:space="preserve"> the</w:t>
      </w:r>
      <w:r w:rsidRPr="00F319B3">
        <w:rPr>
          <w:lang w:val="en-US"/>
        </w:rPr>
        <w:t xml:space="preserve"> IOM Council (October 2022), it was approved there would be an increase in the </w:t>
      </w:r>
      <w:r w:rsidR="00BF56EF">
        <w:rPr>
          <w:lang w:val="en-US"/>
        </w:rPr>
        <w:t>a</w:t>
      </w:r>
      <w:r w:rsidRPr="00F319B3">
        <w:rPr>
          <w:lang w:val="en-US"/>
        </w:rPr>
        <w:t xml:space="preserve">dministrative </w:t>
      </w:r>
      <w:r w:rsidR="00BF56EF">
        <w:rPr>
          <w:lang w:val="en-US"/>
        </w:rPr>
        <w:t>p</w:t>
      </w:r>
      <w:r w:rsidRPr="00F319B3">
        <w:rPr>
          <w:lang w:val="en-US"/>
        </w:rPr>
        <w:t xml:space="preserve">art of the </w:t>
      </w:r>
      <w:r w:rsidR="00BF56EF">
        <w:rPr>
          <w:lang w:val="en-US"/>
        </w:rPr>
        <w:t>b</w:t>
      </w:r>
      <w:r w:rsidRPr="00F319B3">
        <w:rPr>
          <w:lang w:val="en-US"/>
        </w:rPr>
        <w:t>udget of USD 12 million per year over a period of five years, funded through assessed contributions from Member States. By 2027, this should total an additional USD 60 million per year.</w:t>
      </w:r>
      <w:r>
        <w:rPr>
          <w:rStyle w:val="FootnoteReference"/>
          <w:lang w:val="en-US"/>
        </w:rPr>
        <w:footnoteReference w:id="1"/>
      </w:r>
    </w:p>
    <w:p w14:paraId="068FAB07" w14:textId="4B1C7949" w:rsidR="00ED009D" w:rsidRPr="00F319B3"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Pr="00F319B3">
        <w:rPr>
          <w:lang w:val="en-US"/>
        </w:rPr>
        <w:t xml:space="preserve"> WHO, at </w:t>
      </w:r>
      <w:r w:rsidR="00BF56EF">
        <w:rPr>
          <w:lang w:val="en-US"/>
        </w:rPr>
        <w:t xml:space="preserve">the </w:t>
      </w:r>
      <w:r w:rsidRPr="00F319B3">
        <w:rPr>
          <w:lang w:val="en-US"/>
        </w:rPr>
        <w:t xml:space="preserve">76th World Health Assembly (May 2023), the WHO </w:t>
      </w:r>
      <w:proofErr w:type="spellStart"/>
      <w:r w:rsidRPr="00F319B3">
        <w:rPr>
          <w:lang w:val="en-US"/>
        </w:rPr>
        <w:t>programme</w:t>
      </w:r>
      <w:proofErr w:type="spellEnd"/>
      <w:r w:rsidRPr="00F319B3">
        <w:rPr>
          <w:lang w:val="en-US"/>
        </w:rPr>
        <w:t xml:space="preserve"> budget for 2024-2025 was approved with an increase of 20</w:t>
      </w:r>
      <w:r>
        <w:rPr>
          <w:lang w:val="en-US"/>
        </w:rPr>
        <w:t xml:space="preserve"> </w:t>
      </w:r>
      <w:r w:rsidRPr="00144EB0">
        <w:rPr>
          <w:lang w:val="en-US"/>
        </w:rPr>
        <w:t xml:space="preserve">per cent </w:t>
      </w:r>
      <w:r w:rsidRPr="00F319B3">
        <w:rPr>
          <w:lang w:val="en-US"/>
        </w:rPr>
        <w:t>in assessed contributions. This decision will take the WHO budget to USD 6.83 billion.</w:t>
      </w:r>
      <w:r>
        <w:rPr>
          <w:rStyle w:val="FootnoteReference"/>
          <w:lang w:val="en-US"/>
        </w:rPr>
        <w:footnoteReference w:id="2"/>
      </w:r>
    </w:p>
    <w:p w14:paraId="35F94875" w14:textId="0AAAC5C0" w:rsidR="00ED009D" w:rsidRDefault="00ED009D" w:rsidP="00ED009D">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19B3">
        <w:rPr>
          <w:lang w:val="en-US"/>
        </w:rPr>
        <w:t>•</w:t>
      </w:r>
      <w:r w:rsidRPr="00F319B3">
        <w:rPr>
          <w:lang w:val="en-US"/>
        </w:rPr>
        <w:tab/>
      </w:r>
      <w:r w:rsidR="00BF56EF">
        <w:rPr>
          <w:lang w:val="en-US"/>
        </w:rPr>
        <w:t>At</w:t>
      </w:r>
      <w:r w:rsidRPr="00F319B3">
        <w:rPr>
          <w:lang w:val="en-US"/>
        </w:rPr>
        <w:t xml:space="preserve"> WMO, the World Meteorological Congress (June 2023) approved a regular budget of just over </w:t>
      </w:r>
      <w:r w:rsidR="00BF56EF">
        <w:rPr>
          <w:lang w:val="en-US"/>
        </w:rPr>
        <w:t>CHF </w:t>
      </w:r>
      <w:r w:rsidRPr="00F319B3">
        <w:rPr>
          <w:lang w:val="en-US"/>
        </w:rPr>
        <w:t xml:space="preserve">278 million for the 2024-2027 financial period, a 2.4 </w:t>
      </w:r>
      <w:r w:rsidRPr="00144EB0">
        <w:rPr>
          <w:lang w:val="en-US"/>
        </w:rPr>
        <w:t>per cent</w:t>
      </w:r>
      <w:r w:rsidRPr="00F319B3">
        <w:rPr>
          <w:lang w:val="en-US"/>
        </w:rPr>
        <w:t xml:space="preserve"> increase over 2020-2023.</w:t>
      </w:r>
      <w:r>
        <w:rPr>
          <w:rStyle w:val="FootnoteReference"/>
          <w:lang w:val="en-US"/>
        </w:rPr>
        <w:footnoteReference w:id="3"/>
      </w:r>
    </w:p>
    <w:p w14:paraId="38A93EEE" w14:textId="5F7F8522" w:rsidR="00EE58F2" w:rsidRPr="00EE58F2" w:rsidRDefault="00EE58F2" w:rsidP="00ED009D">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EE58F2">
        <w:rPr>
          <w:b/>
          <w:bCs/>
          <w:lang w:val="en-US"/>
        </w:rPr>
        <w:t>2.3</w:t>
      </w:r>
      <w:r w:rsidR="00D91304">
        <w:rPr>
          <w:b/>
          <w:bCs/>
          <w:lang w:val="en-US"/>
        </w:rPr>
        <w:tab/>
      </w:r>
      <w:r w:rsidRPr="00EE58F2">
        <w:rPr>
          <w:b/>
          <w:bCs/>
          <w:lang w:val="en-US"/>
        </w:rPr>
        <w:t xml:space="preserve">Perception </w:t>
      </w:r>
      <w:r w:rsidR="00BF56EF">
        <w:rPr>
          <w:b/>
          <w:bCs/>
          <w:lang w:val="en-US"/>
        </w:rPr>
        <w:t>a</w:t>
      </w:r>
      <w:r w:rsidRPr="00EE58F2">
        <w:rPr>
          <w:b/>
          <w:bCs/>
          <w:lang w:val="en-US"/>
        </w:rPr>
        <w:t>ssessment of ITU from key stakeholders</w:t>
      </w:r>
    </w:p>
    <w:p w14:paraId="4FE005A7" w14:textId="06CA1594"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Since February 2023, ITU and BCG have been collecting feedback from stakeholders internally and externally</w:t>
      </w:r>
      <w:r w:rsidR="00BF56EF">
        <w:rPr>
          <w:lang w:val="en-US"/>
        </w:rPr>
        <w:t>,</w:t>
      </w:r>
      <w:r w:rsidRPr="00EE58F2">
        <w:rPr>
          <w:lang w:val="en-US"/>
        </w:rPr>
        <w:t xml:space="preserve"> including </w:t>
      </w:r>
      <w:r w:rsidR="00BF56EF">
        <w:rPr>
          <w:lang w:val="en-US"/>
        </w:rPr>
        <w:t>from M</w:t>
      </w:r>
      <w:r w:rsidRPr="00EE58F2">
        <w:rPr>
          <w:lang w:val="en-US"/>
        </w:rPr>
        <w:t xml:space="preserve">ember </w:t>
      </w:r>
      <w:r w:rsidR="00BF56EF">
        <w:rPr>
          <w:lang w:val="en-US"/>
        </w:rPr>
        <w:t>S</w:t>
      </w:r>
      <w:r w:rsidRPr="00EE58F2">
        <w:rPr>
          <w:lang w:val="en-US"/>
        </w:rPr>
        <w:t xml:space="preserve">tates, </w:t>
      </w:r>
      <w:r w:rsidR="00FE62C3">
        <w:rPr>
          <w:lang w:val="en-US"/>
        </w:rPr>
        <w:t xml:space="preserve">the </w:t>
      </w:r>
      <w:r w:rsidRPr="00EE58F2">
        <w:rPr>
          <w:lang w:val="en-US"/>
        </w:rPr>
        <w:t xml:space="preserve">private sector, </w:t>
      </w:r>
      <w:r w:rsidR="00FE62C3">
        <w:rPr>
          <w:lang w:val="en-US"/>
        </w:rPr>
        <w:t xml:space="preserve">the </w:t>
      </w:r>
      <w:r w:rsidRPr="00EE58F2">
        <w:rPr>
          <w:lang w:val="en-US"/>
        </w:rPr>
        <w:t xml:space="preserve">social </w:t>
      </w:r>
      <w:proofErr w:type="gramStart"/>
      <w:r w:rsidRPr="00EE58F2">
        <w:rPr>
          <w:lang w:val="en-US"/>
        </w:rPr>
        <w:t>sector</w:t>
      </w:r>
      <w:proofErr w:type="gramEnd"/>
      <w:r w:rsidRPr="00EE58F2">
        <w:rPr>
          <w:lang w:val="en-US"/>
        </w:rPr>
        <w:t xml:space="preserve"> and peer U</w:t>
      </w:r>
      <w:r w:rsidR="00FE62C3">
        <w:rPr>
          <w:lang w:val="en-US"/>
        </w:rPr>
        <w:t xml:space="preserve">nited </w:t>
      </w:r>
      <w:r w:rsidRPr="00EE58F2">
        <w:rPr>
          <w:lang w:val="en-US"/>
        </w:rPr>
        <w:t>N</w:t>
      </w:r>
      <w:r w:rsidR="00FE62C3">
        <w:rPr>
          <w:lang w:val="en-US"/>
        </w:rPr>
        <w:t>ations</w:t>
      </w:r>
      <w:r w:rsidRPr="00EE58F2">
        <w:rPr>
          <w:lang w:val="en-US"/>
        </w:rPr>
        <w:t xml:space="preserve"> agencies</w:t>
      </w:r>
      <w:r w:rsidR="00FE62C3">
        <w:rPr>
          <w:lang w:val="en-US"/>
        </w:rPr>
        <w:t>, from</w:t>
      </w:r>
      <w:r w:rsidRPr="00EE58F2">
        <w:rPr>
          <w:lang w:val="en-US"/>
        </w:rPr>
        <w:t xml:space="preserve"> over 70 interviews</w:t>
      </w:r>
      <w:r w:rsidR="00FE62C3">
        <w:rPr>
          <w:lang w:val="en-US"/>
        </w:rPr>
        <w:t>,</w:t>
      </w:r>
      <w:r w:rsidRPr="00EE58F2">
        <w:rPr>
          <w:lang w:val="en-US"/>
        </w:rPr>
        <w:t xml:space="preserve"> and </w:t>
      </w:r>
      <w:proofErr w:type="spellStart"/>
      <w:r w:rsidRPr="00EE58F2">
        <w:rPr>
          <w:lang w:val="en-US"/>
        </w:rPr>
        <w:t>analy</w:t>
      </w:r>
      <w:r w:rsidR="00FE62C3">
        <w:rPr>
          <w:lang w:val="en-US"/>
        </w:rPr>
        <w:t>s</w:t>
      </w:r>
      <w:r w:rsidRPr="00EE58F2">
        <w:rPr>
          <w:lang w:val="en-US"/>
        </w:rPr>
        <w:t>ed</w:t>
      </w:r>
      <w:proofErr w:type="spellEnd"/>
      <w:r w:rsidRPr="00EE58F2">
        <w:rPr>
          <w:lang w:val="en-US"/>
        </w:rPr>
        <w:t xml:space="preserve"> over 100 documents and reports. Several key learnings </w:t>
      </w:r>
      <w:r w:rsidR="00DA4C6A">
        <w:rPr>
          <w:lang w:val="en-US"/>
        </w:rPr>
        <w:t xml:space="preserve">that </w:t>
      </w:r>
      <w:r w:rsidRPr="00EE58F2">
        <w:rPr>
          <w:lang w:val="en-US"/>
        </w:rPr>
        <w:t xml:space="preserve">came from this exercise, which also echo the outcomes of </w:t>
      </w:r>
      <w:r w:rsidRPr="00EE58F2">
        <w:rPr>
          <w:lang w:val="en-US"/>
        </w:rPr>
        <w:lastRenderedPageBreak/>
        <w:t xml:space="preserve">the Visioning </w:t>
      </w:r>
      <w:r w:rsidR="00FE62C3">
        <w:rPr>
          <w:lang w:val="en-US"/>
        </w:rPr>
        <w:t>E</w:t>
      </w:r>
      <w:r w:rsidRPr="00EE58F2">
        <w:rPr>
          <w:lang w:val="en-US"/>
        </w:rPr>
        <w:t>xercise and Senior Management Retreat, highlight key opportunity areas for increasing ITU</w:t>
      </w:r>
      <w:r w:rsidR="00FE62C3">
        <w:rPr>
          <w:lang w:val="en-US"/>
        </w:rPr>
        <w:t>’s</w:t>
      </w:r>
      <w:r w:rsidRPr="00EE58F2">
        <w:rPr>
          <w:lang w:val="en-US"/>
        </w:rPr>
        <w:t xml:space="preserve"> value and impact:</w:t>
      </w:r>
    </w:p>
    <w:p w14:paraId="6045C5A9" w14:textId="1086AF6A"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Position </w:t>
      </w:r>
      <w:r w:rsidR="00FE62C3">
        <w:rPr>
          <w:lang w:val="en-US"/>
        </w:rPr>
        <w:t xml:space="preserve">ITU </w:t>
      </w:r>
      <w:r w:rsidRPr="00EE58F2">
        <w:rPr>
          <w:lang w:val="en-US"/>
        </w:rPr>
        <w:t xml:space="preserve">as an organization </w:t>
      </w:r>
      <w:r w:rsidR="00FE62C3">
        <w:rPr>
          <w:lang w:val="en-US"/>
        </w:rPr>
        <w:t xml:space="preserve">that is </w:t>
      </w:r>
      <w:r w:rsidRPr="00EE58F2">
        <w:rPr>
          <w:lang w:val="en-US"/>
        </w:rPr>
        <w:t xml:space="preserve">stronger and fit-for-purpose, demonstrating an </w:t>
      </w:r>
      <w:proofErr w:type="gramStart"/>
      <w:r w:rsidRPr="00EE58F2">
        <w:rPr>
          <w:lang w:val="en-US"/>
        </w:rPr>
        <w:t>impact;</w:t>
      </w:r>
      <w:proofErr w:type="gramEnd"/>
      <w:r w:rsidRPr="00EE58F2">
        <w:rPr>
          <w:lang w:val="en-US"/>
        </w:rPr>
        <w:t xml:space="preserve"> </w:t>
      </w:r>
    </w:p>
    <w:p w14:paraId="6FBCD71B" w14:textId="73267487"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Increase </w:t>
      </w:r>
      <w:proofErr w:type="gramStart"/>
      <w:r w:rsidRPr="00EE58F2">
        <w:rPr>
          <w:lang w:val="en-US"/>
        </w:rPr>
        <w:t>private</w:t>
      </w:r>
      <w:r w:rsidR="00FE62C3">
        <w:rPr>
          <w:lang w:val="en-US"/>
        </w:rPr>
        <w:t>-</w:t>
      </w:r>
      <w:r w:rsidRPr="00EE58F2">
        <w:rPr>
          <w:lang w:val="en-US"/>
        </w:rPr>
        <w:t>sector</w:t>
      </w:r>
      <w:proofErr w:type="gramEnd"/>
      <w:r w:rsidRPr="00EE58F2">
        <w:rPr>
          <w:lang w:val="en-US"/>
        </w:rPr>
        <w:t xml:space="preserve"> engagement;</w:t>
      </w:r>
    </w:p>
    <w:p w14:paraId="3A952A88" w14:textId="088E999A"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Update legacy structures </w:t>
      </w:r>
      <w:r w:rsidR="00FE62C3">
        <w:rPr>
          <w:lang w:val="en-US"/>
        </w:rPr>
        <w:t>and</w:t>
      </w:r>
      <w:r w:rsidRPr="00EE58F2">
        <w:rPr>
          <w:lang w:val="en-US"/>
        </w:rPr>
        <w:t xml:space="preserve"> simplify </w:t>
      </w:r>
      <w:proofErr w:type="gramStart"/>
      <w:r w:rsidRPr="00EE58F2">
        <w:rPr>
          <w:lang w:val="en-US"/>
        </w:rPr>
        <w:t>processes;</w:t>
      </w:r>
      <w:proofErr w:type="gramEnd"/>
    </w:p>
    <w:p w14:paraId="078D89D6" w14:textId="77777777"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Structure data better and share </w:t>
      </w:r>
      <w:proofErr w:type="gramStart"/>
      <w:r w:rsidRPr="00EE58F2">
        <w:rPr>
          <w:lang w:val="en-US"/>
        </w:rPr>
        <w:t>knowledge;</w:t>
      </w:r>
      <w:proofErr w:type="gramEnd"/>
    </w:p>
    <w:p w14:paraId="5BED95D5" w14:textId="2B90FCBC" w:rsidR="00EE58F2" w:rsidRPr="00EE58F2" w:rsidRDefault="00EE58F2" w:rsidP="00D91304">
      <w:pPr>
        <w:numPr>
          <w:ilvl w:val="0"/>
          <w:numId w:val="5"/>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Enhance coordinated outreach with stakeholders</w:t>
      </w:r>
      <w:r w:rsidR="00FE62C3">
        <w:rPr>
          <w:lang w:val="en-US"/>
        </w:rPr>
        <w:t>.</w:t>
      </w:r>
    </w:p>
    <w:p w14:paraId="5ECB87E5" w14:textId="701510B4"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2.4</w:t>
      </w:r>
      <w:r w:rsidR="00D91304">
        <w:rPr>
          <w:b/>
          <w:bCs/>
          <w:lang w:val="en-US"/>
        </w:rPr>
        <w:tab/>
      </w:r>
      <w:r w:rsidRPr="00EE58F2">
        <w:rPr>
          <w:b/>
          <w:bCs/>
          <w:lang w:val="en-US"/>
        </w:rPr>
        <w:t>“One-ITU” positioning framework</w:t>
      </w:r>
    </w:p>
    <w:p w14:paraId="41293E1F" w14:textId="20134023"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Based on the </w:t>
      </w:r>
      <w:r w:rsidR="00FE62C3">
        <w:rPr>
          <w:lang w:val="en-US"/>
        </w:rPr>
        <w:t xml:space="preserve">above </w:t>
      </w:r>
      <w:r w:rsidRPr="00EE58F2">
        <w:rPr>
          <w:lang w:val="en-US"/>
        </w:rPr>
        <w:t xml:space="preserve">analysis, the ITU </w:t>
      </w:r>
      <w:r w:rsidR="00D91304">
        <w:rPr>
          <w:lang w:val="en-US"/>
        </w:rPr>
        <w:t>s</w:t>
      </w:r>
      <w:r w:rsidRPr="00EE58F2">
        <w:rPr>
          <w:lang w:val="en-US"/>
        </w:rPr>
        <w:t xml:space="preserve">ecretariat and BCG worked together to refine a “One ITU” positioning framework based on </w:t>
      </w:r>
      <w:r w:rsidR="00FE62C3">
        <w:rPr>
          <w:lang w:val="en-US"/>
        </w:rPr>
        <w:t>five</w:t>
      </w:r>
      <w:r w:rsidRPr="00EE58F2">
        <w:rPr>
          <w:lang w:val="en-US"/>
        </w:rPr>
        <w:t xml:space="preserve"> key value pillars (see Table 2), in line with objectives of the ITU </w:t>
      </w:r>
      <w:r w:rsidR="00FE62C3">
        <w:rPr>
          <w:lang w:val="en-US"/>
        </w:rPr>
        <w:t>s</w:t>
      </w:r>
      <w:r w:rsidRPr="00EE58F2">
        <w:rPr>
          <w:lang w:val="en-US"/>
        </w:rPr>
        <w:t xml:space="preserve">trategic </w:t>
      </w:r>
      <w:r w:rsidR="00FE62C3">
        <w:rPr>
          <w:lang w:val="en-US"/>
        </w:rPr>
        <w:t>p</w:t>
      </w:r>
      <w:r w:rsidRPr="00EE58F2">
        <w:rPr>
          <w:lang w:val="en-US"/>
        </w:rPr>
        <w:t xml:space="preserve">lan and anchored in key themes for a comprehensive resource mobilization strategy. The proposed framework has the potential to also improve consistency in the external communication of ITU’s offerings to members and other stakeholders. </w:t>
      </w:r>
    </w:p>
    <w:p w14:paraId="69C08D58" w14:textId="16B97310"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The </w:t>
      </w:r>
      <w:r w:rsidR="00FE62C3">
        <w:rPr>
          <w:lang w:val="en-US"/>
        </w:rPr>
        <w:t>five</w:t>
      </w:r>
      <w:r w:rsidR="00FE62C3" w:rsidRPr="00EE58F2">
        <w:rPr>
          <w:lang w:val="en-US"/>
        </w:rPr>
        <w:t xml:space="preserve"> </w:t>
      </w:r>
      <w:r w:rsidRPr="00EE58F2">
        <w:rPr>
          <w:lang w:val="en-US"/>
        </w:rPr>
        <w:t>key value pillars of the “One ITU” positioning framework build on the already demonstrated capabilities of ITU:</w:t>
      </w:r>
    </w:p>
    <w:p w14:paraId="1AFB5FA8" w14:textId="77777777"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Creates a convening </w:t>
      </w:r>
      <w:proofErr w:type="gramStart"/>
      <w:r w:rsidRPr="00EE58F2">
        <w:rPr>
          <w:lang w:val="en-US"/>
        </w:rPr>
        <w:t>platform;</w:t>
      </w:r>
      <w:proofErr w:type="gramEnd"/>
    </w:p>
    <w:p w14:paraId="38917F15" w14:textId="1804536A"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Shapes market policy </w:t>
      </w:r>
      <w:r w:rsidR="00FE62C3">
        <w:rPr>
          <w:lang w:val="en-US"/>
        </w:rPr>
        <w:t>and</w:t>
      </w:r>
      <w:r w:rsidRPr="00EE58F2">
        <w:rPr>
          <w:lang w:val="en-US"/>
        </w:rPr>
        <w:t xml:space="preserve"> guides investment </w:t>
      </w:r>
      <w:proofErr w:type="gramStart"/>
      <w:r w:rsidRPr="00EE58F2">
        <w:rPr>
          <w:lang w:val="en-US"/>
        </w:rPr>
        <w:t>decisions;</w:t>
      </w:r>
      <w:proofErr w:type="gramEnd"/>
    </w:p>
    <w:p w14:paraId="40C5144F" w14:textId="77777777"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Unlocks economies of scale via </w:t>
      </w:r>
      <w:proofErr w:type="gramStart"/>
      <w:r w:rsidRPr="00EE58F2">
        <w:rPr>
          <w:lang w:val="en-US"/>
        </w:rPr>
        <w:t>standardization;</w:t>
      </w:r>
      <w:proofErr w:type="gramEnd"/>
    </w:p>
    <w:p w14:paraId="63A8DFB5" w14:textId="1D7221D5"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 xml:space="preserve">Provides trusted data </w:t>
      </w:r>
      <w:r w:rsidR="00FE62C3">
        <w:rPr>
          <w:lang w:val="en-US"/>
        </w:rPr>
        <w:t>and</w:t>
      </w:r>
      <w:r w:rsidRPr="00EE58F2">
        <w:rPr>
          <w:lang w:val="en-US"/>
        </w:rPr>
        <w:t xml:space="preserve"> knowledge; and </w:t>
      </w:r>
    </w:p>
    <w:p w14:paraId="609B07C1" w14:textId="2959EA56" w:rsidR="00EE58F2" w:rsidRPr="00EE58F2" w:rsidRDefault="00EE58F2" w:rsidP="00D91304">
      <w:pPr>
        <w:numPr>
          <w:ilvl w:val="0"/>
          <w:numId w:val="3"/>
        </w:numPr>
        <w:tabs>
          <w:tab w:val="clear" w:pos="567"/>
          <w:tab w:val="clear" w:pos="1134"/>
          <w:tab w:val="clear" w:pos="1701"/>
          <w:tab w:val="clear" w:pos="2268"/>
          <w:tab w:val="clear" w:pos="2835"/>
        </w:tabs>
        <w:overflowPunct/>
        <w:autoSpaceDE/>
        <w:autoSpaceDN/>
        <w:adjustRightInd/>
        <w:spacing w:before="60" w:after="60"/>
        <w:ind w:hanging="436"/>
        <w:jc w:val="both"/>
        <w:textAlignment w:val="auto"/>
        <w:rPr>
          <w:lang w:val="en-US"/>
        </w:rPr>
      </w:pPr>
      <w:r w:rsidRPr="00EE58F2">
        <w:rPr>
          <w:lang w:val="en-US"/>
        </w:rPr>
        <w:t>Orchestrates multistakeholder projects.</w:t>
      </w:r>
    </w:p>
    <w:p w14:paraId="3864B9ED" w14:textId="18A571EA"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 xml:space="preserve">The </w:t>
      </w:r>
      <w:r w:rsidR="00D91304">
        <w:rPr>
          <w:lang w:val="en-US"/>
        </w:rPr>
        <w:t>s</w:t>
      </w:r>
      <w:r w:rsidRPr="00EE58F2">
        <w:rPr>
          <w:lang w:val="en-US"/>
        </w:rPr>
        <w:t xml:space="preserve">ecretariat proposes to leverage these </w:t>
      </w:r>
      <w:r w:rsidR="00FE62C3">
        <w:rPr>
          <w:lang w:val="en-US"/>
        </w:rPr>
        <w:t>five</w:t>
      </w:r>
      <w:r w:rsidR="00FE62C3" w:rsidRPr="00EE58F2">
        <w:rPr>
          <w:lang w:val="en-US"/>
        </w:rPr>
        <w:t xml:space="preserve"> </w:t>
      </w:r>
      <w:r w:rsidRPr="00EE58F2">
        <w:rPr>
          <w:lang w:val="en-US"/>
        </w:rPr>
        <w:t xml:space="preserve">value pillars as the foundation for building out a </w:t>
      </w:r>
      <w:r w:rsidR="00FE62C3">
        <w:rPr>
          <w:lang w:val="en-US"/>
        </w:rPr>
        <w:t>“</w:t>
      </w:r>
      <w:r w:rsidRPr="00EE58F2">
        <w:rPr>
          <w:lang w:val="en-US"/>
        </w:rPr>
        <w:t>One ITU</w:t>
      </w:r>
      <w:r w:rsidR="00FE62C3">
        <w:rPr>
          <w:lang w:val="en-US"/>
        </w:rPr>
        <w:t>”</w:t>
      </w:r>
      <w:r w:rsidRPr="00EE58F2">
        <w:rPr>
          <w:lang w:val="en-US"/>
        </w:rPr>
        <w:t xml:space="preserve"> resource</w:t>
      </w:r>
      <w:r w:rsidR="00FE62C3">
        <w:rPr>
          <w:lang w:val="en-US"/>
        </w:rPr>
        <w:t>-</w:t>
      </w:r>
      <w:r w:rsidRPr="00EE58F2">
        <w:rPr>
          <w:lang w:val="en-US"/>
        </w:rPr>
        <w:t>mobilization value proposition.</w:t>
      </w:r>
    </w:p>
    <w:p w14:paraId="551B08C5" w14:textId="0E15EE6E"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textAlignment w:val="auto"/>
        <w:rPr>
          <w:b/>
          <w:bCs/>
          <w:lang w:val="en-US"/>
        </w:rPr>
      </w:pPr>
      <w:r w:rsidRPr="00EE58F2">
        <w:rPr>
          <w:b/>
          <w:bCs/>
          <w:lang w:val="en-US"/>
        </w:rPr>
        <w:t>Table 2.</w:t>
      </w:r>
      <w:r w:rsidRPr="00EE58F2">
        <w:rPr>
          <w:b/>
          <w:bCs/>
        </w:rPr>
        <w:t xml:space="preserve"> </w:t>
      </w:r>
      <w:r w:rsidR="00FE62C3">
        <w:rPr>
          <w:b/>
          <w:bCs/>
        </w:rPr>
        <w:t>“</w:t>
      </w:r>
      <w:r w:rsidRPr="00EE58F2">
        <w:rPr>
          <w:b/>
          <w:bCs/>
          <w:lang w:val="en-US"/>
        </w:rPr>
        <w:t>One ITU</w:t>
      </w:r>
      <w:r w:rsidR="00FE62C3">
        <w:rPr>
          <w:b/>
          <w:bCs/>
          <w:lang w:val="en-US"/>
        </w:rPr>
        <w:t>”</w:t>
      </w:r>
      <w:r w:rsidRPr="00EE58F2">
        <w:rPr>
          <w:b/>
          <w:bCs/>
          <w:lang w:val="en-US"/>
        </w:rPr>
        <w:t xml:space="preserve"> positioning framework: </w:t>
      </w:r>
      <w:r w:rsidR="00FE62C3">
        <w:rPr>
          <w:b/>
          <w:bCs/>
          <w:lang w:val="en-US"/>
        </w:rPr>
        <w:t>five</w:t>
      </w:r>
      <w:r w:rsidR="00FE62C3" w:rsidRPr="00EE58F2">
        <w:rPr>
          <w:b/>
          <w:bCs/>
          <w:lang w:val="en-US"/>
        </w:rPr>
        <w:t xml:space="preserve"> </w:t>
      </w:r>
      <w:r w:rsidRPr="00EE58F2">
        <w:rPr>
          <w:b/>
          <w:bCs/>
          <w:lang w:val="en-US"/>
        </w:rPr>
        <w:t xml:space="preserve">value pillars </w:t>
      </w:r>
      <w:r w:rsidR="00FE62C3">
        <w:rPr>
          <w:b/>
          <w:bCs/>
          <w:lang w:val="en-US"/>
        </w:rPr>
        <w:t>and</w:t>
      </w:r>
      <w:r w:rsidRPr="00EE58F2">
        <w:rPr>
          <w:b/>
          <w:bCs/>
          <w:lang w:val="en-US"/>
        </w:rPr>
        <w:t xml:space="preserve"> horizontal themes</w:t>
      </w:r>
    </w:p>
    <w:p w14:paraId="092C5EC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noProof/>
        </w:rPr>
        <w:lastRenderedPageBreak/>
        <w:drawing>
          <wp:inline distT="0" distB="0" distL="0" distR="0" wp14:anchorId="7B19FACA" wp14:editId="2EB71A36">
            <wp:extent cx="5899897" cy="3343275"/>
            <wp:effectExtent l="0" t="0" r="0" b="0"/>
            <wp:docPr id="944695405" name="Picture 944695405"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95405" name="Picture 944695405" descr="A picture containing text, screenshot, font, web p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99897" cy="3343275"/>
                    </a:xfrm>
                    <a:prstGeom prst="rect">
                      <a:avLst/>
                    </a:prstGeom>
                  </pic:spPr>
                </pic:pic>
              </a:graphicData>
            </a:graphic>
          </wp:inline>
        </w:drawing>
      </w:r>
    </w:p>
    <w:p w14:paraId="6EB9736A" w14:textId="40188E8B"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2.5</w:t>
      </w:r>
      <w:r w:rsidR="00D91304">
        <w:rPr>
          <w:b/>
          <w:bCs/>
          <w:lang w:val="en-US"/>
        </w:rPr>
        <w:tab/>
      </w:r>
      <w:r w:rsidRPr="00EE58F2">
        <w:rPr>
          <w:b/>
          <w:bCs/>
          <w:lang w:val="en-US"/>
        </w:rPr>
        <w:t xml:space="preserve">Risk </w:t>
      </w:r>
      <w:r w:rsidR="00FE62C3">
        <w:rPr>
          <w:b/>
          <w:bCs/>
          <w:lang w:val="en-US"/>
        </w:rPr>
        <w:t>m</w:t>
      </w:r>
      <w:r w:rsidRPr="00EE58F2">
        <w:rPr>
          <w:b/>
          <w:bCs/>
          <w:lang w:val="en-US"/>
        </w:rPr>
        <w:t>anagement</w:t>
      </w:r>
    </w:p>
    <w:p w14:paraId="5B8D9FE5" w14:textId="757B6189"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1DB9ED11">
        <w:rPr>
          <w:lang w:val="en-US"/>
        </w:rPr>
        <w:t xml:space="preserve">As ITU increases efforts to raise extra-budgetary funding, and increasingly from entities outside of its membership, it is essential that steps be taken to minimize risks and protect the reputation and neutrality of the Union. To this end, ITU </w:t>
      </w:r>
      <w:r w:rsidR="00667EB1">
        <w:rPr>
          <w:lang w:val="en-US"/>
        </w:rPr>
        <w:t xml:space="preserve">has </w:t>
      </w:r>
      <w:r w:rsidRPr="1DB9ED11">
        <w:rPr>
          <w:lang w:val="en-US"/>
        </w:rPr>
        <w:t xml:space="preserve">implemented policies and procedures to strengthen its risk management </w:t>
      </w:r>
      <w:r w:rsidR="00667EB1">
        <w:rPr>
          <w:lang w:val="en-US"/>
        </w:rPr>
        <w:t>in relation</w:t>
      </w:r>
      <w:r w:rsidR="00667EB1" w:rsidRPr="1DB9ED11">
        <w:rPr>
          <w:lang w:val="en-US"/>
        </w:rPr>
        <w:t xml:space="preserve"> </w:t>
      </w:r>
      <w:r w:rsidRPr="1DB9ED11">
        <w:rPr>
          <w:lang w:val="en-US"/>
        </w:rPr>
        <w:t xml:space="preserve">to partnerships and fundraising, </w:t>
      </w:r>
      <w:r>
        <w:t>including a Service Order</w:t>
      </w:r>
      <w:r w:rsidR="00667EB1">
        <w:t xml:space="preserve"> 20/03, on ITU guidelines for event-related sponsorship,</w:t>
      </w:r>
      <w:r>
        <w:t xml:space="preserve"> in</w:t>
      </w:r>
      <w:r w:rsidR="00667EB1">
        <w:t>troduced in</w:t>
      </w:r>
      <w:r>
        <w:t xml:space="preserve"> 2020 and</w:t>
      </w:r>
      <w:r w:rsidR="00667EB1">
        <w:t>,</w:t>
      </w:r>
      <w:r>
        <w:t xml:space="preserve"> more recently, Service Order</w:t>
      </w:r>
      <w:r w:rsidR="00667EB1">
        <w:t xml:space="preserve"> 22/12,</w:t>
      </w:r>
      <w:r>
        <w:t xml:space="preserve"> on</w:t>
      </w:r>
      <w:r w:rsidR="00667EB1">
        <w:t xml:space="preserve"> ITU guidelines on</w:t>
      </w:r>
      <w:r>
        <w:t xml:space="preserve"> </w:t>
      </w:r>
      <w:r w:rsidR="00667EB1">
        <w:t>d</w:t>
      </w:r>
      <w:r>
        <w:t xml:space="preserve">ue </w:t>
      </w:r>
      <w:r w:rsidR="00667EB1">
        <w:t>d</w:t>
      </w:r>
      <w:r>
        <w:t>iligence</w:t>
      </w:r>
      <w:r w:rsidR="00667EB1">
        <w:t xml:space="preserve"> for non-member private-sector entities</w:t>
      </w:r>
      <w:r>
        <w:t xml:space="preserve">, introduced in late 2022, which require ITU staff to screen any non-ITU </w:t>
      </w:r>
      <w:r w:rsidR="00667EB1">
        <w:t>M</w:t>
      </w:r>
      <w:r>
        <w:t>ember entity before finalizing any formal agreement. This due diligence</w:t>
      </w:r>
      <w:r w:rsidR="00667EB1">
        <w:t xml:space="preserve"> procedure</w:t>
      </w:r>
      <w:r>
        <w:t xml:space="preserve"> responds to recommendations from the external and internal auditors and is based on best practices within the U</w:t>
      </w:r>
      <w:r w:rsidR="00667EB1">
        <w:t xml:space="preserve">nited </w:t>
      </w:r>
      <w:r>
        <w:t>N</w:t>
      </w:r>
      <w:r w:rsidR="00667EB1">
        <w:t>ations</w:t>
      </w:r>
      <w:r>
        <w:t xml:space="preserve"> system </w:t>
      </w:r>
      <w:r w:rsidR="00667EB1">
        <w:t>that</w:t>
      </w:r>
      <w:r>
        <w:t xml:space="preserve"> have been adapted to ITU’s situation.</w:t>
      </w:r>
    </w:p>
    <w:p w14:paraId="0D1BFB19" w14:textId="5937846B" w:rsidR="00EE58F2" w:rsidRPr="00EE58F2" w:rsidRDefault="00EE58F2" w:rsidP="00D91304">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EE58F2">
        <w:rPr>
          <w:b/>
          <w:bCs/>
          <w:lang w:val="en-US"/>
        </w:rPr>
        <w:t>2.6</w:t>
      </w:r>
      <w:r w:rsidR="00D91304">
        <w:rPr>
          <w:b/>
          <w:bCs/>
          <w:lang w:val="en-US"/>
        </w:rPr>
        <w:tab/>
      </w:r>
      <w:r w:rsidRPr="00EE58F2">
        <w:rPr>
          <w:b/>
          <w:bCs/>
          <w:lang w:val="en-US"/>
        </w:rPr>
        <w:t xml:space="preserve">Potential </w:t>
      </w:r>
      <w:r w:rsidR="00667EB1">
        <w:rPr>
          <w:b/>
          <w:bCs/>
          <w:lang w:val="en-US"/>
        </w:rPr>
        <w:t>s</w:t>
      </w:r>
      <w:r w:rsidRPr="00EE58F2">
        <w:rPr>
          <w:b/>
          <w:bCs/>
          <w:lang w:val="en-US"/>
        </w:rPr>
        <w:t xml:space="preserve">trategies </w:t>
      </w:r>
      <w:r w:rsidR="00667EB1">
        <w:rPr>
          <w:b/>
          <w:bCs/>
          <w:lang w:val="en-US"/>
        </w:rPr>
        <w:t>g</w:t>
      </w:r>
      <w:r w:rsidRPr="00EE58F2">
        <w:rPr>
          <w:b/>
          <w:bCs/>
          <w:lang w:val="en-US"/>
        </w:rPr>
        <w:t xml:space="preserve">oing </w:t>
      </w:r>
      <w:proofErr w:type="gramStart"/>
      <w:r w:rsidR="00667EB1">
        <w:rPr>
          <w:b/>
          <w:bCs/>
          <w:lang w:val="en-US"/>
        </w:rPr>
        <w:t>f</w:t>
      </w:r>
      <w:r w:rsidRPr="00EE58F2">
        <w:rPr>
          <w:b/>
          <w:bCs/>
          <w:lang w:val="en-US"/>
        </w:rPr>
        <w:t>orward</w:t>
      </w:r>
      <w:proofErr w:type="gramEnd"/>
    </w:p>
    <w:p w14:paraId="057CB199" w14:textId="77777777" w:rsidR="00EE58F2" w:rsidRP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EE58F2">
        <w:rPr>
          <w:lang w:val="en-US"/>
        </w:rPr>
        <w:t>Three initial areas of focus were identified:</w:t>
      </w:r>
    </w:p>
    <w:p w14:paraId="2B837DC1" w14:textId="0ED9FA83" w:rsidR="00EE58F2" w:rsidRPr="00EE58F2" w:rsidRDefault="00EE58F2" w:rsidP="00D91304">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b/>
          <w:bCs/>
          <w:lang w:val="en-AU"/>
        </w:rPr>
      </w:pPr>
      <w:r w:rsidRPr="00EE58F2">
        <w:rPr>
          <w:b/>
          <w:bCs/>
          <w:lang w:val="en-US"/>
        </w:rPr>
        <w:t>a.</w:t>
      </w:r>
      <w:r w:rsidR="00D91304">
        <w:rPr>
          <w:b/>
          <w:bCs/>
          <w:lang w:val="en-US"/>
        </w:rPr>
        <w:tab/>
      </w:r>
      <w:r w:rsidRPr="00EE58F2">
        <w:rPr>
          <w:b/>
          <w:bCs/>
          <w:lang w:val="en-AU"/>
        </w:rPr>
        <w:t xml:space="preserve">Strengthen </w:t>
      </w:r>
      <w:r w:rsidR="00667EB1">
        <w:rPr>
          <w:b/>
          <w:bCs/>
          <w:lang w:val="en-AU"/>
        </w:rPr>
        <w:t>c</w:t>
      </w:r>
      <w:r w:rsidRPr="00EE58F2">
        <w:rPr>
          <w:b/>
          <w:bCs/>
          <w:lang w:val="en-AU"/>
        </w:rPr>
        <w:t xml:space="preserve">ore </w:t>
      </w:r>
      <w:r w:rsidR="00667EB1">
        <w:rPr>
          <w:b/>
          <w:bCs/>
          <w:lang w:val="en-AU"/>
        </w:rPr>
        <w:t>m</w:t>
      </w:r>
      <w:r w:rsidRPr="00EE58F2">
        <w:rPr>
          <w:b/>
          <w:bCs/>
          <w:lang w:val="en-AU"/>
        </w:rPr>
        <w:t xml:space="preserve">embership </w:t>
      </w:r>
      <w:r w:rsidR="00667EB1">
        <w:rPr>
          <w:b/>
          <w:bCs/>
          <w:lang w:val="en-AU"/>
        </w:rPr>
        <w:t>o</w:t>
      </w:r>
      <w:r w:rsidRPr="00EE58F2">
        <w:rPr>
          <w:b/>
          <w:bCs/>
          <w:lang w:val="en-AU"/>
        </w:rPr>
        <w:t>ffering</w:t>
      </w:r>
      <w:r w:rsidR="00667EB1">
        <w:rPr>
          <w:b/>
          <w:bCs/>
          <w:lang w:val="en-AU"/>
        </w:rPr>
        <w:t xml:space="preserve"> </w:t>
      </w:r>
      <w:r w:rsidRPr="00EE58F2">
        <w:rPr>
          <w:b/>
          <w:bCs/>
          <w:lang w:val="en-AU"/>
        </w:rPr>
        <w:t xml:space="preserve">to increase engagement and lay the foundation for Sector </w:t>
      </w:r>
      <w:r w:rsidR="00667EB1">
        <w:rPr>
          <w:b/>
          <w:bCs/>
          <w:lang w:val="en-AU"/>
        </w:rPr>
        <w:t>m</w:t>
      </w:r>
      <w:r w:rsidRPr="00EE58F2">
        <w:rPr>
          <w:b/>
          <w:bCs/>
          <w:lang w:val="en-AU"/>
        </w:rPr>
        <w:t>embership fee structur</w:t>
      </w:r>
      <w:r w:rsidR="00667EB1">
        <w:rPr>
          <w:b/>
          <w:bCs/>
          <w:lang w:val="en-AU"/>
        </w:rPr>
        <w:t>e</w:t>
      </w:r>
      <w:r w:rsidRPr="00EE58F2">
        <w:rPr>
          <w:b/>
          <w:bCs/>
          <w:lang w:val="en-AU"/>
        </w:rPr>
        <w:t xml:space="preserve"> changes.</w:t>
      </w:r>
    </w:p>
    <w:p w14:paraId="6E7C26C8"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709"/>
        <w:jc w:val="both"/>
        <w:textAlignment w:val="auto"/>
        <w:rPr>
          <w:lang w:val="en-AU"/>
        </w:rPr>
      </w:pPr>
      <w:r w:rsidRPr="00EE58F2">
        <w:rPr>
          <w:lang w:val="en-AU"/>
        </w:rPr>
        <w:t>This includes:</w:t>
      </w:r>
    </w:p>
    <w:p w14:paraId="2BE8C669" w14:textId="3CF174A6"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Explor</w:t>
      </w:r>
      <w:r w:rsidR="00667EB1">
        <w:rPr>
          <w:lang w:val="en-AU"/>
        </w:rPr>
        <w:t>ing</w:t>
      </w:r>
      <w:r w:rsidRPr="00EE58F2">
        <w:rPr>
          <w:lang w:val="en-AU"/>
        </w:rPr>
        <w:t xml:space="preserve"> options to strengthen Member engagement and value </w:t>
      </w:r>
      <w:proofErr w:type="gramStart"/>
      <w:r w:rsidRPr="00EE58F2">
        <w:rPr>
          <w:lang w:val="en-AU"/>
        </w:rPr>
        <w:t>proposition</w:t>
      </w:r>
      <w:r w:rsidR="00667EB1">
        <w:rPr>
          <w:lang w:val="en-AU"/>
        </w:rPr>
        <w:t>;</w:t>
      </w:r>
      <w:proofErr w:type="gramEnd"/>
    </w:p>
    <w:p w14:paraId="1C107872" w14:textId="298360D2"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Implement</w:t>
      </w:r>
      <w:r w:rsidR="00667EB1">
        <w:rPr>
          <w:lang w:val="en-AU"/>
        </w:rPr>
        <w:t>ing</w:t>
      </w:r>
      <w:r w:rsidRPr="00EE58F2">
        <w:rPr>
          <w:lang w:val="en-AU"/>
        </w:rPr>
        <w:t xml:space="preserve"> new measures to better coordinate account management and service to Member States, Sector Members, donors, </w:t>
      </w:r>
      <w:proofErr w:type="gramStart"/>
      <w:r w:rsidRPr="00EE58F2">
        <w:rPr>
          <w:lang w:val="en-AU"/>
        </w:rPr>
        <w:t>etc.</w:t>
      </w:r>
      <w:r w:rsidR="00667EB1">
        <w:rPr>
          <w:lang w:val="en-AU"/>
        </w:rPr>
        <w:t>;</w:t>
      </w:r>
      <w:proofErr w:type="gramEnd"/>
    </w:p>
    <w:p w14:paraId="3EE98023" w14:textId="37B4F9BB"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Invest</w:t>
      </w:r>
      <w:r w:rsidR="00667EB1">
        <w:rPr>
          <w:lang w:val="en-AU"/>
        </w:rPr>
        <w:t>ing</w:t>
      </w:r>
      <w:r w:rsidRPr="00EE58F2">
        <w:rPr>
          <w:lang w:val="en-AU"/>
        </w:rPr>
        <w:t xml:space="preserve"> in internal enablers, including IT systems, building staff capacity and skills, streamlining and modernizing financial and administrative rules and processes</w:t>
      </w:r>
      <w:r w:rsidR="002D0236">
        <w:rPr>
          <w:lang w:val="en-AU"/>
        </w:rPr>
        <w:t>,</w:t>
      </w:r>
      <w:r w:rsidRPr="00EE58F2">
        <w:rPr>
          <w:lang w:val="en-AU"/>
        </w:rPr>
        <w:t xml:space="preserve"> </w:t>
      </w:r>
      <w:proofErr w:type="gramStart"/>
      <w:r w:rsidRPr="00EE58F2">
        <w:rPr>
          <w:lang w:val="en-AU"/>
        </w:rPr>
        <w:t>etc.</w:t>
      </w:r>
      <w:r w:rsidR="00667EB1">
        <w:rPr>
          <w:lang w:val="en-AU"/>
        </w:rPr>
        <w:t>;</w:t>
      </w:r>
      <w:proofErr w:type="gramEnd"/>
    </w:p>
    <w:p w14:paraId="1EE58693" w14:textId="16486982"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Encourag</w:t>
      </w:r>
      <w:r w:rsidR="00667EB1">
        <w:rPr>
          <w:lang w:val="en-AU"/>
        </w:rPr>
        <w:t>ing</w:t>
      </w:r>
      <w:r w:rsidRPr="00EE58F2">
        <w:rPr>
          <w:lang w:val="en-AU"/>
        </w:rPr>
        <w:t xml:space="preserve"> existing Sector Members to have memberships across multiple </w:t>
      </w:r>
      <w:r w:rsidR="007F690D">
        <w:rPr>
          <w:lang w:val="en-AU"/>
        </w:rPr>
        <w:t>S</w:t>
      </w:r>
      <w:r w:rsidRPr="00EE58F2">
        <w:rPr>
          <w:lang w:val="en-AU"/>
        </w:rPr>
        <w:t xml:space="preserve">ectors and Associates to upgrade to full Sector </w:t>
      </w:r>
      <w:proofErr w:type="gramStart"/>
      <w:r w:rsidR="002D0236">
        <w:rPr>
          <w:lang w:val="en-AU"/>
        </w:rPr>
        <w:t>m</w:t>
      </w:r>
      <w:r w:rsidRPr="00EE58F2">
        <w:rPr>
          <w:lang w:val="en-AU"/>
        </w:rPr>
        <w:t>embership</w:t>
      </w:r>
      <w:r w:rsidR="00667EB1">
        <w:rPr>
          <w:lang w:val="en-AU"/>
        </w:rPr>
        <w:t>;</w:t>
      </w:r>
      <w:proofErr w:type="gramEnd"/>
    </w:p>
    <w:p w14:paraId="6668704B" w14:textId="3ABC0C0A" w:rsidR="00EE58F2" w:rsidRPr="00EE58F2" w:rsidRDefault="00EE58F2" w:rsidP="002D0236">
      <w:pPr>
        <w:numPr>
          <w:ilvl w:val="0"/>
          <w:numId w:val="6"/>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lastRenderedPageBreak/>
        <w:t>Identify</w:t>
      </w:r>
      <w:r w:rsidR="00667EB1">
        <w:rPr>
          <w:lang w:val="en-AU"/>
        </w:rPr>
        <w:t>ing</w:t>
      </w:r>
      <w:r w:rsidRPr="00EE58F2">
        <w:rPr>
          <w:lang w:val="en-AU"/>
        </w:rPr>
        <w:t xml:space="preserve"> key non-member companies from under-represented parts of the digital ecosystem to join ITU.</w:t>
      </w:r>
    </w:p>
    <w:p w14:paraId="1D56F5B6" w14:textId="72D578C8"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b/>
          <w:bCs/>
          <w:lang w:val="en-AU"/>
        </w:rPr>
      </w:pPr>
      <w:r w:rsidRPr="00EE58F2">
        <w:rPr>
          <w:b/>
          <w:bCs/>
          <w:lang w:val="en-AU"/>
        </w:rPr>
        <w:t>b.</w:t>
      </w:r>
      <w:r w:rsidR="002D0236">
        <w:rPr>
          <w:b/>
          <w:bCs/>
          <w:lang w:val="en-AU"/>
        </w:rPr>
        <w:tab/>
      </w:r>
      <w:r w:rsidRPr="00EE58F2">
        <w:rPr>
          <w:b/>
          <w:bCs/>
          <w:lang w:val="en-AU"/>
        </w:rPr>
        <w:t xml:space="preserve">Develop “One-ITU” </w:t>
      </w:r>
      <w:r w:rsidR="00667EB1">
        <w:rPr>
          <w:b/>
          <w:bCs/>
          <w:lang w:val="en-AU"/>
        </w:rPr>
        <w:t>t</w:t>
      </w:r>
      <w:r w:rsidRPr="00EE58F2">
        <w:rPr>
          <w:b/>
          <w:bCs/>
          <w:lang w:val="en-AU"/>
        </w:rPr>
        <w:t xml:space="preserve">hematic </w:t>
      </w:r>
      <w:r w:rsidR="00667EB1">
        <w:rPr>
          <w:b/>
          <w:bCs/>
          <w:lang w:val="en-AU"/>
        </w:rPr>
        <w:t>i</w:t>
      </w:r>
      <w:r w:rsidRPr="00EE58F2">
        <w:rPr>
          <w:b/>
          <w:bCs/>
          <w:lang w:val="en-AU"/>
        </w:rPr>
        <w:t>nitiatives as compl</w:t>
      </w:r>
      <w:r w:rsidR="00CB7429">
        <w:rPr>
          <w:b/>
          <w:bCs/>
          <w:lang w:val="en-AU"/>
        </w:rPr>
        <w:t>e</w:t>
      </w:r>
      <w:r w:rsidRPr="00EE58F2">
        <w:rPr>
          <w:b/>
          <w:bCs/>
          <w:lang w:val="en-AU"/>
        </w:rPr>
        <w:t>mentary to membership, formalizing “extra</w:t>
      </w:r>
      <w:r w:rsidR="00CB7429">
        <w:rPr>
          <w:b/>
          <w:bCs/>
          <w:lang w:val="en-AU"/>
        </w:rPr>
        <w:t>-</w:t>
      </w:r>
      <w:r w:rsidRPr="00EE58F2">
        <w:rPr>
          <w:b/>
          <w:bCs/>
          <w:lang w:val="en-AU"/>
        </w:rPr>
        <w:t>budgetary” contributions with multi-year commitments.</w:t>
      </w:r>
    </w:p>
    <w:p w14:paraId="2C1D1412"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lang w:val="en-AU"/>
        </w:rPr>
      </w:pPr>
      <w:r w:rsidRPr="00EE58F2">
        <w:rPr>
          <w:lang w:val="en-AU"/>
        </w:rPr>
        <w:t>This includes:</w:t>
      </w:r>
    </w:p>
    <w:p w14:paraId="7297BEEB" w14:textId="534E61EA"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Develop</w:t>
      </w:r>
      <w:r w:rsidR="00CB7429">
        <w:rPr>
          <w:lang w:val="en-AU"/>
        </w:rPr>
        <w:t>ing</w:t>
      </w:r>
      <w:r w:rsidRPr="00EE58F2">
        <w:rPr>
          <w:lang w:val="en-AU"/>
        </w:rPr>
        <w:t xml:space="preserve"> and promot</w:t>
      </w:r>
      <w:r w:rsidR="00CB7429">
        <w:rPr>
          <w:lang w:val="en-AU"/>
        </w:rPr>
        <w:t>ing</w:t>
      </w:r>
      <w:r w:rsidRPr="00EE58F2">
        <w:rPr>
          <w:lang w:val="en-AU"/>
        </w:rPr>
        <w:t xml:space="preserve"> </w:t>
      </w:r>
      <w:r w:rsidR="00CB7429">
        <w:rPr>
          <w:lang w:val="en-AU"/>
        </w:rPr>
        <w:t>“</w:t>
      </w:r>
      <w:r w:rsidRPr="00EE58F2">
        <w:rPr>
          <w:lang w:val="en-AU"/>
        </w:rPr>
        <w:t>One ITU</w:t>
      </w:r>
      <w:r w:rsidR="00CB7429">
        <w:rPr>
          <w:lang w:val="en-AU"/>
        </w:rPr>
        <w:t>”</w:t>
      </w:r>
      <w:r w:rsidRPr="00EE58F2">
        <w:rPr>
          <w:lang w:val="en-AU"/>
        </w:rPr>
        <w:t xml:space="preserve"> thematic initiatives to complement activities funded by the regular </w:t>
      </w:r>
      <w:proofErr w:type="gramStart"/>
      <w:r w:rsidRPr="00EE58F2">
        <w:rPr>
          <w:lang w:val="en-AU"/>
        </w:rPr>
        <w:t>budget</w:t>
      </w:r>
      <w:r w:rsidR="00CB7429">
        <w:rPr>
          <w:lang w:val="en-AU"/>
        </w:rPr>
        <w:t>;</w:t>
      </w:r>
      <w:proofErr w:type="gramEnd"/>
    </w:p>
    <w:p w14:paraId="4284290B" w14:textId="28783DE8"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Strengthen</w:t>
      </w:r>
      <w:r w:rsidR="00CB7429">
        <w:rPr>
          <w:lang w:val="en-AU"/>
        </w:rPr>
        <w:t>ing</w:t>
      </w:r>
      <w:r w:rsidRPr="00EE58F2">
        <w:rPr>
          <w:lang w:val="en-AU"/>
        </w:rPr>
        <w:t xml:space="preserve"> </w:t>
      </w:r>
      <w:r w:rsidR="00CB7429">
        <w:rPr>
          <w:lang w:val="en-AU"/>
        </w:rPr>
        <w:t>“</w:t>
      </w:r>
      <w:r w:rsidRPr="00EE58F2">
        <w:rPr>
          <w:lang w:val="en-AU"/>
        </w:rPr>
        <w:t>One ITU</w:t>
      </w:r>
      <w:r w:rsidR="00CB7429">
        <w:rPr>
          <w:lang w:val="en-AU"/>
        </w:rPr>
        <w:t>”</w:t>
      </w:r>
      <w:r w:rsidRPr="00EE58F2">
        <w:rPr>
          <w:lang w:val="en-AU"/>
        </w:rPr>
        <w:t xml:space="preserve"> coordination of outreach with </w:t>
      </w:r>
      <w:r w:rsidR="00CB7429">
        <w:rPr>
          <w:lang w:val="en-AU"/>
        </w:rPr>
        <w:t>M</w:t>
      </w:r>
      <w:r w:rsidRPr="00EE58F2">
        <w:rPr>
          <w:lang w:val="en-AU"/>
        </w:rPr>
        <w:t xml:space="preserve">embers, partners and </w:t>
      </w:r>
      <w:proofErr w:type="gramStart"/>
      <w:r w:rsidRPr="00EE58F2">
        <w:rPr>
          <w:lang w:val="en-AU"/>
        </w:rPr>
        <w:t>donors</w:t>
      </w:r>
      <w:r w:rsidR="00CB7429">
        <w:rPr>
          <w:lang w:val="en-AU"/>
        </w:rPr>
        <w:t>;</w:t>
      </w:r>
      <w:proofErr w:type="gramEnd"/>
    </w:p>
    <w:p w14:paraId="63276595" w14:textId="3F4EF8D9" w:rsidR="00EE58F2" w:rsidRPr="00EE58F2" w:rsidRDefault="00EE58F2" w:rsidP="002D0236">
      <w:pPr>
        <w:numPr>
          <w:ilvl w:val="0"/>
          <w:numId w:val="7"/>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AU"/>
        </w:rPr>
      </w:pPr>
      <w:r w:rsidRPr="00EE58F2">
        <w:rPr>
          <w:lang w:val="en-AU"/>
        </w:rPr>
        <w:t>Strengthen</w:t>
      </w:r>
      <w:r w:rsidR="00CB7429">
        <w:rPr>
          <w:lang w:val="en-AU"/>
        </w:rPr>
        <w:t>ing</w:t>
      </w:r>
      <w:r w:rsidRPr="00EE58F2">
        <w:rPr>
          <w:lang w:val="en-AU"/>
        </w:rPr>
        <w:t xml:space="preserve"> capacity for project implementation. </w:t>
      </w:r>
    </w:p>
    <w:p w14:paraId="7D9ED9CD" w14:textId="7987E5B8"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284"/>
        <w:jc w:val="both"/>
        <w:textAlignment w:val="auto"/>
        <w:rPr>
          <w:b/>
          <w:bCs/>
          <w:lang w:val="en-AU"/>
        </w:rPr>
      </w:pPr>
      <w:r w:rsidRPr="00EE58F2">
        <w:rPr>
          <w:b/>
          <w:bCs/>
          <w:lang w:val="en-AU"/>
        </w:rPr>
        <w:t>c.</w:t>
      </w:r>
      <w:r w:rsidR="002D0236">
        <w:rPr>
          <w:b/>
          <w:bCs/>
          <w:lang w:val="en-AU"/>
        </w:rPr>
        <w:tab/>
      </w:r>
      <w:r w:rsidRPr="00EE58F2">
        <w:rPr>
          <w:b/>
          <w:bCs/>
          <w:lang w:val="en-AU"/>
        </w:rPr>
        <w:t xml:space="preserve">Leveraging </w:t>
      </w:r>
      <w:r w:rsidR="00CB7429">
        <w:rPr>
          <w:b/>
          <w:bCs/>
          <w:lang w:val="en-AU"/>
        </w:rPr>
        <w:t>s</w:t>
      </w:r>
      <w:r w:rsidRPr="00EE58F2">
        <w:rPr>
          <w:b/>
          <w:bCs/>
          <w:lang w:val="en-AU"/>
        </w:rPr>
        <w:t xml:space="preserve">tandalone </w:t>
      </w:r>
      <w:r w:rsidR="00CB7429">
        <w:rPr>
          <w:b/>
          <w:bCs/>
          <w:lang w:val="en-AU"/>
        </w:rPr>
        <w:t>o</w:t>
      </w:r>
      <w:r w:rsidRPr="00EE58F2">
        <w:rPr>
          <w:b/>
          <w:bCs/>
          <w:lang w:val="en-AU"/>
        </w:rPr>
        <w:t>fferings to better capture and synergize value and impact.</w:t>
      </w:r>
    </w:p>
    <w:p w14:paraId="521685E2" w14:textId="77777777" w:rsidR="00EE58F2" w:rsidRPr="00EE58F2" w:rsidRDefault="00EE58F2" w:rsidP="002D0236">
      <w:pPr>
        <w:tabs>
          <w:tab w:val="clear" w:pos="567"/>
          <w:tab w:val="clear" w:pos="1134"/>
          <w:tab w:val="clear" w:pos="1701"/>
          <w:tab w:val="clear" w:pos="2268"/>
          <w:tab w:val="clear" w:pos="2835"/>
        </w:tabs>
        <w:overflowPunct/>
        <w:autoSpaceDE/>
        <w:autoSpaceDN/>
        <w:adjustRightInd/>
        <w:spacing w:after="120"/>
        <w:ind w:left="1134" w:hanging="425"/>
        <w:jc w:val="both"/>
        <w:textAlignment w:val="auto"/>
        <w:rPr>
          <w:lang w:val="en-US"/>
        </w:rPr>
      </w:pPr>
      <w:r w:rsidRPr="00EE58F2">
        <w:rPr>
          <w:lang w:val="en-US"/>
        </w:rPr>
        <w:t>This includes:</w:t>
      </w:r>
    </w:p>
    <w:p w14:paraId="451B050B" w14:textId="2B1DFDD8"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US"/>
        </w:rPr>
        <w:t>Leverag</w:t>
      </w:r>
      <w:r w:rsidR="00164668">
        <w:rPr>
          <w:lang w:val="en-US"/>
        </w:rPr>
        <w:t>ing</w:t>
      </w:r>
      <w:r w:rsidRPr="00EE58F2">
        <w:rPr>
          <w:lang w:val="en-US"/>
        </w:rPr>
        <w:t xml:space="preserve"> major ITU events which have built communities of shared interest among </w:t>
      </w:r>
      <w:r w:rsidR="00164668">
        <w:rPr>
          <w:lang w:val="en-US"/>
        </w:rPr>
        <w:t>M</w:t>
      </w:r>
      <w:r w:rsidRPr="00EE58F2">
        <w:rPr>
          <w:lang w:val="en-US"/>
        </w:rPr>
        <w:t>embers and partners to build a more comprehensive and higher</w:t>
      </w:r>
      <w:r w:rsidR="00164668">
        <w:rPr>
          <w:lang w:val="en-US"/>
        </w:rPr>
        <w:t>-</w:t>
      </w:r>
      <w:r w:rsidRPr="00EE58F2">
        <w:rPr>
          <w:lang w:val="en-US"/>
        </w:rPr>
        <w:t xml:space="preserve">impact value </w:t>
      </w:r>
      <w:proofErr w:type="gramStart"/>
      <w:r w:rsidRPr="00EE58F2">
        <w:rPr>
          <w:lang w:val="en-US"/>
        </w:rPr>
        <w:t>proposition</w:t>
      </w:r>
      <w:r w:rsidR="00164668">
        <w:rPr>
          <w:lang w:val="en-US"/>
        </w:rPr>
        <w:t>;</w:t>
      </w:r>
      <w:proofErr w:type="gramEnd"/>
    </w:p>
    <w:p w14:paraId="389D5DF3" w14:textId="2519AAF5"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US"/>
        </w:rPr>
        <w:t>Review</w:t>
      </w:r>
      <w:r w:rsidR="00164668">
        <w:rPr>
          <w:lang w:val="en-US"/>
        </w:rPr>
        <w:t>ing</w:t>
      </w:r>
      <w:r w:rsidRPr="00EE58F2">
        <w:rPr>
          <w:lang w:val="en-US"/>
        </w:rPr>
        <w:t xml:space="preserve"> the ITU-wide portfolio of products and services to explore the potential to increase revenues received from Sector </w:t>
      </w:r>
      <w:proofErr w:type="gramStart"/>
      <w:r w:rsidRPr="00EE58F2">
        <w:rPr>
          <w:lang w:val="en-US"/>
        </w:rPr>
        <w:t>Members</w:t>
      </w:r>
      <w:r w:rsidR="00164668">
        <w:rPr>
          <w:lang w:val="en-US"/>
        </w:rPr>
        <w:t>;</w:t>
      </w:r>
      <w:proofErr w:type="gramEnd"/>
    </w:p>
    <w:p w14:paraId="0829FCC9" w14:textId="1C5355B3" w:rsidR="00EE58F2" w:rsidRPr="00EE58F2" w:rsidRDefault="00EE58F2" w:rsidP="002D0236">
      <w:pPr>
        <w:numPr>
          <w:ilvl w:val="0"/>
          <w:numId w:val="8"/>
        </w:numPr>
        <w:tabs>
          <w:tab w:val="clear" w:pos="567"/>
          <w:tab w:val="clear" w:pos="1134"/>
          <w:tab w:val="clear" w:pos="1701"/>
          <w:tab w:val="clear" w:pos="2268"/>
          <w:tab w:val="clear" w:pos="2835"/>
        </w:tabs>
        <w:overflowPunct/>
        <w:autoSpaceDE/>
        <w:autoSpaceDN/>
        <w:adjustRightInd/>
        <w:spacing w:before="60" w:after="60"/>
        <w:ind w:left="1134" w:hanging="425"/>
        <w:jc w:val="both"/>
        <w:textAlignment w:val="auto"/>
        <w:rPr>
          <w:lang w:val="en-US"/>
        </w:rPr>
      </w:pPr>
      <w:r w:rsidRPr="00EE58F2">
        <w:rPr>
          <w:lang w:val="en-AU"/>
        </w:rPr>
        <w:t>Explor</w:t>
      </w:r>
      <w:r w:rsidR="00164668">
        <w:rPr>
          <w:lang w:val="en-AU"/>
        </w:rPr>
        <w:t>ing</w:t>
      </w:r>
      <w:r w:rsidRPr="00EE58F2">
        <w:rPr>
          <w:lang w:val="en-AU"/>
        </w:rPr>
        <w:t xml:space="preserve"> increasing minim</w:t>
      </w:r>
      <w:r w:rsidR="00164668">
        <w:rPr>
          <w:lang w:val="en-AU"/>
        </w:rPr>
        <w:t>um</w:t>
      </w:r>
      <w:r w:rsidRPr="00EE58F2">
        <w:rPr>
          <w:lang w:val="en-AU"/>
        </w:rPr>
        <w:t xml:space="preserve"> thresholds for sponsorship/voluntary contributions in a </w:t>
      </w:r>
      <w:r w:rsidR="00164668">
        <w:rPr>
          <w:lang w:val="en-AU"/>
        </w:rPr>
        <w:t>s</w:t>
      </w:r>
      <w:r w:rsidRPr="00EE58F2">
        <w:rPr>
          <w:lang w:val="en-AU"/>
        </w:rPr>
        <w:t xml:space="preserve">ervice </w:t>
      </w:r>
      <w:r w:rsidR="00164668">
        <w:rPr>
          <w:lang w:val="en-AU"/>
        </w:rPr>
        <w:t>o</w:t>
      </w:r>
      <w:r w:rsidRPr="00EE58F2">
        <w:rPr>
          <w:lang w:val="en-AU"/>
        </w:rPr>
        <w:t xml:space="preserve">rder to reflect </w:t>
      </w:r>
      <w:r w:rsidR="00164668">
        <w:rPr>
          <w:lang w:val="en-AU"/>
        </w:rPr>
        <w:t xml:space="preserve">the </w:t>
      </w:r>
      <w:r w:rsidRPr="00EE58F2">
        <w:rPr>
          <w:lang w:val="en-AU"/>
        </w:rPr>
        <w:t>internal administrative/staff cost of acquisition.</w:t>
      </w:r>
    </w:p>
    <w:p w14:paraId="41FCA0FC" w14:textId="5251B498" w:rsidR="00EE58F2" w:rsidRPr="00EE58F2" w:rsidRDefault="00EE58F2" w:rsidP="002D0236">
      <w:pPr>
        <w:tabs>
          <w:tab w:val="clear" w:pos="567"/>
          <w:tab w:val="clear" w:pos="1134"/>
          <w:tab w:val="clear" w:pos="1701"/>
          <w:tab w:val="clear" w:pos="2268"/>
          <w:tab w:val="clear" w:pos="2835"/>
        </w:tabs>
        <w:overflowPunct/>
        <w:autoSpaceDE/>
        <w:autoSpaceDN/>
        <w:adjustRightInd/>
        <w:spacing w:before="480" w:after="120"/>
        <w:jc w:val="both"/>
        <w:textAlignment w:val="auto"/>
        <w:rPr>
          <w:b/>
        </w:rPr>
      </w:pPr>
      <w:r w:rsidRPr="00EE58F2">
        <w:rPr>
          <w:b/>
        </w:rPr>
        <w:t>3.</w:t>
      </w:r>
      <w:r w:rsidR="002D0236">
        <w:rPr>
          <w:b/>
        </w:rPr>
        <w:tab/>
      </w:r>
      <w:r w:rsidRPr="00EE58F2">
        <w:rPr>
          <w:b/>
        </w:rPr>
        <w:t xml:space="preserve">Next </w:t>
      </w:r>
      <w:r w:rsidR="00164668">
        <w:rPr>
          <w:b/>
        </w:rPr>
        <w:t>s</w:t>
      </w:r>
      <w:r w:rsidRPr="00EE58F2">
        <w:rPr>
          <w:b/>
        </w:rPr>
        <w:t xml:space="preserve">teps and </w:t>
      </w:r>
      <w:r w:rsidR="00164668">
        <w:rPr>
          <w:b/>
        </w:rPr>
        <w:t>a</w:t>
      </w:r>
      <w:r w:rsidRPr="00EE58F2">
        <w:rPr>
          <w:b/>
        </w:rPr>
        <w:t xml:space="preserve">ctions </w:t>
      </w:r>
      <w:r w:rsidR="00164668">
        <w:rPr>
          <w:b/>
        </w:rPr>
        <w:t>p</w:t>
      </w:r>
      <w:r w:rsidRPr="00EE58F2">
        <w:rPr>
          <w:b/>
        </w:rPr>
        <w:t xml:space="preserve">lanned by the </w:t>
      </w:r>
      <w:r w:rsidR="00F4634C">
        <w:rPr>
          <w:b/>
        </w:rPr>
        <w:t>s</w:t>
      </w:r>
      <w:r w:rsidRPr="00EE58F2">
        <w:rPr>
          <w:b/>
        </w:rPr>
        <w:t>ecretariat</w:t>
      </w:r>
    </w:p>
    <w:p w14:paraId="2F3B282D" w14:textId="18B2A79B" w:rsidR="00EE58F2" w:rsidRPr="00EE58F2" w:rsidRDefault="002D0236" w:rsidP="00FA37FB">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w:t>
      </w:r>
      <w:r w:rsidR="00EE58F2" w:rsidRPr="00EE58F2">
        <w:t xml:space="preserve">Council is invited to note this document. </w:t>
      </w:r>
      <w:proofErr w:type="gramStart"/>
      <w:r w:rsidR="00EE58F2" w:rsidRPr="00EE58F2">
        <w:t>Taking into account</w:t>
      </w:r>
      <w:proofErr w:type="gramEnd"/>
      <w:r w:rsidR="00EE58F2" w:rsidRPr="00EE58F2">
        <w:t xml:space="preserve"> feedback from </w:t>
      </w:r>
      <w:r>
        <w:t xml:space="preserve">the </w:t>
      </w:r>
      <w:r w:rsidR="00EE58F2" w:rsidRPr="00EE58F2">
        <w:t xml:space="preserve">Council, the </w:t>
      </w:r>
      <w:r>
        <w:t>s</w:t>
      </w:r>
      <w:r w:rsidR="00EE58F2" w:rsidRPr="00EE58F2">
        <w:t>ecretariat will update/refine the draft ITU</w:t>
      </w:r>
      <w:r w:rsidR="00164668">
        <w:t>-</w:t>
      </w:r>
      <w:r w:rsidR="00EE58F2" w:rsidRPr="00EE58F2">
        <w:t xml:space="preserve">wide resource mobilization strategy as outlined in this document. All </w:t>
      </w:r>
      <w:r w:rsidR="00164668">
        <w:t xml:space="preserve">Council </w:t>
      </w:r>
      <w:r w:rsidR="00C73BE0" w:rsidRPr="00C73BE0">
        <w:t xml:space="preserve">participants </w:t>
      </w:r>
      <w:r w:rsidR="00EE58F2" w:rsidRPr="00EE58F2">
        <w:t xml:space="preserve">are also encouraged to reach out to the ITU </w:t>
      </w:r>
      <w:r>
        <w:t>s</w:t>
      </w:r>
      <w:r w:rsidR="00EE58F2" w:rsidRPr="00EE58F2">
        <w:t>ecretariat on a bilateral basis to share views and suggestions.</w:t>
      </w:r>
    </w:p>
    <w:p w14:paraId="711641A1" w14:textId="46C3941F" w:rsidR="00EE58F2" w:rsidRDefault="00EE58F2" w:rsidP="00FA37FB">
      <w:pPr>
        <w:tabs>
          <w:tab w:val="clear" w:pos="567"/>
          <w:tab w:val="clear" w:pos="1134"/>
          <w:tab w:val="clear" w:pos="1701"/>
          <w:tab w:val="clear" w:pos="2268"/>
          <w:tab w:val="clear" w:pos="2835"/>
        </w:tabs>
        <w:overflowPunct/>
        <w:autoSpaceDE/>
        <w:autoSpaceDN/>
        <w:adjustRightInd/>
        <w:spacing w:after="120"/>
        <w:jc w:val="both"/>
        <w:textAlignment w:val="auto"/>
      </w:pPr>
      <w:r w:rsidRPr="00EE58F2">
        <w:t xml:space="preserve">As an immediate action, the </w:t>
      </w:r>
      <w:r w:rsidR="002D0236">
        <w:t>s</w:t>
      </w:r>
      <w:r w:rsidRPr="00EE58F2">
        <w:t>ecretariat has established a “</w:t>
      </w:r>
      <w:proofErr w:type="spellStart"/>
      <w:r w:rsidRPr="00EE58F2">
        <w:t>OneITU</w:t>
      </w:r>
      <w:proofErr w:type="spellEnd"/>
      <w:r w:rsidRPr="00EE58F2">
        <w:t>” implementation task</w:t>
      </w:r>
      <w:r w:rsidR="00164668">
        <w:t xml:space="preserve"> </w:t>
      </w:r>
      <w:r w:rsidRPr="00EE58F2">
        <w:t>force to assess, coordinate and explore the initial pilot implementation of the resource mobilization strategy.</w:t>
      </w:r>
      <w:r w:rsidRPr="00EE58F2" w:rsidDel="001D044B">
        <w:t xml:space="preserve"> </w:t>
      </w:r>
      <w:r w:rsidRPr="00EE58F2">
        <w:t xml:space="preserve">An update on the final resource mobilization strategy and </w:t>
      </w:r>
      <w:r w:rsidR="00164668">
        <w:t xml:space="preserve">its </w:t>
      </w:r>
      <w:r w:rsidRPr="00EE58F2">
        <w:t>implementation status will be presented to</w:t>
      </w:r>
      <w:r w:rsidR="00164668">
        <w:t xml:space="preserve"> the 2024 session of the</w:t>
      </w:r>
      <w:r w:rsidRPr="00EE58F2">
        <w:t xml:space="preserve"> Council.</w:t>
      </w:r>
    </w:p>
    <w:p w14:paraId="4266B718" w14:textId="77777777" w:rsidR="003C6F22" w:rsidRDefault="003C6F22" w:rsidP="00FA37FB">
      <w:pPr>
        <w:tabs>
          <w:tab w:val="clear" w:pos="567"/>
          <w:tab w:val="clear" w:pos="1134"/>
          <w:tab w:val="clear" w:pos="1701"/>
          <w:tab w:val="clear" w:pos="2268"/>
          <w:tab w:val="clear" w:pos="2835"/>
        </w:tabs>
        <w:overflowPunct/>
        <w:autoSpaceDE/>
        <w:autoSpaceDN/>
        <w:adjustRightInd/>
        <w:spacing w:after="120"/>
        <w:jc w:val="both"/>
        <w:textAlignment w:val="auto"/>
      </w:pPr>
    </w:p>
    <w:p w14:paraId="0C1FFF51" w14:textId="5E924BD6" w:rsidR="003C6F22" w:rsidRPr="00EE58F2" w:rsidRDefault="003C6F22" w:rsidP="003C6F22">
      <w:pPr>
        <w:tabs>
          <w:tab w:val="clear" w:pos="567"/>
          <w:tab w:val="clear" w:pos="1134"/>
          <w:tab w:val="clear" w:pos="1701"/>
          <w:tab w:val="clear" w:pos="2268"/>
          <w:tab w:val="clear" w:pos="2835"/>
        </w:tabs>
        <w:overflowPunct/>
        <w:autoSpaceDE/>
        <w:autoSpaceDN/>
        <w:adjustRightInd/>
        <w:spacing w:before="1440"/>
        <w:jc w:val="both"/>
        <w:textAlignment w:val="auto"/>
        <w:rPr>
          <w:i/>
          <w:iCs/>
        </w:rPr>
      </w:pPr>
      <w:r w:rsidRPr="003C6F22">
        <w:rPr>
          <w:i/>
          <w:iCs/>
        </w:rPr>
        <w:t xml:space="preserve">Annexes: </w:t>
      </w:r>
      <w:r w:rsidRPr="003C6F22">
        <w:rPr>
          <w:b/>
          <w:bCs/>
          <w:i/>
          <w:iCs/>
        </w:rPr>
        <w:t>2</w:t>
      </w:r>
    </w:p>
    <w:p w14:paraId="182D9D4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br w:type="page"/>
      </w:r>
    </w:p>
    <w:p w14:paraId="28F7C294" w14:textId="77777777" w:rsidR="00EE58F2" w:rsidRPr="00EE58F2" w:rsidRDefault="00EE58F2" w:rsidP="002D0236">
      <w:pPr>
        <w:pStyle w:val="AnnexNo"/>
      </w:pPr>
      <w:bookmarkStart w:id="6" w:name="Annex_1"/>
      <w:r w:rsidRPr="00EE58F2">
        <w:lastRenderedPageBreak/>
        <w:t>Annex 1</w:t>
      </w:r>
      <w:bookmarkEnd w:id="6"/>
    </w:p>
    <w:p w14:paraId="777BC499" w14:textId="37CEDCEC" w:rsidR="00EE58F2" w:rsidRPr="00EE58F2" w:rsidRDefault="00EE58F2" w:rsidP="002D0236">
      <w:pPr>
        <w:tabs>
          <w:tab w:val="clear" w:pos="567"/>
          <w:tab w:val="clear" w:pos="1134"/>
          <w:tab w:val="clear" w:pos="1701"/>
          <w:tab w:val="clear" w:pos="2268"/>
          <w:tab w:val="clear" w:pos="2835"/>
        </w:tabs>
        <w:overflowPunct/>
        <w:autoSpaceDE/>
        <w:autoSpaceDN/>
        <w:adjustRightInd/>
        <w:spacing w:before="360"/>
        <w:textAlignment w:val="auto"/>
        <w:rPr>
          <w:b/>
          <w:bCs/>
          <w:u w:val="single"/>
          <w:lang w:val="en-US"/>
        </w:rPr>
      </w:pPr>
      <w:r w:rsidRPr="00EE58F2">
        <w:rPr>
          <w:b/>
          <w:bCs/>
          <w:u w:val="single"/>
          <w:lang w:val="en-US"/>
        </w:rPr>
        <w:t xml:space="preserve">Top </w:t>
      </w:r>
      <w:r w:rsidR="00616EAC">
        <w:rPr>
          <w:b/>
          <w:bCs/>
          <w:u w:val="single"/>
          <w:lang w:val="en-US"/>
        </w:rPr>
        <w:t>d</w:t>
      </w:r>
      <w:r w:rsidRPr="00EE58F2">
        <w:rPr>
          <w:b/>
          <w:bCs/>
          <w:u w:val="single"/>
          <w:lang w:val="en-US"/>
        </w:rPr>
        <w:t>onors in 2022</w:t>
      </w:r>
    </w:p>
    <w:p w14:paraId="62320EF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p>
    <w:tbl>
      <w:tblPr>
        <w:tblW w:w="0" w:type="auto"/>
        <w:tblLayout w:type="fixed"/>
        <w:tblLook w:val="06A0" w:firstRow="1" w:lastRow="0" w:firstColumn="1" w:lastColumn="0" w:noHBand="1" w:noVBand="1"/>
      </w:tblPr>
      <w:tblGrid>
        <w:gridCol w:w="5220"/>
        <w:gridCol w:w="1890"/>
        <w:gridCol w:w="1950"/>
      </w:tblGrid>
      <w:tr w:rsidR="00EE58F2" w:rsidRPr="00EE58F2" w14:paraId="6CC69940"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756E2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Organization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FA622"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Country</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6549A1" w14:textId="56BF3B72"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 xml:space="preserve">Amount </w:t>
            </w:r>
            <w:r w:rsidR="00616EAC">
              <w:rPr>
                <w:b/>
                <w:bCs/>
                <w:u w:val="single"/>
              </w:rPr>
              <w:t>(</w:t>
            </w:r>
            <w:r w:rsidRPr="00EE58F2">
              <w:rPr>
                <w:b/>
                <w:bCs/>
                <w:u w:val="single"/>
              </w:rPr>
              <w:t>CHF</w:t>
            </w:r>
            <w:r w:rsidR="00616EAC">
              <w:rPr>
                <w:b/>
                <w:bCs/>
                <w:u w:val="single"/>
              </w:rPr>
              <w:t>)</w:t>
            </w:r>
          </w:p>
        </w:tc>
      </w:tr>
      <w:tr w:rsidR="00EE58F2" w:rsidRPr="00EE58F2" w14:paraId="2712DE0B"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F21E85"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Federal Department of Foreign Affairs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8987F0"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310829" w14:textId="00C5D889"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rsidR="00616EAC">
              <w:t> </w:t>
            </w:r>
            <w:r w:rsidR="00616EAC" w:rsidRPr="00EE58F2">
              <w:t>020</w:t>
            </w:r>
            <w:r w:rsidR="00616EAC">
              <w:t> </w:t>
            </w:r>
            <w:r w:rsidR="00616EAC" w:rsidRPr="00EE58F2">
              <w:t>000</w:t>
            </w:r>
          </w:p>
        </w:tc>
      </w:tr>
      <w:tr w:rsidR="00EE58F2" w:rsidRPr="00EE58F2" w14:paraId="7636BB60"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DD1AF9" w14:textId="547B8287" w:rsidR="00EE58F2" w:rsidRPr="00EE58F2" w:rsidRDefault="00616EAC"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Ministry </w:t>
            </w:r>
            <w:r>
              <w:t>o</w:t>
            </w:r>
            <w:r w:rsidRPr="00EE58F2">
              <w:t xml:space="preserve">f Industry </w:t>
            </w:r>
            <w:r>
              <w:t>a</w:t>
            </w:r>
            <w:r w:rsidRPr="00EE58F2">
              <w:t>nd Information Technology</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60872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China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2E45C0" w14:textId="279A5E1F"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985</w:t>
            </w:r>
            <w:r w:rsidR="00616EAC">
              <w:t> </w:t>
            </w:r>
            <w:r w:rsidRPr="00EE58F2">
              <w:t>924</w:t>
            </w:r>
          </w:p>
        </w:tc>
      </w:tr>
      <w:tr w:rsidR="00EE58F2" w:rsidRPr="00EE58F2" w14:paraId="416D33E4"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BF4FE8" w14:textId="76F496B2"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Norwegian Agency for Development Cooperation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693ED7"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Norway</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9C837D" w14:textId="7F42AF18"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932</w:t>
            </w:r>
            <w:r w:rsidR="00616EAC">
              <w:t> </w:t>
            </w:r>
            <w:r w:rsidRPr="00EE58F2">
              <w:t>498</w:t>
            </w:r>
          </w:p>
        </w:tc>
      </w:tr>
      <w:tr w:rsidR="00EE58F2" w:rsidRPr="00EE58F2" w14:paraId="4358FE96"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6C97B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Ministry of Internal Affairs and Communications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05BBF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Japan</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090D89" w14:textId="198B1A3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833</w:t>
            </w:r>
            <w:r w:rsidR="00616EAC">
              <w:t> </w:t>
            </w:r>
            <w:r w:rsidRPr="00EE58F2">
              <w:t>170</w:t>
            </w:r>
          </w:p>
        </w:tc>
      </w:tr>
      <w:tr w:rsidR="00EE58F2" w:rsidRPr="00EE58F2" w14:paraId="7CD1564C"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2BABB7" w14:textId="7146C4FA"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Foreign Affairs and Trade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67628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C713E" w14:textId="3E13AB5F"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826</w:t>
            </w:r>
            <w:r w:rsidR="00616EAC">
              <w:t> </w:t>
            </w:r>
            <w:r w:rsidRPr="00EE58F2">
              <w:t>259</w:t>
            </w:r>
          </w:p>
        </w:tc>
      </w:tr>
      <w:tr w:rsidR="00EE58F2" w:rsidRPr="00EE58F2" w14:paraId="761F316D"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E8AEB4"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UNDP MPTF</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82E41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International</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742E41" w14:textId="1A7F3B2B"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697</w:t>
            </w:r>
            <w:r w:rsidR="00616EAC">
              <w:t> </w:t>
            </w:r>
            <w:r w:rsidRPr="00EE58F2">
              <w:t>178</w:t>
            </w:r>
          </w:p>
        </w:tc>
      </w:tr>
      <w:tr w:rsidR="00EE58F2" w:rsidRPr="00EE58F2" w14:paraId="41919266"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B81D2F" w14:textId="018042D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Communications and the Arts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444DD9"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6B3309" w14:textId="680A1E7A"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688</w:t>
            </w:r>
            <w:r w:rsidR="00616EAC">
              <w:t> </w:t>
            </w:r>
            <w:r w:rsidRPr="00EE58F2">
              <w:t>978</w:t>
            </w:r>
          </w:p>
        </w:tc>
      </w:tr>
      <w:tr w:rsidR="00EE58F2" w:rsidRPr="004A1531" w14:paraId="02B0A1FF"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AA1A64" w14:textId="0569BEEA" w:rsidR="00EE58F2" w:rsidRPr="004A1531" w:rsidRDefault="00335AB2" w:rsidP="00EE58F2">
            <w:pPr>
              <w:tabs>
                <w:tab w:val="clear" w:pos="567"/>
                <w:tab w:val="clear" w:pos="1134"/>
                <w:tab w:val="clear" w:pos="1701"/>
                <w:tab w:val="clear" w:pos="2268"/>
                <w:tab w:val="clear" w:pos="2835"/>
              </w:tabs>
              <w:overflowPunct/>
              <w:autoSpaceDE/>
              <w:autoSpaceDN/>
              <w:adjustRightInd/>
              <w:spacing w:before="0"/>
              <w:textAlignment w:val="auto"/>
            </w:pPr>
            <w:r w:rsidRPr="004A1531">
              <w:t>Ministry of Science and ICT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C31ED0" w14:textId="32DD3076" w:rsidR="00EE58F2" w:rsidRPr="004A1531" w:rsidRDefault="003E2239" w:rsidP="00EE58F2">
            <w:pPr>
              <w:tabs>
                <w:tab w:val="clear" w:pos="567"/>
                <w:tab w:val="clear" w:pos="1134"/>
                <w:tab w:val="clear" w:pos="1701"/>
                <w:tab w:val="clear" w:pos="2268"/>
                <w:tab w:val="clear" w:pos="2835"/>
              </w:tabs>
              <w:overflowPunct/>
              <w:autoSpaceDE/>
              <w:autoSpaceDN/>
              <w:adjustRightInd/>
              <w:spacing w:before="0"/>
              <w:textAlignment w:val="auto"/>
            </w:pPr>
            <w:r w:rsidRPr="004A1531">
              <w:t xml:space="preserve">Republic of </w:t>
            </w:r>
            <w:r w:rsidR="00EE58F2" w:rsidRPr="004A1531">
              <w:t>Korea</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81B2AE" w14:textId="0FC5CEBC" w:rsidR="00EE58F2" w:rsidRPr="004A1531"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4A1531">
              <w:t>60</w:t>
            </w:r>
            <w:r w:rsidR="00335AB2" w:rsidRPr="004A1531">
              <w:t>0</w:t>
            </w:r>
            <w:r w:rsidR="00616EAC" w:rsidRPr="004A1531">
              <w:t> </w:t>
            </w:r>
            <w:r w:rsidR="00335AB2" w:rsidRPr="004A1531">
              <w:t>428</w:t>
            </w:r>
          </w:p>
        </w:tc>
      </w:tr>
      <w:tr w:rsidR="00EE58F2" w:rsidRPr="004A1531" w14:paraId="432F1681" w14:textId="77777777" w:rsidTr="00DD5FF4">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4357FA" w14:textId="5AF8CB00" w:rsidR="00EE58F2" w:rsidRPr="004A1531"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4A1531">
              <w:t xml:space="preserve">Foreign, Commonwealth </w:t>
            </w:r>
            <w:r w:rsidR="00616EAC" w:rsidRPr="004A1531">
              <w:t xml:space="preserve">and </w:t>
            </w:r>
            <w:r w:rsidRPr="004A1531">
              <w:t>Development Office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92EF56" w14:textId="77777777" w:rsidR="00EE58F2" w:rsidRPr="004A1531"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4A1531">
              <w:t>United Kingdom</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F474BC" w14:textId="6D14CF1A" w:rsidR="00EE58F2" w:rsidRPr="004A1531"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4A1531">
              <w:t>525</w:t>
            </w:r>
            <w:r w:rsidR="00616EAC" w:rsidRPr="004A1531">
              <w:t> </w:t>
            </w:r>
            <w:r w:rsidRPr="004A1531">
              <w:t>555</w:t>
            </w:r>
          </w:p>
        </w:tc>
      </w:tr>
      <w:tr w:rsidR="00EE58F2" w:rsidRPr="00EE58F2" w14:paraId="490D6B19" w14:textId="77777777" w:rsidTr="00DD5FF4">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7F3446" w14:textId="77777777" w:rsidR="00EE58F2" w:rsidRPr="004A1531" w:rsidRDefault="00EE58F2" w:rsidP="00EE58F2">
            <w:pPr>
              <w:tabs>
                <w:tab w:val="clear" w:pos="567"/>
                <w:tab w:val="clear" w:pos="1134"/>
                <w:tab w:val="clear" w:pos="1701"/>
                <w:tab w:val="clear" w:pos="2268"/>
                <w:tab w:val="clear" w:pos="2835"/>
              </w:tabs>
              <w:overflowPunct/>
              <w:autoSpaceDE/>
              <w:autoSpaceDN/>
              <w:adjustRightInd/>
              <w:spacing w:before="0"/>
              <w:textAlignment w:val="auto"/>
            </w:pPr>
            <w:proofErr w:type="spellStart"/>
            <w:r w:rsidRPr="004A1531">
              <w:t>Botnar</w:t>
            </w:r>
            <w:proofErr w:type="spellEnd"/>
            <w:r w:rsidRPr="004A1531">
              <w:t xml:space="preserve"> Foundation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051A01" w14:textId="77777777" w:rsidR="00EE58F2" w:rsidRPr="004A1531"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4A1531">
              <w:t>Switzerland</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C35128" w14:textId="57309AB5"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4A1531">
              <w:t>442</w:t>
            </w:r>
            <w:r w:rsidR="00616EAC" w:rsidRPr="004A1531">
              <w:t> </w:t>
            </w:r>
            <w:r w:rsidRPr="004A1531">
              <w:t>247</w:t>
            </w:r>
          </w:p>
        </w:tc>
      </w:tr>
    </w:tbl>
    <w:p w14:paraId="2CBD38ED"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rPr>
      </w:pPr>
      <w:r w:rsidRPr="00EE58F2">
        <w:rPr>
          <w:b/>
          <w:bCs/>
        </w:rPr>
        <w:br w:type="page"/>
      </w:r>
    </w:p>
    <w:p w14:paraId="723DAC45" w14:textId="77777777" w:rsidR="00EE58F2" w:rsidRPr="00EE58F2" w:rsidRDefault="00EE58F2" w:rsidP="002D0236">
      <w:pPr>
        <w:pStyle w:val="AnnexNo"/>
      </w:pPr>
      <w:bookmarkStart w:id="7" w:name="Annex_2"/>
      <w:r w:rsidRPr="00EE58F2">
        <w:lastRenderedPageBreak/>
        <w:t>Annex 2</w:t>
      </w:r>
      <w:bookmarkEnd w:id="7"/>
    </w:p>
    <w:p w14:paraId="52E3BF00" w14:textId="3AEAE083" w:rsidR="00EE58F2" w:rsidRPr="00EE58F2" w:rsidRDefault="00616EAC" w:rsidP="001648B1">
      <w:pPr>
        <w:tabs>
          <w:tab w:val="clear" w:pos="567"/>
          <w:tab w:val="clear" w:pos="1134"/>
          <w:tab w:val="clear" w:pos="1701"/>
          <w:tab w:val="clear" w:pos="2268"/>
          <w:tab w:val="clear" w:pos="2835"/>
        </w:tabs>
        <w:overflowPunct/>
        <w:autoSpaceDE/>
        <w:autoSpaceDN/>
        <w:adjustRightInd/>
        <w:spacing w:before="360"/>
        <w:textAlignment w:val="auto"/>
        <w:rPr>
          <w:b/>
          <w:bCs/>
          <w:u w:val="single"/>
          <w:lang w:val="en-US"/>
        </w:rPr>
      </w:pPr>
      <w:r>
        <w:rPr>
          <w:b/>
          <w:bCs/>
          <w:u w:val="single"/>
          <w:lang w:val="en-US"/>
        </w:rPr>
        <w:t xml:space="preserve">Contributions from </w:t>
      </w:r>
      <w:r w:rsidR="00435E97">
        <w:rPr>
          <w:b/>
          <w:bCs/>
          <w:u w:val="single"/>
          <w:lang w:val="en-US"/>
        </w:rPr>
        <w:t>o</w:t>
      </w:r>
      <w:r w:rsidR="00EE58F2" w:rsidRPr="00EE58F2">
        <w:rPr>
          <w:b/>
          <w:bCs/>
          <w:u w:val="single"/>
          <w:lang w:val="en-US"/>
        </w:rPr>
        <w:t xml:space="preserve">fficial </w:t>
      </w:r>
      <w:r>
        <w:rPr>
          <w:b/>
          <w:bCs/>
          <w:u w:val="single"/>
          <w:lang w:val="en-US"/>
        </w:rPr>
        <w:t>d</w:t>
      </w:r>
      <w:r w:rsidR="00EE58F2" w:rsidRPr="00EE58F2">
        <w:rPr>
          <w:b/>
          <w:bCs/>
          <w:u w:val="single"/>
          <w:lang w:val="en-US"/>
        </w:rPr>
        <w:t xml:space="preserve">evelopment </w:t>
      </w:r>
      <w:r>
        <w:rPr>
          <w:b/>
          <w:bCs/>
          <w:u w:val="single"/>
          <w:lang w:val="en-US"/>
        </w:rPr>
        <w:t>a</w:t>
      </w:r>
      <w:r w:rsidR="00EE58F2" w:rsidRPr="00EE58F2">
        <w:rPr>
          <w:b/>
          <w:bCs/>
          <w:u w:val="single"/>
          <w:lang w:val="en-US"/>
        </w:rPr>
        <w:t xml:space="preserve">ssistance organizations, </w:t>
      </w:r>
      <w:r>
        <w:rPr>
          <w:b/>
          <w:bCs/>
          <w:u w:val="single"/>
          <w:lang w:val="en-US"/>
        </w:rPr>
        <w:t>ministries of f</w:t>
      </w:r>
      <w:r w:rsidR="00EE58F2" w:rsidRPr="00EE58F2">
        <w:rPr>
          <w:b/>
          <w:bCs/>
          <w:u w:val="single"/>
          <w:lang w:val="en-US"/>
        </w:rPr>
        <w:t xml:space="preserve">oreign </w:t>
      </w:r>
      <w:r>
        <w:rPr>
          <w:b/>
          <w:bCs/>
          <w:u w:val="single"/>
          <w:lang w:val="en-US"/>
        </w:rPr>
        <w:t>a</w:t>
      </w:r>
      <w:r w:rsidR="00EE58F2" w:rsidRPr="00EE58F2">
        <w:rPr>
          <w:b/>
          <w:bCs/>
          <w:u w:val="single"/>
          <w:lang w:val="en-US"/>
        </w:rPr>
        <w:t xml:space="preserve">ffairs and </w:t>
      </w:r>
      <w:r>
        <w:rPr>
          <w:b/>
          <w:bCs/>
          <w:u w:val="single"/>
          <w:lang w:val="en-US"/>
        </w:rPr>
        <w:t>m</w:t>
      </w:r>
      <w:r w:rsidR="00EE58F2" w:rsidRPr="00EE58F2">
        <w:rPr>
          <w:b/>
          <w:bCs/>
          <w:u w:val="single"/>
          <w:lang w:val="en-US"/>
        </w:rPr>
        <w:t>issions in 2022</w:t>
      </w:r>
    </w:p>
    <w:p w14:paraId="06234AEE"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tbl>
      <w:tblPr>
        <w:tblW w:w="9173" w:type="dxa"/>
        <w:tblLayout w:type="fixed"/>
        <w:tblLook w:val="06A0" w:firstRow="1" w:lastRow="0" w:firstColumn="1" w:lastColumn="0" w:noHBand="1" w:noVBand="1"/>
      </w:tblPr>
      <w:tblGrid>
        <w:gridCol w:w="5265"/>
        <w:gridCol w:w="1860"/>
        <w:gridCol w:w="2048"/>
      </w:tblGrid>
      <w:tr w:rsidR="00EE58F2" w:rsidRPr="00EE58F2" w14:paraId="5D11A498" w14:textId="77777777" w:rsidTr="0059358B">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E3D7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Organization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88D021"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Country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549EC" w14:textId="3AFD9E55"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rPr>
                <w:b/>
                <w:bCs/>
                <w:u w:val="single"/>
              </w:rPr>
              <w:t xml:space="preserve">Amount </w:t>
            </w:r>
            <w:r w:rsidR="00435E97">
              <w:rPr>
                <w:b/>
                <w:bCs/>
                <w:u w:val="single"/>
              </w:rPr>
              <w:t>(</w:t>
            </w:r>
            <w:r w:rsidRPr="00EE58F2">
              <w:rPr>
                <w:b/>
                <w:bCs/>
                <w:u w:val="single"/>
              </w:rPr>
              <w:t>CHF</w:t>
            </w:r>
            <w:r w:rsidR="00435E97">
              <w:rPr>
                <w:b/>
                <w:bCs/>
                <w:u w:val="single"/>
              </w:rPr>
              <w:t>)</w:t>
            </w:r>
          </w:p>
        </w:tc>
      </w:tr>
      <w:tr w:rsidR="00EE58F2" w:rsidRPr="00EE58F2" w14:paraId="198131A2" w14:textId="77777777" w:rsidTr="0059358B">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E44E76"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Federal Department of Foreign Affairs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A2C64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9D8196" w14:textId="007CFF47"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rsidR="00435E97">
              <w:t> </w:t>
            </w:r>
            <w:r w:rsidR="00435E97" w:rsidRPr="00EE58F2">
              <w:t>020</w:t>
            </w:r>
            <w:r w:rsidR="00435E97">
              <w:t> </w:t>
            </w:r>
            <w:r w:rsidR="00435E97" w:rsidRPr="00EE58F2">
              <w:t>000</w:t>
            </w:r>
          </w:p>
        </w:tc>
      </w:tr>
      <w:tr w:rsidR="00EE58F2" w:rsidRPr="00EE58F2" w14:paraId="554A2591" w14:textId="77777777" w:rsidTr="0059358B">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59DB09" w14:textId="7E276A36"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Norwegian Agency for Development Cooperation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34B12C"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Norway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7DDB12" w14:textId="022DEB0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932</w:t>
            </w:r>
            <w:r w:rsidR="00435E97">
              <w:t> </w:t>
            </w:r>
            <w:r w:rsidRPr="00EE58F2">
              <w:t>498</w:t>
            </w:r>
          </w:p>
        </w:tc>
      </w:tr>
      <w:tr w:rsidR="00EE58F2" w:rsidRPr="00EE58F2" w14:paraId="50376A5A" w14:textId="77777777" w:rsidTr="0059358B">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901866" w14:textId="399C1C11"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Department of Foreign Affairs and Trade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04CA08"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Australia</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C791F6" w14:textId="2BC689A2"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826</w:t>
            </w:r>
            <w:r w:rsidR="00435E97">
              <w:t> </w:t>
            </w:r>
            <w:r w:rsidRPr="00EE58F2">
              <w:t>259</w:t>
            </w:r>
          </w:p>
        </w:tc>
      </w:tr>
      <w:tr w:rsidR="00EE58F2" w:rsidRPr="00EE58F2" w14:paraId="75026015" w14:textId="77777777" w:rsidTr="0059358B">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487E49" w14:textId="2D2FB85E"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Foreign, Commonwealth </w:t>
            </w:r>
            <w:r w:rsidR="00616EAC">
              <w:t>and</w:t>
            </w:r>
            <w:r w:rsidR="00616EAC" w:rsidRPr="00EE58F2">
              <w:t xml:space="preserve"> </w:t>
            </w:r>
            <w:r w:rsidRPr="00EE58F2">
              <w:t>Development Office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21BE4A" w14:textId="77777777" w:rsidR="00EE58F2" w:rsidRPr="00EE58F2"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EE58F2">
              <w:t>United Kingdom</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8DFBD1" w14:textId="48A3BBE3" w:rsidR="00EE58F2" w:rsidRPr="00EE58F2"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EE58F2">
              <w:t>525</w:t>
            </w:r>
            <w:r w:rsidR="00435E97">
              <w:t> </w:t>
            </w:r>
            <w:r w:rsidRPr="00EE58F2">
              <w:t>555</w:t>
            </w:r>
          </w:p>
        </w:tc>
      </w:tr>
      <w:tr w:rsidR="00EE58F2" w:rsidRPr="00EE58F2" w14:paraId="792A49AC" w14:textId="77777777" w:rsidTr="0059358B">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2CF9B1" w14:textId="3E439FEE" w:rsidR="00EE58F2" w:rsidRPr="001648B1" w:rsidRDefault="00EE58F2" w:rsidP="00EE58F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ED1202">
              <w:rPr>
                <w:lang w:val="es-ES"/>
              </w:rPr>
              <w:t>Secretaría de Estado de Asuntos Ext</w:t>
            </w:r>
            <w:r w:rsidR="00616EAC">
              <w:rPr>
                <w:lang w:val="es-ES"/>
              </w:rPr>
              <w:t>eriores</w:t>
            </w:r>
            <w:r w:rsidRPr="00ED1202">
              <w:rPr>
                <w:lang w:val="es-ES"/>
              </w:rPr>
              <w:t xml:space="preserve"> </w:t>
            </w:r>
            <w:r w:rsidR="00616EAC" w:rsidRPr="001648B1">
              <w:rPr>
                <w:lang w:val="es-ES"/>
              </w:rPr>
              <w:t>y</w:t>
            </w:r>
            <w:r w:rsidRPr="001648B1">
              <w:rPr>
                <w:lang w:val="es-ES"/>
              </w:rPr>
              <w:t xml:space="preserve"> Globale</w:t>
            </w:r>
            <w:r w:rsidR="00616EAC" w:rsidRPr="001648B1">
              <w:rPr>
                <w:lang w:val="es-ES"/>
              </w:rPr>
              <w:t>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73E314" w14:textId="77777777" w:rsidR="00EE58F2" w:rsidRPr="004A1531" w:rsidRDefault="00EE58F2" w:rsidP="00EE58F2">
            <w:pPr>
              <w:tabs>
                <w:tab w:val="clear" w:pos="567"/>
                <w:tab w:val="clear" w:pos="1134"/>
                <w:tab w:val="clear" w:pos="1701"/>
                <w:tab w:val="clear" w:pos="2268"/>
                <w:tab w:val="clear" w:pos="2835"/>
              </w:tabs>
              <w:overflowPunct/>
              <w:autoSpaceDE/>
              <w:autoSpaceDN/>
              <w:adjustRightInd/>
              <w:spacing w:before="0"/>
              <w:textAlignment w:val="auto"/>
            </w:pPr>
            <w:r w:rsidRPr="004A1531">
              <w:t>Spain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DB3FC5" w14:textId="1B2A4EEE" w:rsidR="00EE58F2" w:rsidRPr="004A1531" w:rsidRDefault="00EE58F2" w:rsidP="001648B1">
            <w:pPr>
              <w:tabs>
                <w:tab w:val="clear" w:pos="567"/>
                <w:tab w:val="clear" w:pos="1134"/>
                <w:tab w:val="clear" w:pos="1701"/>
                <w:tab w:val="clear" w:pos="2268"/>
                <w:tab w:val="clear" w:pos="2835"/>
              </w:tabs>
              <w:overflowPunct/>
              <w:autoSpaceDE/>
              <w:autoSpaceDN/>
              <w:adjustRightInd/>
              <w:spacing w:before="0"/>
              <w:jc w:val="center"/>
              <w:textAlignment w:val="auto"/>
            </w:pPr>
            <w:r w:rsidRPr="004A1531">
              <w:t>394</w:t>
            </w:r>
            <w:r w:rsidR="00435E97" w:rsidRPr="004A1531">
              <w:t> </w:t>
            </w:r>
            <w:r w:rsidRPr="004A1531">
              <w:t>031</w:t>
            </w:r>
          </w:p>
        </w:tc>
      </w:tr>
      <w:tr w:rsidR="0059358B" w:rsidRPr="00EE58F2" w14:paraId="553DEFD6" w14:textId="77777777" w:rsidTr="004A1531">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112C38" w14:textId="3FDF987B"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Permanent Representative of the Mission of the Republic of Korea </w:t>
            </w:r>
            <w:r>
              <w:t>and</w:t>
            </w:r>
            <w:r w:rsidRPr="00EE58F2">
              <w:t xml:space="preserve"> Ambassador</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DA58FB" w14:textId="7FE97355" w:rsidR="0059358B" w:rsidRPr="004A1531"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4A1531">
              <w:t>Republic of Korea</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0B945999" w14:textId="39FA7D1D" w:rsidR="0059358B" w:rsidRPr="004A1531" w:rsidRDefault="0059358B" w:rsidP="0059358B">
            <w:pPr>
              <w:tabs>
                <w:tab w:val="clear" w:pos="567"/>
                <w:tab w:val="clear" w:pos="1134"/>
                <w:tab w:val="clear" w:pos="1701"/>
                <w:tab w:val="clear" w:pos="2268"/>
                <w:tab w:val="clear" w:pos="2835"/>
              </w:tabs>
              <w:overflowPunct/>
              <w:autoSpaceDE/>
              <w:autoSpaceDN/>
              <w:adjustRightInd/>
              <w:spacing w:before="0"/>
              <w:jc w:val="center"/>
              <w:textAlignment w:val="auto"/>
            </w:pPr>
            <w:r w:rsidRPr="004A1531">
              <w:t>347 529</w:t>
            </w:r>
          </w:p>
        </w:tc>
      </w:tr>
      <w:tr w:rsidR="0059358B" w:rsidRPr="00EE58F2" w14:paraId="3EC4624A" w14:textId="77777777" w:rsidTr="0059358B">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5934E8" w14:textId="13D9CC29"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 xml:space="preserve">Permanent Mission </w:t>
            </w:r>
            <w:r>
              <w:t xml:space="preserve">of </w:t>
            </w:r>
            <w:r w:rsidRPr="00EE58F2">
              <w:t>Japan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4F9801" w14:textId="77777777"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Japan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870B2C" w14:textId="6225E452"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jc w:val="center"/>
              <w:textAlignment w:val="auto"/>
            </w:pPr>
            <w:r w:rsidRPr="00EE58F2">
              <w:t>138</w:t>
            </w:r>
            <w:r>
              <w:t> </w:t>
            </w:r>
            <w:r w:rsidRPr="00EE58F2">
              <w:t>365</w:t>
            </w:r>
          </w:p>
        </w:tc>
      </w:tr>
      <w:tr w:rsidR="0059358B" w:rsidRPr="00EE58F2" w14:paraId="2E161A60" w14:textId="77777777" w:rsidTr="0059358B">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FB796B" w14:textId="3904AA9D"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proofErr w:type="spellStart"/>
            <w:r w:rsidRPr="00EE58F2">
              <w:t>Büro</w:t>
            </w:r>
            <w:proofErr w:type="spellEnd"/>
            <w:r w:rsidRPr="00EE58F2">
              <w:t xml:space="preserve"> </w:t>
            </w:r>
            <w:proofErr w:type="spellStart"/>
            <w:r w:rsidRPr="00EE58F2">
              <w:t>Führungskräfte</w:t>
            </w:r>
            <w:proofErr w:type="spellEnd"/>
            <w:r w:rsidRPr="00EE58F2">
              <w:t xml:space="preserve"> </w:t>
            </w:r>
            <w:proofErr w:type="spellStart"/>
            <w:r w:rsidRPr="00EE58F2">
              <w:t>zu</w:t>
            </w:r>
            <w:proofErr w:type="spellEnd"/>
            <w:r w:rsidRPr="00EE58F2">
              <w:t xml:space="preserve"> Internationalen </w:t>
            </w:r>
            <w:proofErr w:type="spellStart"/>
            <w:r w:rsidRPr="00EE58F2">
              <w:t>Organisationen</w:t>
            </w:r>
            <w:proofErr w:type="spellEnd"/>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6DAAC0" w14:textId="77777777"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Germany</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3C8062" w14:textId="5670C0A2"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jc w:val="center"/>
              <w:textAlignment w:val="auto"/>
            </w:pPr>
            <w:r w:rsidRPr="00EE58F2">
              <w:t>127</w:t>
            </w:r>
            <w:r>
              <w:t> </w:t>
            </w:r>
            <w:r w:rsidRPr="00EE58F2">
              <w:t>421</w:t>
            </w:r>
          </w:p>
        </w:tc>
      </w:tr>
      <w:tr w:rsidR="0059358B" w:rsidRPr="00EE58F2" w14:paraId="76BC9C57" w14:textId="77777777" w:rsidTr="0059358B">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FEA87F" w14:textId="77777777"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Permanent Mission of the Czech Republic</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92DEE2" w14:textId="77777777"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Czech Republic</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7D80A1" w14:textId="53D02DD0"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jc w:val="center"/>
              <w:textAlignment w:val="auto"/>
            </w:pPr>
            <w:r w:rsidRPr="00EE58F2">
              <w:t>20</w:t>
            </w:r>
            <w:r>
              <w:t> </w:t>
            </w:r>
            <w:r w:rsidRPr="00EE58F2">
              <w:t>373</w:t>
            </w:r>
          </w:p>
        </w:tc>
      </w:tr>
      <w:tr w:rsidR="0059358B" w:rsidRPr="00EE58F2" w14:paraId="6CBCA4E4" w14:textId="77777777" w:rsidTr="0059358B">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C6BF8D" w14:textId="38FADA6C" w:rsidR="0059358B" w:rsidRPr="001648B1" w:rsidRDefault="0059358B" w:rsidP="0059358B">
            <w:pPr>
              <w:tabs>
                <w:tab w:val="clear" w:pos="567"/>
                <w:tab w:val="clear" w:pos="1134"/>
                <w:tab w:val="clear" w:pos="1701"/>
                <w:tab w:val="clear" w:pos="2268"/>
                <w:tab w:val="clear" w:pos="2835"/>
              </w:tabs>
              <w:overflowPunct/>
              <w:autoSpaceDE/>
              <w:autoSpaceDN/>
              <w:adjustRightInd/>
              <w:spacing w:before="0"/>
              <w:textAlignment w:val="auto"/>
              <w:rPr>
                <w:lang w:val="fr-FR"/>
              </w:rPr>
            </w:pPr>
            <w:r w:rsidRPr="001648B1">
              <w:rPr>
                <w:lang w:val="fr-FR"/>
              </w:rPr>
              <w:t>République and Canton de Genève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AF4723" w14:textId="77777777"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textAlignment w:val="auto"/>
            </w:pPr>
            <w:r w:rsidRPr="00EE58F2">
              <w:t>Switzerland</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48C50E" w14:textId="4F2575D6" w:rsidR="0059358B" w:rsidRPr="00EE58F2" w:rsidRDefault="0059358B" w:rsidP="0059358B">
            <w:pPr>
              <w:tabs>
                <w:tab w:val="clear" w:pos="567"/>
                <w:tab w:val="clear" w:pos="1134"/>
                <w:tab w:val="clear" w:pos="1701"/>
                <w:tab w:val="clear" w:pos="2268"/>
                <w:tab w:val="clear" w:pos="2835"/>
              </w:tabs>
              <w:overflowPunct/>
              <w:autoSpaceDE/>
              <w:autoSpaceDN/>
              <w:adjustRightInd/>
              <w:spacing w:before="0"/>
              <w:jc w:val="center"/>
              <w:textAlignment w:val="auto"/>
            </w:pPr>
            <w:r w:rsidRPr="00EE58F2">
              <w:t>1</w:t>
            </w:r>
            <w:r>
              <w:t> </w:t>
            </w:r>
            <w:r w:rsidRPr="00EE58F2">
              <w:t>500</w:t>
            </w:r>
          </w:p>
        </w:tc>
      </w:tr>
    </w:tbl>
    <w:p w14:paraId="16566EB5" w14:textId="55929286" w:rsidR="00A514A4" w:rsidRPr="0090147A" w:rsidRDefault="00EE3906" w:rsidP="00EE3906">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34D2" w14:textId="77777777" w:rsidR="006C1548" w:rsidRDefault="006C1548">
      <w:r>
        <w:separator/>
      </w:r>
    </w:p>
  </w:endnote>
  <w:endnote w:type="continuationSeparator" w:id="0">
    <w:p w14:paraId="2E488714" w14:textId="77777777" w:rsidR="006C1548" w:rsidRDefault="006C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863A581" w:rsidR="00EE49E8" w:rsidRDefault="00EE49E8" w:rsidP="00EE49E8">
          <w:pPr>
            <w:pStyle w:val="Header"/>
            <w:jc w:val="left"/>
            <w:rPr>
              <w:noProof/>
            </w:rPr>
          </w:pPr>
          <w:r>
            <w:rPr>
              <w:noProof/>
            </w:rPr>
            <w:t xml:space="preserve">DPS </w:t>
          </w:r>
          <w:r w:rsidR="004A1531" w:rsidRPr="004A1531">
            <w:rPr>
              <w:noProof/>
            </w:rPr>
            <w:t>525708</w:t>
          </w:r>
        </w:p>
      </w:tc>
      <w:tc>
        <w:tcPr>
          <w:tcW w:w="8261" w:type="dxa"/>
        </w:tcPr>
        <w:p w14:paraId="35709C74" w14:textId="2368BEF7"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C6F22">
            <w:rPr>
              <w:bCs/>
            </w:rPr>
            <w:t>62</w:t>
          </w:r>
          <w:r w:rsidR="004A1531">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A153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E1E396D"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C6F22">
            <w:rPr>
              <w:bCs/>
            </w:rPr>
            <w:t>62</w:t>
          </w:r>
          <w:r w:rsidR="004A1531">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534F" w14:textId="77777777" w:rsidR="006C1548" w:rsidRDefault="006C1548">
      <w:r>
        <w:t>____________________</w:t>
      </w:r>
    </w:p>
  </w:footnote>
  <w:footnote w:type="continuationSeparator" w:id="0">
    <w:p w14:paraId="4BF2BEF5" w14:textId="77777777" w:rsidR="006C1548" w:rsidRDefault="006C1548">
      <w:r>
        <w:continuationSeparator/>
      </w:r>
    </w:p>
  </w:footnote>
  <w:footnote w:id="1">
    <w:p w14:paraId="47256E27" w14:textId="2DACB0B9" w:rsidR="00ED009D" w:rsidRPr="00AA1FD1" w:rsidRDefault="00ED009D" w:rsidP="00ED009D">
      <w:pPr>
        <w:pStyle w:val="FootnoteText"/>
      </w:pPr>
      <w:r>
        <w:rPr>
          <w:rStyle w:val="FootnoteReference"/>
        </w:rPr>
        <w:footnoteRef/>
      </w:r>
      <w:r>
        <w:t xml:space="preserve"> </w:t>
      </w:r>
      <w:r w:rsidRPr="003B22A3">
        <w:t>IOM Programme and Budget for 2023</w:t>
      </w:r>
      <w:r>
        <w:t xml:space="preserve">. </w:t>
      </w:r>
      <w:r w:rsidR="00BF56EF">
        <w:t>See</w:t>
      </w:r>
      <w:r w:rsidR="00BF56EF" w:rsidRPr="00AA1FD1">
        <w:t xml:space="preserve"> </w:t>
      </w:r>
      <w:r w:rsidR="00BF56EF">
        <w:t>D</w:t>
      </w:r>
      <w:r w:rsidRPr="00AA1FD1">
        <w:t xml:space="preserve">ocument </w:t>
      </w:r>
      <w:hyperlink r:id="rId1" w:history="1">
        <w:r w:rsidRPr="00AA1FD1">
          <w:rPr>
            <w:rStyle w:val="Hyperlink"/>
          </w:rPr>
          <w:t>C/113/7</w:t>
        </w:r>
      </w:hyperlink>
      <w:r w:rsidRPr="00AA1FD1">
        <w:t xml:space="preserve"> </w:t>
      </w:r>
    </w:p>
  </w:footnote>
  <w:footnote w:id="2">
    <w:p w14:paraId="01FF9D72" w14:textId="77777777" w:rsidR="00ED009D" w:rsidRPr="001B6D79" w:rsidRDefault="00ED009D" w:rsidP="00ED009D">
      <w:pPr>
        <w:pStyle w:val="FootnoteText"/>
      </w:pPr>
      <w:r>
        <w:rPr>
          <w:rStyle w:val="FootnoteReference"/>
        </w:rPr>
        <w:footnoteRef/>
      </w:r>
      <w:r>
        <w:t xml:space="preserve"> </w:t>
      </w:r>
      <w:hyperlink r:id="rId2" w:history="1">
        <w:r w:rsidRPr="00FE2ED5">
          <w:rPr>
            <w:rStyle w:val="Hyperlink"/>
          </w:rPr>
          <w:t>WHO press release</w:t>
        </w:r>
      </w:hyperlink>
      <w:r w:rsidRPr="007D5DED">
        <w:t xml:space="preserve"> </w:t>
      </w:r>
    </w:p>
  </w:footnote>
  <w:footnote w:id="3">
    <w:p w14:paraId="4647D8A2" w14:textId="77777777" w:rsidR="00ED009D" w:rsidRPr="001B6D79" w:rsidRDefault="00ED009D" w:rsidP="00ED009D">
      <w:pPr>
        <w:pStyle w:val="FootnoteText"/>
        <w:rPr>
          <w:lang w:val="en-US"/>
        </w:rPr>
      </w:pPr>
      <w:r>
        <w:rPr>
          <w:rStyle w:val="FootnoteReference"/>
        </w:rPr>
        <w:footnoteRef/>
      </w:r>
      <w:r>
        <w:t xml:space="preserve"> </w:t>
      </w:r>
      <w:hyperlink r:id="rId3" w:history="1">
        <w:r w:rsidRPr="001B6D79">
          <w:rPr>
            <w:rStyle w:val="Hyperlink"/>
          </w:rPr>
          <w:t>WMO press release</w:t>
        </w:r>
      </w:hyperlink>
      <w:r w:rsidRPr="001B6D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D04D4"/>
    <w:multiLevelType w:val="hybridMultilevel"/>
    <w:tmpl w:val="FB58052E"/>
    <w:lvl w:ilvl="0" w:tplc="FADC8F42">
      <w:start w:val="1"/>
      <w:numFmt w:val="upperLetter"/>
      <w:lvlText w:val="%1."/>
      <w:lvlJc w:val="left"/>
      <w:pPr>
        <w:ind w:left="360" w:hanging="360"/>
      </w:pPr>
      <w:rPr>
        <w:rFonts w:ascii="Calibri" w:hAnsi="Calibri" w:cs="Calibri" w:hint="default"/>
        <w:b/>
        <w:sz w:val="24"/>
        <w:lang w:val="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98508779">
    <w:abstractNumId w:val="4"/>
  </w:num>
  <w:num w:numId="3" w16cid:durableId="271937946">
    <w:abstractNumId w:val="1"/>
  </w:num>
  <w:num w:numId="4" w16cid:durableId="1700204349">
    <w:abstractNumId w:val="3"/>
  </w:num>
  <w:num w:numId="5" w16cid:durableId="1542552303">
    <w:abstractNumId w:val="6"/>
  </w:num>
  <w:num w:numId="6" w16cid:durableId="2080788691">
    <w:abstractNumId w:val="2"/>
  </w:num>
  <w:num w:numId="7" w16cid:durableId="1790706442">
    <w:abstractNumId w:val="5"/>
  </w:num>
  <w:num w:numId="8" w16cid:durableId="1155873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0E4B04"/>
    <w:rsid w:val="001121F5"/>
    <w:rsid w:val="001400DC"/>
    <w:rsid w:val="00140CE1"/>
    <w:rsid w:val="00164668"/>
    <w:rsid w:val="001648B1"/>
    <w:rsid w:val="0017539C"/>
    <w:rsid w:val="00175AC2"/>
    <w:rsid w:val="0017609F"/>
    <w:rsid w:val="001A4795"/>
    <w:rsid w:val="001A7D1D"/>
    <w:rsid w:val="001B51DD"/>
    <w:rsid w:val="001C628E"/>
    <w:rsid w:val="001E0F7B"/>
    <w:rsid w:val="002119FD"/>
    <w:rsid w:val="002130E0"/>
    <w:rsid w:val="00226DDE"/>
    <w:rsid w:val="00264425"/>
    <w:rsid w:val="00265875"/>
    <w:rsid w:val="0027303B"/>
    <w:rsid w:val="00273361"/>
    <w:rsid w:val="0028109B"/>
    <w:rsid w:val="00293C28"/>
    <w:rsid w:val="002A2188"/>
    <w:rsid w:val="002B1F58"/>
    <w:rsid w:val="002C1C7A"/>
    <w:rsid w:val="002C54E2"/>
    <w:rsid w:val="002D0236"/>
    <w:rsid w:val="0030160F"/>
    <w:rsid w:val="00320223"/>
    <w:rsid w:val="00322D0D"/>
    <w:rsid w:val="00335AB2"/>
    <w:rsid w:val="0034591D"/>
    <w:rsid w:val="00361465"/>
    <w:rsid w:val="003877F5"/>
    <w:rsid w:val="003942D4"/>
    <w:rsid w:val="003958A8"/>
    <w:rsid w:val="003C2533"/>
    <w:rsid w:val="003C6F22"/>
    <w:rsid w:val="003D5A7F"/>
    <w:rsid w:val="003E2239"/>
    <w:rsid w:val="0040435A"/>
    <w:rsid w:val="00416A24"/>
    <w:rsid w:val="00431D9E"/>
    <w:rsid w:val="00433CE8"/>
    <w:rsid w:val="00434A5C"/>
    <w:rsid w:val="00435E97"/>
    <w:rsid w:val="004544D9"/>
    <w:rsid w:val="00472BAD"/>
    <w:rsid w:val="00484009"/>
    <w:rsid w:val="00490E72"/>
    <w:rsid w:val="00491157"/>
    <w:rsid w:val="004921C8"/>
    <w:rsid w:val="00495B0B"/>
    <w:rsid w:val="004A1531"/>
    <w:rsid w:val="004A1B8B"/>
    <w:rsid w:val="004A6671"/>
    <w:rsid w:val="004D1851"/>
    <w:rsid w:val="004D599D"/>
    <w:rsid w:val="004E2EA5"/>
    <w:rsid w:val="004E3AEB"/>
    <w:rsid w:val="0050223C"/>
    <w:rsid w:val="005243FF"/>
    <w:rsid w:val="00564FBC"/>
    <w:rsid w:val="005800BC"/>
    <w:rsid w:val="00582442"/>
    <w:rsid w:val="0059358B"/>
    <w:rsid w:val="005F3269"/>
    <w:rsid w:val="005F6D7B"/>
    <w:rsid w:val="00616EAC"/>
    <w:rsid w:val="00623AE3"/>
    <w:rsid w:val="0064737F"/>
    <w:rsid w:val="006535F1"/>
    <w:rsid w:val="0065557D"/>
    <w:rsid w:val="00660D50"/>
    <w:rsid w:val="00662984"/>
    <w:rsid w:val="00667EB1"/>
    <w:rsid w:val="006716BB"/>
    <w:rsid w:val="006B1859"/>
    <w:rsid w:val="006B6680"/>
    <w:rsid w:val="006B6DCC"/>
    <w:rsid w:val="006C1548"/>
    <w:rsid w:val="006D1B47"/>
    <w:rsid w:val="00702DEF"/>
    <w:rsid w:val="00706861"/>
    <w:rsid w:val="0075051B"/>
    <w:rsid w:val="00751A52"/>
    <w:rsid w:val="00793188"/>
    <w:rsid w:val="00794D34"/>
    <w:rsid w:val="007F690D"/>
    <w:rsid w:val="00813E5E"/>
    <w:rsid w:val="0083581B"/>
    <w:rsid w:val="0086101E"/>
    <w:rsid w:val="00863874"/>
    <w:rsid w:val="00864AFF"/>
    <w:rsid w:val="00865925"/>
    <w:rsid w:val="008B4A6A"/>
    <w:rsid w:val="008C50B4"/>
    <w:rsid w:val="008C7E27"/>
    <w:rsid w:val="008F7448"/>
    <w:rsid w:val="0090147A"/>
    <w:rsid w:val="009173EF"/>
    <w:rsid w:val="00932906"/>
    <w:rsid w:val="00961B0B"/>
    <w:rsid w:val="00982A71"/>
    <w:rsid w:val="009A5AB2"/>
    <w:rsid w:val="009B38C3"/>
    <w:rsid w:val="009E17BD"/>
    <w:rsid w:val="009E485A"/>
    <w:rsid w:val="009F4BDC"/>
    <w:rsid w:val="00A04CEC"/>
    <w:rsid w:val="00A27F92"/>
    <w:rsid w:val="00A32257"/>
    <w:rsid w:val="00A36D20"/>
    <w:rsid w:val="00A44716"/>
    <w:rsid w:val="00A514A4"/>
    <w:rsid w:val="00A54171"/>
    <w:rsid w:val="00A55622"/>
    <w:rsid w:val="00A65856"/>
    <w:rsid w:val="00A83502"/>
    <w:rsid w:val="00A84FCA"/>
    <w:rsid w:val="00AC3C53"/>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BF56EF"/>
    <w:rsid w:val="00C01189"/>
    <w:rsid w:val="00C374DE"/>
    <w:rsid w:val="00C47AD4"/>
    <w:rsid w:val="00C52D81"/>
    <w:rsid w:val="00C55198"/>
    <w:rsid w:val="00C73BE0"/>
    <w:rsid w:val="00CA6393"/>
    <w:rsid w:val="00CB18FF"/>
    <w:rsid w:val="00CB7429"/>
    <w:rsid w:val="00CD0766"/>
    <w:rsid w:val="00CD0C08"/>
    <w:rsid w:val="00CE03FB"/>
    <w:rsid w:val="00CE433C"/>
    <w:rsid w:val="00CF0161"/>
    <w:rsid w:val="00CF33F3"/>
    <w:rsid w:val="00D06183"/>
    <w:rsid w:val="00D22C42"/>
    <w:rsid w:val="00D65041"/>
    <w:rsid w:val="00D91304"/>
    <w:rsid w:val="00DA4C6A"/>
    <w:rsid w:val="00DB1936"/>
    <w:rsid w:val="00DB384B"/>
    <w:rsid w:val="00DF0189"/>
    <w:rsid w:val="00E06FD5"/>
    <w:rsid w:val="00E10E80"/>
    <w:rsid w:val="00E124F0"/>
    <w:rsid w:val="00E60F04"/>
    <w:rsid w:val="00E65B24"/>
    <w:rsid w:val="00E854E4"/>
    <w:rsid w:val="00E86DBF"/>
    <w:rsid w:val="00EA39D9"/>
    <w:rsid w:val="00EB0D6F"/>
    <w:rsid w:val="00EB2232"/>
    <w:rsid w:val="00EC1316"/>
    <w:rsid w:val="00EC5337"/>
    <w:rsid w:val="00ED009D"/>
    <w:rsid w:val="00ED1202"/>
    <w:rsid w:val="00EE3906"/>
    <w:rsid w:val="00EE49E8"/>
    <w:rsid w:val="00EE58F2"/>
    <w:rsid w:val="00F16BAB"/>
    <w:rsid w:val="00F2150A"/>
    <w:rsid w:val="00F231D8"/>
    <w:rsid w:val="00F44C00"/>
    <w:rsid w:val="00F4634C"/>
    <w:rsid w:val="00F46C5F"/>
    <w:rsid w:val="00F632C0"/>
    <w:rsid w:val="00F94A63"/>
    <w:rsid w:val="00FA0389"/>
    <w:rsid w:val="00FA1C28"/>
    <w:rsid w:val="00FA37FB"/>
    <w:rsid w:val="00FB1279"/>
    <w:rsid w:val="00FB6B76"/>
    <w:rsid w:val="00FB7596"/>
    <w:rsid w:val="00FE4077"/>
    <w:rsid w:val="00FE62C3"/>
    <w:rsid w:val="00FE77D2"/>
    <w:rsid w:val="1DB9ED11"/>
    <w:rsid w:val="25733579"/>
    <w:rsid w:val="27662C2C"/>
    <w:rsid w:val="2C399D4F"/>
    <w:rsid w:val="436A8D43"/>
    <w:rsid w:val="43999D33"/>
    <w:rsid w:val="69FA7EEC"/>
    <w:rsid w:val="6C327A8F"/>
    <w:rsid w:val="6FEB1F8A"/>
    <w:rsid w:val="70611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E3906"/>
    <w:pPr>
      <w:framePr w:hSpace="180" w:wrap="around" w:vAnchor="page" w:hAnchor="page" w:x="1821" w:y="2317"/>
      <w:spacing w:before="36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EE58F2"/>
    <w:rPr>
      <w:color w:val="605E5C"/>
      <w:shd w:val="clear" w:color="auto" w:fill="E1DFDD"/>
    </w:rPr>
  </w:style>
  <w:style w:type="character" w:styleId="CommentReference">
    <w:name w:val="annotation reference"/>
    <w:basedOn w:val="DefaultParagraphFont"/>
    <w:semiHidden/>
    <w:unhideWhenUsed/>
    <w:rsid w:val="002D0236"/>
    <w:rPr>
      <w:sz w:val="16"/>
      <w:szCs w:val="16"/>
    </w:rPr>
  </w:style>
  <w:style w:type="paragraph" w:styleId="CommentText">
    <w:name w:val="annotation text"/>
    <w:basedOn w:val="Normal"/>
    <w:link w:val="CommentTextChar"/>
    <w:unhideWhenUsed/>
    <w:rsid w:val="002D0236"/>
    <w:rPr>
      <w:sz w:val="20"/>
    </w:rPr>
  </w:style>
  <w:style w:type="character" w:customStyle="1" w:styleId="CommentTextChar">
    <w:name w:val="Comment Text Char"/>
    <w:basedOn w:val="DefaultParagraphFont"/>
    <w:link w:val="CommentText"/>
    <w:rsid w:val="002D0236"/>
    <w:rPr>
      <w:rFonts w:ascii="Calibri" w:hAnsi="Calibri"/>
      <w:lang w:val="en-GB" w:eastAsia="en-US"/>
    </w:rPr>
  </w:style>
  <w:style w:type="paragraph" w:styleId="CommentSubject">
    <w:name w:val="annotation subject"/>
    <w:basedOn w:val="CommentText"/>
    <w:next w:val="CommentText"/>
    <w:link w:val="CommentSubjectChar"/>
    <w:semiHidden/>
    <w:unhideWhenUsed/>
    <w:rsid w:val="002D0236"/>
    <w:rPr>
      <w:b/>
      <w:bCs/>
    </w:rPr>
  </w:style>
  <w:style w:type="character" w:customStyle="1" w:styleId="CommentSubjectChar">
    <w:name w:val="Comment Subject Char"/>
    <w:basedOn w:val="CommentTextChar"/>
    <w:link w:val="CommentSubject"/>
    <w:semiHidden/>
    <w:rsid w:val="002D0236"/>
    <w:rPr>
      <w:rFonts w:ascii="Calibri" w:hAnsi="Calibri"/>
      <w:b/>
      <w:bCs/>
      <w:lang w:val="en-GB" w:eastAsia="en-US"/>
    </w:rPr>
  </w:style>
  <w:style w:type="paragraph" w:styleId="Revision">
    <w:name w:val="Revision"/>
    <w:hidden/>
    <w:uiPriority w:val="99"/>
    <w:semiHidden/>
    <w:rsid w:val="000E4B0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INF-0012/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7-CL-C-006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05-E.pdf" TargetMode="External"/><Relationship Id="rId5" Type="http://schemas.openxmlformats.org/officeDocument/2006/relationships/numbering" Target="numbering.xml"/><Relationship Id="rId15" Type="http://schemas.openxmlformats.org/officeDocument/2006/relationships/hyperlink" Target="https://www.itu.int/hub/membership/how-we-are-funded/principles-for-resource-mobiliz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n/media/press-release/world-meteorological-congress-sets-new-strategic-priorities-era-of-rapid-climate" TargetMode="External"/><Relationship Id="rId2" Type="http://schemas.openxmlformats.org/officeDocument/2006/relationships/hyperlink" Target="https://www.who.int/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486D-BD56-43A9-AC67-92614087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C6C09-0B5D-44BF-B871-7A17CCB384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72497-16ED-4BEF-A7EE-867256420777}">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2409</Words>
  <Characters>14885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2</cp:revision>
  <cp:lastPrinted>2000-07-18T13:30:00Z</cp:lastPrinted>
  <dcterms:created xsi:type="dcterms:W3CDTF">2023-07-04T18:50:00Z</dcterms:created>
  <dcterms:modified xsi:type="dcterms:W3CDTF">2023-07-04T18:50:00Z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