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1BDE771F"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w:t>
            </w:r>
            <w:r w:rsidRPr="00124171">
              <w:rPr>
                <w:b/>
              </w:rPr>
              <w:t xml:space="preserve">item: </w:t>
            </w:r>
            <w:r w:rsidR="004D687B" w:rsidRPr="00124171">
              <w:rPr>
                <w:b/>
              </w:rPr>
              <w:t>PL 3</w:t>
            </w:r>
          </w:p>
        </w:tc>
        <w:tc>
          <w:tcPr>
            <w:tcW w:w="5245" w:type="dxa"/>
          </w:tcPr>
          <w:p w14:paraId="2F0CB53A" w14:textId="269C387F" w:rsidR="00AD3606" w:rsidRPr="00E85629" w:rsidRDefault="00AD3606" w:rsidP="00472BAD">
            <w:pPr>
              <w:tabs>
                <w:tab w:val="left" w:pos="851"/>
              </w:tabs>
              <w:spacing w:before="0" w:line="240" w:lineRule="atLeast"/>
              <w:jc w:val="right"/>
              <w:rPr>
                <w:b/>
              </w:rPr>
            </w:pPr>
            <w:r>
              <w:rPr>
                <w:b/>
              </w:rPr>
              <w:t>Document C23/</w:t>
            </w:r>
            <w:r w:rsidR="0028690A">
              <w:rPr>
                <w:b/>
              </w:rPr>
              <w:t>66-E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6F87B77" w:rsidR="00AD3606" w:rsidRPr="00E85629" w:rsidRDefault="0028690A" w:rsidP="00AD3606">
            <w:pPr>
              <w:tabs>
                <w:tab w:val="left" w:pos="851"/>
              </w:tabs>
              <w:spacing w:before="0"/>
              <w:jc w:val="right"/>
              <w:rPr>
                <w:b/>
              </w:rPr>
            </w:pPr>
            <w:r>
              <w:rPr>
                <w:b/>
              </w:rPr>
              <w:t xml:space="preserve">23 June </w:t>
            </w:r>
            <w:r w:rsidR="00AD3606">
              <w:rPr>
                <w:b/>
              </w:rPr>
              <w:t>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61E3438F" w:rsidR="00AD3606" w:rsidRPr="00E85629" w:rsidRDefault="00AD3606" w:rsidP="00AD3606">
            <w:pPr>
              <w:tabs>
                <w:tab w:val="left" w:pos="851"/>
              </w:tabs>
              <w:spacing w:before="0" w:line="240" w:lineRule="atLeast"/>
              <w:jc w:val="right"/>
              <w:rPr>
                <w:b/>
              </w:rPr>
            </w:pPr>
            <w:r>
              <w:rPr>
                <w:b/>
              </w:rPr>
              <w:t xml:space="preserve">Original: </w:t>
            </w:r>
            <w:r w:rsidR="0028690A">
              <w:rPr>
                <w:b/>
              </w:rPr>
              <w:t>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422D63C5" w:rsidR="00AD3606" w:rsidRPr="00813E5E" w:rsidRDefault="00146BAF" w:rsidP="0028690A">
            <w:pPr>
              <w:pStyle w:val="Source"/>
              <w:framePr w:hSpace="0" w:wrap="auto" w:vAnchor="margin" w:hAnchor="text" w:xAlign="left" w:yAlign="inline"/>
            </w:pPr>
            <w:bookmarkStart w:id="4" w:name="dsource" w:colFirst="0" w:colLast="0"/>
            <w:bookmarkEnd w:id="3"/>
            <w:r>
              <w:t>Contribution</w:t>
            </w:r>
            <w:r w:rsidR="00AD3606" w:rsidRPr="002C54E2">
              <w:t xml:space="preserve"> </w:t>
            </w:r>
            <w:r w:rsidR="002F6124">
              <w:t>from</w:t>
            </w:r>
            <w:r w:rsidR="0028690A">
              <w:br/>
              <w:t xml:space="preserve">Australia, </w:t>
            </w:r>
            <w:proofErr w:type="gramStart"/>
            <w:r w:rsidR="0028690A">
              <w:t>Canada</w:t>
            </w:r>
            <w:proofErr w:type="gramEnd"/>
            <w:r w:rsidR="0028690A">
              <w:t xml:space="preserve"> and the United States of America</w:t>
            </w:r>
          </w:p>
        </w:tc>
      </w:tr>
      <w:tr w:rsidR="00AD3606" w:rsidRPr="00813E5E" w14:paraId="62B9C291" w14:textId="77777777" w:rsidTr="00AD3606">
        <w:trPr>
          <w:cantSplit/>
        </w:trPr>
        <w:tc>
          <w:tcPr>
            <w:tcW w:w="9214" w:type="dxa"/>
            <w:gridSpan w:val="2"/>
            <w:tcMar>
              <w:left w:w="0" w:type="dxa"/>
            </w:tcMar>
          </w:tcPr>
          <w:p w14:paraId="556A1BCF" w14:textId="29E1F06D" w:rsidR="00AD3606" w:rsidRPr="00D4317B" w:rsidRDefault="0028690A" w:rsidP="0028690A">
            <w:pPr>
              <w:pStyle w:val="Subtitle"/>
              <w:framePr w:hSpace="0" w:wrap="auto" w:xAlign="left" w:yAlign="inline"/>
            </w:pPr>
            <w:bookmarkStart w:id="5" w:name="dtitle1" w:colFirst="0" w:colLast="0"/>
            <w:bookmarkEnd w:id="4"/>
            <w:r w:rsidRPr="00D4317B">
              <w:t>DRAFT TERMS OF REFERENCE FOR THE EXPERT GROUP ON THE REVIEW OF THE INTERNATIONAL TELECOMMUNICATION REGULATIONS (EG-ITRS)</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0692880A" w:rsidR="00AD3606" w:rsidRPr="00F16BAB" w:rsidRDefault="00F16BAB" w:rsidP="00F16BAB">
            <w:pPr>
              <w:spacing w:before="160"/>
              <w:rPr>
                <w:b/>
                <w:bCs/>
                <w:sz w:val="26"/>
                <w:szCs w:val="26"/>
              </w:rPr>
            </w:pPr>
            <w:r w:rsidRPr="00F16BAB">
              <w:rPr>
                <w:b/>
                <w:bCs/>
                <w:sz w:val="26"/>
                <w:szCs w:val="26"/>
              </w:rPr>
              <w:t>Purpose</w:t>
            </w:r>
          </w:p>
          <w:p w14:paraId="01EEEAC5" w14:textId="2A8AFABD" w:rsidR="00AD3606" w:rsidRPr="00813E5E" w:rsidRDefault="004F0C3A" w:rsidP="00F16BAB">
            <w:r>
              <w:t xml:space="preserve">Australia, </w:t>
            </w:r>
            <w:proofErr w:type="gramStart"/>
            <w:r w:rsidR="000C3554">
              <w:t>Canada</w:t>
            </w:r>
            <w:proofErr w:type="gramEnd"/>
            <w:r w:rsidR="000C3554">
              <w:t xml:space="preserve"> and the United States of America submit this contr</w:t>
            </w:r>
            <w:r w:rsidR="006C4623">
              <w:t>i</w:t>
            </w:r>
            <w:r w:rsidR="000C3554">
              <w:t>bution as a basis for discussion of the Terms of Reference of the Expert Group on the ITRs that will be established by Council following instructions from Res</w:t>
            </w:r>
            <w:r w:rsidR="00124171">
              <w:t>olution</w:t>
            </w:r>
            <w:r w:rsidR="000C3554">
              <w:t xml:space="preserve"> 146 (Rev. Bucharest</w:t>
            </w:r>
            <w:r w:rsidR="0028690A">
              <w:t>, 2022</w:t>
            </w:r>
            <w:r w:rsidR="000C3554">
              <w:t>)</w:t>
            </w:r>
            <w:r w:rsidR="00124171">
              <w:t xml:space="preserve"> of the Plenipotentiary Conference.</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3D57EDF8" w14:textId="7FEAFCC7" w:rsidR="00AD3606" w:rsidRPr="00484009" w:rsidRDefault="001D1DCD" w:rsidP="00AD3606">
            <w:r w:rsidRPr="001D1DCD">
              <w:t>The Council is invited</w:t>
            </w:r>
            <w:r>
              <w:rPr>
                <w:b/>
                <w:bCs/>
              </w:rPr>
              <w:t xml:space="preserve"> to d</w:t>
            </w:r>
            <w:r w:rsidR="000C3554" w:rsidRPr="0028690A">
              <w:rPr>
                <w:b/>
                <w:bCs/>
              </w:rPr>
              <w:t>iscuss and adopt</w:t>
            </w:r>
            <w:r w:rsidR="000C3554">
              <w:t xml:space="preserve"> Terms of </w:t>
            </w:r>
            <w:r w:rsidR="00A12D37">
              <w:t>R</w:t>
            </w:r>
            <w:r w:rsidR="000C3554">
              <w:t>eference for the EG-ITRs</w:t>
            </w:r>
            <w:r w:rsidR="00FD3211">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2AAAFF05" w14:textId="4CEB1B9B" w:rsidR="00AD3606" w:rsidRDefault="00D20C26" w:rsidP="001D1DCD">
            <w:hyperlink r:id="rId11" w:history="1">
              <w:r w:rsidR="000C3554" w:rsidRPr="0028690A">
                <w:rPr>
                  <w:rStyle w:val="Hyperlink"/>
                </w:rPr>
                <w:t>Res 146</w:t>
              </w:r>
            </w:hyperlink>
            <w:r w:rsidR="000C3554">
              <w:t xml:space="preserve"> (Rev. Bucharest</w:t>
            </w:r>
            <w:r w:rsidR="0028690A">
              <w:t>, 2022</w:t>
            </w:r>
            <w:r w:rsidR="000C3554">
              <w:t>)</w:t>
            </w:r>
            <w:r w:rsidR="0028690A">
              <w:t xml:space="preserve"> of the Plenipotentiary Conference</w:t>
            </w:r>
          </w:p>
          <w:p w14:paraId="65250B1E" w14:textId="6D0EE29F" w:rsidR="000C3554" w:rsidRDefault="000C3554" w:rsidP="001D1DCD">
            <w:pPr>
              <w:spacing w:before="0" w:after="120"/>
            </w:pPr>
            <w:r>
              <w:t xml:space="preserve">Council </w:t>
            </w:r>
            <w:hyperlink r:id="rId12" w:history="1">
              <w:r w:rsidRPr="00124171">
                <w:rPr>
                  <w:rStyle w:val="Hyperlink"/>
                </w:rPr>
                <w:t>Res 1379</w:t>
              </w:r>
            </w:hyperlink>
            <w:r>
              <w:t xml:space="preserve"> (to be abrogated)</w:t>
            </w:r>
          </w:p>
        </w:tc>
      </w:tr>
      <w:bookmarkEnd w:id="5"/>
    </w:tbl>
    <w:p w14:paraId="7FE52F59" w14:textId="77777777" w:rsidR="0090147A" w:rsidRPr="000C3554" w:rsidRDefault="0090147A">
      <w:pPr>
        <w:tabs>
          <w:tab w:val="clear" w:pos="567"/>
          <w:tab w:val="clear" w:pos="1134"/>
          <w:tab w:val="clear" w:pos="1701"/>
          <w:tab w:val="clear" w:pos="2268"/>
          <w:tab w:val="clear" w:pos="2835"/>
        </w:tabs>
        <w:overflowPunct/>
        <w:autoSpaceDE/>
        <w:autoSpaceDN/>
        <w:adjustRightInd/>
        <w:spacing w:before="0"/>
        <w:textAlignment w:val="auto"/>
        <w:rPr>
          <w:b/>
          <w:lang w:val="en-CA"/>
        </w:rPr>
      </w:pPr>
      <w:r w:rsidRPr="000C3554">
        <w:rPr>
          <w:lang w:val="en-CA"/>
        </w:rPr>
        <w:br w:type="page"/>
      </w:r>
    </w:p>
    <w:p w14:paraId="7DA4420A" w14:textId="10D0ECA8" w:rsidR="000C3554" w:rsidRPr="000C3554" w:rsidRDefault="001D1DCD" w:rsidP="00124171">
      <w:pPr>
        <w:pStyle w:val="ResNo"/>
        <w:rPr>
          <w:lang w:val="en-CA"/>
        </w:rPr>
      </w:pPr>
      <w:r>
        <w:rPr>
          <w:lang w:val="en-CA"/>
        </w:rPr>
        <w:lastRenderedPageBreak/>
        <w:t xml:space="preserve">DRAFT </w:t>
      </w:r>
      <w:r w:rsidR="000C3554">
        <w:rPr>
          <w:lang w:val="en-CA"/>
        </w:rPr>
        <w:t xml:space="preserve">NEW </w:t>
      </w:r>
      <w:r w:rsidR="000C3554" w:rsidRPr="000C3554">
        <w:rPr>
          <w:lang w:val="en-CA"/>
        </w:rPr>
        <w:t>Resolution</w:t>
      </w:r>
      <w:r>
        <w:rPr>
          <w:lang w:val="en-CA"/>
        </w:rPr>
        <w:t xml:space="preserve"> [...]</w:t>
      </w:r>
    </w:p>
    <w:p w14:paraId="218679FD" w14:textId="3A35D370" w:rsidR="000C3554" w:rsidRPr="00124171" w:rsidRDefault="000C3554" w:rsidP="000C3554">
      <w:pPr>
        <w:tabs>
          <w:tab w:val="clear" w:pos="567"/>
          <w:tab w:val="clear" w:pos="1134"/>
          <w:tab w:val="clear" w:pos="1701"/>
          <w:tab w:val="clear" w:pos="2268"/>
          <w:tab w:val="clear" w:pos="2835"/>
        </w:tabs>
        <w:overflowPunct/>
        <w:autoSpaceDE/>
        <w:autoSpaceDN/>
        <w:adjustRightInd/>
        <w:snapToGrid w:val="0"/>
        <w:spacing w:before="0" w:after="120"/>
        <w:jc w:val="center"/>
        <w:textAlignment w:val="auto"/>
        <w:rPr>
          <w:rFonts w:asciiTheme="minorHAnsi" w:eastAsiaTheme="minorEastAsia" w:hAnsiTheme="minorHAnsi" w:cstheme="minorBidi"/>
          <w:noProof/>
          <w:kern w:val="2"/>
          <w:sz w:val="28"/>
          <w:szCs w:val="28"/>
          <w:lang w:eastAsia="zh-CN"/>
          <w14:ligatures w14:val="standardContextual"/>
        </w:rPr>
      </w:pPr>
    </w:p>
    <w:p w14:paraId="3F02983B" w14:textId="77777777" w:rsidR="000C3554" w:rsidRPr="000C3554" w:rsidRDefault="000C3554" w:rsidP="00124171">
      <w:pPr>
        <w:pStyle w:val="Restitle"/>
        <w:rPr>
          <w:lang w:val="en-CA"/>
        </w:rPr>
      </w:pPr>
      <w:r w:rsidRPr="000C3554">
        <w:rPr>
          <w:lang w:val="en-CA"/>
        </w:rPr>
        <w:t>Expert Group on the International Telecommunication Regulations (EG-ITRs)</w:t>
      </w:r>
    </w:p>
    <w:p w14:paraId="6196E78C" w14:textId="347E67CE" w:rsidR="000C3554" w:rsidRPr="000C3554" w:rsidRDefault="000C3554" w:rsidP="00124171">
      <w:pPr>
        <w:pStyle w:val="Normalaftertitle"/>
        <w:rPr>
          <w:lang w:val="en-CA"/>
        </w:rPr>
      </w:pPr>
      <w:r w:rsidRPr="000C3554">
        <w:rPr>
          <w:lang w:val="en-CA"/>
        </w:rPr>
        <w:t xml:space="preserve">The </w:t>
      </w:r>
      <w:r w:rsidR="001D1DCD">
        <w:rPr>
          <w:lang w:val="en-CA"/>
        </w:rPr>
        <w:t xml:space="preserve">ITU </w:t>
      </w:r>
      <w:r w:rsidRPr="000C3554">
        <w:rPr>
          <w:lang w:val="en-CA"/>
        </w:rPr>
        <w:t>Council,</w:t>
      </w:r>
    </w:p>
    <w:p w14:paraId="753DD713" w14:textId="77777777" w:rsidR="000C3554" w:rsidRPr="000C3554" w:rsidRDefault="000C3554" w:rsidP="00124171">
      <w:pPr>
        <w:pStyle w:val="Call"/>
        <w:rPr>
          <w:lang w:val="en-CA"/>
        </w:rPr>
      </w:pPr>
      <w:r w:rsidRPr="00124171">
        <w:t>considering</w:t>
      </w:r>
    </w:p>
    <w:p w14:paraId="6070DF59" w14:textId="168481F1" w:rsidR="000C3554" w:rsidRPr="00124171" w:rsidRDefault="00124171" w:rsidP="00124171">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spacing w:val="-2"/>
          <w:kern w:val="2"/>
          <w:szCs w:val="24"/>
          <w:lang w:eastAsia="zh-CN"/>
          <w14:ligatures w14:val="standardContextual"/>
        </w:rPr>
      </w:pPr>
      <w:r w:rsidRPr="002238C4">
        <w:rPr>
          <w:i/>
          <w:szCs w:val="24"/>
        </w:rPr>
        <w:t>a)</w:t>
      </w:r>
      <w:r w:rsidRPr="002238C4">
        <w:rPr>
          <w:szCs w:val="24"/>
        </w:rPr>
        <w:tab/>
      </w:r>
      <w:r w:rsidR="000C3554" w:rsidRPr="00124171">
        <w:rPr>
          <w:rFonts w:asciiTheme="minorHAnsi" w:eastAsiaTheme="minorEastAsia" w:hAnsiTheme="minorHAnsi" w:cstheme="minorBidi"/>
          <w:noProof/>
          <w:spacing w:val="-2"/>
          <w:kern w:val="2"/>
          <w:szCs w:val="24"/>
          <w:lang w:eastAsia="zh-CN"/>
          <w14:ligatures w14:val="standardContextual"/>
        </w:rPr>
        <w:t>Article 25 of the ITU Constitution, on World Conferences on International Telecommunications (WCIT);</w:t>
      </w:r>
    </w:p>
    <w:p w14:paraId="65354574" w14:textId="2A182878" w:rsidR="000C3554" w:rsidRPr="00124171" w:rsidRDefault="00124171" w:rsidP="00124171">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spacing w:val="-2"/>
          <w:kern w:val="2"/>
          <w:szCs w:val="24"/>
          <w:lang w:eastAsia="zh-CN"/>
          <w14:ligatures w14:val="standardContextual"/>
        </w:rPr>
      </w:pPr>
      <w:r w:rsidRPr="002238C4">
        <w:rPr>
          <w:i/>
          <w:szCs w:val="24"/>
        </w:rPr>
        <w:t>b)</w:t>
      </w:r>
      <w:r w:rsidRPr="002238C4">
        <w:rPr>
          <w:szCs w:val="24"/>
        </w:rPr>
        <w:tab/>
      </w:r>
      <w:r w:rsidR="000C3554" w:rsidRPr="00124171">
        <w:rPr>
          <w:rFonts w:asciiTheme="minorHAnsi" w:eastAsiaTheme="minorEastAsia" w:hAnsiTheme="minorHAnsi" w:cstheme="minorBidi"/>
          <w:noProof/>
          <w:spacing w:val="-2"/>
          <w:kern w:val="2"/>
          <w:szCs w:val="24"/>
          <w:lang w:eastAsia="zh-CN"/>
          <w14:ligatures w14:val="standardContextual"/>
        </w:rPr>
        <w:t>No. 48 in Article 3 of the ITU Convention, on other conferences and assemblies;</w:t>
      </w:r>
    </w:p>
    <w:p w14:paraId="47B6511A" w14:textId="3DFD4734" w:rsidR="000C3554" w:rsidRPr="00124171" w:rsidRDefault="00124171" w:rsidP="00124171">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spacing w:val="-2"/>
          <w:kern w:val="2"/>
          <w:szCs w:val="24"/>
          <w:lang w:eastAsia="zh-CN"/>
          <w14:ligatures w14:val="standardContextual"/>
        </w:rPr>
      </w:pPr>
      <w:r w:rsidRPr="002238C4">
        <w:rPr>
          <w:i/>
          <w:iCs/>
          <w:szCs w:val="24"/>
        </w:rPr>
        <w:t>c)</w:t>
      </w:r>
      <w:r w:rsidRPr="002238C4">
        <w:rPr>
          <w:szCs w:val="24"/>
        </w:rPr>
        <w:tab/>
      </w:r>
      <w:r w:rsidR="000C3554" w:rsidRPr="00124171">
        <w:rPr>
          <w:rFonts w:asciiTheme="minorHAnsi" w:eastAsiaTheme="minorEastAsia" w:hAnsiTheme="minorHAnsi" w:cstheme="minorBidi"/>
          <w:noProof/>
          <w:spacing w:val="-2"/>
          <w:kern w:val="2"/>
          <w:szCs w:val="24"/>
          <w:lang w:eastAsia="zh-CN"/>
          <w14:ligatures w14:val="standardContextual"/>
        </w:rPr>
        <w:t xml:space="preserve">Resolution 146 (Rev. Bucharest 2022) of the Plenipotentiary Conference, on </w:t>
      </w:r>
      <w:r w:rsidR="000F3D8E" w:rsidRPr="00124171">
        <w:rPr>
          <w:rFonts w:asciiTheme="minorHAnsi" w:eastAsiaTheme="minorEastAsia" w:hAnsiTheme="minorHAnsi" w:cstheme="minorBidi"/>
          <w:noProof/>
          <w:spacing w:val="-2"/>
          <w:kern w:val="2"/>
          <w:szCs w:val="24"/>
          <w:lang w:eastAsia="zh-CN"/>
          <w14:ligatures w14:val="standardContextual"/>
        </w:rPr>
        <w:t xml:space="preserve">the </w:t>
      </w:r>
      <w:r w:rsidR="000C3554" w:rsidRPr="00124171">
        <w:rPr>
          <w:rFonts w:asciiTheme="minorHAnsi" w:eastAsiaTheme="minorEastAsia" w:hAnsiTheme="minorHAnsi" w:cstheme="minorBidi"/>
          <w:noProof/>
          <w:spacing w:val="-2"/>
          <w:kern w:val="2"/>
          <w:szCs w:val="24"/>
          <w:lang w:eastAsia="zh-CN"/>
          <w14:ligatures w14:val="standardContextual"/>
        </w:rPr>
        <w:t>Periodic review of the International Telecommunication Regulations</w:t>
      </w:r>
      <w:r w:rsidR="001D1DCD">
        <w:rPr>
          <w:rFonts w:asciiTheme="minorHAnsi" w:eastAsiaTheme="minorEastAsia" w:hAnsiTheme="minorHAnsi" w:cstheme="minorBidi"/>
          <w:noProof/>
          <w:spacing w:val="-2"/>
          <w:kern w:val="2"/>
          <w:szCs w:val="24"/>
          <w:lang w:eastAsia="zh-CN"/>
          <w14:ligatures w14:val="standardContextual"/>
        </w:rPr>
        <w:t>,</w:t>
      </w:r>
    </w:p>
    <w:p w14:paraId="385223BE" w14:textId="21473110" w:rsidR="000C3554" w:rsidRDefault="00A12D37" w:rsidP="00124171">
      <w:pPr>
        <w:pStyle w:val="Call"/>
        <w:rPr>
          <w:lang w:val="en-CA"/>
        </w:rPr>
      </w:pPr>
      <w:r>
        <w:rPr>
          <w:lang w:val="en-CA"/>
        </w:rPr>
        <w:t>r</w:t>
      </w:r>
      <w:r w:rsidR="000C3554" w:rsidRPr="000C3554">
        <w:rPr>
          <w:lang w:val="en-CA"/>
        </w:rPr>
        <w:t>ecalling</w:t>
      </w:r>
    </w:p>
    <w:p w14:paraId="42320CEF" w14:textId="3754AA2F" w:rsidR="000C3554" w:rsidRPr="00124171" w:rsidRDefault="00124171" w:rsidP="00124171">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spacing w:val="-2"/>
          <w:kern w:val="2"/>
          <w:szCs w:val="24"/>
          <w:lang w:eastAsia="zh-CN"/>
          <w14:ligatures w14:val="standardContextual"/>
        </w:rPr>
      </w:pPr>
      <w:r w:rsidRPr="002238C4">
        <w:rPr>
          <w:i/>
          <w:szCs w:val="24"/>
        </w:rPr>
        <w:t>a)</w:t>
      </w:r>
      <w:r w:rsidRPr="002238C4">
        <w:rPr>
          <w:szCs w:val="24"/>
        </w:rPr>
        <w:tab/>
      </w:r>
      <w:r w:rsidR="000C3554" w:rsidRPr="00124171">
        <w:rPr>
          <w:rFonts w:asciiTheme="minorHAnsi" w:eastAsiaTheme="minorEastAsia" w:hAnsiTheme="minorHAnsi" w:cstheme="minorBidi"/>
          <w:noProof/>
          <w:spacing w:val="-2"/>
          <w:kern w:val="2"/>
          <w:szCs w:val="24"/>
          <w:lang w:eastAsia="zh-CN"/>
          <w14:ligatures w14:val="standardContextual"/>
        </w:rPr>
        <w:t>that as instructed by PP 14 and PP 18 Council created and re-created an Expert Group on the International Telecommunication Regulations (EG-ITRs)</w:t>
      </w:r>
      <w:r w:rsidR="00A12D37" w:rsidRPr="00124171">
        <w:rPr>
          <w:rFonts w:asciiTheme="minorHAnsi" w:eastAsiaTheme="minorEastAsia" w:hAnsiTheme="minorHAnsi" w:cstheme="minorBidi"/>
          <w:noProof/>
          <w:spacing w:val="-2"/>
          <w:kern w:val="2"/>
          <w:szCs w:val="24"/>
          <w:lang w:eastAsia="zh-CN"/>
          <w14:ligatures w14:val="standardContextual"/>
        </w:rPr>
        <w:t>;</w:t>
      </w:r>
    </w:p>
    <w:p w14:paraId="7FA59160" w14:textId="38A175BA" w:rsidR="000F3D8E" w:rsidRPr="00124171" w:rsidRDefault="00124171" w:rsidP="00124171">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spacing w:val="-2"/>
          <w:kern w:val="2"/>
          <w:szCs w:val="24"/>
          <w:lang w:eastAsia="zh-CN"/>
          <w14:ligatures w14:val="standardContextual"/>
        </w:rPr>
      </w:pPr>
      <w:r w:rsidRPr="002238C4">
        <w:rPr>
          <w:i/>
          <w:szCs w:val="24"/>
        </w:rPr>
        <w:t>b)</w:t>
      </w:r>
      <w:r w:rsidRPr="002238C4">
        <w:rPr>
          <w:szCs w:val="24"/>
        </w:rPr>
        <w:tab/>
      </w:r>
      <w:r w:rsidR="000C3554" w:rsidRPr="00124171">
        <w:rPr>
          <w:rFonts w:asciiTheme="minorHAnsi" w:eastAsiaTheme="minorEastAsia" w:hAnsiTheme="minorHAnsi" w:cstheme="minorBidi"/>
          <w:noProof/>
          <w:spacing w:val="-2"/>
          <w:kern w:val="2"/>
          <w:szCs w:val="24"/>
          <w:lang w:eastAsia="zh-CN"/>
          <w14:ligatures w14:val="standardContextual"/>
        </w:rPr>
        <w:t xml:space="preserve">that these EG-ITRs met over eight years and submitted final reports on the review of </w:t>
      </w:r>
      <w:r w:rsidR="000F3D8E" w:rsidRPr="00124171">
        <w:rPr>
          <w:rFonts w:asciiTheme="minorHAnsi" w:eastAsiaTheme="minorEastAsia" w:hAnsiTheme="minorHAnsi" w:cstheme="minorBidi"/>
          <w:noProof/>
          <w:spacing w:val="-2"/>
          <w:kern w:val="2"/>
          <w:szCs w:val="24"/>
          <w:lang w:eastAsia="zh-CN"/>
          <w14:ligatures w14:val="standardContextual"/>
        </w:rPr>
        <w:t>the ITRs to Council in 2014 and 2018</w:t>
      </w:r>
      <w:r w:rsidR="00A12D37" w:rsidRPr="00124171">
        <w:rPr>
          <w:rFonts w:asciiTheme="minorHAnsi" w:eastAsiaTheme="minorEastAsia" w:hAnsiTheme="minorHAnsi" w:cstheme="minorBidi"/>
          <w:noProof/>
          <w:spacing w:val="-2"/>
          <w:kern w:val="2"/>
          <w:szCs w:val="24"/>
          <w:lang w:eastAsia="zh-CN"/>
          <w14:ligatures w14:val="standardContextual"/>
        </w:rPr>
        <w:t>,</w:t>
      </w:r>
      <w:r w:rsidR="000F3D8E" w:rsidRPr="00124171">
        <w:rPr>
          <w:rFonts w:asciiTheme="minorHAnsi" w:eastAsiaTheme="minorEastAsia" w:hAnsiTheme="minorHAnsi" w:cstheme="minorBidi"/>
          <w:noProof/>
          <w:spacing w:val="-2"/>
          <w:kern w:val="2"/>
          <w:szCs w:val="24"/>
          <w:lang w:eastAsia="zh-CN"/>
          <w14:ligatures w14:val="standardContextual"/>
        </w:rPr>
        <w:t xml:space="preserve"> which in turn submitted said final reports to the </w:t>
      </w:r>
      <w:r w:rsidR="000C3554" w:rsidRPr="00124171">
        <w:rPr>
          <w:rFonts w:asciiTheme="minorHAnsi" w:eastAsiaTheme="minorEastAsia" w:hAnsiTheme="minorHAnsi" w:cstheme="minorBidi"/>
          <w:noProof/>
          <w:spacing w:val="-2"/>
          <w:kern w:val="2"/>
          <w:szCs w:val="24"/>
          <w:lang w:eastAsia="zh-CN"/>
          <w14:ligatures w14:val="standardContextual"/>
        </w:rPr>
        <w:t>2018 and 2022 Plenipotentiary Conferences</w:t>
      </w:r>
      <w:r w:rsidR="001D1DCD">
        <w:rPr>
          <w:rFonts w:asciiTheme="minorHAnsi" w:eastAsiaTheme="minorEastAsia" w:hAnsiTheme="minorHAnsi" w:cstheme="minorBidi"/>
          <w:noProof/>
          <w:spacing w:val="-2"/>
          <w:kern w:val="2"/>
          <w:szCs w:val="24"/>
          <w:lang w:eastAsia="zh-CN"/>
          <w14:ligatures w14:val="standardContextual"/>
        </w:rPr>
        <w:t>,</w:t>
      </w:r>
    </w:p>
    <w:p w14:paraId="3D3BED3B" w14:textId="282565DE" w:rsidR="000C3554" w:rsidRDefault="000C3554" w:rsidP="00124171">
      <w:pPr>
        <w:pStyle w:val="Call"/>
        <w:rPr>
          <w:lang w:val="en-CA"/>
        </w:rPr>
      </w:pPr>
      <w:r w:rsidRPr="000F3D8E">
        <w:rPr>
          <w:lang w:val="en-CA"/>
        </w:rPr>
        <w:t>resolves</w:t>
      </w:r>
    </w:p>
    <w:p w14:paraId="3F08C541" w14:textId="680BB7EB"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1</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an Expert Group on the International Telecommunication Regulations (EG-ITRs), open to all Member States and Sector Members, be reconvened to conduct a review of the ITRs with the Terms of Reference in Annex 1 of this Resolution;</w:t>
      </w:r>
    </w:p>
    <w:p w14:paraId="4E8419C4" w14:textId="02163A7C"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2</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the Group has a Chair and six Vice-Chairs, one from each ITU region, nominated by Council taking into account competency, qualifications while enhancing gender balance;</w:t>
      </w:r>
    </w:p>
    <w:p w14:paraId="3CDD5529" w14:textId="6EEEDBC5"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3</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the EG-ITRs shall prepare a progress report to the annual sessions of the Council in 2024 and 2025;</w:t>
      </w:r>
    </w:p>
    <w:p w14:paraId="1218E163" w14:textId="1EB36567"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4</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the EG-ITRs shall prepare a final report to the 2026 session of the Council for its further submission to the 2026 Plenipotentiary Conference with the Council's comments;</w:t>
      </w:r>
    </w:p>
    <w:p w14:paraId="5F8B3E1F" w14:textId="0C068587"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5</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the General Rules of conferences, assemblies, and meetings of the Union and Rules of procedure of the Council related to working groups of the Council shall apply to the Group;</w:t>
      </w:r>
    </w:p>
    <w:p w14:paraId="7BDB1D13" w14:textId="5498500D"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rFonts w:cs="Calibri"/>
          <w:spacing w:val="1"/>
          <w:position w:val="2"/>
          <w:szCs w:val="24"/>
        </w:rPr>
        <w:t>6</w:t>
      </w:r>
      <w:r w:rsidRPr="002238C4">
        <w:rPr>
          <w:rFonts w:cs="Calibri"/>
          <w:spacing w:val="1"/>
          <w:position w:val="2"/>
          <w:szCs w:val="24"/>
        </w:rPr>
        <w:tab/>
      </w:r>
      <w:r w:rsidR="000C3554" w:rsidRPr="00124171">
        <w:rPr>
          <w:rFonts w:asciiTheme="minorHAnsi" w:eastAsiaTheme="minorEastAsia" w:hAnsiTheme="minorHAnsi" w:cstheme="minorBidi"/>
          <w:noProof/>
          <w:kern w:val="2"/>
          <w:szCs w:val="24"/>
          <w:lang w:eastAsia="zh-CN"/>
          <w14:ligatures w14:val="standardContextual"/>
        </w:rPr>
        <w:t>that to the maximum extent possible, provide interpretation in the six ITU official languages, remote participation, webcasting, captioning and transcription;</w:t>
      </w:r>
    </w:p>
    <w:p w14:paraId="1FF75EBC" w14:textId="2F859C97"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7</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all the output documents of meetings of the Group shall be made publicly available consistent with the ITU’s document access policy, and that all input documents shall be made publicly available subject to the decision of the submitter;</w:t>
      </w:r>
    </w:p>
    <w:p w14:paraId="6FFA1D73" w14:textId="71F45400" w:rsidR="000C3554" w:rsidRPr="00124171" w:rsidRDefault="00124171"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8</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that the EG-ITRs should meet as part of the cluster of Council Working Group meetings in 2023, 2024 and 2025, and that a final physical meeting should be held prior to Council in 2026,</w:t>
      </w:r>
    </w:p>
    <w:p w14:paraId="6948A5BB" w14:textId="77777777" w:rsidR="000C3554" w:rsidRPr="000C3554" w:rsidRDefault="000C3554" w:rsidP="00124171">
      <w:pPr>
        <w:pStyle w:val="Call"/>
        <w:rPr>
          <w:lang w:val="en-CA"/>
        </w:rPr>
      </w:pPr>
      <w:r w:rsidRPr="000C3554">
        <w:rPr>
          <w:lang w:val="en-CA"/>
        </w:rPr>
        <w:lastRenderedPageBreak/>
        <w:t xml:space="preserve">instructs the </w:t>
      </w:r>
      <w:proofErr w:type="gramStart"/>
      <w:r w:rsidRPr="000C3554">
        <w:rPr>
          <w:lang w:val="en-CA"/>
        </w:rPr>
        <w:t>Secretary-General</w:t>
      </w:r>
      <w:proofErr w:type="gramEnd"/>
    </w:p>
    <w:p w14:paraId="230AF8F0" w14:textId="77777777" w:rsidR="000C3554" w:rsidRPr="00124171" w:rsidRDefault="000C3554" w:rsidP="000C3554">
      <w:pPr>
        <w:tabs>
          <w:tab w:val="clear" w:pos="567"/>
          <w:tab w:val="clear" w:pos="1134"/>
          <w:tab w:val="clear" w:pos="1701"/>
          <w:tab w:val="clear" w:pos="2268"/>
          <w:tab w:val="clear" w:pos="2835"/>
        </w:tabs>
        <w:overflowPunct/>
        <w:autoSpaceDE/>
        <w:autoSpaceDN/>
        <w:adjustRightInd/>
        <w:ind w:left="40" w:right="-20"/>
        <w:jc w:val="both"/>
        <w:textAlignment w:val="auto"/>
        <w:rPr>
          <w:rFonts w:asciiTheme="minorHAnsi" w:eastAsiaTheme="minorEastAsia" w:hAnsiTheme="minorHAnsi" w:cs="Calibri"/>
          <w:noProof/>
          <w:spacing w:val="-1"/>
          <w:kern w:val="2"/>
          <w:position w:val="2"/>
          <w:szCs w:val="24"/>
          <w:lang w:eastAsia="zh-CN"/>
          <w14:ligatures w14:val="standardContextual"/>
        </w:rPr>
      </w:pPr>
      <w:r w:rsidRPr="00124171">
        <w:rPr>
          <w:rFonts w:asciiTheme="minorHAnsi" w:eastAsiaTheme="minorEastAsia" w:hAnsiTheme="minorHAnsi" w:cs="Calibri"/>
          <w:noProof/>
          <w:spacing w:val="-1"/>
          <w:kern w:val="2"/>
          <w:position w:val="2"/>
          <w:szCs w:val="24"/>
          <w:lang w:eastAsia="zh-CN"/>
          <w14:ligatures w14:val="standardContextual"/>
        </w:rPr>
        <w:t>to make necessary arrangements to implement this Resolution,</w:t>
      </w:r>
    </w:p>
    <w:p w14:paraId="76FCC848" w14:textId="77777777" w:rsidR="000C3554" w:rsidRPr="000C3554" w:rsidRDefault="000C3554" w:rsidP="00124171">
      <w:pPr>
        <w:pStyle w:val="Call"/>
        <w:rPr>
          <w:lang w:val="en-CA"/>
        </w:rPr>
      </w:pPr>
      <w:r w:rsidRPr="000C3554">
        <w:rPr>
          <w:lang w:val="en-CA"/>
        </w:rPr>
        <w:t>instructs the Directors of the Bureaux</w:t>
      </w:r>
    </w:p>
    <w:p w14:paraId="5A9C5BBB" w14:textId="5B3E0108" w:rsidR="000C3554" w:rsidRPr="00124171" w:rsidRDefault="00124171" w:rsidP="000C3554">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1</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 xml:space="preserve">each within their field of competence, with </w:t>
      </w:r>
      <w:r w:rsidR="000F3D8E" w:rsidRPr="00124171">
        <w:rPr>
          <w:rFonts w:asciiTheme="minorHAnsi" w:eastAsiaTheme="minorEastAsia" w:hAnsiTheme="minorHAnsi" w:cstheme="minorBidi"/>
          <w:noProof/>
          <w:kern w:val="2"/>
          <w:szCs w:val="24"/>
          <w:lang w:eastAsia="zh-CN"/>
          <w14:ligatures w14:val="standardContextual"/>
        </w:rPr>
        <w:t xml:space="preserve">prior </w:t>
      </w:r>
      <w:r w:rsidR="000C3554" w:rsidRPr="00124171">
        <w:rPr>
          <w:rFonts w:asciiTheme="minorHAnsi" w:eastAsiaTheme="minorEastAsia" w:hAnsiTheme="minorHAnsi" w:cstheme="minorBidi"/>
          <w:noProof/>
          <w:kern w:val="2"/>
          <w:szCs w:val="24"/>
          <w:lang w:eastAsia="zh-CN"/>
          <w14:ligatures w14:val="standardContextual"/>
        </w:rPr>
        <w:t>advice from the relevant advisory group, to contribute to the work of the Group, recognizing that the ITU Telecommunication Standardization Sector has most of the work relevant to the ITRs;</w:t>
      </w:r>
    </w:p>
    <w:p w14:paraId="02AE3801" w14:textId="3317E0C7" w:rsidR="000C3554" w:rsidRPr="00124171" w:rsidRDefault="00124171" w:rsidP="000C3554">
      <w:pPr>
        <w:tabs>
          <w:tab w:val="clear" w:pos="567"/>
          <w:tab w:val="clear" w:pos="1134"/>
          <w:tab w:val="clear" w:pos="1701"/>
          <w:tab w:val="clear" w:pos="2268"/>
          <w:tab w:val="clear" w:pos="2835"/>
        </w:tabs>
        <w:overflowPunct/>
        <w:autoSpaceDE/>
        <w:autoSpaceDN/>
        <w:adjustRightInd/>
        <w:jc w:val="both"/>
        <w:textAlignment w:val="auto"/>
        <w:rPr>
          <w:rFonts w:asciiTheme="minorHAnsi" w:eastAsiaTheme="minorEastAsia" w:hAnsiTheme="minorHAnsi" w:cstheme="minorBidi"/>
          <w:noProof/>
          <w:kern w:val="2"/>
          <w:szCs w:val="24"/>
          <w:lang w:eastAsia="zh-CN"/>
          <w14:ligatures w14:val="standardContextual"/>
        </w:rPr>
      </w:pPr>
      <w:r w:rsidRPr="002238C4">
        <w:rPr>
          <w:szCs w:val="24"/>
        </w:rPr>
        <w:t>2</w:t>
      </w:r>
      <w:r w:rsidRPr="002238C4">
        <w:rPr>
          <w:szCs w:val="24"/>
        </w:rPr>
        <w:tab/>
      </w:r>
      <w:r w:rsidR="000C3554" w:rsidRPr="00124171">
        <w:rPr>
          <w:rFonts w:asciiTheme="minorHAnsi" w:eastAsiaTheme="minorEastAsia" w:hAnsiTheme="minorHAnsi" w:cstheme="minorBidi"/>
          <w:noProof/>
          <w:kern w:val="2"/>
          <w:szCs w:val="24"/>
          <w:lang w:eastAsia="zh-CN"/>
          <w14:ligatures w14:val="standardContextual"/>
        </w:rPr>
        <w:t>to consider providing fellowships, where resources are available, for developing and least developed countries according to the list established by the United Nations, in order to widen participation in the Group,</w:t>
      </w:r>
    </w:p>
    <w:p w14:paraId="70A7240D" w14:textId="77777777" w:rsidR="000C3554" w:rsidRPr="000C3554" w:rsidRDefault="000C3554" w:rsidP="00124171">
      <w:pPr>
        <w:pStyle w:val="Call"/>
        <w:rPr>
          <w:lang w:val="en-CA"/>
        </w:rPr>
      </w:pPr>
      <w:r w:rsidRPr="000C3554">
        <w:rPr>
          <w:lang w:val="en-CA"/>
        </w:rPr>
        <w:t>invites Member States and Sector Members</w:t>
      </w:r>
    </w:p>
    <w:p w14:paraId="662D20CF" w14:textId="77777777" w:rsidR="00C85807" w:rsidRDefault="000C3554" w:rsidP="00124171">
      <w:pPr>
        <w:pStyle w:val="enumlev1"/>
        <w:tabs>
          <w:tab w:val="clear" w:pos="567"/>
          <w:tab w:val="clear" w:pos="1134"/>
          <w:tab w:val="clear" w:pos="1701"/>
          <w:tab w:val="clear" w:pos="2268"/>
          <w:tab w:val="clear" w:pos="2835"/>
        </w:tabs>
        <w:overflowPunct/>
        <w:autoSpaceDE/>
        <w:autoSpaceDN/>
        <w:adjustRightInd/>
        <w:spacing w:before="120"/>
        <w:ind w:left="0" w:firstLine="0"/>
        <w:jc w:val="both"/>
        <w:textAlignment w:val="auto"/>
        <w:rPr>
          <w:rFonts w:asciiTheme="minorHAnsi" w:eastAsiaTheme="minorHAnsi" w:hAnsiTheme="minorHAnsi" w:cstheme="minorBidi"/>
          <w:szCs w:val="24"/>
          <w:lang w:val="en-CA"/>
        </w:rPr>
      </w:pPr>
      <w:r w:rsidRPr="00124171">
        <w:rPr>
          <w:rFonts w:asciiTheme="minorHAnsi" w:eastAsiaTheme="minorEastAsia" w:hAnsiTheme="minorHAnsi" w:cstheme="minorBidi"/>
          <w:noProof/>
          <w:kern w:val="2"/>
          <w:szCs w:val="24"/>
          <w:lang w:eastAsia="zh-CN"/>
          <w14:ligatures w14:val="standardContextual"/>
        </w:rPr>
        <w:t>to participate in and contribute to the EG-ITRs on the review of the International Telecommunication Regulations.</w:t>
      </w:r>
    </w:p>
    <w:p w14:paraId="155E1AA8" w14:textId="6C50949D" w:rsidR="000C3554" w:rsidRPr="000C3554" w:rsidRDefault="000C3554" w:rsidP="00124171">
      <w:pPr>
        <w:tabs>
          <w:tab w:val="clear" w:pos="567"/>
          <w:tab w:val="clear" w:pos="1134"/>
          <w:tab w:val="clear" w:pos="1701"/>
          <w:tab w:val="clear" w:pos="2268"/>
          <w:tab w:val="clear" w:pos="2835"/>
        </w:tabs>
        <w:overflowPunct/>
        <w:autoSpaceDE/>
        <w:autoSpaceDN/>
        <w:adjustRightInd/>
        <w:spacing w:before="1440"/>
        <w:jc w:val="both"/>
        <w:textAlignment w:val="auto"/>
        <w:rPr>
          <w:rFonts w:asciiTheme="minorHAnsi" w:eastAsiaTheme="minorHAnsi" w:hAnsiTheme="minorHAnsi" w:cstheme="minorBidi"/>
          <w:szCs w:val="24"/>
          <w:lang w:val="en-CA"/>
        </w:rPr>
      </w:pPr>
      <w:r w:rsidRPr="00124171">
        <w:rPr>
          <w:rFonts w:asciiTheme="minorHAnsi" w:eastAsiaTheme="minorEastAsia" w:hAnsiTheme="minorHAnsi" w:cstheme="minorBidi"/>
          <w:b/>
          <w:bCs/>
          <w:noProof/>
          <w:kern w:val="2"/>
          <w:szCs w:val="24"/>
          <w:lang w:eastAsia="zh-CN"/>
          <w14:ligatures w14:val="standardContextual"/>
        </w:rPr>
        <w:t>Annex</w:t>
      </w:r>
      <w:r w:rsidRPr="000C3554">
        <w:rPr>
          <w:rFonts w:asciiTheme="minorHAnsi" w:eastAsiaTheme="minorHAnsi" w:hAnsiTheme="minorHAnsi" w:cstheme="minorBidi"/>
          <w:b/>
          <w:bCs/>
          <w:szCs w:val="24"/>
          <w:lang w:val="en-CA"/>
        </w:rPr>
        <w:t>:</w:t>
      </w:r>
      <w:r w:rsidRPr="000C3554">
        <w:rPr>
          <w:rFonts w:asciiTheme="minorHAnsi" w:eastAsiaTheme="minorHAnsi" w:hAnsiTheme="minorHAnsi" w:cstheme="minorBidi"/>
          <w:szCs w:val="24"/>
          <w:lang w:val="en-CA"/>
        </w:rPr>
        <w:t xml:space="preserve"> 1</w:t>
      </w:r>
    </w:p>
    <w:p w14:paraId="563164CA" w14:textId="6E3CD3B9" w:rsidR="00124171" w:rsidRDefault="00124171">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Bidi"/>
          <w:sz w:val="22"/>
          <w:szCs w:val="22"/>
          <w:lang w:val="en-CA"/>
        </w:rPr>
      </w:pPr>
      <w:bookmarkStart w:id="6" w:name="dstart"/>
      <w:bookmarkStart w:id="7" w:name="dbreak"/>
      <w:bookmarkEnd w:id="6"/>
      <w:bookmarkEnd w:id="7"/>
      <w:r>
        <w:rPr>
          <w:rFonts w:asciiTheme="minorHAnsi" w:eastAsiaTheme="minorHAnsi" w:hAnsiTheme="minorHAnsi" w:cstheme="minorBidi"/>
          <w:sz w:val="22"/>
          <w:szCs w:val="22"/>
          <w:lang w:val="en-CA"/>
        </w:rPr>
        <w:br w:type="page"/>
      </w:r>
    </w:p>
    <w:p w14:paraId="2E93564C" w14:textId="77777777" w:rsidR="000C3554" w:rsidRPr="000C3554" w:rsidRDefault="000C3554" w:rsidP="000C3554">
      <w:pPr>
        <w:tabs>
          <w:tab w:val="clear" w:pos="567"/>
          <w:tab w:val="clear" w:pos="1134"/>
          <w:tab w:val="clear" w:pos="1701"/>
          <w:tab w:val="clear" w:pos="2268"/>
          <w:tab w:val="clear" w:pos="2835"/>
        </w:tabs>
        <w:overflowPunct/>
        <w:autoSpaceDE/>
        <w:autoSpaceDN/>
        <w:adjustRightInd/>
        <w:spacing w:before="0"/>
        <w:textAlignment w:val="auto"/>
        <w:rPr>
          <w:rFonts w:asciiTheme="minorHAnsi" w:eastAsiaTheme="minorHAnsi" w:hAnsiTheme="minorHAnsi" w:cstheme="minorBidi"/>
          <w:sz w:val="22"/>
          <w:szCs w:val="22"/>
          <w:lang w:val="en-CA"/>
        </w:rPr>
      </w:pPr>
    </w:p>
    <w:p w14:paraId="3FF47758" w14:textId="77777777" w:rsidR="000C3554" w:rsidRPr="000C3554" w:rsidRDefault="000C3554" w:rsidP="00124171">
      <w:pPr>
        <w:pStyle w:val="AnnexNo"/>
        <w:tabs>
          <w:tab w:val="clear" w:pos="567"/>
          <w:tab w:val="clear" w:pos="1134"/>
          <w:tab w:val="clear" w:pos="1701"/>
          <w:tab w:val="clear" w:pos="2268"/>
          <w:tab w:val="clear" w:pos="2835"/>
        </w:tabs>
        <w:overflowPunct/>
        <w:autoSpaceDE/>
        <w:autoSpaceDN/>
        <w:adjustRightInd/>
        <w:spacing w:before="480" w:line="259" w:lineRule="auto"/>
        <w:textAlignment w:val="auto"/>
        <w:rPr>
          <w:rFonts w:asciiTheme="minorHAnsi" w:eastAsiaTheme="minorHAnsi" w:hAnsiTheme="minorHAnsi" w:cstheme="minorBidi"/>
          <w:caps w:val="0"/>
          <w:szCs w:val="22"/>
          <w:lang w:val="en-CA"/>
        </w:rPr>
      </w:pPr>
      <w:r w:rsidRPr="00124171">
        <w:rPr>
          <w:rFonts w:asciiTheme="minorHAnsi" w:eastAsiaTheme="minorEastAsia" w:hAnsiTheme="minorHAnsi" w:cstheme="minorBidi"/>
          <w:noProof/>
          <w:kern w:val="2"/>
          <w:szCs w:val="22"/>
          <w:lang w:eastAsia="zh-CN"/>
          <w14:ligatures w14:val="standardContextual"/>
        </w:rPr>
        <w:t>Annex</w:t>
      </w:r>
    </w:p>
    <w:p w14:paraId="20933C45" w14:textId="77777777" w:rsidR="000C3554" w:rsidRPr="00124171" w:rsidRDefault="000C3554" w:rsidP="00124171">
      <w:pPr>
        <w:pStyle w:val="Annextitle"/>
        <w:tabs>
          <w:tab w:val="clear" w:pos="567"/>
          <w:tab w:val="clear" w:pos="1134"/>
          <w:tab w:val="clear" w:pos="1701"/>
          <w:tab w:val="clear" w:pos="2268"/>
          <w:tab w:val="clear" w:pos="2835"/>
        </w:tabs>
        <w:overflowPunct/>
        <w:autoSpaceDE/>
        <w:autoSpaceDN/>
        <w:adjustRightInd/>
        <w:spacing w:line="259" w:lineRule="auto"/>
        <w:textAlignment w:val="auto"/>
        <w:rPr>
          <w:rFonts w:asciiTheme="minorHAnsi" w:eastAsiaTheme="minorEastAsia" w:hAnsiTheme="minorHAnsi" w:cstheme="minorBidi"/>
          <w:noProof/>
          <w:kern w:val="2"/>
          <w:szCs w:val="22"/>
          <w:lang w:eastAsia="zh-CN"/>
          <w14:ligatures w14:val="standardContextual"/>
        </w:rPr>
      </w:pPr>
      <w:r w:rsidRPr="00124171">
        <w:rPr>
          <w:rFonts w:asciiTheme="minorHAnsi" w:eastAsiaTheme="minorEastAsia" w:hAnsiTheme="minorHAnsi" w:cstheme="minorBidi"/>
          <w:noProof/>
          <w:kern w:val="2"/>
          <w:szCs w:val="22"/>
          <w:lang w:eastAsia="zh-CN"/>
          <w14:ligatures w14:val="standardContextual"/>
        </w:rPr>
        <w:t>Terms of Reference of the Expert Group on the International Telecommunication Regulations (EG-ITRs)</w:t>
      </w:r>
    </w:p>
    <w:p w14:paraId="4B7BD99D" w14:textId="777D6EB3" w:rsidR="000C3554" w:rsidRPr="00514379" w:rsidRDefault="00514379" w:rsidP="00514379">
      <w:pPr>
        <w:pStyle w:val="Normalaftertitle"/>
        <w:tabs>
          <w:tab w:val="clear" w:pos="567"/>
          <w:tab w:val="clear" w:pos="1134"/>
          <w:tab w:val="clear" w:pos="1701"/>
          <w:tab w:val="clear" w:pos="2268"/>
          <w:tab w:val="clear" w:pos="2835"/>
        </w:tabs>
        <w:overflowPunct/>
        <w:autoSpaceDE/>
        <w:autoSpaceDN/>
        <w:adjustRightInd/>
        <w:snapToGrid w:val="0"/>
        <w:spacing w:before="120"/>
        <w:jc w:val="both"/>
        <w:textAlignment w:val="auto"/>
        <w:rPr>
          <w:rFonts w:asciiTheme="minorHAnsi" w:eastAsiaTheme="minorEastAsia" w:hAnsiTheme="minorHAnsi" w:cstheme="minorBidi"/>
          <w:noProof/>
          <w:kern w:val="2"/>
          <w:szCs w:val="24"/>
          <w:lang w:eastAsia="zh-CN"/>
          <w14:ligatures w14:val="standardContextual"/>
        </w:rPr>
      </w:pPr>
      <w:r>
        <w:rPr>
          <w:szCs w:val="24"/>
        </w:rPr>
        <w:t>1</w:t>
      </w:r>
      <w:r w:rsidRPr="001F4FF7">
        <w:rPr>
          <w:szCs w:val="24"/>
        </w:rPr>
        <w:tab/>
      </w:r>
      <w:r w:rsidR="000C3554" w:rsidRPr="00514379">
        <w:rPr>
          <w:rFonts w:asciiTheme="minorHAnsi" w:eastAsiaTheme="minorEastAsia" w:hAnsiTheme="minorHAnsi" w:cstheme="minorBidi"/>
          <w:noProof/>
          <w:kern w:val="2"/>
          <w:szCs w:val="24"/>
          <w:lang w:eastAsia="zh-CN"/>
          <w14:ligatures w14:val="standardContextual"/>
        </w:rPr>
        <w:t>On the basis of contributions submitted by Member States, Sector Members and inputs from the Directors of the Bureaux if necessary, the EG-ITRs shall undertake a comprehensive review of the ITRs.</w:t>
      </w:r>
    </w:p>
    <w:p w14:paraId="69583EDD" w14:textId="5D7CE62E" w:rsidR="000C3554" w:rsidRPr="00514379" w:rsidRDefault="00514379" w:rsidP="00514379">
      <w:pPr>
        <w:pStyle w:val="Normalaftertitle"/>
        <w:tabs>
          <w:tab w:val="clear" w:pos="567"/>
          <w:tab w:val="clear" w:pos="1134"/>
          <w:tab w:val="clear" w:pos="1701"/>
          <w:tab w:val="clear" w:pos="2268"/>
          <w:tab w:val="clear" w:pos="2835"/>
        </w:tabs>
        <w:overflowPunct/>
        <w:autoSpaceDE/>
        <w:autoSpaceDN/>
        <w:adjustRightInd/>
        <w:snapToGrid w:val="0"/>
        <w:spacing w:before="120"/>
        <w:jc w:val="both"/>
        <w:textAlignment w:val="auto"/>
        <w:rPr>
          <w:rFonts w:asciiTheme="minorHAnsi" w:eastAsiaTheme="minorEastAsia" w:hAnsiTheme="minorHAnsi" w:cstheme="minorBidi"/>
          <w:noProof/>
          <w:kern w:val="2"/>
          <w:szCs w:val="24"/>
          <w:lang w:eastAsia="zh-CN"/>
          <w14:ligatures w14:val="standardContextual"/>
        </w:rPr>
      </w:pPr>
      <w:r w:rsidRPr="001F4FF7">
        <w:rPr>
          <w:szCs w:val="24"/>
        </w:rPr>
        <w:t>2</w:t>
      </w:r>
      <w:r w:rsidRPr="001F4FF7">
        <w:rPr>
          <w:szCs w:val="24"/>
        </w:rPr>
        <w:tab/>
      </w:r>
      <w:r w:rsidR="000C3554" w:rsidRPr="00514379">
        <w:rPr>
          <w:rFonts w:asciiTheme="minorHAnsi" w:eastAsiaTheme="minorEastAsia" w:hAnsiTheme="minorHAnsi" w:cstheme="minorBidi"/>
          <w:noProof/>
          <w:kern w:val="2"/>
          <w:szCs w:val="24"/>
          <w:lang w:eastAsia="zh-CN"/>
          <w14:ligatures w14:val="standardContextual"/>
        </w:rPr>
        <w:t>The EG-ITRs shall undertake a provision-by-provision examination of the ITRs, focusing on the 2012 ITRs, taking into account the final reports submitted by previous EG-ITRs to PP 2018 and PP 2022</w:t>
      </w:r>
      <w:r w:rsidR="006E5675" w:rsidRPr="00514379">
        <w:rPr>
          <w:rFonts w:asciiTheme="minorHAnsi" w:eastAsiaTheme="minorEastAsia" w:hAnsiTheme="minorHAnsi" w:cstheme="minorBidi"/>
          <w:noProof/>
          <w:kern w:val="2"/>
          <w:szCs w:val="24"/>
          <w:lang w:eastAsia="zh-CN"/>
          <w14:ligatures w14:val="standardContextual"/>
        </w:rPr>
        <w:t>.</w:t>
      </w:r>
    </w:p>
    <w:p w14:paraId="79709486" w14:textId="17AB2006" w:rsidR="000C3554" w:rsidRPr="00514379" w:rsidRDefault="00514379" w:rsidP="00514379">
      <w:pPr>
        <w:pStyle w:val="Normalaftertitle"/>
        <w:tabs>
          <w:tab w:val="clear" w:pos="567"/>
          <w:tab w:val="clear" w:pos="1134"/>
          <w:tab w:val="clear" w:pos="1701"/>
          <w:tab w:val="clear" w:pos="2268"/>
          <w:tab w:val="clear" w:pos="2835"/>
        </w:tabs>
        <w:overflowPunct/>
        <w:autoSpaceDE/>
        <w:autoSpaceDN/>
        <w:adjustRightInd/>
        <w:snapToGrid w:val="0"/>
        <w:spacing w:before="120"/>
        <w:jc w:val="both"/>
        <w:textAlignment w:val="auto"/>
        <w:rPr>
          <w:rFonts w:asciiTheme="minorHAnsi" w:eastAsiaTheme="minorEastAsia" w:hAnsiTheme="minorHAnsi" w:cstheme="minorBidi"/>
          <w:noProof/>
          <w:kern w:val="2"/>
          <w:szCs w:val="24"/>
          <w:lang w:eastAsia="zh-CN"/>
          <w14:ligatures w14:val="standardContextual"/>
        </w:rPr>
      </w:pPr>
      <w:r>
        <w:rPr>
          <w:szCs w:val="24"/>
        </w:rPr>
        <w:t>3</w:t>
      </w:r>
      <w:r w:rsidRPr="001F4FF7">
        <w:rPr>
          <w:szCs w:val="24"/>
        </w:rPr>
        <w:tab/>
      </w:r>
      <w:r w:rsidR="000C3554" w:rsidRPr="00514379">
        <w:rPr>
          <w:rFonts w:asciiTheme="minorHAnsi" w:eastAsiaTheme="minorEastAsia" w:hAnsiTheme="minorHAnsi" w:cstheme="minorBidi"/>
          <w:noProof/>
          <w:kern w:val="2"/>
          <w:szCs w:val="24"/>
          <w:lang w:eastAsia="zh-CN"/>
          <w14:ligatures w14:val="standardContextual"/>
        </w:rPr>
        <w:t>The review should include, among others:</w:t>
      </w:r>
    </w:p>
    <w:p w14:paraId="6EFEDCA0" w14:textId="38ABDAE1" w:rsidR="000C3554" w:rsidRPr="00514379" w:rsidRDefault="00514379" w:rsidP="00514379">
      <w:pPr>
        <w:pStyle w:val="Normalaftertitle"/>
        <w:tabs>
          <w:tab w:val="clear" w:pos="567"/>
          <w:tab w:val="clear" w:pos="1134"/>
          <w:tab w:val="clear" w:pos="1701"/>
          <w:tab w:val="clear" w:pos="2268"/>
          <w:tab w:val="clear" w:pos="2835"/>
        </w:tabs>
        <w:overflowPunct/>
        <w:autoSpaceDE/>
        <w:autoSpaceDN/>
        <w:adjustRightInd/>
        <w:snapToGrid w:val="0"/>
        <w:spacing w:before="120"/>
        <w:ind w:left="1134" w:hanging="567"/>
        <w:jc w:val="both"/>
        <w:textAlignment w:val="auto"/>
        <w:rPr>
          <w:rFonts w:asciiTheme="minorHAnsi" w:eastAsiaTheme="minorEastAsia" w:hAnsiTheme="minorHAnsi" w:cstheme="minorBidi"/>
          <w:noProof/>
          <w:kern w:val="2"/>
          <w:szCs w:val="24"/>
          <w:lang w:eastAsia="zh-CN"/>
          <w14:ligatures w14:val="standardContextual"/>
        </w:rPr>
      </w:pPr>
      <w:r w:rsidRPr="001F4FF7">
        <w:rPr>
          <w:szCs w:val="24"/>
        </w:rPr>
        <w:t>a)</w:t>
      </w:r>
      <w:r w:rsidRPr="001F4FF7">
        <w:rPr>
          <w:szCs w:val="24"/>
        </w:rPr>
        <w:tab/>
      </w:r>
      <w:r w:rsidR="000C3554" w:rsidRPr="00514379">
        <w:rPr>
          <w:rFonts w:asciiTheme="minorHAnsi" w:eastAsiaTheme="minorEastAsia" w:hAnsiTheme="minorHAnsi" w:cstheme="minorBidi"/>
          <w:noProof/>
          <w:kern w:val="2"/>
          <w:szCs w:val="24"/>
          <w:lang w:eastAsia="zh-CN"/>
          <w14:ligatures w14:val="standardContextual"/>
        </w:rPr>
        <w:t>empirical data on the current use of the</w:t>
      </w:r>
      <w:r w:rsidR="00C85807" w:rsidRPr="00514379">
        <w:rPr>
          <w:rFonts w:asciiTheme="minorHAnsi" w:eastAsiaTheme="minorEastAsia" w:hAnsiTheme="minorHAnsi" w:cstheme="minorBidi"/>
          <w:noProof/>
          <w:kern w:val="2"/>
          <w:szCs w:val="24"/>
          <w:lang w:eastAsia="zh-CN"/>
          <w14:ligatures w14:val="standardContextual"/>
        </w:rPr>
        <w:t xml:space="preserve"> </w:t>
      </w:r>
      <w:r w:rsidR="000C3554" w:rsidRPr="00514379">
        <w:rPr>
          <w:rFonts w:asciiTheme="minorHAnsi" w:eastAsiaTheme="minorEastAsia" w:hAnsiTheme="minorHAnsi" w:cstheme="minorBidi"/>
          <w:noProof/>
          <w:kern w:val="2"/>
          <w:szCs w:val="24"/>
          <w:lang w:eastAsia="zh-CN"/>
          <w14:ligatures w14:val="standardContextual"/>
        </w:rPr>
        <w:t xml:space="preserve">ITRs by operators </w:t>
      </w:r>
      <w:r w:rsidR="00C85807" w:rsidRPr="00514379">
        <w:rPr>
          <w:rFonts w:asciiTheme="minorHAnsi" w:eastAsiaTheme="minorEastAsia" w:hAnsiTheme="minorHAnsi" w:cstheme="minorBidi"/>
          <w:noProof/>
          <w:kern w:val="2"/>
          <w:szCs w:val="24"/>
          <w:lang w:eastAsia="zh-CN"/>
          <w14:ligatures w14:val="standardContextual"/>
        </w:rPr>
        <w:t>a/o</w:t>
      </w:r>
      <w:r w:rsidR="000C3554" w:rsidRPr="00514379">
        <w:rPr>
          <w:rFonts w:asciiTheme="minorHAnsi" w:eastAsiaTheme="minorEastAsia" w:hAnsiTheme="minorHAnsi" w:cstheme="minorBidi"/>
          <w:noProof/>
          <w:kern w:val="2"/>
          <w:szCs w:val="24"/>
          <w:lang w:eastAsia="zh-CN"/>
          <w14:ligatures w14:val="standardContextual"/>
        </w:rPr>
        <w:t xml:space="preserve"> telecommunication administrations, including the applicability of the provisions of the ITRs in fostering the provision and development of international telecommunication/ICT services and networks;</w:t>
      </w:r>
    </w:p>
    <w:p w14:paraId="4262E162" w14:textId="6E311F0A" w:rsidR="000C3554" w:rsidRPr="00514379" w:rsidRDefault="00514379" w:rsidP="00514379">
      <w:pPr>
        <w:pStyle w:val="Normalaftertitle"/>
        <w:tabs>
          <w:tab w:val="clear" w:pos="567"/>
          <w:tab w:val="clear" w:pos="1134"/>
          <w:tab w:val="clear" w:pos="1701"/>
          <w:tab w:val="clear" w:pos="2268"/>
          <w:tab w:val="clear" w:pos="2835"/>
        </w:tabs>
        <w:overflowPunct/>
        <w:autoSpaceDE/>
        <w:autoSpaceDN/>
        <w:adjustRightInd/>
        <w:snapToGrid w:val="0"/>
        <w:spacing w:before="120"/>
        <w:ind w:left="1134" w:hanging="567"/>
        <w:jc w:val="both"/>
        <w:textAlignment w:val="auto"/>
        <w:rPr>
          <w:rFonts w:asciiTheme="minorHAnsi" w:eastAsiaTheme="minorEastAsia" w:hAnsiTheme="minorHAnsi" w:cstheme="minorBidi"/>
          <w:noProof/>
          <w:kern w:val="2"/>
          <w:szCs w:val="24"/>
          <w:lang w:eastAsia="zh-CN"/>
          <w14:ligatures w14:val="standardContextual"/>
        </w:rPr>
      </w:pPr>
      <w:r w:rsidRPr="001F4FF7">
        <w:rPr>
          <w:szCs w:val="24"/>
        </w:rPr>
        <w:t>b)</w:t>
      </w:r>
      <w:r w:rsidRPr="001F4FF7">
        <w:rPr>
          <w:szCs w:val="24"/>
        </w:rPr>
        <w:tab/>
      </w:r>
      <w:r w:rsidR="000C3554" w:rsidRPr="00514379">
        <w:rPr>
          <w:rFonts w:asciiTheme="minorHAnsi" w:eastAsiaTheme="minorEastAsia" w:hAnsiTheme="minorHAnsi" w:cstheme="minorBidi"/>
          <w:noProof/>
          <w:kern w:val="2"/>
          <w:szCs w:val="24"/>
          <w:lang w:eastAsia="zh-CN"/>
          <w14:ligatures w14:val="standardContextual"/>
        </w:rPr>
        <w:t xml:space="preserve">flexibility </w:t>
      </w:r>
      <w:r w:rsidR="00C85807" w:rsidRPr="00514379">
        <w:rPr>
          <w:rFonts w:asciiTheme="minorHAnsi" w:eastAsiaTheme="minorEastAsia" w:hAnsiTheme="minorHAnsi" w:cstheme="minorBidi"/>
          <w:noProof/>
          <w:kern w:val="2"/>
          <w:szCs w:val="24"/>
          <w:lang w:eastAsia="zh-CN"/>
          <w14:ligatures w14:val="standardContextual"/>
        </w:rPr>
        <w:t>of</w:t>
      </w:r>
      <w:r w:rsidR="000C3554" w:rsidRPr="00514379">
        <w:rPr>
          <w:rFonts w:asciiTheme="minorHAnsi" w:eastAsiaTheme="minorEastAsia" w:hAnsiTheme="minorHAnsi" w:cstheme="minorBidi"/>
          <w:noProof/>
          <w:kern w:val="2"/>
          <w:szCs w:val="24"/>
          <w:lang w:eastAsia="zh-CN"/>
          <w14:ligatures w14:val="standardContextual"/>
        </w:rPr>
        <w:t xml:space="preserve"> the provisions of the </w:t>
      </w:r>
      <w:r w:rsidR="00C85807" w:rsidRPr="00514379">
        <w:rPr>
          <w:rFonts w:asciiTheme="minorHAnsi" w:eastAsiaTheme="minorEastAsia" w:hAnsiTheme="minorHAnsi" w:cstheme="minorBidi"/>
          <w:noProof/>
          <w:kern w:val="2"/>
          <w:szCs w:val="24"/>
          <w:lang w:eastAsia="zh-CN"/>
          <w14:ligatures w14:val="standardContextual"/>
        </w:rPr>
        <w:t xml:space="preserve">2012 </w:t>
      </w:r>
      <w:r w:rsidR="000C3554" w:rsidRPr="00514379">
        <w:rPr>
          <w:rFonts w:asciiTheme="minorHAnsi" w:eastAsiaTheme="minorEastAsia" w:hAnsiTheme="minorHAnsi" w:cstheme="minorBidi"/>
          <w:noProof/>
          <w:kern w:val="2"/>
          <w:szCs w:val="24"/>
          <w:lang w:eastAsia="zh-CN"/>
          <w14:ligatures w14:val="standardContextual"/>
        </w:rPr>
        <w:t>ITRs to accommodate new trends in telecommunications/ICT and emerging issues in international telecommunications/ICT environment;</w:t>
      </w:r>
    </w:p>
    <w:p w14:paraId="666D3ECC" w14:textId="58C1E180" w:rsidR="000C3554" w:rsidRPr="00514379" w:rsidRDefault="00514379" w:rsidP="000C3554">
      <w:pPr>
        <w:tabs>
          <w:tab w:val="clear" w:pos="567"/>
          <w:tab w:val="clear" w:pos="1134"/>
          <w:tab w:val="clear" w:pos="1701"/>
          <w:tab w:val="clear" w:pos="2268"/>
          <w:tab w:val="clear" w:pos="2835"/>
        </w:tabs>
        <w:overflowPunct/>
        <w:autoSpaceDE/>
        <w:autoSpaceDN/>
        <w:adjustRightInd/>
        <w:snapToGrid w:val="0"/>
        <w:jc w:val="both"/>
        <w:textAlignment w:val="auto"/>
        <w:rPr>
          <w:rFonts w:asciiTheme="minorHAnsi" w:eastAsiaTheme="minorEastAsia" w:hAnsiTheme="minorHAnsi" w:cstheme="minorBidi"/>
          <w:noProof/>
          <w:kern w:val="2"/>
          <w:szCs w:val="24"/>
          <w:lang w:eastAsia="zh-CN"/>
          <w14:ligatures w14:val="standardContextual"/>
        </w:rPr>
      </w:pPr>
      <w:r w:rsidRPr="001F4FF7">
        <w:rPr>
          <w:szCs w:val="24"/>
        </w:rPr>
        <w:t>4</w:t>
      </w:r>
      <w:r w:rsidRPr="001F4FF7">
        <w:rPr>
          <w:szCs w:val="24"/>
        </w:rPr>
        <w:tab/>
      </w:r>
      <w:r w:rsidR="000C3554" w:rsidRPr="00514379">
        <w:rPr>
          <w:rFonts w:asciiTheme="minorHAnsi" w:eastAsiaTheme="minorEastAsia" w:hAnsiTheme="minorHAnsi" w:cstheme="minorBidi"/>
          <w:noProof/>
          <w:kern w:val="2"/>
          <w:szCs w:val="24"/>
          <w:lang w:eastAsia="zh-CN"/>
          <w14:ligatures w14:val="standardContextual"/>
        </w:rPr>
        <w:t xml:space="preserve">The EG-ITRs will present a progress report to Council 2024 and Council 2025, and a final report to Council 2026 </w:t>
      </w:r>
      <w:r w:rsidR="00C85807" w:rsidRPr="00514379">
        <w:rPr>
          <w:rFonts w:asciiTheme="minorHAnsi" w:eastAsiaTheme="minorEastAsia" w:hAnsiTheme="minorHAnsi" w:cstheme="minorBidi"/>
          <w:noProof/>
          <w:kern w:val="2"/>
          <w:szCs w:val="24"/>
          <w:lang w:eastAsia="zh-CN"/>
          <w14:ligatures w14:val="standardContextual"/>
        </w:rPr>
        <w:t>to be further submitted</w:t>
      </w:r>
      <w:r w:rsidR="000C3554" w:rsidRPr="00514379">
        <w:rPr>
          <w:rFonts w:asciiTheme="minorHAnsi" w:eastAsiaTheme="minorEastAsia" w:hAnsiTheme="minorHAnsi" w:cstheme="minorBidi"/>
          <w:noProof/>
          <w:kern w:val="2"/>
          <w:szCs w:val="24"/>
          <w:lang w:eastAsia="zh-CN"/>
          <w14:ligatures w14:val="standardContextual"/>
        </w:rPr>
        <w:t xml:space="preserve"> to the 2026 Plenipotentiary Conference with the Council’s comments.</w:t>
      </w:r>
    </w:p>
    <w:p w14:paraId="080EFBEB" w14:textId="77777777" w:rsidR="000C3554" w:rsidRPr="000C3554" w:rsidRDefault="000C3554" w:rsidP="000C3554">
      <w:pPr>
        <w:tabs>
          <w:tab w:val="clear" w:pos="567"/>
          <w:tab w:val="clear" w:pos="1134"/>
          <w:tab w:val="clear" w:pos="1701"/>
          <w:tab w:val="clear" w:pos="2268"/>
          <w:tab w:val="clear" w:pos="2835"/>
        </w:tabs>
        <w:overflowPunct/>
        <w:autoSpaceDE/>
        <w:autoSpaceDN/>
        <w:adjustRightInd/>
        <w:spacing w:before="840" w:after="160" w:line="259" w:lineRule="auto"/>
        <w:jc w:val="center"/>
        <w:textAlignment w:val="auto"/>
        <w:rPr>
          <w:rFonts w:asciiTheme="minorHAnsi" w:eastAsiaTheme="minorHAnsi" w:hAnsiTheme="minorHAnsi" w:cstheme="minorBidi"/>
          <w:szCs w:val="24"/>
          <w:lang w:val="en-CA"/>
        </w:rPr>
      </w:pPr>
      <w:r w:rsidRPr="000C3554">
        <w:rPr>
          <w:rFonts w:asciiTheme="minorHAnsi" w:eastAsiaTheme="minorHAnsi" w:hAnsiTheme="minorHAnsi" w:cstheme="minorBidi"/>
          <w:szCs w:val="24"/>
          <w:lang w:val="en-CA"/>
        </w:rPr>
        <w:t>____________________</w:t>
      </w:r>
    </w:p>
    <w:sectPr w:rsidR="000C3554" w:rsidRPr="000C3554" w:rsidSect="00AD3606">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EB4E" w14:textId="77777777" w:rsidR="00760DDA" w:rsidRDefault="00760DDA">
      <w:r>
        <w:separator/>
      </w:r>
    </w:p>
  </w:endnote>
  <w:endnote w:type="continuationSeparator" w:id="0">
    <w:p w14:paraId="5EFF795C" w14:textId="77777777" w:rsidR="00760DDA" w:rsidRDefault="0076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75FDA30E" w:rsidR="00EE49E8" w:rsidRDefault="0028690A" w:rsidP="00EE49E8">
          <w:pPr>
            <w:pStyle w:val="Header"/>
            <w:jc w:val="left"/>
            <w:rPr>
              <w:noProof/>
            </w:rPr>
          </w:pPr>
          <w:r>
            <w:rPr>
              <w:noProof/>
            </w:rPr>
            <w:t>DPS 525222</w:t>
          </w:r>
        </w:p>
      </w:tc>
      <w:tc>
        <w:tcPr>
          <w:tcW w:w="8261" w:type="dxa"/>
        </w:tcPr>
        <w:p w14:paraId="35709C74" w14:textId="1FBF7C27"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8690A">
            <w:rPr>
              <w:bCs/>
            </w:rPr>
            <w:t>66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D20C26"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7459FD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8690A">
            <w:rPr>
              <w:bCs/>
            </w:rPr>
            <w:t>66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D6572" w14:textId="77777777" w:rsidR="00760DDA" w:rsidRDefault="00760DDA">
      <w:r>
        <w:t>____________________</w:t>
      </w:r>
    </w:p>
  </w:footnote>
  <w:footnote w:type="continuationSeparator" w:id="0">
    <w:p w14:paraId="71C869CB" w14:textId="77777777" w:rsidR="00760DDA" w:rsidRDefault="00760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330D69"/>
    <w:multiLevelType w:val="hybridMultilevel"/>
    <w:tmpl w:val="16F624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0FB1B50"/>
    <w:multiLevelType w:val="hybridMultilevel"/>
    <w:tmpl w:val="C58E7A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74816267">
    <w:abstractNumId w:val="0"/>
  </w:num>
  <w:num w:numId="2" w16cid:durableId="1212040959">
    <w:abstractNumId w:val="2"/>
  </w:num>
  <w:num w:numId="3" w16cid:durableId="1969623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10D4"/>
    <w:rsid w:val="00063016"/>
    <w:rsid w:val="00066795"/>
    <w:rsid w:val="00076AF6"/>
    <w:rsid w:val="00085CF2"/>
    <w:rsid w:val="000B1705"/>
    <w:rsid w:val="000C3554"/>
    <w:rsid w:val="000D75B2"/>
    <w:rsid w:val="000F3D8E"/>
    <w:rsid w:val="001121F5"/>
    <w:rsid w:val="00124171"/>
    <w:rsid w:val="001400DC"/>
    <w:rsid w:val="00140CE1"/>
    <w:rsid w:val="00146BAF"/>
    <w:rsid w:val="00171111"/>
    <w:rsid w:val="0017539C"/>
    <w:rsid w:val="00175AC2"/>
    <w:rsid w:val="0017609F"/>
    <w:rsid w:val="001A7D1D"/>
    <w:rsid w:val="001B51DD"/>
    <w:rsid w:val="001C628E"/>
    <w:rsid w:val="001D1DCD"/>
    <w:rsid w:val="001D4426"/>
    <w:rsid w:val="001E0F7B"/>
    <w:rsid w:val="002119FD"/>
    <w:rsid w:val="002130E0"/>
    <w:rsid w:val="00226DDE"/>
    <w:rsid w:val="00264425"/>
    <w:rsid w:val="00265875"/>
    <w:rsid w:val="0027303B"/>
    <w:rsid w:val="0028109B"/>
    <w:rsid w:val="0028690A"/>
    <w:rsid w:val="002A2188"/>
    <w:rsid w:val="002B1F58"/>
    <w:rsid w:val="002C1C7A"/>
    <w:rsid w:val="002C54E2"/>
    <w:rsid w:val="002F6124"/>
    <w:rsid w:val="0030160F"/>
    <w:rsid w:val="00320223"/>
    <w:rsid w:val="00322D0D"/>
    <w:rsid w:val="00361465"/>
    <w:rsid w:val="003877F5"/>
    <w:rsid w:val="003942D4"/>
    <w:rsid w:val="003958A8"/>
    <w:rsid w:val="003C2533"/>
    <w:rsid w:val="003D5A7F"/>
    <w:rsid w:val="0040435A"/>
    <w:rsid w:val="00416A24"/>
    <w:rsid w:val="00431D9E"/>
    <w:rsid w:val="00433CE8"/>
    <w:rsid w:val="00434A5C"/>
    <w:rsid w:val="004544D9"/>
    <w:rsid w:val="00472BAD"/>
    <w:rsid w:val="00484009"/>
    <w:rsid w:val="00490E72"/>
    <w:rsid w:val="00491157"/>
    <w:rsid w:val="004921C8"/>
    <w:rsid w:val="00495B0B"/>
    <w:rsid w:val="004A1B8B"/>
    <w:rsid w:val="004D1851"/>
    <w:rsid w:val="004D599D"/>
    <w:rsid w:val="004D687B"/>
    <w:rsid w:val="004E2EA5"/>
    <w:rsid w:val="004E3AEB"/>
    <w:rsid w:val="004F0C3A"/>
    <w:rsid w:val="0050223C"/>
    <w:rsid w:val="00514379"/>
    <w:rsid w:val="005243FF"/>
    <w:rsid w:val="00553D1B"/>
    <w:rsid w:val="00564FBC"/>
    <w:rsid w:val="005800BC"/>
    <w:rsid w:val="00582442"/>
    <w:rsid w:val="005C11D3"/>
    <w:rsid w:val="005D04CC"/>
    <w:rsid w:val="005F3269"/>
    <w:rsid w:val="00623AE3"/>
    <w:rsid w:val="006434D1"/>
    <w:rsid w:val="0064737F"/>
    <w:rsid w:val="006535F1"/>
    <w:rsid w:val="0065557D"/>
    <w:rsid w:val="00660D50"/>
    <w:rsid w:val="00661C03"/>
    <w:rsid w:val="00662984"/>
    <w:rsid w:val="006716BB"/>
    <w:rsid w:val="006B1859"/>
    <w:rsid w:val="006B6680"/>
    <w:rsid w:val="006B6DCC"/>
    <w:rsid w:val="006C4623"/>
    <w:rsid w:val="006E5675"/>
    <w:rsid w:val="00702DEF"/>
    <w:rsid w:val="00706861"/>
    <w:rsid w:val="00727E3F"/>
    <w:rsid w:val="0075051B"/>
    <w:rsid w:val="00760DDA"/>
    <w:rsid w:val="007631EB"/>
    <w:rsid w:val="007923C5"/>
    <w:rsid w:val="00793188"/>
    <w:rsid w:val="00794D34"/>
    <w:rsid w:val="00813E5E"/>
    <w:rsid w:val="0083581B"/>
    <w:rsid w:val="00863874"/>
    <w:rsid w:val="00864AFF"/>
    <w:rsid w:val="00865925"/>
    <w:rsid w:val="00875D1C"/>
    <w:rsid w:val="00896CAD"/>
    <w:rsid w:val="008B4A6A"/>
    <w:rsid w:val="008C7E27"/>
    <w:rsid w:val="008F7448"/>
    <w:rsid w:val="0090147A"/>
    <w:rsid w:val="009173EF"/>
    <w:rsid w:val="00932906"/>
    <w:rsid w:val="00961B0B"/>
    <w:rsid w:val="009B38C3"/>
    <w:rsid w:val="009E17BD"/>
    <w:rsid w:val="009E485A"/>
    <w:rsid w:val="00A04CEC"/>
    <w:rsid w:val="00A12D37"/>
    <w:rsid w:val="00A27F92"/>
    <w:rsid w:val="00A32257"/>
    <w:rsid w:val="00A36D20"/>
    <w:rsid w:val="00A44716"/>
    <w:rsid w:val="00A514A4"/>
    <w:rsid w:val="00A54171"/>
    <w:rsid w:val="00A55622"/>
    <w:rsid w:val="00A83502"/>
    <w:rsid w:val="00AD15B3"/>
    <w:rsid w:val="00AD3606"/>
    <w:rsid w:val="00AD4A3D"/>
    <w:rsid w:val="00AF6E49"/>
    <w:rsid w:val="00B04A67"/>
    <w:rsid w:val="00B0583C"/>
    <w:rsid w:val="00B40A81"/>
    <w:rsid w:val="00B44910"/>
    <w:rsid w:val="00B72267"/>
    <w:rsid w:val="00B76EB6"/>
    <w:rsid w:val="00B7737B"/>
    <w:rsid w:val="00B824C8"/>
    <w:rsid w:val="00B84B9D"/>
    <w:rsid w:val="00B978F8"/>
    <w:rsid w:val="00BC251A"/>
    <w:rsid w:val="00BD032B"/>
    <w:rsid w:val="00BE2640"/>
    <w:rsid w:val="00C01189"/>
    <w:rsid w:val="00C374DE"/>
    <w:rsid w:val="00C45268"/>
    <w:rsid w:val="00C47AD4"/>
    <w:rsid w:val="00C52D81"/>
    <w:rsid w:val="00C55198"/>
    <w:rsid w:val="00C85807"/>
    <w:rsid w:val="00CA6393"/>
    <w:rsid w:val="00CB18FF"/>
    <w:rsid w:val="00CD0C08"/>
    <w:rsid w:val="00CE03FB"/>
    <w:rsid w:val="00CE433C"/>
    <w:rsid w:val="00CF0161"/>
    <w:rsid w:val="00CF33F3"/>
    <w:rsid w:val="00D031F0"/>
    <w:rsid w:val="00D06183"/>
    <w:rsid w:val="00D20C26"/>
    <w:rsid w:val="00D22C42"/>
    <w:rsid w:val="00D249C6"/>
    <w:rsid w:val="00D4317B"/>
    <w:rsid w:val="00D65041"/>
    <w:rsid w:val="00D902A4"/>
    <w:rsid w:val="00DB1936"/>
    <w:rsid w:val="00DB384B"/>
    <w:rsid w:val="00DE223D"/>
    <w:rsid w:val="00DF0189"/>
    <w:rsid w:val="00E06FD5"/>
    <w:rsid w:val="00E10E80"/>
    <w:rsid w:val="00E124F0"/>
    <w:rsid w:val="00E35E75"/>
    <w:rsid w:val="00E60F04"/>
    <w:rsid w:val="00E65B24"/>
    <w:rsid w:val="00E854E4"/>
    <w:rsid w:val="00E86DBF"/>
    <w:rsid w:val="00EB0D6F"/>
    <w:rsid w:val="00EB2232"/>
    <w:rsid w:val="00EC5337"/>
    <w:rsid w:val="00EE49E8"/>
    <w:rsid w:val="00F16BAB"/>
    <w:rsid w:val="00F2150A"/>
    <w:rsid w:val="00F231D8"/>
    <w:rsid w:val="00F44C00"/>
    <w:rsid w:val="00F46C5F"/>
    <w:rsid w:val="00F51108"/>
    <w:rsid w:val="00F632C0"/>
    <w:rsid w:val="00F94A63"/>
    <w:rsid w:val="00FA1C28"/>
    <w:rsid w:val="00FB1279"/>
    <w:rsid w:val="00FB6B76"/>
    <w:rsid w:val="00FB7596"/>
    <w:rsid w:val="00FD3211"/>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8690A"/>
    <w:pPr>
      <w:framePr w:hSpace="180" w:wrap="around" w:vAnchor="page" w:hAnchor="page" w:x="1821" w:y="2317"/>
      <w:spacing w:before="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0F3D8E"/>
    <w:pPr>
      <w:ind w:left="720"/>
      <w:contextualSpacing/>
    </w:pPr>
  </w:style>
  <w:style w:type="paragraph" w:styleId="Revision">
    <w:name w:val="Revision"/>
    <w:hidden/>
    <w:uiPriority w:val="99"/>
    <w:semiHidden/>
    <w:rsid w:val="00553D1B"/>
    <w:rPr>
      <w:rFonts w:ascii="Calibri" w:hAnsi="Calibri"/>
      <w:sz w:val="24"/>
      <w:lang w:val="en-GB" w:eastAsia="en-US"/>
    </w:rPr>
  </w:style>
  <w:style w:type="character" w:styleId="CommentReference">
    <w:name w:val="annotation reference"/>
    <w:basedOn w:val="DefaultParagraphFont"/>
    <w:semiHidden/>
    <w:unhideWhenUsed/>
    <w:rsid w:val="006C4623"/>
    <w:rPr>
      <w:sz w:val="16"/>
      <w:szCs w:val="16"/>
    </w:rPr>
  </w:style>
  <w:style w:type="paragraph" w:styleId="CommentText">
    <w:name w:val="annotation text"/>
    <w:basedOn w:val="Normal"/>
    <w:link w:val="CommentTextChar"/>
    <w:unhideWhenUsed/>
    <w:rsid w:val="006C4623"/>
    <w:rPr>
      <w:sz w:val="20"/>
    </w:rPr>
  </w:style>
  <w:style w:type="character" w:customStyle="1" w:styleId="CommentTextChar">
    <w:name w:val="Comment Text Char"/>
    <w:basedOn w:val="DefaultParagraphFont"/>
    <w:link w:val="CommentText"/>
    <w:rsid w:val="006C4623"/>
    <w:rPr>
      <w:rFonts w:ascii="Calibri" w:hAnsi="Calibri"/>
      <w:lang w:val="en-GB" w:eastAsia="en-US"/>
    </w:rPr>
  </w:style>
  <w:style w:type="paragraph" w:styleId="CommentSubject">
    <w:name w:val="annotation subject"/>
    <w:basedOn w:val="CommentText"/>
    <w:next w:val="CommentText"/>
    <w:link w:val="CommentSubjectChar"/>
    <w:semiHidden/>
    <w:unhideWhenUsed/>
    <w:rsid w:val="006C4623"/>
    <w:rPr>
      <w:b/>
      <w:bCs/>
    </w:rPr>
  </w:style>
  <w:style w:type="character" w:customStyle="1" w:styleId="CommentSubjectChar">
    <w:name w:val="Comment Subject Char"/>
    <w:basedOn w:val="CommentTextChar"/>
    <w:link w:val="CommentSubject"/>
    <w:semiHidden/>
    <w:rsid w:val="006C4623"/>
    <w:rPr>
      <w:rFonts w:ascii="Calibri" w:hAnsi="Calibri"/>
      <w:b/>
      <w:bCs/>
      <w:lang w:val="en-GB" w:eastAsia="en-US"/>
    </w:rPr>
  </w:style>
  <w:style w:type="character" w:styleId="UnresolvedMention">
    <w:name w:val="Unresolved Mention"/>
    <w:basedOn w:val="DefaultParagraphFont"/>
    <w:uiPriority w:val="99"/>
    <w:semiHidden/>
    <w:unhideWhenUsed/>
    <w:rsid w:val="0028690A"/>
    <w:rPr>
      <w:color w:val="605E5C"/>
      <w:shd w:val="clear" w:color="auto" w:fill="E1DFDD"/>
    </w:rPr>
  </w:style>
  <w:style w:type="character" w:customStyle="1" w:styleId="enumlev1Char">
    <w:name w:val="enumlev1 Char"/>
    <w:basedOn w:val="DefaultParagraphFont"/>
    <w:link w:val="enumlev1"/>
    <w:rsid w:val="00124171"/>
    <w:rPr>
      <w:rFonts w:ascii="Calibri" w:hAnsi="Calibri"/>
      <w:sz w:val="24"/>
      <w:lang w:val="en-GB" w:eastAsia="en-US"/>
    </w:rPr>
  </w:style>
  <w:style w:type="character" w:customStyle="1" w:styleId="AnnexNoChar">
    <w:name w:val="Annex_No Char"/>
    <w:basedOn w:val="DefaultParagraphFont"/>
    <w:link w:val="AnnexNo"/>
    <w:rsid w:val="00124171"/>
    <w:rPr>
      <w:rFonts w:ascii="Calibri" w:hAnsi="Calibri"/>
      <w:caps/>
      <w:sz w:val="28"/>
      <w:lang w:val="en-GB" w:eastAsia="en-US"/>
    </w:rPr>
  </w:style>
  <w:style w:type="character" w:customStyle="1" w:styleId="AnnextitleChar">
    <w:name w:val="Annex_title Char"/>
    <w:basedOn w:val="DefaultParagraphFont"/>
    <w:link w:val="Annextitle"/>
    <w:rsid w:val="00124171"/>
    <w:rPr>
      <w:rFonts w:ascii="Calibri" w:hAnsi="Calibri"/>
      <w:b/>
      <w:sz w:val="28"/>
      <w:lang w:val="en-GB" w:eastAsia="en-US"/>
    </w:rPr>
  </w:style>
  <w:style w:type="character" w:customStyle="1" w:styleId="NormalaftertitleChar">
    <w:name w:val="Normal after title Char"/>
    <w:basedOn w:val="DefaultParagraphFont"/>
    <w:link w:val="Normalaftertitle"/>
    <w:rsid w:val="00514379"/>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md/S19-CL-C-0139/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ging.itu.int/en/council/Documents/basic-texts-2023/RES-146-E.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5C59A5-7052-411A-AA50-D113193600A5}">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5BE07E38-DF39-4F91-9892-60A1B0EEE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8BFDF-E164-47EC-8978-FEA188D990F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781</Words>
  <Characters>4479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Contribution from Australia, Canada and the United States of America - Draft Terms of Reference for the Expert Group on the Review of the International Telecommunication Regulations (EG-ITRs)</vt:lpstr>
    </vt:vector>
  </TitlesOfParts>
  <Manager>General Secretariat - Pool</Manager>
  <Company>International Telecommunication Union (ITU)</Company>
  <LinksUpToDate>false</LinksUpToDate>
  <CharactersWithSpaces>5250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Australia, Canada and the United States of America - Draft Terms of Reference for the Expert Group on the Review of the International Telecommunication Regulations (EG-ITRs)</dc:title>
  <dc:subject>Council 2023</dc:subject>
  <dc:creator>Pluchon, Beatrice</dc:creator>
  <cp:keywords>C2023, C23, Council-23</cp:keywords>
  <dc:description/>
  <cp:lastModifiedBy>Brouard, Ricarda</cp:lastModifiedBy>
  <cp:revision>2</cp:revision>
  <cp:lastPrinted>2023-06-23T03:59:00Z</cp:lastPrinted>
  <dcterms:created xsi:type="dcterms:W3CDTF">2023-06-26T05:42:00Z</dcterms:created>
  <dcterms:modified xsi:type="dcterms:W3CDTF">2023-06-26T05:42:00Z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y fmtid="{D5CDD505-2E9C-101B-9397-08002B2CF9AE}" pid="9" name="_NewReviewCycle">
    <vt:lpwstr/>
  </property>
  <property fmtid="{D5CDD505-2E9C-101B-9397-08002B2CF9AE}" pid="10" name="MSIP_Label_1665d9ee-429a-4d5f-97cc-cfb56e044a6e_Enabled">
    <vt:lpwstr>true</vt:lpwstr>
  </property>
  <property fmtid="{D5CDD505-2E9C-101B-9397-08002B2CF9AE}" pid="11" name="MSIP_Label_1665d9ee-429a-4d5f-97cc-cfb56e044a6e_SetDate">
    <vt:lpwstr>2023-06-22T15:41:02Z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a83aeb72-90c1-4d0a-87a3-14cf58bc3b6d</vt:lpwstr>
  </property>
  <property fmtid="{D5CDD505-2E9C-101B-9397-08002B2CF9AE}" pid="16" name="MSIP_Label_1665d9ee-429a-4d5f-97cc-cfb56e044a6e_ContentBits">
    <vt:lpwstr>0</vt:lpwstr>
  </property>
  <property fmtid="{D5CDD505-2E9C-101B-9397-08002B2CF9AE}" pid="17" name="_AdHocReviewCycleID">
    <vt:i4>1543201692</vt:i4>
  </property>
  <property fmtid="{D5CDD505-2E9C-101B-9397-08002B2CF9AE}" pid="18" name="_EmailSubject">
    <vt:lpwstr>Multi-Country Contribution to Council 2023 / EG-ITRs</vt:lpwstr>
  </property>
  <property fmtid="{D5CDD505-2E9C-101B-9397-08002B2CF9AE}" pid="19" name="_AuthorEmail">
    <vt:lpwstr>santiago.reyes-borda@ised-isde.gc.ca</vt:lpwstr>
  </property>
  <property fmtid="{D5CDD505-2E9C-101B-9397-08002B2CF9AE}" pid="20" name="_AuthorEmailDisplayName">
    <vt:lpwstr>Reyes-Borda, Santiago (ISED/ISDE)</vt:lpwstr>
  </property>
  <property fmtid="{D5CDD505-2E9C-101B-9397-08002B2CF9AE}" pid="21" name="_PreviousAdHocReviewCycleID">
    <vt:i4>1913035465</vt:i4>
  </property>
  <property fmtid="{D5CDD505-2E9C-101B-9397-08002B2CF9AE}" pid="22" name="_ReviewingToolsShownOnce">
    <vt:lpwstr/>
  </property>
</Properties>
</file>