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D9146A" w14:paraId="2592CC74" w14:textId="77777777" w:rsidTr="00D72F49">
        <w:trPr>
          <w:cantSplit/>
          <w:trHeight w:val="23"/>
        </w:trPr>
        <w:tc>
          <w:tcPr>
            <w:tcW w:w="3969" w:type="dxa"/>
            <w:vMerge w:val="restart"/>
            <w:tcMar>
              <w:left w:w="0" w:type="dxa"/>
            </w:tcMar>
          </w:tcPr>
          <w:p w14:paraId="27E56DEB" w14:textId="08B9F01D" w:rsidR="00D72F49" w:rsidRPr="00D9146A" w:rsidRDefault="00D72F49" w:rsidP="001E6105">
            <w:pPr>
              <w:tabs>
                <w:tab w:val="left" w:pos="851"/>
              </w:tabs>
              <w:spacing w:before="0"/>
              <w:rPr>
                <w:b/>
              </w:rPr>
            </w:pPr>
            <w:r w:rsidRPr="00D9146A">
              <w:rPr>
                <w:b/>
              </w:rPr>
              <w:t>Point de l</w:t>
            </w:r>
            <w:r w:rsidR="00D9146A" w:rsidRPr="00D9146A">
              <w:rPr>
                <w:b/>
              </w:rPr>
              <w:t>'</w:t>
            </w:r>
            <w:r w:rsidRPr="00D9146A">
              <w:rPr>
                <w:b/>
              </w:rPr>
              <w:t xml:space="preserve">ordre du </w:t>
            </w:r>
            <w:proofErr w:type="gramStart"/>
            <w:r w:rsidRPr="00D9146A">
              <w:rPr>
                <w:b/>
              </w:rPr>
              <w:t>jour:</w:t>
            </w:r>
            <w:proofErr w:type="gramEnd"/>
            <w:r w:rsidRPr="00D9146A">
              <w:rPr>
                <w:b/>
              </w:rPr>
              <w:t xml:space="preserve"> </w:t>
            </w:r>
            <w:r w:rsidR="00110A24" w:rsidRPr="00D9146A">
              <w:rPr>
                <w:b/>
              </w:rPr>
              <w:t>ADM 2</w:t>
            </w:r>
          </w:p>
        </w:tc>
        <w:tc>
          <w:tcPr>
            <w:tcW w:w="5245" w:type="dxa"/>
          </w:tcPr>
          <w:p w14:paraId="27B6A98A" w14:textId="1920430F" w:rsidR="00D72F49" w:rsidRPr="00D9146A" w:rsidRDefault="00D72F49" w:rsidP="001E6105">
            <w:pPr>
              <w:tabs>
                <w:tab w:val="left" w:pos="851"/>
              </w:tabs>
              <w:spacing w:before="0"/>
              <w:jc w:val="right"/>
              <w:rPr>
                <w:b/>
              </w:rPr>
            </w:pPr>
            <w:r w:rsidRPr="00D9146A">
              <w:rPr>
                <w:b/>
              </w:rPr>
              <w:t>Document C23/</w:t>
            </w:r>
            <w:r w:rsidR="00110A24" w:rsidRPr="00D9146A">
              <w:rPr>
                <w:b/>
              </w:rPr>
              <w:t>69</w:t>
            </w:r>
            <w:r w:rsidRPr="00D9146A">
              <w:rPr>
                <w:b/>
              </w:rPr>
              <w:t>-F</w:t>
            </w:r>
          </w:p>
        </w:tc>
      </w:tr>
      <w:tr w:rsidR="00D72F49" w:rsidRPr="00D9146A" w14:paraId="41096C77" w14:textId="77777777" w:rsidTr="00D72F49">
        <w:trPr>
          <w:cantSplit/>
        </w:trPr>
        <w:tc>
          <w:tcPr>
            <w:tcW w:w="3969" w:type="dxa"/>
            <w:vMerge/>
          </w:tcPr>
          <w:p w14:paraId="0BBA5643" w14:textId="77777777" w:rsidR="00D72F49" w:rsidRPr="00D9146A" w:rsidRDefault="00D72F49" w:rsidP="001E6105">
            <w:pPr>
              <w:tabs>
                <w:tab w:val="left" w:pos="851"/>
              </w:tabs>
              <w:rPr>
                <w:b/>
              </w:rPr>
            </w:pPr>
          </w:p>
        </w:tc>
        <w:tc>
          <w:tcPr>
            <w:tcW w:w="5245" w:type="dxa"/>
          </w:tcPr>
          <w:p w14:paraId="068BECD5" w14:textId="6B7360D8" w:rsidR="00D72F49" w:rsidRPr="00D9146A" w:rsidRDefault="00110A24" w:rsidP="001E6105">
            <w:pPr>
              <w:tabs>
                <w:tab w:val="left" w:pos="851"/>
              </w:tabs>
              <w:spacing w:before="0"/>
              <w:jc w:val="right"/>
              <w:rPr>
                <w:b/>
              </w:rPr>
            </w:pPr>
            <w:r w:rsidRPr="00D9146A">
              <w:rPr>
                <w:b/>
              </w:rPr>
              <w:t>27 juin</w:t>
            </w:r>
            <w:r w:rsidR="00D72F49" w:rsidRPr="00D9146A">
              <w:rPr>
                <w:b/>
              </w:rPr>
              <w:t xml:space="preserve"> 2023</w:t>
            </w:r>
          </w:p>
        </w:tc>
      </w:tr>
      <w:tr w:rsidR="00D72F49" w:rsidRPr="00D9146A" w14:paraId="17E5B988" w14:textId="77777777" w:rsidTr="00D72F49">
        <w:trPr>
          <w:cantSplit/>
          <w:trHeight w:val="23"/>
        </w:trPr>
        <w:tc>
          <w:tcPr>
            <w:tcW w:w="3969" w:type="dxa"/>
            <w:vMerge/>
          </w:tcPr>
          <w:p w14:paraId="2192D6D7" w14:textId="77777777" w:rsidR="00D72F49" w:rsidRPr="00D9146A" w:rsidRDefault="00D72F49" w:rsidP="001E6105">
            <w:pPr>
              <w:tabs>
                <w:tab w:val="left" w:pos="851"/>
              </w:tabs>
              <w:rPr>
                <w:b/>
              </w:rPr>
            </w:pPr>
          </w:p>
        </w:tc>
        <w:tc>
          <w:tcPr>
            <w:tcW w:w="5245" w:type="dxa"/>
          </w:tcPr>
          <w:p w14:paraId="1948C622" w14:textId="77777777" w:rsidR="00D72F49" w:rsidRPr="00D9146A" w:rsidRDefault="00D72F49" w:rsidP="001E6105">
            <w:pPr>
              <w:tabs>
                <w:tab w:val="left" w:pos="851"/>
              </w:tabs>
              <w:spacing w:before="0"/>
              <w:jc w:val="right"/>
              <w:rPr>
                <w:b/>
              </w:rPr>
            </w:pPr>
            <w:r w:rsidRPr="00D9146A">
              <w:rPr>
                <w:b/>
              </w:rPr>
              <w:t>Original: anglais</w:t>
            </w:r>
          </w:p>
        </w:tc>
      </w:tr>
      <w:tr w:rsidR="00D72F49" w:rsidRPr="00D9146A" w14:paraId="53623BEE" w14:textId="77777777" w:rsidTr="00D72F49">
        <w:trPr>
          <w:cantSplit/>
          <w:trHeight w:val="23"/>
        </w:trPr>
        <w:tc>
          <w:tcPr>
            <w:tcW w:w="3969" w:type="dxa"/>
          </w:tcPr>
          <w:p w14:paraId="630B4C34" w14:textId="77777777" w:rsidR="00D72F49" w:rsidRPr="00D9146A" w:rsidRDefault="00D72F49" w:rsidP="001E6105">
            <w:pPr>
              <w:tabs>
                <w:tab w:val="left" w:pos="851"/>
              </w:tabs>
              <w:rPr>
                <w:b/>
              </w:rPr>
            </w:pPr>
          </w:p>
        </w:tc>
        <w:tc>
          <w:tcPr>
            <w:tcW w:w="5245" w:type="dxa"/>
          </w:tcPr>
          <w:p w14:paraId="437750C4" w14:textId="77777777" w:rsidR="00D72F49" w:rsidRPr="00D9146A" w:rsidRDefault="00D72F49" w:rsidP="001E6105">
            <w:pPr>
              <w:tabs>
                <w:tab w:val="left" w:pos="851"/>
              </w:tabs>
              <w:spacing w:before="0"/>
              <w:jc w:val="right"/>
              <w:rPr>
                <w:b/>
              </w:rPr>
            </w:pPr>
          </w:p>
        </w:tc>
      </w:tr>
      <w:tr w:rsidR="00D72F49" w:rsidRPr="00D9146A" w14:paraId="31FFA2A5" w14:textId="77777777" w:rsidTr="00D72F49">
        <w:trPr>
          <w:cantSplit/>
        </w:trPr>
        <w:tc>
          <w:tcPr>
            <w:tcW w:w="9214" w:type="dxa"/>
            <w:gridSpan w:val="2"/>
            <w:tcMar>
              <w:left w:w="0" w:type="dxa"/>
            </w:tcMar>
          </w:tcPr>
          <w:p w14:paraId="7AA1F34C" w14:textId="282E5106" w:rsidR="00D72F49" w:rsidRPr="00D9146A" w:rsidRDefault="001E6105" w:rsidP="001E6105">
            <w:pPr>
              <w:pStyle w:val="Source"/>
              <w:jc w:val="left"/>
              <w:rPr>
                <w:sz w:val="34"/>
                <w:szCs w:val="34"/>
              </w:rPr>
            </w:pPr>
            <w:r w:rsidRPr="00D9146A">
              <w:rPr>
                <w:rFonts w:cstheme="minorHAnsi"/>
                <w:color w:val="000000"/>
                <w:sz w:val="34"/>
                <w:szCs w:val="34"/>
              </w:rPr>
              <w:t>Contribution de l</w:t>
            </w:r>
            <w:r w:rsidR="00D9146A" w:rsidRPr="00D9146A">
              <w:rPr>
                <w:rFonts w:cstheme="minorHAnsi"/>
                <w:color w:val="000000"/>
                <w:sz w:val="34"/>
                <w:szCs w:val="34"/>
              </w:rPr>
              <w:t>'</w:t>
            </w:r>
            <w:r w:rsidRPr="00D9146A">
              <w:rPr>
                <w:rFonts w:cstheme="minorHAnsi"/>
                <w:color w:val="000000"/>
                <w:sz w:val="34"/>
                <w:szCs w:val="34"/>
              </w:rPr>
              <w:t>Australie</w:t>
            </w:r>
          </w:p>
        </w:tc>
      </w:tr>
      <w:tr w:rsidR="00D72F49" w:rsidRPr="00D9146A" w14:paraId="65E7E3D8" w14:textId="77777777" w:rsidTr="00D72F49">
        <w:trPr>
          <w:cantSplit/>
        </w:trPr>
        <w:tc>
          <w:tcPr>
            <w:tcW w:w="9214" w:type="dxa"/>
            <w:gridSpan w:val="2"/>
            <w:tcMar>
              <w:left w:w="0" w:type="dxa"/>
            </w:tcMar>
          </w:tcPr>
          <w:p w14:paraId="370F6D7B" w14:textId="3C6DA32F" w:rsidR="00D72F49" w:rsidRPr="00D9146A" w:rsidRDefault="001E6105" w:rsidP="001E6105">
            <w:pPr>
              <w:pStyle w:val="Subtitle"/>
              <w:framePr w:hSpace="0" w:wrap="auto" w:hAnchor="text" w:xAlign="left" w:yAlign="inline"/>
              <w:rPr>
                <w:lang w:val="fr-FR"/>
              </w:rPr>
            </w:pPr>
            <w:r w:rsidRPr="00D9146A">
              <w:rPr>
                <w:rFonts w:cstheme="minorHAnsi"/>
                <w:lang w:val="fr-FR"/>
              </w:rPr>
              <w:t>AMÉLIORER LA TRANSPARENCE DES M</w:t>
            </w:r>
            <w:r w:rsidR="00D9146A">
              <w:rPr>
                <w:rFonts w:cstheme="minorHAnsi"/>
                <w:lang w:val="fr-FR"/>
              </w:rPr>
              <w:t>É</w:t>
            </w:r>
            <w:r w:rsidRPr="00D9146A">
              <w:rPr>
                <w:rFonts w:cstheme="minorHAnsi"/>
                <w:lang w:val="fr-FR"/>
              </w:rPr>
              <w:t>MORANDUMS D</w:t>
            </w:r>
            <w:r w:rsidR="00D9146A" w:rsidRPr="00D9146A">
              <w:rPr>
                <w:rFonts w:cstheme="minorHAnsi"/>
                <w:lang w:val="fr-FR"/>
              </w:rPr>
              <w:t>'</w:t>
            </w:r>
            <w:r w:rsidRPr="00D9146A">
              <w:rPr>
                <w:rFonts w:cstheme="minorHAnsi"/>
                <w:lang w:val="fr-FR"/>
              </w:rPr>
              <w:t>ACCORD</w:t>
            </w:r>
          </w:p>
        </w:tc>
      </w:tr>
      <w:tr w:rsidR="00D72F49" w:rsidRPr="00D9146A"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1C4A527C" w:rsidR="00D72F49" w:rsidRPr="00D9146A" w:rsidRDefault="00F37FE5" w:rsidP="001E6105">
            <w:pPr>
              <w:spacing w:before="160"/>
              <w:rPr>
                <w:b/>
                <w:bCs/>
                <w:sz w:val="26"/>
                <w:szCs w:val="26"/>
              </w:rPr>
            </w:pPr>
            <w:r w:rsidRPr="00D9146A">
              <w:rPr>
                <w:b/>
                <w:bCs/>
                <w:sz w:val="26"/>
                <w:szCs w:val="26"/>
              </w:rPr>
              <w:t>Objet</w:t>
            </w:r>
          </w:p>
          <w:p w14:paraId="45E55FB2" w14:textId="43BEDF0B" w:rsidR="00D72F49" w:rsidRPr="00D9146A" w:rsidRDefault="001E6105" w:rsidP="001E6105">
            <w:r w:rsidRPr="00D9146A">
              <w:t>Dans la présente contribution, il est recommandé que l</w:t>
            </w:r>
            <w:r w:rsidR="00D9146A" w:rsidRPr="00D9146A">
              <w:t>'</w:t>
            </w:r>
            <w:r w:rsidRPr="00D9146A">
              <w:t>UIT prenne des mesures afin de poursuivre la dynamique engagée pour accroître la transparence et la respons</w:t>
            </w:r>
            <w:r w:rsidR="000D1F70">
              <w:t xml:space="preserve">abilité en ce qui concerne les </w:t>
            </w:r>
            <w:r w:rsidR="00D9574A">
              <w:t>m</w:t>
            </w:r>
            <w:r w:rsidRPr="00D9146A">
              <w:t>émorandums d</w:t>
            </w:r>
            <w:r w:rsidR="00D9146A" w:rsidRPr="00D9146A">
              <w:t>'</w:t>
            </w:r>
            <w:r w:rsidRPr="00D9146A">
              <w:t>accord, conformément aux décisions de la PP-18 et de la PP-22.</w:t>
            </w:r>
          </w:p>
          <w:p w14:paraId="0B950982" w14:textId="77777777" w:rsidR="00D72F49" w:rsidRPr="00D9146A" w:rsidRDefault="00D72F49" w:rsidP="001E6105">
            <w:pPr>
              <w:spacing w:before="160"/>
              <w:rPr>
                <w:b/>
                <w:bCs/>
                <w:sz w:val="26"/>
                <w:szCs w:val="26"/>
              </w:rPr>
            </w:pPr>
            <w:r w:rsidRPr="00D9146A">
              <w:rPr>
                <w:b/>
                <w:bCs/>
                <w:sz w:val="26"/>
                <w:szCs w:val="26"/>
              </w:rPr>
              <w:t>Suite à donner par le Conseil</w:t>
            </w:r>
          </w:p>
          <w:p w14:paraId="1476D7E3" w14:textId="287BF9F1" w:rsidR="00D72F49" w:rsidRPr="00D9146A" w:rsidRDefault="001E6105" w:rsidP="001E6105">
            <w:pPr>
              <w:rPr>
                <w:b/>
                <w:bCs/>
                <w:sz w:val="26"/>
                <w:szCs w:val="26"/>
              </w:rPr>
            </w:pPr>
            <w:r w:rsidRPr="00D9146A">
              <w:t xml:space="preserve">Ce document est soumis </w:t>
            </w:r>
            <w:r w:rsidRPr="008D10E3">
              <w:rPr>
                <w:b/>
                <w:bCs/>
              </w:rPr>
              <w:t>pour examen par le Conseil</w:t>
            </w:r>
            <w:r w:rsidRPr="00D9146A">
              <w:t xml:space="preserve">. Le Conseil est invité à </w:t>
            </w:r>
            <w:r w:rsidRPr="008D10E3">
              <w:rPr>
                <w:b/>
                <w:bCs/>
              </w:rPr>
              <w:t>formuler des orientations</w:t>
            </w:r>
            <w:r w:rsidRPr="00D9146A">
              <w:t xml:space="preserve"> sur la proposition.</w:t>
            </w:r>
          </w:p>
          <w:p w14:paraId="2E44E753" w14:textId="77777777" w:rsidR="00D72F49" w:rsidRPr="00D9146A" w:rsidRDefault="00D72F49" w:rsidP="001E6105">
            <w:pPr>
              <w:spacing w:before="160"/>
              <w:rPr>
                <w:caps/>
                <w:sz w:val="22"/>
              </w:rPr>
            </w:pPr>
            <w:r w:rsidRPr="00D9146A">
              <w:rPr>
                <w:sz w:val="22"/>
              </w:rPr>
              <w:t>__________________</w:t>
            </w:r>
          </w:p>
          <w:p w14:paraId="246B160C" w14:textId="77777777" w:rsidR="00D72F49" w:rsidRPr="00D9146A" w:rsidRDefault="00D72F49" w:rsidP="001E6105">
            <w:pPr>
              <w:spacing w:before="160"/>
              <w:rPr>
                <w:b/>
                <w:bCs/>
                <w:sz w:val="26"/>
                <w:szCs w:val="26"/>
              </w:rPr>
            </w:pPr>
            <w:r w:rsidRPr="00D9146A">
              <w:rPr>
                <w:b/>
                <w:bCs/>
                <w:sz w:val="26"/>
                <w:szCs w:val="26"/>
              </w:rPr>
              <w:t>Références</w:t>
            </w:r>
          </w:p>
          <w:p w14:paraId="28FD0B74" w14:textId="36F5D6F7" w:rsidR="00110A24" w:rsidRPr="00D9146A" w:rsidRDefault="00110A24" w:rsidP="001E6105">
            <w:pPr>
              <w:pStyle w:val="enumlev1"/>
            </w:pPr>
            <w:r w:rsidRPr="00D9146A">
              <w:t>–</w:t>
            </w:r>
            <w:r w:rsidRPr="00D9146A">
              <w:tab/>
            </w:r>
            <w:r w:rsidR="001E6105" w:rsidRPr="00D9146A">
              <w:t>Déc</w:t>
            </w:r>
            <w:r w:rsidR="000D1F70">
              <w:t xml:space="preserve">ision de la PP-18 relative aux </w:t>
            </w:r>
            <w:r w:rsidR="00D9574A">
              <w:t>mémorandums</w:t>
            </w:r>
            <w:r w:rsidR="001E6105" w:rsidRPr="00D9146A">
              <w:t xml:space="preserve"> d</w:t>
            </w:r>
            <w:r w:rsidR="00D9146A" w:rsidRPr="00D9146A">
              <w:t>'</w:t>
            </w:r>
            <w:r w:rsidR="001E6105" w:rsidRPr="00D9146A">
              <w:t xml:space="preserve">accord, point 2.13 du </w:t>
            </w:r>
            <w:hyperlink r:id="rId6" w:history="1">
              <w:r w:rsidRPr="00D9146A">
                <w:rPr>
                  <w:rStyle w:val="Hyperlink"/>
                </w:rPr>
                <w:t>Document</w:t>
              </w:r>
              <w:r w:rsidR="001E6105" w:rsidRPr="00D9146A">
                <w:rPr>
                  <w:rStyle w:val="Hyperlink"/>
                </w:rPr>
                <w:t> </w:t>
              </w:r>
              <w:r w:rsidRPr="00D9146A">
                <w:rPr>
                  <w:rStyle w:val="Hyperlink"/>
                </w:rPr>
                <w:t>PP</w:t>
              </w:r>
              <w:r w:rsidR="001E6105" w:rsidRPr="00D9146A">
                <w:rPr>
                  <w:rStyle w:val="Hyperlink"/>
                </w:rPr>
                <w:noBreakHyphen/>
              </w:r>
              <w:r w:rsidRPr="00D9146A">
                <w:rPr>
                  <w:rStyle w:val="Hyperlink"/>
                </w:rPr>
                <w:t>18/173</w:t>
              </w:r>
            </w:hyperlink>
          </w:p>
          <w:p w14:paraId="4CD97871" w14:textId="651C437D" w:rsidR="00110A24" w:rsidRPr="00D9146A" w:rsidRDefault="00110A24" w:rsidP="001E6105">
            <w:pPr>
              <w:pStyle w:val="enumlev1"/>
            </w:pPr>
            <w:r w:rsidRPr="00D9146A">
              <w:t>–</w:t>
            </w:r>
            <w:r w:rsidRPr="00D9146A">
              <w:tab/>
            </w:r>
            <w:r w:rsidR="001E6105" w:rsidRPr="00D9146A">
              <w:t>Confirmation de la décision de la PP-18 lors de la PP-22 (</w:t>
            </w:r>
            <w:r w:rsidR="008D10E3">
              <w:t>R</w:t>
            </w:r>
            <w:r w:rsidR="001E6105" w:rsidRPr="00D9146A">
              <w:t xml:space="preserve">ecommandation 3 du </w:t>
            </w:r>
            <w:hyperlink r:id="rId7" w:history="1">
              <w:r w:rsidR="001E6105" w:rsidRPr="00D9146A">
                <w:rPr>
                  <w:rStyle w:val="Hyperlink"/>
                </w:rPr>
                <w:t>Rapport de la Présidente de Commission 5 à la plénière (Document PP-22/189)</w:t>
              </w:r>
            </w:hyperlink>
            <w:r w:rsidR="001E6105" w:rsidRPr="00D9146A">
              <w:t xml:space="preserve">, approuvée lors de la 16ème séance plénière, point 3.9 du </w:t>
            </w:r>
            <w:hyperlink r:id="rId8" w:history="1">
              <w:r w:rsidR="001E6105" w:rsidRPr="008D10E3">
                <w:rPr>
                  <w:rStyle w:val="Hyperlink"/>
                </w:rPr>
                <w:t>Document PP-22/206</w:t>
              </w:r>
            </w:hyperlink>
            <w:r w:rsidR="001E6105" w:rsidRPr="00D9146A">
              <w:t>)</w:t>
            </w:r>
          </w:p>
          <w:p w14:paraId="2C84D550" w14:textId="1F3691D9" w:rsidR="00110A24" w:rsidRPr="00D9146A" w:rsidRDefault="00110A24" w:rsidP="001E6105">
            <w:pPr>
              <w:pStyle w:val="enumlev1"/>
            </w:pPr>
            <w:r w:rsidRPr="00D9146A">
              <w:t>–</w:t>
            </w:r>
            <w:r w:rsidRPr="00D9146A">
              <w:tab/>
            </w:r>
            <w:hyperlink r:id="rId9" w:history="1">
              <w:r w:rsidR="00D9146A" w:rsidRPr="00D9146A">
                <w:rPr>
                  <w:rStyle w:val="Hyperlink"/>
                </w:rPr>
                <w:t xml:space="preserve">Tableau de bord sur les </w:t>
              </w:r>
              <w:r w:rsidR="00D9574A">
                <w:rPr>
                  <w:rStyle w:val="Hyperlink"/>
                </w:rPr>
                <w:t>m</w:t>
              </w:r>
              <w:r w:rsidR="00D9146A" w:rsidRPr="00D9146A">
                <w:rPr>
                  <w:rStyle w:val="Hyperlink"/>
                </w:rPr>
                <w:t>émorandums d'accord de l'UIT</w:t>
              </w:r>
            </w:hyperlink>
          </w:p>
          <w:p w14:paraId="3B399B5C" w14:textId="62F6EB05" w:rsidR="00110A24" w:rsidRPr="00D9146A" w:rsidRDefault="00110A24" w:rsidP="00D9146A">
            <w:pPr>
              <w:pStyle w:val="enumlev1"/>
              <w:spacing w:after="120"/>
            </w:pPr>
            <w:r w:rsidRPr="00D9146A">
              <w:t>–</w:t>
            </w:r>
            <w:r w:rsidRPr="00D9146A">
              <w:tab/>
            </w:r>
            <w:r w:rsidR="00D9146A" w:rsidRPr="00D9146A">
              <w:t>Rapp</w:t>
            </w:r>
            <w:r w:rsidR="000D1F70">
              <w:t xml:space="preserve">ort de 2021 du Conseil sur </w:t>
            </w:r>
            <w:r w:rsidR="00D9574A">
              <w:t>les m</w:t>
            </w:r>
            <w:r w:rsidR="00D9146A" w:rsidRPr="00D9146A">
              <w:t xml:space="preserve">émorandums d'accord, </w:t>
            </w:r>
            <w:hyperlink r:id="rId10" w:history="1">
              <w:r w:rsidR="00D9146A" w:rsidRPr="00D9146A">
                <w:rPr>
                  <w:rStyle w:val="Hyperlink"/>
                </w:rPr>
                <w:t>Document C21/45</w:t>
              </w:r>
            </w:hyperlink>
          </w:p>
        </w:tc>
      </w:tr>
    </w:tbl>
    <w:p w14:paraId="3B7150AC" w14:textId="77777777" w:rsidR="00A51849" w:rsidRPr="00D9146A" w:rsidRDefault="00A51849" w:rsidP="001E6105">
      <w:pPr>
        <w:tabs>
          <w:tab w:val="clear" w:pos="567"/>
          <w:tab w:val="clear" w:pos="1134"/>
          <w:tab w:val="clear" w:pos="1701"/>
          <w:tab w:val="clear" w:pos="2268"/>
          <w:tab w:val="clear" w:pos="2835"/>
        </w:tabs>
        <w:overflowPunct/>
        <w:autoSpaceDE/>
        <w:autoSpaceDN/>
        <w:adjustRightInd/>
        <w:spacing w:before="0"/>
        <w:textAlignment w:val="auto"/>
      </w:pPr>
      <w:r w:rsidRPr="00D9146A">
        <w:br w:type="page"/>
      </w:r>
    </w:p>
    <w:p w14:paraId="0E3A4597" w14:textId="77777777" w:rsidR="00110A24" w:rsidRPr="00D9146A" w:rsidRDefault="00110A24" w:rsidP="001E6105">
      <w:pPr>
        <w:pStyle w:val="Headingb"/>
      </w:pPr>
      <w:r w:rsidRPr="00D9146A">
        <w:lastRenderedPageBreak/>
        <w:t>Introduction</w:t>
      </w:r>
    </w:p>
    <w:p w14:paraId="61670A66" w14:textId="54C4EEF8" w:rsidR="00D9146A" w:rsidRPr="00D9146A" w:rsidRDefault="00D9146A" w:rsidP="00D9574A">
      <w:r w:rsidRPr="00D9146A">
        <w:t>La transparence est un facteur de responsabilité et contribue à renforcer la connaissance et la confiance des Membres en ce qui concerne les activités de l'UIT. Grâce à des</w:t>
      </w:r>
      <w:r w:rsidR="00D9574A">
        <w:t xml:space="preserve"> rapports transparents sur les m</w:t>
      </w:r>
      <w:r w:rsidRPr="00D9146A">
        <w:t>émorandums d'accord, les Membres de l'UIT sont mieux informés et mieux placés pour formuler des idées qui contribuent à l'efficacité de l'UIT. Cela les met aussi en confiance quant au fait que leurs contributions financières aident à mobiliser des ressources qui contribuent à la réalisation de la mission de l'UIT – connecter le monde.</w:t>
      </w:r>
    </w:p>
    <w:p w14:paraId="4906D5C1" w14:textId="39323069" w:rsidR="00D9146A" w:rsidRPr="00D9146A" w:rsidRDefault="00D9146A" w:rsidP="00D9146A">
      <w:r w:rsidRPr="00D9146A">
        <w:t>À l'issue de discussions approfondies sur l'améli</w:t>
      </w:r>
      <w:r w:rsidR="00D9574A">
        <w:t>oration de la transparence des m</w:t>
      </w:r>
      <w:r w:rsidRPr="00D9146A">
        <w:t xml:space="preserve">émorandums d'accord de l'UIT lors de la PP-22, la Conférence a réaffirmé la décision de la PP-18 (point 2.13 du </w:t>
      </w:r>
      <w:hyperlink r:id="rId11" w:history="1">
        <w:r w:rsidRPr="00D9146A">
          <w:rPr>
            <w:rStyle w:val="Hyperlink"/>
          </w:rPr>
          <w:t>Document PP-18/173</w:t>
        </w:r>
      </w:hyperlink>
      <w:r w:rsidRPr="00D9146A">
        <w:t>), selon laquelle le Secrétaire général soumettra au Conseil à sa session ordinaire, p</w:t>
      </w:r>
      <w:r w:rsidR="00D9574A">
        <w:t>our approbation préalable, les m</w:t>
      </w:r>
      <w:r w:rsidRPr="00D9146A">
        <w:t>émorandums d'accord qui ont des incidences financières ou stratégiq</w:t>
      </w:r>
      <w:r w:rsidR="00D9574A">
        <w:t>ues importantes; et les autres m</w:t>
      </w:r>
      <w:r w:rsidRPr="00D9146A">
        <w:t>émorandums d'accord (ayant des incidences moindres) devront continuer à être communiqués au Conseil (lors de la PP</w:t>
      </w:r>
      <w:r w:rsidR="005C0006">
        <w:t>-</w:t>
      </w:r>
      <w:r w:rsidRPr="00D9146A">
        <w:t xml:space="preserve">22, cet aspect faisait l'objet de la recommandation 3 du </w:t>
      </w:r>
      <w:hyperlink r:id="rId12" w:history="1">
        <w:r w:rsidRPr="00D9146A">
          <w:rPr>
            <w:rStyle w:val="Hyperlink"/>
          </w:rPr>
          <w:t>Rapport de la Présidente de la Commission 5 à la plénière (Document PP-22/189)</w:t>
        </w:r>
      </w:hyperlink>
      <w:r w:rsidRPr="00D9146A">
        <w:t>, approuvée à la</w:t>
      </w:r>
      <w:r w:rsidR="008D10E3">
        <w:t> </w:t>
      </w:r>
      <w:r w:rsidRPr="00D9146A">
        <w:t>16</w:t>
      </w:r>
      <w:r w:rsidRPr="008D10E3">
        <w:t>ème</w:t>
      </w:r>
      <w:r w:rsidR="008D10E3">
        <w:t> </w:t>
      </w:r>
      <w:r w:rsidRPr="00D9146A">
        <w:t xml:space="preserve">séance plénière, au point 3.9 du </w:t>
      </w:r>
      <w:hyperlink r:id="rId13" w:history="1">
        <w:r w:rsidRPr="00D9146A">
          <w:rPr>
            <w:rStyle w:val="Hyperlink"/>
          </w:rPr>
          <w:t>Document PP-22/206</w:t>
        </w:r>
      </w:hyperlink>
      <w:r w:rsidRPr="00D9146A">
        <w:t>).</w:t>
      </w:r>
    </w:p>
    <w:p w14:paraId="264319C4" w14:textId="73D08D94" w:rsidR="00D9146A" w:rsidRPr="00D9146A" w:rsidRDefault="00D9146A" w:rsidP="00D9146A">
      <w:r w:rsidRPr="00D9146A">
        <w:t xml:space="preserve">L'Australie salue les progrès accomplis à ce jour par l'UIT dans le renforcement de la transparence et de la responsabilité, notamment le lancement du </w:t>
      </w:r>
      <w:hyperlink r:id="rId14" w:history="1">
        <w:r w:rsidRPr="00D9146A">
          <w:rPr>
            <w:rStyle w:val="Hyperlink"/>
          </w:rPr>
          <w:t>Ta</w:t>
        </w:r>
        <w:r w:rsidR="00D9574A">
          <w:rPr>
            <w:rStyle w:val="Hyperlink"/>
          </w:rPr>
          <w:t>bleau de bord de l'UIT sur les m</w:t>
        </w:r>
        <w:r w:rsidRPr="00D9146A">
          <w:rPr>
            <w:rStyle w:val="Hyperlink"/>
          </w:rPr>
          <w:t>émorandums d'accord</w:t>
        </w:r>
      </w:hyperlink>
      <w:r w:rsidRPr="00D9146A">
        <w:t>. L'Australie observe également que, depuis la décision de la PP-18:</w:t>
      </w:r>
    </w:p>
    <w:p w14:paraId="77404712" w14:textId="43495E6D" w:rsidR="00D9146A" w:rsidRPr="00D9146A" w:rsidRDefault="00D9146A" w:rsidP="00D9146A">
      <w:pPr>
        <w:pStyle w:val="enumlev1"/>
      </w:pPr>
      <w:r w:rsidRPr="00D9146A">
        <w:t>–</w:t>
      </w:r>
      <w:r w:rsidRPr="00D9146A">
        <w:tab/>
        <w:t>dans les évaluations de l'UIT, aucun mémorandum d'accord n'a été considéré comme ayant des incidences stratégiques ou financières importantes (de fait, aucun mémorandum d'accord n'a été soumis au Conseil pour approbation);</w:t>
      </w:r>
    </w:p>
    <w:p w14:paraId="77F379B1" w14:textId="5B8FA7CF" w:rsidR="00D9146A" w:rsidRPr="00D9146A" w:rsidRDefault="00D9146A" w:rsidP="00D9146A">
      <w:pPr>
        <w:pStyle w:val="enumlev1"/>
      </w:pPr>
      <w:r w:rsidRPr="00D9146A">
        <w:t>–</w:t>
      </w:r>
      <w:r w:rsidRPr="00D9146A">
        <w:tab/>
        <w:t>un certain nombre de mémorandums d'accord semblent ne pas avoir été soumis au</w:t>
      </w:r>
      <w:r w:rsidR="008D10E3">
        <w:t> </w:t>
      </w:r>
      <w:r w:rsidRPr="00D9146A">
        <w:t>Conseil, peut-être du fait qu'ils ne portent pas ce titre précis (et s'intitulent au lieu de cela, par exemple, "mémorandum de coopération" ou "protocole d'accord").</w:t>
      </w:r>
    </w:p>
    <w:p w14:paraId="379EEE51" w14:textId="517EC306" w:rsidR="00110A24" w:rsidRPr="00D9146A" w:rsidRDefault="00D9146A" w:rsidP="00D9146A">
      <w:r w:rsidRPr="00D9146A">
        <w:t>Dans la présente contribution, l'Australie propose de prochaines étapes possibles pour poursuivre la dynamique engagée par l'UIT vers une plus grande transparence.</w:t>
      </w:r>
    </w:p>
    <w:p w14:paraId="672969D2" w14:textId="1F8CA07D" w:rsidR="00110A24" w:rsidRPr="00D9146A" w:rsidRDefault="00110A24" w:rsidP="001E6105">
      <w:pPr>
        <w:pStyle w:val="Headingb"/>
      </w:pPr>
      <w:r w:rsidRPr="00D9146A">
        <w:t>Propos</w:t>
      </w:r>
      <w:r w:rsidR="00D9146A" w:rsidRPr="00D9146A">
        <w:t>ition</w:t>
      </w:r>
    </w:p>
    <w:p w14:paraId="01198785" w14:textId="499C1815" w:rsidR="00D9146A" w:rsidRPr="00D9146A" w:rsidRDefault="00D9146A" w:rsidP="00D9146A">
      <w:r w:rsidRPr="00D9146A">
        <w:t>L'Australie propose que le Secrétariat de l'UIT communique au Conseil, pour examen, les critères qu'il utilise pour déterminer si un mémorandum d'accord a des incidences stratégiques et/ou financières importantes. Il sera ainsi possible d'avoir une compréhension mutuelle concernant les mémorandums d'accord à soumettre au Conseil pour approbation préalable.</w:t>
      </w:r>
    </w:p>
    <w:p w14:paraId="4B70A333" w14:textId="77777777" w:rsidR="00D9146A" w:rsidRPr="00D9146A" w:rsidRDefault="00D9146A" w:rsidP="00D9146A">
      <w:r w:rsidRPr="00D9146A">
        <w:t>L'Australie propose en outre que le Secrétariat de l'UIT actualise le tableau de bord des mémorandums d'accord, dans le but:</w:t>
      </w:r>
    </w:p>
    <w:p w14:paraId="3B31C9F9" w14:textId="67D8BCF7" w:rsidR="00D9146A" w:rsidRPr="00D9146A" w:rsidRDefault="00D9574A" w:rsidP="00D9146A">
      <w:pPr>
        <w:pStyle w:val="enumlev1"/>
      </w:pPr>
      <w:r>
        <w:t>•</w:t>
      </w:r>
      <w:r w:rsidR="00D9146A" w:rsidRPr="00D9146A">
        <w:tab/>
        <w:t>d'en revoir la présentation, pour qu'il puisse servir d'outil d'analyse utile. Ainsi, il pourrait être présenté sous la forme de tableau à en-têtes, où chaque mémorandum d'accord ferait l'objet d'une ligne distincte:</w:t>
      </w:r>
    </w:p>
    <w:p w14:paraId="001E30B9" w14:textId="1C14400B" w:rsidR="00D9146A" w:rsidRPr="00D9146A" w:rsidRDefault="00D9574A" w:rsidP="00D9146A">
      <w:pPr>
        <w:pStyle w:val="enumlev2"/>
      </w:pPr>
      <w:r>
        <w:t>–</w:t>
      </w:r>
      <w:r w:rsidR="00D9146A" w:rsidRPr="00D9146A">
        <w:tab/>
        <w:t xml:space="preserve">L'UIT a déjà utilisé des en-têtes, qui pourraient être rétablis. Ces en-têtes sont notamment les suivants: </w:t>
      </w:r>
      <w:r w:rsidR="00D9146A">
        <w:t>p</w:t>
      </w:r>
      <w:r w:rsidR="00D9146A" w:rsidRPr="00D9146A">
        <w:t xml:space="preserve">artenaire(s); </w:t>
      </w:r>
      <w:r w:rsidR="00D9146A">
        <w:t>o</w:t>
      </w:r>
      <w:r w:rsidR="00D9146A" w:rsidRPr="00D9146A">
        <w:t xml:space="preserve">bjet; </w:t>
      </w:r>
      <w:r w:rsidR="00D9146A">
        <w:t>d</w:t>
      </w:r>
      <w:r w:rsidR="00D9146A" w:rsidRPr="00D9146A">
        <w:t xml:space="preserve">ate de signature; </w:t>
      </w:r>
      <w:r w:rsidR="00D9146A">
        <w:t>c</w:t>
      </w:r>
      <w:r w:rsidR="00D9146A" w:rsidRPr="00D9146A">
        <w:t xml:space="preserve">oordonnateur à l'UIT (voir le rapport soumis à la session de 2021 du Conseil, </w:t>
      </w:r>
      <w:hyperlink r:id="rId15" w:history="1">
        <w:r w:rsidR="00D9146A" w:rsidRPr="00D9146A">
          <w:rPr>
            <w:rStyle w:val="Hyperlink"/>
          </w:rPr>
          <w:t>Document C21/45</w:t>
        </w:r>
      </w:hyperlink>
      <w:r w:rsidR="00D9146A" w:rsidRPr="00D9146A">
        <w:t>).</w:t>
      </w:r>
    </w:p>
    <w:p w14:paraId="213FE5D4" w14:textId="6255D761" w:rsidR="00D9146A" w:rsidRPr="00D9146A" w:rsidRDefault="00D9574A" w:rsidP="00D9146A">
      <w:pPr>
        <w:pStyle w:val="enumlev2"/>
      </w:pPr>
      <w:r>
        <w:lastRenderedPageBreak/>
        <w:t>–</w:t>
      </w:r>
      <w:r w:rsidR="00D9146A" w:rsidRPr="00D9146A">
        <w:tab/>
        <w:t>Les autres en-têtes suivants peuvent aussi être utiles: date de fin; état d'avancement des activités menées au titre du mémorandum d'accord; ressources financières et/ou autres ressources fournies par l'UIT pour s'acquitter de ses obligations au titre du mémorandum d'accord; incidences/résultats escomptés.</w:t>
      </w:r>
    </w:p>
    <w:p w14:paraId="047EB456" w14:textId="2B7596FB" w:rsidR="00110A24" w:rsidRDefault="00D9574A" w:rsidP="00D9146A">
      <w:pPr>
        <w:pStyle w:val="enumlev1"/>
      </w:pPr>
      <w:r>
        <w:t>•</w:t>
      </w:r>
      <w:r w:rsidR="00D9146A" w:rsidRPr="00D9146A">
        <w:tab/>
        <w:t>de veiller à ce qu'il rende compte de tous les mémorandums d'accord, selon l'esprit de la décision de la PP-18, réaffirmée par la PP</w:t>
      </w:r>
      <w:r w:rsidR="005C0006">
        <w:t>-</w:t>
      </w:r>
      <w:r w:rsidR="00D9146A" w:rsidRPr="00D9146A">
        <w:t>22, y compris les mémorandums d'accord portant d'autres intitulés, dont les accords de partenariat; les accords de collaboration; les mémorandums de coopération; les accords de contribution volontaire des États Membres; et les accords destinés à des initiatives de développement plurirégionales, régionales ou nationales.</w:t>
      </w:r>
    </w:p>
    <w:p w14:paraId="592DD780" w14:textId="77777777" w:rsidR="00D9574A" w:rsidRPr="00D9146A" w:rsidRDefault="00D9574A" w:rsidP="00D9146A">
      <w:pPr>
        <w:pStyle w:val="enumlev1"/>
      </w:pPr>
    </w:p>
    <w:p w14:paraId="0AC00B50" w14:textId="5F9C8645" w:rsidR="00110A24" w:rsidRPr="00D9146A" w:rsidRDefault="00110A24" w:rsidP="001E6105">
      <w:pPr>
        <w:jc w:val="center"/>
      </w:pPr>
      <w:r w:rsidRPr="00D9146A">
        <w:t>______________</w:t>
      </w:r>
    </w:p>
    <w:sectPr w:rsidR="00110A24" w:rsidRPr="00D9146A" w:rsidSect="00D72F49">
      <w:headerReference w:type="even" r:id="rId16"/>
      <w:footerReference w:type="even" r:id="rId17"/>
      <w:footerReference w:type="default" r:id="rId18"/>
      <w:headerReference w:type="first" r:id="rId19"/>
      <w:footerReference w:type="first" r:id="rId2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1102EBDC" w:rsidR="00732045" w:rsidRDefault="00FC502C">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176E32">
      <w:t>04.07.23</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5FFB9FD3" w:rsidR="00A51849" w:rsidRDefault="00A51849" w:rsidP="00A51849">
          <w:pPr>
            <w:pStyle w:val="Header"/>
            <w:jc w:val="left"/>
            <w:rPr>
              <w:noProof/>
            </w:rPr>
          </w:pPr>
          <w:r>
            <w:rPr>
              <w:noProof/>
            </w:rPr>
            <w:t xml:space="preserve">DPS </w:t>
          </w:r>
          <w:r w:rsidR="00110A24">
            <w:rPr>
              <w:noProof/>
            </w:rPr>
            <w:t>525317</w:t>
          </w:r>
        </w:p>
      </w:tc>
      <w:tc>
        <w:tcPr>
          <w:tcW w:w="8261" w:type="dxa"/>
        </w:tcPr>
        <w:p w14:paraId="0DB0A3C6" w14:textId="2D9EB5CD"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3736A">
            <w:rPr>
              <w:bCs/>
            </w:rPr>
            <w:t>69</w:t>
          </w:r>
          <w:r w:rsidRPr="00623AE3">
            <w:rPr>
              <w:bCs/>
            </w:rPr>
            <w:t>-</w:t>
          </w:r>
          <w:r w:rsidR="00973F53">
            <w:rPr>
              <w:bCs/>
            </w:rPr>
            <w:t>F</w:t>
          </w:r>
          <w:r>
            <w:rPr>
              <w:bCs/>
            </w:rPr>
            <w:tab/>
          </w:r>
          <w:r>
            <w:fldChar w:fldCharType="begin"/>
          </w:r>
          <w:r>
            <w:instrText>PAGE</w:instrText>
          </w:r>
          <w:r>
            <w:fldChar w:fldCharType="separate"/>
          </w:r>
          <w:r w:rsidR="00FC502C">
            <w:rPr>
              <w:noProof/>
            </w:rPr>
            <w:t>3</w:t>
          </w:r>
          <w:r>
            <w:rPr>
              <w:noProof/>
            </w:rPr>
            <w:fldChar w:fldCharType="end"/>
          </w:r>
        </w:p>
      </w:tc>
    </w:tr>
  </w:tbl>
  <w:p w14:paraId="0BA722AB" w14:textId="76217201" w:rsidR="00732045" w:rsidRPr="00A51849" w:rsidRDefault="00C411D6" w:rsidP="000D1F70">
    <w:pPr>
      <w:pStyle w:val="Footer"/>
      <w:spacing w:before="120"/>
    </w:pPr>
    <w:r w:rsidRPr="00BB7CA7">
      <w:rPr>
        <w:color w:val="F2F2F2" w:themeColor="background1" w:themeShade="F2"/>
      </w:rPr>
      <w:fldChar w:fldCharType="begin"/>
    </w:r>
    <w:r w:rsidRPr="00BB7CA7">
      <w:rPr>
        <w:color w:val="F2F2F2" w:themeColor="background1" w:themeShade="F2"/>
      </w:rPr>
      <w:instrText xml:space="preserve"> FILENAME \p  \* MERGEFORMAT </w:instrText>
    </w:r>
    <w:r w:rsidRPr="00BB7CA7">
      <w:rPr>
        <w:color w:val="F2F2F2" w:themeColor="background1" w:themeShade="F2"/>
      </w:rPr>
      <w:fldChar w:fldCharType="separate"/>
    </w:r>
    <w:r w:rsidR="00D9146A" w:rsidRPr="00BB7CA7">
      <w:rPr>
        <w:color w:val="F2F2F2" w:themeColor="background1" w:themeShade="F2"/>
      </w:rPr>
      <w:t>P:\FRA\SG\CONSEIL\C23\000\069F.docx</w:t>
    </w:r>
    <w:r w:rsidRPr="00BB7CA7">
      <w:rPr>
        <w:color w:val="F2F2F2" w:themeColor="background1" w:themeShade="F2"/>
      </w:rPr>
      <w:fldChar w:fldCharType="end"/>
    </w:r>
    <w:r w:rsidR="00110A24" w:rsidRPr="00BB7CA7">
      <w:rPr>
        <w:color w:val="F2F2F2" w:themeColor="background1" w:themeShade="F2"/>
      </w:rPr>
      <w:t xml:space="preserve"> (525317)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C411D6"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56505155"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10A24">
            <w:rPr>
              <w:bCs/>
            </w:rPr>
            <w:t>69</w:t>
          </w:r>
          <w:r w:rsidRPr="00623AE3">
            <w:rPr>
              <w:bCs/>
            </w:rPr>
            <w:t>-</w:t>
          </w:r>
          <w:r w:rsidR="00D72F49">
            <w:rPr>
              <w:bCs/>
            </w:rPr>
            <w:t>F</w:t>
          </w:r>
          <w:r>
            <w:rPr>
              <w:bCs/>
            </w:rPr>
            <w:tab/>
          </w:r>
          <w:r>
            <w:fldChar w:fldCharType="begin"/>
          </w:r>
          <w:r>
            <w:instrText>PAGE</w:instrText>
          </w:r>
          <w:r>
            <w:fldChar w:fldCharType="separate"/>
          </w:r>
          <w:r w:rsidR="00FC502C">
            <w:rPr>
              <w:noProof/>
            </w:rPr>
            <w:t>1</w:t>
          </w:r>
          <w:r>
            <w:rPr>
              <w:noProof/>
            </w:rPr>
            <w:fldChar w:fldCharType="end"/>
          </w:r>
        </w:p>
      </w:tc>
    </w:tr>
  </w:tbl>
  <w:bookmarkStart w:id="0" w:name="_Hlk138775713"/>
  <w:p w14:paraId="67CF33E3" w14:textId="5F9AA1D7" w:rsidR="00732045" w:rsidRPr="00A51849" w:rsidRDefault="00110A24" w:rsidP="000D1F70">
    <w:pPr>
      <w:pStyle w:val="Footer"/>
      <w:spacing w:before="120"/>
    </w:pPr>
    <w:r w:rsidRPr="00BB7CA7">
      <w:rPr>
        <w:color w:val="F2F2F2" w:themeColor="background1" w:themeShade="F2"/>
      </w:rPr>
      <w:fldChar w:fldCharType="begin"/>
    </w:r>
    <w:r w:rsidRPr="00BB7CA7">
      <w:rPr>
        <w:color w:val="F2F2F2" w:themeColor="background1" w:themeShade="F2"/>
      </w:rPr>
      <w:instrText xml:space="preserve"> FILENAME \p  \* MERGEFORMAT </w:instrText>
    </w:r>
    <w:r w:rsidRPr="00BB7CA7">
      <w:rPr>
        <w:color w:val="F2F2F2" w:themeColor="background1" w:themeShade="F2"/>
      </w:rPr>
      <w:fldChar w:fldCharType="separate"/>
    </w:r>
    <w:r w:rsidR="00D9146A" w:rsidRPr="00BB7CA7">
      <w:rPr>
        <w:color w:val="F2F2F2" w:themeColor="background1" w:themeShade="F2"/>
      </w:rPr>
      <w:t>P:\FRA\SG\CONSEIL\C23\000\069F.docx</w:t>
    </w:r>
    <w:r w:rsidRPr="00BB7CA7">
      <w:rPr>
        <w:color w:val="F2F2F2" w:themeColor="background1" w:themeShade="F2"/>
      </w:rPr>
      <w:fldChar w:fldCharType="end"/>
    </w:r>
    <w:r w:rsidRPr="00BB7CA7">
      <w:rPr>
        <w:color w:val="F2F2F2" w:themeColor="background1" w:themeShade="F2"/>
      </w:rPr>
      <w:t xml:space="preserve"> (525317)</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lang w:val="en-US"/>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fr-FR" w:vendorID="64" w:dllVersion="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76A2C"/>
    <w:rsid w:val="000D0D0A"/>
    <w:rsid w:val="000D1F70"/>
    <w:rsid w:val="00103163"/>
    <w:rsid w:val="001039FF"/>
    <w:rsid w:val="00106B19"/>
    <w:rsid w:val="00110A24"/>
    <w:rsid w:val="00115D93"/>
    <w:rsid w:val="001247A8"/>
    <w:rsid w:val="001378C0"/>
    <w:rsid w:val="00176E32"/>
    <w:rsid w:val="0018694A"/>
    <w:rsid w:val="001A3287"/>
    <w:rsid w:val="001A6508"/>
    <w:rsid w:val="001D4C31"/>
    <w:rsid w:val="001E4D21"/>
    <w:rsid w:val="001E6105"/>
    <w:rsid w:val="00207CD1"/>
    <w:rsid w:val="00226657"/>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0006"/>
    <w:rsid w:val="005C3890"/>
    <w:rsid w:val="005F7BFE"/>
    <w:rsid w:val="00600017"/>
    <w:rsid w:val="006235CA"/>
    <w:rsid w:val="006643AB"/>
    <w:rsid w:val="006F0A53"/>
    <w:rsid w:val="007210CD"/>
    <w:rsid w:val="00732045"/>
    <w:rsid w:val="007369DB"/>
    <w:rsid w:val="007956C2"/>
    <w:rsid w:val="007A187E"/>
    <w:rsid w:val="007C72C2"/>
    <w:rsid w:val="007D4436"/>
    <w:rsid w:val="007F257A"/>
    <w:rsid w:val="007F3665"/>
    <w:rsid w:val="00800037"/>
    <w:rsid w:val="0083391C"/>
    <w:rsid w:val="00861D73"/>
    <w:rsid w:val="00897553"/>
    <w:rsid w:val="008A4E87"/>
    <w:rsid w:val="008D10E3"/>
    <w:rsid w:val="008D76E6"/>
    <w:rsid w:val="0092392D"/>
    <w:rsid w:val="0093234A"/>
    <w:rsid w:val="00956A78"/>
    <w:rsid w:val="0097363B"/>
    <w:rsid w:val="00973F53"/>
    <w:rsid w:val="009C307F"/>
    <w:rsid w:val="009C353C"/>
    <w:rsid w:val="00A2113E"/>
    <w:rsid w:val="00A23A51"/>
    <w:rsid w:val="00A24607"/>
    <w:rsid w:val="00A25CD3"/>
    <w:rsid w:val="00A279E4"/>
    <w:rsid w:val="00A51849"/>
    <w:rsid w:val="00A709FE"/>
    <w:rsid w:val="00A73C60"/>
    <w:rsid w:val="00A82767"/>
    <w:rsid w:val="00AA332F"/>
    <w:rsid w:val="00AA7BBB"/>
    <w:rsid w:val="00AB64A8"/>
    <w:rsid w:val="00AC0266"/>
    <w:rsid w:val="00AD24EC"/>
    <w:rsid w:val="00B309F9"/>
    <w:rsid w:val="00B32B60"/>
    <w:rsid w:val="00B3736A"/>
    <w:rsid w:val="00B61619"/>
    <w:rsid w:val="00B918F6"/>
    <w:rsid w:val="00BB4545"/>
    <w:rsid w:val="00BB7CA7"/>
    <w:rsid w:val="00BD5873"/>
    <w:rsid w:val="00C04BE3"/>
    <w:rsid w:val="00C25D29"/>
    <w:rsid w:val="00C27A7C"/>
    <w:rsid w:val="00C411D6"/>
    <w:rsid w:val="00C42437"/>
    <w:rsid w:val="00CA08ED"/>
    <w:rsid w:val="00CA0A94"/>
    <w:rsid w:val="00CF183B"/>
    <w:rsid w:val="00D375CD"/>
    <w:rsid w:val="00D553A2"/>
    <w:rsid w:val="00D72F49"/>
    <w:rsid w:val="00D774D3"/>
    <w:rsid w:val="00D904E8"/>
    <w:rsid w:val="00D9146A"/>
    <w:rsid w:val="00D9574A"/>
    <w:rsid w:val="00DA08C3"/>
    <w:rsid w:val="00DB5A3E"/>
    <w:rsid w:val="00DC22AA"/>
    <w:rsid w:val="00DF74DD"/>
    <w:rsid w:val="00E25AD0"/>
    <w:rsid w:val="00E4428F"/>
    <w:rsid w:val="00E93668"/>
    <w:rsid w:val="00E95647"/>
    <w:rsid w:val="00EB6350"/>
    <w:rsid w:val="00ED4708"/>
    <w:rsid w:val="00F15B57"/>
    <w:rsid w:val="00F35EF4"/>
    <w:rsid w:val="00F37FE5"/>
    <w:rsid w:val="00F427DB"/>
    <w:rsid w:val="00FA5EB1"/>
    <w:rsid w:val="00FA7439"/>
    <w:rsid w:val="00FC4EC0"/>
    <w:rsid w:val="00FC502C"/>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UnresolvedMention1">
    <w:name w:val="Unresolved Mention1"/>
    <w:basedOn w:val="DefaultParagraphFont"/>
    <w:uiPriority w:val="99"/>
    <w:semiHidden/>
    <w:unhideWhenUsed/>
    <w:rsid w:val="00110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PP-C-0206/fr" TargetMode="External"/><Relationship Id="rId13" Type="http://schemas.openxmlformats.org/officeDocument/2006/relationships/hyperlink" Target="https://www.itu.int/md/S22-PP-C-0206/fr"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itu.int/md/S22-PP-C-0189/fr" TargetMode="External"/><Relationship Id="rId12" Type="http://schemas.openxmlformats.org/officeDocument/2006/relationships/hyperlink" Target="https://www.itu.int/md/S22-PP-C-0189/fr"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itu.int/md/S18-PP-C-0173/fr" TargetMode="External"/><Relationship Id="rId11" Type="http://schemas.openxmlformats.org/officeDocument/2006/relationships/hyperlink" Target="https://www.itu.int/md/S18-PP-C-0173/fr" TargetMode="External"/><Relationship Id="rId5" Type="http://schemas.openxmlformats.org/officeDocument/2006/relationships/endnotes" Target="endnotes.xml"/><Relationship Id="rId15" Type="http://schemas.openxmlformats.org/officeDocument/2006/relationships/hyperlink" Target="https://www.itu.int/md/S21-CL-C-0045/fr" TargetMode="External"/><Relationship Id="rId10" Type="http://schemas.openxmlformats.org/officeDocument/2006/relationships/hyperlink" Target="https://www.itu.int/md/S21-CL-C-0045/fr"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itu.int/en/council/dashboard/Pages/Mou.aspx" TargetMode="External"/><Relationship Id="rId14" Type="http://schemas.openxmlformats.org/officeDocument/2006/relationships/hyperlink" Target="https://www.itu.int/en/council/dashboard/Pages/Mou.aspx"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5619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Améliorer la transparence des mémorandums d'accord</dc:title>
  <dc:subject>Conseil 2023</dc:subject>
  <dc:creator>Xue, Kun</dc:creator>
  <cp:keywords>C2023, C23, Council-23</cp:keywords>
  <dc:description/>
  <cp:lastModifiedBy>Xue, Kun</cp:lastModifiedBy>
  <cp:revision>4</cp:revision>
  <cp:lastPrinted>2000-07-18T08:55:00Z</cp:lastPrinted>
  <dcterms:created xsi:type="dcterms:W3CDTF">2023-07-06T18:51:00Z</dcterms:created>
  <dcterms:modified xsi:type="dcterms:W3CDTF">2023-07-06T18:51:00Z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