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2317"/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5A1D1D" w14:paraId="4D1C3EBA" w14:textId="77777777" w:rsidTr="00AA7FF9">
        <w:trPr>
          <w:cantSplit/>
          <w:trHeight w:val="23"/>
          <w:jc w:val="center"/>
        </w:trPr>
        <w:tc>
          <w:tcPr>
            <w:tcW w:w="3969" w:type="dxa"/>
            <w:vMerge w:val="restart"/>
            <w:tcMar>
              <w:left w:w="0" w:type="dxa"/>
            </w:tcMar>
          </w:tcPr>
          <w:p w14:paraId="63094E5F" w14:textId="51AE4A23" w:rsidR="00796BD3" w:rsidRPr="005A1D1D" w:rsidRDefault="0033025A" w:rsidP="00AA7FF9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5A1D1D">
              <w:rPr>
                <w:b/>
                <w:lang w:val="ru-RU"/>
              </w:rPr>
              <w:t>Пункт повестки дня:</w:t>
            </w:r>
            <w:r w:rsidR="006961B7" w:rsidRPr="005A1D1D">
              <w:rPr>
                <w:b/>
                <w:lang w:val="ru-RU"/>
              </w:rPr>
              <w:t xml:space="preserve"> </w:t>
            </w:r>
            <w:r w:rsidR="006961B7" w:rsidRPr="005A1D1D">
              <w:rPr>
                <w:b/>
                <w:lang w:val="ru-RU" w:bidi="ru-RU"/>
              </w:rPr>
              <w:t>ADM 2</w:t>
            </w:r>
          </w:p>
        </w:tc>
        <w:tc>
          <w:tcPr>
            <w:tcW w:w="5245" w:type="dxa"/>
          </w:tcPr>
          <w:p w14:paraId="77107317" w14:textId="5653EA9E" w:rsidR="00796BD3" w:rsidRPr="005A1D1D" w:rsidRDefault="0033025A" w:rsidP="00AA7FF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A1D1D">
              <w:rPr>
                <w:b/>
                <w:lang w:val="ru-RU"/>
              </w:rPr>
              <w:t xml:space="preserve">Документ </w:t>
            </w:r>
            <w:r w:rsidR="00796BD3" w:rsidRPr="005A1D1D">
              <w:rPr>
                <w:b/>
                <w:lang w:val="ru-RU"/>
              </w:rPr>
              <w:t>C23/</w:t>
            </w:r>
            <w:r w:rsidR="006961B7" w:rsidRPr="005A1D1D">
              <w:rPr>
                <w:b/>
                <w:lang w:val="ru-RU"/>
              </w:rPr>
              <w:t>69</w:t>
            </w:r>
            <w:r w:rsidR="00796BD3" w:rsidRPr="005A1D1D">
              <w:rPr>
                <w:b/>
                <w:lang w:val="ru-RU"/>
              </w:rPr>
              <w:t>-R</w:t>
            </w:r>
          </w:p>
        </w:tc>
      </w:tr>
      <w:tr w:rsidR="00796BD3" w:rsidRPr="005A1D1D" w14:paraId="6D20B162" w14:textId="77777777" w:rsidTr="00AA7FF9">
        <w:trPr>
          <w:cantSplit/>
          <w:jc w:val="center"/>
        </w:trPr>
        <w:tc>
          <w:tcPr>
            <w:tcW w:w="3969" w:type="dxa"/>
            <w:vMerge/>
          </w:tcPr>
          <w:p w14:paraId="4F9F4BB2" w14:textId="77777777" w:rsidR="00796BD3" w:rsidRPr="005A1D1D" w:rsidRDefault="00796BD3" w:rsidP="00AA7FF9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27DB9C" w14:textId="2498F215" w:rsidR="00796BD3" w:rsidRPr="005A1D1D" w:rsidRDefault="006961B7" w:rsidP="00AA7FF9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5A1D1D">
              <w:rPr>
                <w:b/>
                <w:lang w:val="ru-RU"/>
              </w:rPr>
              <w:t xml:space="preserve">27 июня </w:t>
            </w:r>
            <w:r w:rsidR="00796BD3" w:rsidRPr="005A1D1D">
              <w:rPr>
                <w:b/>
                <w:lang w:val="ru-RU"/>
              </w:rPr>
              <w:t>2023</w:t>
            </w:r>
            <w:r w:rsidRPr="005A1D1D">
              <w:rPr>
                <w:b/>
                <w:lang w:val="ru-RU"/>
              </w:rPr>
              <w:t xml:space="preserve"> года</w:t>
            </w:r>
          </w:p>
        </w:tc>
      </w:tr>
      <w:tr w:rsidR="00796BD3" w:rsidRPr="005A1D1D" w14:paraId="2A3BA1DF" w14:textId="77777777" w:rsidTr="00AA7FF9">
        <w:trPr>
          <w:cantSplit/>
          <w:trHeight w:val="23"/>
          <w:jc w:val="center"/>
        </w:trPr>
        <w:tc>
          <w:tcPr>
            <w:tcW w:w="3969" w:type="dxa"/>
            <w:vMerge/>
          </w:tcPr>
          <w:p w14:paraId="1A41E1E8" w14:textId="77777777" w:rsidR="00796BD3" w:rsidRPr="005A1D1D" w:rsidRDefault="00796BD3" w:rsidP="00AA7FF9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844AEF" w14:textId="03CB922E" w:rsidR="00796BD3" w:rsidRPr="005A1D1D" w:rsidRDefault="0033025A" w:rsidP="00AA7FF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A1D1D">
              <w:rPr>
                <w:b/>
                <w:lang w:val="ru-RU"/>
              </w:rPr>
              <w:t xml:space="preserve">Оригинал: </w:t>
            </w:r>
            <w:r w:rsidR="006961B7" w:rsidRPr="005A1D1D">
              <w:rPr>
                <w:b/>
                <w:lang w:val="ru-RU"/>
              </w:rPr>
              <w:t>английский</w:t>
            </w:r>
          </w:p>
        </w:tc>
      </w:tr>
      <w:tr w:rsidR="00796BD3" w:rsidRPr="005A1D1D" w14:paraId="19434816" w14:textId="77777777" w:rsidTr="00AA7FF9">
        <w:trPr>
          <w:cantSplit/>
          <w:trHeight w:val="23"/>
          <w:jc w:val="center"/>
        </w:trPr>
        <w:tc>
          <w:tcPr>
            <w:tcW w:w="3969" w:type="dxa"/>
          </w:tcPr>
          <w:p w14:paraId="4CBDA2FB" w14:textId="77777777" w:rsidR="00796BD3" w:rsidRPr="005A1D1D" w:rsidRDefault="00796BD3" w:rsidP="00AA7FF9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2224F27" w14:textId="77777777" w:rsidR="00796BD3" w:rsidRPr="005A1D1D" w:rsidRDefault="00796BD3" w:rsidP="00AA7FF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5A1D1D" w14:paraId="0DA3ABA7" w14:textId="77777777" w:rsidTr="00AA7FF9">
        <w:trPr>
          <w:cantSplit/>
          <w:jc w:val="center"/>
        </w:trPr>
        <w:tc>
          <w:tcPr>
            <w:tcW w:w="9214" w:type="dxa"/>
            <w:gridSpan w:val="2"/>
            <w:tcMar>
              <w:left w:w="0" w:type="dxa"/>
            </w:tcMar>
          </w:tcPr>
          <w:p w14:paraId="45314151" w14:textId="77F0781C" w:rsidR="00796BD3" w:rsidRPr="005A1D1D" w:rsidRDefault="00D31911" w:rsidP="00AA7FF9">
            <w:pPr>
              <w:pStyle w:val="Source"/>
              <w:rPr>
                <w:szCs w:val="32"/>
                <w:lang w:val="ru-RU"/>
              </w:rPr>
            </w:pPr>
            <w:bookmarkStart w:id="5" w:name="dsource" w:colFirst="0" w:colLast="0"/>
            <w:bookmarkEnd w:id="4"/>
            <w:r w:rsidRPr="005A1D1D">
              <w:rPr>
                <w:rFonts w:cstheme="minorHAnsi"/>
                <w:szCs w:val="32"/>
                <w:lang w:val="ru-RU"/>
              </w:rPr>
              <w:t xml:space="preserve">Вклад </w:t>
            </w:r>
            <w:r w:rsidR="006961B7" w:rsidRPr="005A1D1D">
              <w:rPr>
                <w:rFonts w:cstheme="minorHAnsi"/>
                <w:szCs w:val="32"/>
                <w:lang w:val="ru-RU"/>
              </w:rPr>
              <w:t>Австралии</w:t>
            </w:r>
          </w:p>
        </w:tc>
      </w:tr>
      <w:tr w:rsidR="00796BD3" w:rsidRPr="005A1D1D" w14:paraId="30B8D6E6" w14:textId="77777777" w:rsidTr="00AA7FF9">
        <w:trPr>
          <w:cantSplit/>
          <w:jc w:val="center"/>
        </w:trPr>
        <w:tc>
          <w:tcPr>
            <w:tcW w:w="9214" w:type="dxa"/>
            <w:gridSpan w:val="2"/>
            <w:tcMar>
              <w:left w:w="0" w:type="dxa"/>
            </w:tcMar>
          </w:tcPr>
          <w:p w14:paraId="5AFCD65F" w14:textId="13725BCD" w:rsidR="00796BD3" w:rsidRPr="005A1D1D" w:rsidRDefault="006961B7" w:rsidP="00AA7FF9">
            <w:pPr>
              <w:pStyle w:val="Subtitle"/>
              <w:framePr w:hSpace="0" w:wrap="auto" w:hAnchor="text" w:xAlign="left" w:yAlign="inline"/>
              <w:rPr>
                <w:szCs w:val="32"/>
                <w:lang w:val="ru-RU"/>
              </w:rPr>
            </w:pPr>
            <w:bookmarkStart w:id="6" w:name="dtitle1" w:colFirst="0" w:colLast="0"/>
            <w:bookmarkEnd w:id="5"/>
            <w:r w:rsidRPr="005A1D1D">
              <w:rPr>
                <w:lang w:val="ru-RU" w:bidi="ru-RU"/>
              </w:rPr>
              <w:t>ПОВЫШЕНИЕ ПРОЗРАЧНОСТИ МЕМОРАНДУМОВ О ВЗАИМОПОНИМАНИИ</w:t>
            </w:r>
          </w:p>
        </w:tc>
      </w:tr>
      <w:tr w:rsidR="00796BD3" w:rsidRPr="002F147A" w14:paraId="76E16821" w14:textId="77777777" w:rsidTr="00AA7FF9">
        <w:trPr>
          <w:cantSplit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E190DF8" w14:textId="2D6EAB84" w:rsidR="00796BD3" w:rsidRPr="005A1D1D" w:rsidRDefault="0033025A" w:rsidP="00AA7FF9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A1D1D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59DA6531" w14:textId="3E0BB161" w:rsidR="006961B7" w:rsidRPr="005A1D1D" w:rsidRDefault="006961B7" w:rsidP="00AA7FF9">
            <w:pPr>
              <w:spacing w:before="160"/>
              <w:rPr>
                <w:lang w:val="ru-RU" w:bidi="ru-RU"/>
              </w:rPr>
            </w:pPr>
            <w:r w:rsidRPr="005A1D1D">
              <w:rPr>
                <w:lang w:val="ru-RU" w:bidi="ru-RU"/>
              </w:rPr>
              <w:t xml:space="preserve">В настоящем вкладе </w:t>
            </w:r>
            <w:r w:rsidR="002D7F2B" w:rsidRPr="005A1D1D">
              <w:rPr>
                <w:lang w:val="ru-RU" w:bidi="ru-RU"/>
              </w:rPr>
              <w:t xml:space="preserve">содержится рекомендация для </w:t>
            </w:r>
            <w:r w:rsidRPr="005A1D1D">
              <w:rPr>
                <w:lang w:val="ru-RU" w:bidi="ru-RU"/>
              </w:rPr>
              <w:t>МСЭ продолжать принимать меры по повышению прозрачности и подотчетности меморандумов о взаимопонимании (МоВ) в соответствии с решениями ПК-18 и ПК-22.</w:t>
            </w:r>
          </w:p>
          <w:p w14:paraId="5E005840" w14:textId="1C112C3A" w:rsidR="00796BD3" w:rsidRPr="005A1D1D" w:rsidRDefault="0033025A" w:rsidP="00AA7FF9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A1D1D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E467CB8" w14:textId="5C0BD889" w:rsidR="00796BD3" w:rsidRPr="005A1D1D" w:rsidRDefault="002D7F2B" w:rsidP="00AA7FF9">
            <w:pPr>
              <w:rPr>
                <w:lang w:val="ru-RU"/>
              </w:rPr>
            </w:pPr>
            <w:r w:rsidRPr="005A1D1D">
              <w:rPr>
                <w:lang w:val="ru-RU" w:bidi="ru-RU"/>
              </w:rPr>
              <w:t>Настоящий</w:t>
            </w:r>
            <w:r w:rsidR="006961B7" w:rsidRPr="005A1D1D">
              <w:rPr>
                <w:lang w:val="ru-RU" w:bidi="ru-RU"/>
              </w:rPr>
              <w:t xml:space="preserve"> документ представлен </w:t>
            </w:r>
            <w:r w:rsidR="006961B7" w:rsidRPr="005A1D1D">
              <w:rPr>
                <w:b/>
                <w:lang w:val="ru-RU" w:bidi="ru-RU"/>
              </w:rPr>
              <w:t>на рассмотрение Совета</w:t>
            </w:r>
            <w:r w:rsidR="006961B7" w:rsidRPr="005A1D1D">
              <w:rPr>
                <w:lang w:val="ru-RU" w:bidi="ru-RU"/>
              </w:rPr>
              <w:t xml:space="preserve">. Совету предлагается </w:t>
            </w:r>
            <w:r w:rsidR="006961B7" w:rsidRPr="005A1D1D">
              <w:rPr>
                <w:b/>
                <w:lang w:val="ru-RU" w:bidi="ru-RU"/>
              </w:rPr>
              <w:t>предоставить руководящие указания</w:t>
            </w:r>
            <w:r w:rsidR="006961B7" w:rsidRPr="005A1D1D">
              <w:rPr>
                <w:lang w:val="ru-RU" w:bidi="ru-RU"/>
              </w:rPr>
              <w:t xml:space="preserve"> в отношении данного предложения.</w:t>
            </w:r>
          </w:p>
          <w:p w14:paraId="7B14D1B0" w14:textId="77777777" w:rsidR="00796BD3" w:rsidRPr="005A1D1D" w:rsidRDefault="00796BD3" w:rsidP="00AA7FF9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5A1D1D">
              <w:rPr>
                <w:sz w:val="20"/>
                <w:szCs w:val="18"/>
                <w:lang w:val="ru-RU"/>
              </w:rPr>
              <w:t>__________________</w:t>
            </w:r>
          </w:p>
          <w:p w14:paraId="68BD48F1" w14:textId="77777777" w:rsidR="00796BD3" w:rsidRPr="005A1D1D" w:rsidRDefault="0033025A" w:rsidP="00AA7FF9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5A1D1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63416F0D" w14:textId="77504050" w:rsidR="006961B7" w:rsidRPr="005A1D1D" w:rsidRDefault="00E17064" w:rsidP="00AA7FF9">
            <w:pPr>
              <w:pStyle w:val="enumlev1"/>
              <w:rPr>
                <w:rStyle w:val="Hyperlink"/>
                <w:color w:val="auto"/>
                <w:lang w:val="ru-RU"/>
              </w:rPr>
            </w:pPr>
            <w:r w:rsidRPr="005A1D1D">
              <w:rPr>
                <w:lang w:val="ru-RU" w:bidi="ru-RU"/>
              </w:rPr>
              <w:t>−</w:t>
            </w:r>
            <w:r w:rsidRPr="005A1D1D">
              <w:rPr>
                <w:lang w:val="ru-RU" w:bidi="ru-RU"/>
              </w:rPr>
              <w:tab/>
            </w:r>
            <w:r w:rsidR="006961B7" w:rsidRPr="005A1D1D">
              <w:rPr>
                <w:lang w:val="ru-RU" w:bidi="ru-RU"/>
              </w:rPr>
              <w:t>Решение ПК-18 о МоВ</w:t>
            </w:r>
            <w:r w:rsidR="006961B7" w:rsidRPr="005A1D1D">
              <w:rPr>
                <w:color w:val="242424"/>
                <w:shd w:val="clear" w:color="auto" w:fill="FFFFFF"/>
                <w:lang w:val="ru-RU" w:bidi="ru-RU"/>
              </w:rPr>
              <w:t xml:space="preserve"> в пункте 2.13 </w:t>
            </w:r>
            <w:hyperlink r:id="rId7" w:history="1">
              <w:r w:rsidR="006961B7" w:rsidRPr="005A1D1D">
                <w:rPr>
                  <w:rStyle w:val="Hyperlink"/>
                  <w:shd w:val="clear" w:color="auto" w:fill="FFFFFF"/>
                  <w:lang w:val="ru-RU" w:bidi="ru-RU"/>
                </w:rPr>
                <w:t>Документа PP-18/173</w:t>
              </w:r>
            </w:hyperlink>
          </w:p>
          <w:p w14:paraId="604E3FA1" w14:textId="12907BAB" w:rsidR="006961B7" w:rsidRPr="005A1D1D" w:rsidRDefault="00E17064" w:rsidP="00AA7FF9">
            <w:pPr>
              <w:pStyle w:val="enumlev1"/>
              <w:rPr>
                <w:lang w:val="ru-RU"/>
              </w:rPr>
            </w:pPr>
            <w:r w:rsidRPr="005A1D1D">
              <w:rPr>
                <w:lang w:val="ru-RU" w:bidi="ru-RU"/>
              </w:rPr>
              <w:t>−</w:t>
            </w:r>
            <w:r w:rsidRPr="005A1D1D">
              <w:rPr>
                <w:lang w:val="ru-RU" w:bidi="ru-RU"/>
              </w:rPr>
              <w:tab/>
            </w:r>
            <w:r w:rsidR="00F7175D" w:rsidRPr="005A1D1D">
              <w:rPr>
                <w:color w:val="242424"/>
                <w:shd w:val="clear" w:color="auto" w:fill="FFFFFF"/>
                <w:lang w:val="ru-RU" w:bidi="ru-RU"/>
              </w:rPr>
              <w:t xml:space="preserve">Повторное </w:t>
            </w:r>
            <w:r w:rsidR="006961B7" w:rsidRPr="005A1D1D">
              <w:rPr>
                <w:color w:val="242424"/>
                <w:shd w:val="clear" w:color="auto" w:fill="FFFFFF"/>
                <w:lang w:val="ru-RU" w:bidi="ru-RU"/>
              </w:rPr>
              <w:t xml:space="preserve">подтверждение решения ПК-18 на ПК-22 (рекомендация 3 в </w:t>
            </w:r>
            <w:hyperlink r:id="rId8" w:history="1">
              <w:r w:rsidR="006961B7" w:rsidRPr="005A1D1D">
                <w:rPr>
                  <w:rStyle w:val="Hyperlink"/>
                  <w:lang w:val="ru-RU" w:bidi="ru-RU"/>
                </w:rPr>
                <w:t xml:space="preserve">отчете Председателя Комитета 5 на </w:t>
              </w:r>
              <w:r w:rsidR="00F7175D" w:rsidRPr="005A1D1D">
                <w:rPr>
                  <w:rStyle w:val="Hyperlink"/>
                  <w:lang w:val="ru-RU" w:bidi="ru-RU"/>
                </w:rPr>
                <w:t xml:space="preserve">пленарном </w:t>
              </w:r>
              <w:r w:rsidR="006961B7" w:rsidRPr="005A1D1D">
                <w:rPr>
                  <w:rStyle w:val="Hyperlink"/>
                  <w:lang w:val="ru-RU" w:bidi="ru-RU"/>
                </w:rPr>
                <w:t>заседании (Документ PP-22/189)</w:t>
              </w:r>
            </w:hyperlink>
            <w:r w:rsidR="006961B7" w:rsidRPr="005A1D1D">
              <w:rPr>
                <w:lang w:val="ru-RU" w:bidi="ru-RU"/>
              </w:rPr>
              <w:t xml:space="preserve">, которая была одобрена на 16-м </w:t>
            </w:r>
            <w:r w:rsidR="00F7175D" w:rsidRPr="005A1D1D">
              <w:rPr>
                <w:lang w:val="ru-RU" w:bidi="ru-RU"/>
              </w:rPr>
              <w:t xml:space="preserve">пленарном </w:t>
            </w:r>
            <w:r w:rsidR="006961B7" w:rsidRPr="005A1D1D">
              <w:rPr>
                <w:lang w:val="ru-RU" w:bidi="ru-RU"/>
              </w:rPr>
              <w:t xml:space="preserve">заседании в пункте 3.9 </w:t>
            </w:r>
            <w:hyperlink r:id="rId9" w:history="1">
              <w:r w:rsidR="006961B7" w:rsidRPr="005A1D1D">
                <w:rPr>
                  <w:rStyle w:val="Hyperlink"/>
                  <w:lang w:val="ru-RU" w:bidi="ru-RU"/>
                </w:rPr>
                <w:t>Документа PP-22/206</w:t>
              </w:r>
            </w:hyperlink>
            <w:r w:rsidR="006961B7" w:rsidRPr="005A1D1D">
              <w:rPr>
                <w:lang w:val="ru-RU" w:bidi="ru-RU"/>
              </w:rPr>
              <w:t>)</w:t>
            </w:r>
          </w:p>
          <w:p w14:paraId="7C569F08" w14:textId="4BE5116F" w:rsidR="006961B7" w:rsidRPr="005A1D1D" w:rsidRDefault="00E17064" w:rsidP="00AA7FF9">
            <w:pPr>
              <w:pStyle w:val="enumlev1"/>
              <w:rPr>
                <w:rStyle w:val="Hyperlink"/>
                <w:color w:val="auto"/>
                <w:lang w:val="ru-RU"/>
              </w:rPr>
            </w:pPr>
            <w:r w:rsidRPr="005A1D1D">
              <w:rPr>
                <w:lang w:val="ru-RU" w:bidi="ru-RU"/>
              </w:rPr>
              <w:t>−</w:t>
            </w:r>
            <w:r w:rsidRPr="005A1D1D">
              <w:rPr>
                <w:lang w:val="ru-RU" w:bidi="ru-RU"/>
              </w:rPr>
              <w:tab/>
            </w:r>
            <w:hyperlink r:id="rId10" w:history="1">
              <w:r w:rsidR="006961B7" w:rsidRPr="005A1D1D">
                <w:rPr>
                  <w:rStyle w:val="Hyperlink"/>
                  <w:lang w:val="ru-RU" w:bidi="ru-RU"/>
                </w:rPr>
                <w:t>Информационная панель МоВ МСЭ</w:t>
              </w:r>
            </w:hyperlink>
          </w:p>
          <w:p w14:paraId="40A43711" w14:textId="0BCFCB87" w:rsidR="00D50B23" w:rsidRPr="005A1D1D" w:rsidRDefault="00E17064" w:rsidP="00AA7FF9">
            <w:pPr>
              <w:pStyle w:val="enumlev1"/>
              <w:spacing w:after="120"/>
              <w:rPr>
                <w:color w:val="0000FF"/>
                <w:u w:val="single"/>
                <w:lang w:val="ru-RU"/>
              </w:rPr>
            </w:pPr>
            <w:r w:rsidRPr="005A1D1D">
              <w:rPr>
                <w:lang w:val="ru-RU" w:bidi="ru-RU"/>
              </w:rPr>
              <w:t>−</w:t>
            </w:r>
            <w:r w:rsidRPr="005A1D1D">
              <w:rPr>
                <w:lang w:val="ru-RU" w:bidi="ru-RU"/>
              </w:rPr>
              <w:tab/>
            </w:r>
            <w:r w:rsidR="00F7175D" w:rsidRPr="005A1D1D">
              <w:rPr>
                <w:lang w:val="ru-RU" w:bidi="ru-RU"/>
              </w:rPr>
              <w:t xml:space="preserve">Отчет </w:t>
            </w:r>
            <w:r w:rsidR="006961B7" w:rsidRPr="005A1D1D">
              <w:rPr>
                <w:lang w:val="ru-RU" w:bidi="ru-RU"/>
              </w:rPr>
              <w:t xml:space="preserve">Совету 2021 года о МоВ, </w:t>
            </w:r>
            <w:hyperlink r:id="rId11" w:history="1">
              <w:r w:rsidR="006961B7" w:rsidRPr="005A1D1D">
                <w:rPr>
                  <w:rStyle w:val="Hyperlink"/>
                  <w:lang w:val="ru-RU" w:bidi="ru-RU"/>
                </w:rPr>
                <w:t>Документ C21/45</w:t>
              </w:r>
            </w:hyperlink>
          </w:p>
        </w:tc>
      </w:tr>
      <w:bookmarkEnd w:id="2"/>
      <w:bookmarkEnd w:id="6"/>
    </w:tbl>
    <w:p w14:paraId="4064BBD7" w14:textId="77777777" w:rsidR="00796BD3" w:rsidRPr="005A1D1D" w:rsidRDefault="00796BD3" w:rsidP="00796BD3">
      <w:pPr>
        <w:rPr>
          <w:lang w:val="ru-RU"/>
        </w:rPr>
      </w:pPr>
    </w:p>
    <w:p w14:paraId="7386F8B3" w14:textId="77777777" w:rsidR="00165D06" w:rsidRPr="005A1D1D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A1D1D">
        <w:rPr>
          <w:lang w:val="ru-RU"/>
        </w:rPr>
        <w:br w:type="page"/>
      </w:r>
    </w:p>
    <w:p w14:paraId="504A6D50" w14:textId="77777777" w:rsidR="006961B7" w:rsidRPr="005A1D1D" w:rsidRDefault="006961B7" w:rsidP="00421389">
      <w:pPr>
        <w:pStyle w:val="Headingb"/>
        <w:rPr>
          <w:rFonts w:asciiTheme="minorHAnsi" w:hAnsiTheme="minorHAnsi" w:cstheme="minorHAnsi"/>
          <w:bCs/>
          <w:lang w:val="ru-RU"/>
        </w:rPr>
      </w:pPr>
      <w:r w:rsidRPr="005A1D1D">
        <w:rPr>
          <w:lang w:val="ru-RU" w:bidi="ru-RU"/>
        </w:rPr>
        <w:lastRenderedPageBreak/>
        <w:t>Введение</w:t>
      </w:r>
    </w:p>
    <w:p w14:paraId="52508541" w14:textId="4A2514C5" w:rsidR="006961B7" w:rsidRPr="005A1D1D" w:rsidRDefault="006961B7" w:rsidP="00E17064">
      <w:pPr>
        <w:rPr>
          <w:lang w:val="ru-RU"/>
        </w:rPr>
      </w:pPr>
      <w:r w:rsidRPr="005A1D1D">
        <w:rPr>
          <w:lang w:val="ru-RU" w:bidi="ru-RU"/>
        </w:rPr>
        <w:t xml:space="preserve">Прозрачность способствует формированию подотчетности и содействует повышению уровня знаний членов МСЭ и доверия к деятельности МСЭ. </w:t>
      </w:r>
      <w:r w:rsidR="002D7F2B" w:rsidRPr="005A1D1D">
        <w:rPr>
          <w:lang w:val="ru-RU" w:bidi="ru-RU"/>
        </w:rPr>
        <w:t xml:space="preserve">Прозрачный процесс </w:t>
      </w:r>
      <w:r w:rsidR="00F7175D" w:rsidRPr="005A1D1D">
        <w:rPr>
          <w:lang w:val="ru-RU" w:bidi="ru-RU"/>
        </w:rPr>
        <w:t>представления отчетов</w:t>
      </w:r>
      <w:r w:rsidR="002D7F2B" w:rsidRPr="005A1D1D">
        <w:rPr>
          <w:lang w:val="ru-RU" w:bidi="ru-RU"/>
        </w:rPr>
        <w:t xml:space="preserve"> о</w:t>
      </w:r>
      <w:r w:rsidRPr="005A1D1D">
        <w:rPr>
          <w:lang w:val="ru-RU" w:bidi="ru-RU"/>
        </w:rPr>
        <w:t xml:space="preserve"> МоВ позволяет повысить информированность Членов МСЭ и расширить их возможности для получения аналитических данных, которые могут способствовать повышению эффективности и результативности МСЭ. Государства – Члены МСЭ также могут быть уверены, что их финансовые взносы </w:t>
      </w:r>
      <w:r w:rsidR="002D7F2B" w:rsidRPr="005A1D1D">
        <w:rPr>
          <w:lang w:val="ru-RU" w:bidi="ru-RU"/>
        </w:rPr>
        <w:t>направляются</w:t>
      </w:r>
      <w:r w:rsidRPr="005A1D1D">
        <w:rPr>
          <w:lang w:val="ru-RU" w:bidi="ru-RU"/>
        </w:rPr>
        <w:t xml:space="preserve"> на поддержку мобилизации ресурсов, способствующую выполнению миссии МСЭ – соединить мир.</w:t>
      </w:r>
    </w:p>
    <w:p w14:paraId="7614FDBB" w14:textId="77CE2C05" w:rsidR="006961B7" w:rsidRPr="005A1D1D" w:rsidRDefault="006961B7" w:rsidP="00E17064">
      <w:pPr>
        <w:rPr>
          <w:szCs w:val="22"/>
          <w:lang w:val="ru-RU"/>
        </w:rPr>
      </w:pPr>
      <w:r w:rsidRPr="005A1D1D">
        <w:rPr>
          <w:szCs w:val="22"/>
          <w:lang w:val="ru-RU" w:bidi="ru-RU"/>
        </w:rPr>
        <w:t>После широкого обсуждения вопроса о повышении прозрачности МоВ МСЭ на ПК-22 конференция подтвердила решение ПК-18</w:t>
      </w:r>
      <w:r w:rsidR="006E036D" w:rsidRPr="005A1D1D">
        <w:rPr>
          <w:szCs w:val="22"/>
          <w:lang w:val="ru-RU" w:bidi="ru-RU"/>
        </w:rPr>
        <w:t xml:space="preserve"> </w:t>
      </w:r>
      <w:r w:rsidRPr="005A1D1D">
        <w:rPr>
          <w:color w:val="242424"/>
          <w:szCs w:val="22"/>
          <w:shd w:val="clear" w:color="auto" w:fill="FFFFFF"/>
          <w:lang w:val="ru-RU" w:bidi="ru-RU"/>
        </w:rPr>
        <w:t xml:space="preserve">(в п. 2.13 </w:t>
      </w:r>
      <w:hyperlink r:id="rId12" w:history="1">
        <w:r w:rsidRPr="005A1D1D">
          <w:rPr>
            <w:rStyle w:val="Hyperlink"/>
            <w:szCs w:val="22"/>
            <w:shd w:val="clear" w:color="auto" w:fill="FFFFFF"/>
            <w:lang w:val="ru-RU" w:bidi="ru-RU"/>
          </w:rPr>
          <w:t>Документа PP-18/173</w:t>
        </w:r>
      </w:hyperlink>
      <w:r w:rsidRPr="005A1D1D">
        <w:rPr>
          <w:color w:val="242424"/>
          <w:szCs w:val="22"/>
          <w:shd w:val="clear" w:color="auto" w:fill="FFFFFF"/>
          <w:lang w:val="ru-RU" w:bidi="ru-RU"/>
        </w:rPr>
        <w:t xml:space="preserve">) о том, что </w:t>
      </w:r>
      <w:r w:rsidRPr="005A1D1D">
        <w:rPr>
          <w:szCs w:val="22"/>
          <w:lang w:val="ru-RU" w:bidi="ru-RU"/>
        </w:rPr>
        <w:t>Генеральный секретарь должен представлять очередной сессии Совета для предварительного утверждения любые МоВ, которые имеют значительные финансовые и/или стратегические последствия,</w:t>
      </w:r>
      <w:r w:rsidR="006E036D" w:rsidRPr="005A1D1D">
        <w:rPr>
          <w:szCs w:val="22"/>
          <w:lang w:val="ru-RU" w:bidi="ru-RU"/>
        </w:rPr>
        <w:t xml:space="preserve"> </w:t>
      </w:r>
      <w:r w:rsidRPr="005A1D1D">
        <w:rPr>
          <w:color w:val="242424"/>
          <w:szCs w:val="22"/>
          <w:shd w:val="clear" w:color="auto" w:fill="FFFFFF"/>
          <w:lang w:val="ru-RU" w:bidi="ru-RU"/>
        </w:rPr>
        <w:t>и что о других (несущественных) МоВ следует продолжать сообщать Совету (на</w:t>
      </w:r>
      <w:r w:rsidR="005A1D1D" w:rsidRPr="005A1D1D">
        <w:rPr>
          <w:color w:val="242424"/>
          <w:szCs w:val="22"/>
          <w:shd w:val="clear" w:color="auto" w:fill="FFFFFF"/>
          <w:lang w:val="ru-RU" w:bidi="ru-RU"/>
        </w:rPr>
        <w:t> </w:t>
      </w:r>
      <w:r w:rsidRPr="005A1D1D">
        <w:rPr>
          <w:color w:val="242424"/>
          <w:szCs w:val="22"/>
          <w:shd w:val="clear" w:color="auto" w:fill="FFFFFF"/>
          <w:lang w:val="ru-RU" w:bidi="ru-RU"/>
        </w:rPr>
        <w:t xml:space="preserve">ПК-22 это была рекомендация 3 в </w:t>
      </w:r>
      <w:hyperlink r:id="rId13" w:history="1">
        <w:r w:rsidRPr="005A1D1D">
          <w:rPr>
            <w:rStyle w:val="Hyperlink"/>
            <w:szCs w:val="22"/>
            <w:lang w:val="ru-RU" w:bidi="ru-RU"/>
          </w:rPr>
          <w:t xml:space="preserve">отчете Председателя Комитета 5 на </w:t>
        </w:r>
        <w:r w:rsidR="00F7175D" w:rsidRPr="005A1D1D">
          <w:rPr>
            <w:rStyle w:val="Hyperlink"/>
            <w:szCs w:val="22"/>
            <w:lang w:val="ru-RU" w:bidi="ru-RU"/>
          </w:rPr>
          <w:t xml:space="preserve">пленарном </w:t>
        </w:r>
        <w:r w:rsidRPr="005A1D1D">
          <w:rPr>
            <w:rStyle w:val="Hyperlink"/>
            <w:szCs w:val="22"/>
            <w:lang w:val="ru-RU" w:bidi="ru-RU"/>
          </w:rPr>
          <w:t>заседании</w:t>
        </w:r>
      </w:hyperlink>
      <w:r w:rsidRPr="005A1D1D">
        <w:rPr>
          <w:rStyle w:val="Hyperlink"/>
          <w:szCs w:val="22"/>
          <w:lang w:val="ru-RU" w:bidi="ru-RU"/>
        </w:rPr>
        <w:t xml:space="preserve"> (Документ PP-22/189)</w:t>
      </w:r>
      <w:r w:rsidRPr="005A1D1D">
        <w:rPr>
          <w:szCs w:val="22"/>
          <w:lang w:val="ru-RU" w:bidi="ru-RU"/>
        </w:rPr>
        <w:t xml:space="preserve">, который был утвержден на 16-м </w:t>
      </w:r>
      <w:r w:rsidR="00F7175D" w:rsidRPr="005A1D1D">
        <w:rPr>
          <w:szCs w:val="22"/>
          <w:lang w:val="ru-RU" w:bidi="ru-RU"/>
        </w:rPr>
        <w:t xml:space="preserve">пленарном </w:t>
      </w:r>
      <w:r w:rsidRPr="005A1D1D">
        <w:rPr>
          <w:szCs w:val="22"/>
          <w:lang w:val="ru-RU" w:bidi="ru-RU"/>
        </w:rPr>
        <w:t xml:space="preserve">заседании в пункте 3.9 </w:t>
      </w:r>
      <w:hyperlink r:id="rId14" w:history="1">
        <w:r w:rsidRPr="005A1D1D">
          <w:rPr>
            <w:rStyle w:val="Hyperlink"/>
            <w:szCs w:val="22"/>
            <w:lang w:val="ru-RU" w:bidi="ru-RU"/>
          </w:rPr>
          <w:t>Документа PP-22/206</w:t>
        </w:r>
      </w:hyperlink>
      <w:r w:rsidRPr="005A1D1D">
        <w:rPr>
          <w:szCs w:val="22"/>
          <w:lang w:val="ru-RU" w:bidi="ru-RU"/>
        </w:rPr>
        <w:t>).</w:t>
      </w:r>
    </w:p>
    <w:p w14:paraId="1E56D716" w14:textId="1131684C" w:rsidR="006961B7" w:rsidRPr="005A1D1D" w:rsidRDefault="006961B7" w:rsidP="00E17064">
      <w:pPr>
        <w:rPr>
          <w:szCs w:val="22"/>
          <w:lang w:val="ru-RU"/>
        </w:rPr>
      </w:pPr>
      <w:r w:rsidRPr="005A1D1D">
        <w:rPr>
          <w:szCs w:val="22"/>
          <w:lang w:val="ru-RU" w:bidi="ru-RU"/>
        </w:rPr>
        <w:t xml:space="preserve">Австралия высоко оценивает достигнутый МСЭ на сегодняшний день прогресс в повышении прозрачности и подотчетности, включая запуск </w:t>
      </w:r>
      <w:bookmarkStart w:id="7" w:name="_Hlk134629210"/>
      <w:r w:rsidRPr="005A1D1D">
        <w:rPr>
          <w:szCs w:val="22"/>
          <w:lang w:val="ru-RU" w:bidi="ru-RU"/>
        </w:rPr>
        <w:fldChar w:fldCharType="begin"/>
      </w:r>
      <w:r w:rsidR="006E036D" w:rsidRPr="005A1D1D">
        <w:rPr>
          <w:szCs w:val="22"/>
          <w:lang w:val="ru-RU" w:bidi="ru-RU"/>
        </w:rPr>
        <w:instrText>HYPERLINK "https://www.itu.int/en/council/dashboard/Pages/Mou.aspx"</w:instrText>
      </w:r>
      <w:r w:rsidRPr="005A1D1D">
        <w:rPr>
          <w:szCs w:val="22"/>
          <w:lang w:val="ru-RU" w:bidi="ru-RU"/>
        </w:rPr>
      </w:r>
      <w:r w:rsidRPr="005A1D1D">
        <w:rPr>
          <w:szCs w:val="22"/>
          <w:lang w:val="ru-RU" w:bidi="ru-RU"/>
        </w:rPr>
        <w:fldChar w:fldCharType="separate"/>
      </w:r>
      <w:r w:rsidR="006E036D" w:rsidRPr="005A1D1D">
        <w:rPr>
          <w:rStyle w:val="Hyperlink"/>
          <w:szCs w:val="22"/>
          <w:lang w:val="ru-RU" w:bidi="ru-RU"/>
        </w:rPr>
        <w:t>информационной панели МоВ МСЭ</w:t>
      </w:r>
      <w:r w:rsidRPr="005A1D1D">
        <w:rPr>
          <w:szCs w:val="22"/>
          <w:lang w:val="ru-RU" w:bidi="ru-RU"/>
        </w:rPr>
        <w:fldChar w:fldCharType="end"/>
      </w:r>
      <w:bookmarkEnd w:id="7"/>
      <w:r w:rsidRPr="005A1D1D">
        <w:rPr>
          <w:szCs w:val="22"/>
          <w:lang w:val="ru-RU" w:bidi="ru-RU"/>
        </w:rPr>
        <w:t>, на которой содержатся ссылки на сообщения Совету о МоВ. Австралия также отмечает, что после решения</w:t>
      </w:r>
      <w:r w:rsidR="005A1D1D" w:rsidRPr="005A1D1D">
        <w:rPr>
          <w:szCs w:val="22"/>
          <w:lang w:val="ru-RU" w:bidi="ru-RU"/>
        </w:rPr>
        <w:t> </w:t>
      </w:r>
      <w:r w:rsidRPr="005A1D1D">
        <w:rPr>
          <w:szCs w:val="22"/>
          <w:lang w:val="ru-RU" w:bidi="ru-RU"/>
        </w:rPr>
        <w:t>ПК-18:</w:t>
      </w:r>
    </w:p>
    <w:p w14:paraId="04862D0E" w14:textId="38ECAB52" w:rsidR="006961B7" w:rsidRPr="005A1D1D" w:rsidRDefault="00E17064" w:rsidP="00E17064">
      <w:pPr>
        <w:pStyle w:val="enumlev1"/>
        <w:rPr>
          <w:lang w:val="ru-RU"/>
        </w:rPr>
      </w:pPr>
      <w:r w:rsidRPr="005A1D1D">
        <w:rPr>
          <w:lang w:val="ru-RU" w:bidi="ru-RU"/>
        </w:rPr>
        <w:t>•</w:t>
      </w:r>
      <w:r w:rsidRPr="005A1D1D">
        <w:rPr>
          <w:lang w:val="ru-RU" w:bidi="ru-RU"/>
        </w:rPr>
        <w:tab/>
      </w:r>
      <w:r w:rsidR="006961B7" w:rsidRPr="005A1D1D">
        <w:rPr>
          <w:lang w:val="ru-RU" w:bidi="ru-RU"/>
        </w:rPr>
        <w:t>МСЭ не оценил ни один МоВ как имеющий значительные стратегические или финансовые последствия (это очевидно, поскольку ни один МоВ не был представлен Совету на утверждение);</w:t>
      </w:r>
    </w:p>
    <w:p w14:paraId="2A7B1F32" w14:textId="79EC008A" w:rsidR="006961B7" w:rsidRPr="005A1D1D" w:rsidRDefault="00E17064" w:rsidP="00E17064">
      <w:pPr>
        <w:pStyle w:val="enumlev1"/>
        <w:rPr>
          <w:lang w:val="ru-RU"/>
        </w:rPr>
      </w:pPr>
      <w:r w:rsidRPr="005A1D1D">
        <w:rPr>
          <w:lang w:val="ru-RU" w:bidi="ru-RU"/>
        </w:rPr>
        <w:t>•</w:t>
      </w:r>
      <w:r w:rsidRPr="005A1D1D">
        <w:rPr>
          <w:lang w:val="ru-RU" w:bidi="ru-RU"/>
        </w:rPr>
        <w:tab/>
      </w:r>
      <w:r w:rsidR="006961B7" w:rsidRPr="005A1D1D">
        <w:rPr>
          <w:lang w:val="ru-RU" w:bidi="ru-RU"/>
        </w:rPr>
        <w:t xml:space="preserve">ряд МоВ не был доведен до сведения Совета, возможно потому, что они не были особым образом поименованы как таковые (например, вместо этого они могут </w:t>
      </w:r>
      <w:r w:rsidR="006E036D" w:rsidRPr="005A1D1D">
        <w:rPr>
          <w:lang w:val="ru-RU" w:bidi="ru-RU"/>
        </w:rPr>
        <w:t>быть помечены</w:t>
      </w:r>
      <w:r w:rsidR="006961B7" w:rsidRPr="005A1D1D">
        <w:rPr>
          <w:lang w:val="ru-RU" w:bidi="ru-RU"/>
        </w:rPr>
        <w:t xml:space="preserve"> </w:t>
      </w:r>
      <w:r w:rsidR="006E036D" w:rsidRPr="005A1D1D">
        <w:rPr>
          <w:lang w:val="ru-RU" w:bidi="ru-RU"/>
        </w:rPr>
        <w:t>как</w:t>
      </w:r>
      <w:r w:rsidR="006961B7" w:rsidRPr="005A1D1D">
        <w:rPr>
          <w:lang w:val="ru-RU" w:bidi="ru-RU"/>
        </w:rPr>
        <w:t xml:space="preserve"> "Меморандум о сотрудничестве" или "Меморандум о </w:t>
      </w:r>
      <w:r w:rsidR="00F7175D" w:rsidRPr="005A1D1D">
        <w:rPr>
          <w:lang w:val="ru-RU" w:bidi="ru-RU"/>
        </w:rPr>
        <w:t>договоре</w:t>
      </w:r>
      <w:r w:rsidR="006961B7" w:rsidRPr="005A1D1D">
        <w:rPr>
          <w:lang w:val="ru-RU" w:bidi="ru-RU"/>
        </w:rPr>
        <w:t>").</w:t>
      </w:r>
    </w:p>
    <w:p w14:paraId="506881FA" w14:textId="77777777" w:rsidR="006961B7" w:rsidRPr="005A1D1D" w:rsidRDefault="006961B7" w:rsidP="00E17064">
      <w:pPr>
        <w:rPr>
          <w:lang w:val="ru-RU"/>
        </w:rPr>
      </w:pPr>
      <w:r w:rsidRPr="005A1D1D">
        <w:rPr>
          <w:lang w:val="ru-RU" w:bidi="ru-RU"/>
        </w:rPr>
        <w:t>В настоящем вкладе, представленном Австралией, предлагаются следующие шаги для продолжения принятия МСЭ мер на пути достижения большей прозрачности.</w:t>
      </w:r>
    </w:p>
    <w:p w14:paraId="544F323B" w14:textId="6DDDA3D8" w:rsidR="006961B7" w:rsidRPr="005A1D1D" w:rsidRDefault="006961B7" w:rsidP="00421389">
      <w:pPr>
        <w:pStyle w:val="Headingb"/>
        <w:rPr>
          <w:rFonts w:asciiTheme="minorHAnsi" w:hAnsiTheme="minorHAnsi" w:cstheme="minorHAnsi"/>
          <w:bCs/>
          <w:lang w:val="ru-RU"/>
        </w:rPr>
      </w:pPr>
      <w:r w:rsidRPr="005A1D1D">
        <w:rPr>
          <w:lang w:val="ru-RU" w:bidi="ru-RU"/>
        </w:rPr>
        <w:t>Предложение</w:t>
      </w:r>
    </w:p>
    <w:p w14:paraId="7D46D62D" w14:textId="77777777" w:rsidR="006961B7" w:rsidRPr="005A1D1D" w:rsidRDefault="006961B7" w:rsidP="00E17064">
      <w:pPr>
        <w:rPr>
          <w:lang w:val="ru-RU"/>
        </w:rPr>
      </w:pPr>
      <w:r w:rsidRPr="005A1D1D">
        <w:rPr>
          <w:lang w:val="ru-RU" w:bidi="ru-RU"/>
        </w:rPr>
        <w:t>Австралия предлагает, чтобы Секретариат МСЭ предоставил Совету для рассмотрения критерии, которые он использует для определения того, имеет ли тот или иной МоВ значительные стратегические и/или финансовые последствия. Это позволит достичь взаимного понимания того, какие МоВ должны быть представлены Совету для предварительного утверждения.</w:t>
      </w:r>
    </w:p>
    <w:p w14:paraId="219366E6" w14:textId="77777777" w:rsidR="006961B7" w:rsidRPr="005A1D1D" w:rsidRDefault="006961B7" w:rsidP="00E17064">
      <w:pPr>
        <w:rPr>
          <w:lang w:val="ru-RU"/>
        </w:rPr>
      </w:pPr>
      <w:r w:rsidRPr="005A1D1D">
        <w:rPr>
          <w:lang w:val="ru-RU" w:bidi="ru-RU"/>
        </w:rPr>
        <w:t>Австралия далее предлагает Секретариату МСЭ обновить информационную панель МоВ, чтобы:</w:t>
      </w:r>
    </w:p>
    <w:p w14:paraId="2EDF446C" w14:textId="2C942E0A" w:rsidR="006961B7" w:rsidRPr="005A1D1D" w:rsidRDefault="00E17064" w:rsidP="00E17064">
      <w:pPr>
        <w:pStyle w:val="enumlev1"/>
        <w:rPr>
          <w:lang w:val="ru-RU"/>
        </w:rPr>
      </w:pPr>
      <w:r w:rsidRPr="005A1D1D">
        <w:rPr>
          <w:lang w:val="ru-RU" w:bidi="ru-RU"/>
        </w:rPr>
        <w:t>•</w:t>
      </w:r>
      <w:r w:rsidRPr="005A1D1D">
        <w:rPr>
          <w:lang w:val="ru-RU" w:bidi="ru-RU"/>
        </w:rPr>
        <w:tab/>
      </w:r>
      <w:r w:rsidR="006961B7" w:rsidRPr="005A1D1D">
        <w:rPr>
          <w:lang w:val="ru-RU" w:bidi="ru-RU"/>
        </w:rPr>
        <w:t xml:space="preserve">пересмотреть порядок представления информации, </w:t>
      </w:r>
      <w:r w:rsidR="001D24F9" w:rsidRPr="005A1D1D">
        <w:rPr>
          <w:lang w:val="ru-RU" w:bidi="ru-RU"/>
        </w:rPr>
        <w:t>что позволит сделать ее</w:t>
      </w:r>
      <w:r w:rsidR="006961B7" w:rsidRPr="005A1D1D">
        <w:rPr>
          <w:lang w:val="ru-RU" w:bidi="ru-RU"/>
        </w:rPr>
        <w:t xml:space="preserve"> полезным инструментом для анализа. Например, информационная панель может быть сверстана в виде таблицы с заголовками, где каждый МоВ указан в отдельной строке:</w:t>
      </w:r>
    </w:p>
    <w:p w14:paraId="4650A5EC" w14:textId="15F698DE" w:rsidR="006961B7" w:rsidRPr="005A1D1D" w:rsidRDefault="00E17064" w:rsidP="00E17064">
      <w:pPr>
        <w:pStyle w:val="enumlev2"/>
        <w:rPr>
          <w:lang w:val="ru-RU"/>
        </w:rPr>
      </w:pPr>
      <w:r w:rsidRPr="005A1D1D">
        <w:rPr>
          <w:lang w:val="ru-RU" w:bidi="ru-RU"/>
        </w:rPr>
        <w:t>−</w:t>
      </w:r>
      <w:r w:rsidRPr="005A1D1D">
        <w:rPr>
          <w:lang w:val="ru-RU" w:bidi="ru-RU"/>
        </w:rPr>
        <w:tab/>
      </w:r>
      <w:r w:rsidR="006961B7" w:rsidRPr="005A1D1D">
        <w:rPr>
          <w:lang w:val="ru-RU" w:bidi="ru-RU"/>
        </w:rPr>
        <w:t xml:space="preserve">МСЭ ранее использовал заголовки, и их можно включить снова. Использовались следующие заголовки: "Контрагент(ы)"; "Тема"; "Дата подписания"; "Координатор МСЭ (см. </w:t>
      </w:r>
      <w:r w:rsidR="00F7175D" w:rsidRPr="005A1D1D">
        <w:rPr>
          <w:lang w:val="ru-RU" w:bidi="ru-RU"/>
        </w:rPr>
        <w:t>отчет</w:t>
      </w:r>
      <w:r w:rsidR="006961B7" w:rsidRPr="005A1D1D">
        <w:rPr>
          <w:lang w:val="ru-RU" w:bidi="ru-RU"/>
        </w:rPr>
        <w:t xml:space="preserve"> Совету 2021 года, </w:t>
      </w:r>
      <w:hyperlink r:id="rId15" w:history="1">
        <w:r w:rsidR="006961B7" w:rsidRPr="005A1D1D">
          <w:rPr>
            <w:rStyle w:val="Hyperlink"/>
            <w:szCs w:val="24"/>
            <w:lang w:val="ru-RU" w:bidi="ru-RU"/>
          </w:rPr>
          <w:t>Документ C21/45</w:t>
        </w:r>
      </w:hyperlink>
      <w:r w:rsidR="006961B7" w:rsidRPr="005A1D1D">
        <w:rPr>
          <w:lang w:val="ru-RU" w:bidi="ru-RU"/>
        </w:rPr>
        <w:t>)</w:t>
      </w:r>
      <w:r w:rsidR="001D24F9" w:rsidRPr="005A1D1D">
        <w:rPr>
          <w:lang w:val="ru-RU" w:bidi="ru-RU"/>
        </w:rPr>
        <w:t>;</w:t>
      </w:r>
    </w:p>
    <w:p w14:paraId="1EFA1B8A" w14:textId="6D5F7169" w:rsidR="006961B7" w:rsidRDefault="00E17064" w:rsidP="00E17064">
      <w:pPr>
        <w:pStyle w:val="enumlev2"/>
        <w:rPr>
          <w:szCs w:val="24"/>
          <w:lang w:val="ru-RU" w:bidi="ru-RU"/>
        </w:rPr>
      </w:pPr>
      <w:r w:rsidRPr="005A1D1D">
        <w:rPr>
          <w:lang w:val="ru-RU" w:bidi="ru-RU"/>
        </w:rPr>
        <w:t>−</w:t>
      </w:r>
      <w:r w:rsidRPr="005A1D1D">
        <w:rPr>
          <w:lang w:val="ru-RU" w:bidi="ru-RU"/>
        </w:rPr>
        <w:tab/>
      </w:r>
      <w:r w:rsidR="001D24F9" w:rsidRPr="005A1D1D">
        <w:rPr>
          <w:szCs w:val="24"/>
          <w:lang w:val="ru-RU" w:bidi="ru-RU"/>
        </w:rPr>
        <w:t>д</w:t>
      </w:r>
      <w:r w:rsidR="006961B7" w:rsidRPr="005A1D1D">
        <w:rPr>
          <w:szCs w:val="24"/>
          <w:lang w:val="ru-RU" w:bidi="ru-RU"/>
        </w:rPr>
        <w:t>ополнительные полезные заголовки могут включать: дату окончания; статус деятельности в рамках МоВ; финансовые и/или другие ресурсы, затраченные МСЭ при выполнении своих обязательств по МоВ; ожидаемое воздействие/результаты</w:t>
      </w:r>
      <w:r w:rsidR="001D24F9" w:rsidRPr="005A1D1D">
        <w:rPr>
          <w:szCs w:val="24"/>
          <w:lang w:val="ru-RU" w:bidi="ru-RU"/>
        </w:rPr>
        <w:t>;</w:t>
      </w:r>
    </w:p>
    <w:p w14:paraId="1B0B2FB2" w14:textId="173170BF" w:rsidR="00421389" w:rsidRDefault="004213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p w14:paraId="7BFF3793" w14:textId="6D463382" w:rsidR="006961B7" w:rsidRPr="005A1D1D" w:rsidRDefault="00E17064" w:rsidP="00E17064">
      <w:pPr>
        <w:pStyle w:val="enumlev1"/>
        <w:rPr>
          <w:szCs w:val="24"/>
          <w:lang w:val="ru-RU"/>
        </w:rPr>
      </w:pPr>
      <w:r w:rsidRPr="005A1D1D">
        <w:rPr>
          <w:lang w:val="ru-RU" w:bidi="ru-RU"/>
        </w:rPr>
        <w:lastRenderedPageBreak/>
        <w:t>•</w:t>
      </w:r>
      <w:r w:rsidRPr="005A1D1D">
        <w:rPr>
          <w:lang w:val="ru-RU" w:bidi="ru-RU"/>
        </w:rPr>
        <w:tab/>
      </w:r>
      <w:r w:rsidR="006961B7" w:rsidRPr="005A1D1D">
        <w:rPr>
          <w:szCs w:val="24"/>
          <w:lang w:val="ru-RU" w:bidi="ru-RU"/>
        </w:rPr>
        <w:t xml:space="preserve">обеспечить охват всех МоВ в соответствии с духом решения ПК-18, подтвержденного повторно на ПК-22. Это включает МоВ с альтернативными названиями, такими как: соглашения о партнерстве; соглашения о сотрудничестве; меморандумы о сотрудничестве; соглашения о добровольных взносах Государств-Членов; соглашения, предназначенные для </w:t>
      </w:r>
      <w:r w:rsidR="00A20199" w:rsidRPr="005A1D1D">
        <w:rPr>
          <w:szCs w:val="24"/>
          <w:lang w:val="ru-RU" w:bidi="ru-RU"/>
        </w:rPr>
        <w:t>межрегиональных</w:t>
      </w:r>
      <w:r w:rsidR="006961B7" w:rsidRPr="005A1D1D">
        <w:rPr>
          <w:szCs w:val="24"/>
          <w:lang w:val="ru-RU" w:bidi="ru-RU"/>
        </w:rPr>
        <w:t>, региональных или национальных инициатив в области развития.</w:t>
      </w:r>
    </w:p>
    <w:p w14:paraId="0903F652" w14:textId="77777777" w:rsidR="006961B7" w:rsidRPr="005A1D1D" w:rsidRDefault="006961B7" w:rsidP="00E17064">
      <w:pPr>
        <w:spacing w:before="720"/>
        <w:jc w:val="center"/>
        <w:rPr>
          <w:sz w:val="24"/>
          <w:szCs w:val="24"/>
          <w:lang w:val="ru-RU"/>
        </w:rPr>
      </w:pPr>
      <w:r w:rsidRPr="005A1D1D">
        <w:rPr>
          <w:sz w:val="24"/>
          <w:szCs w:val="24"/>
          <w:lang w:val="ru-RU" w:bidi="ru-RU"/>
        </w:rPr>
        <w:t>________________</w:t>
      </w:r>
    </w:p>
    <w:sectPr w:rsidR="006961B7" w:rsidRPr="005A1D1D" w:rsidSect="00796BD3"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8C8A" w14:textId="77777777" w:rsidR="000139C4" w:rsidRDefault="000139C4">
      <w:r>
        <w:separator/>
      </w:r>
    </w:p>
  </w:endnote>
  <w:endnote w:type="continuationSeparator" w:id="0">
    <w:p w14:paraId="1D38B392" w14:textId="77777777" w:rsidR="000139C4" w:rsidRDefault="0001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8F34C9" w14:textId="77777777" w:rsidTr="00E31DCE">
      <w:trPr>
        <w:jc w:val="center"/>
      </w:trPr>
      <w:tc>
        <w:tcPr>
          <w:tcW w:w="1803" w:type="dxa"/>
          <w:vAlign w:val="center"/>
        </w:tcPr>
        <w:p w14:paraId="1DDA355E" w14:textId="1ABA2BBA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6961B7">
            <w:rPr>
              <w:noProof/>
              <w:lang w:val="ru-RU" w:bidi="ru-RU"/>
            </w:rPr>
            <w:t>525317</w:t>
          </w:r>
        </w:p>
      </w:tc>
      <w:tc>
        <w:tcPr>
          <w:tcW w:w="8261" w:type="dxa"/>
        </w:tcPr>
        <w:p w14:paraId="573E0694" w14:textId="2DD6F07B" w:rsidR="00672F8A" w:rsidRPr="006961B7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bCs/>
              <w:lang w:val="ru-RU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961B7">
            <w:rPr>
              <w:bCs/>
              <w:lang w:val="ru-RU"/>
            </w:rPr>
            <w:t>69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DE8AE67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F4E63A7" w14:textId="77777777" w:rsidTr="00E31DCE">
      <w:trPr>
        <w:jc w:val="center"/>
      </w:trPr>
      <w:tc>
        <w:tcPr>
          <w:tcW w:w="1803" w:type="dxa"/>
          <w:vAlign w:val="center"/>
        </w:tcPr>
        <w:p w14:paraId="09839B81" w14:textId="77777777" w:rsidR="00672F8A" w:rsidRDefault="002F147A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F16222" w14:textId="1C93328A" w:rsidR="00672F8A" w:rsidRPr="006961B7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bCs/>
              <w:lang w:val="ru-RU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961B7">
            <w:rPr>
              <w:bCs/>
              <w:lang w:val="ru-RU"/>
            </w:rPr>
            <w:t>69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51EB6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158A" w14:textId="77777777" w:rsidR="000139C4" w:rsidRDefault="000139C4">
      <w:r>
        <w:t>____________________</w:t>
      </w:r>
    </w:p>
  </w:footnote>
  <w:footnote w:type="continuationSeparator" w:id="0">
    <w:p w14:paraId="75A516EE" w14:textId="77777777" w:rsidR="000139C4" w:rsidRDefault="0001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0FCF88C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53F8F0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4CDEA0D6" wp14:editId="13CD101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681DA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9F3CB0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E831E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27BFA2B9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E9D0B" wp14:editId="290B774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7FF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A051D7"/>
    <w:multiLevelType w:val="hybridMultilevel"/>
    <w:tmpl w:val="0F404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9D006F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F20AA"/>
    <w:multiLevelType w:val="hybridMultilevel"/>
    <w:tmpl w:val="9EBC3110"/>
    <w:lvl w:ilvl="0" w:tplc="C5062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74209614">
    <w:abstractNumId w:val="2"/>
  </w:num>
  <w:num w:numId="3" w16cid:durableId="1759209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5BE0"/>
    <w:rsid w:val="000139C4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D24F9"/>
    <w:rsid w:val="001E6719"/>
    <w:rsid w:val="001E7F50"/>
    <w:rsid w:val="00225368"/>
    <w:rsid w:val="00227FF0"/>
    <w:rsid w:val="00291EB6"/>
    <w:rsid w:val="002D2F57"/>
    <w:rsid w:val="002D48C5"/>
    <w:rsid w:val="002D7F2B"/>
    <w:rsid w:val="002F147A"/>
    <w:rsid w:val="0033025A"/>
    <w:rsid w:val="003F099E"/>
    <w:rsid w:val="003F235E"/>
    <w:rsid w:val="004023E0"/>
    <w:rsid w:val="00403DD8"/>
    <w:rsid w:val="00421389"/>
    <w:rsid w:val="00442515"/>
    <w:rsid w:val="0045686C"/>
    <w:rsid w:val="004918C4"/>
    <w:rsid w:val="00497703"/>
    <w:rsid w:val="004A0374"/>
    <w:rsid w:val="004A45B5"/>
    <w:rsid w:val="004C181D"/>
    <w:rsid w:val="004D0129"/>
    <w:rsid w:val="004F35D2"/>
    <w:rsid w:val="005A1D1D"/>
    <w:rsid w:val="005A64D5"/>
    <w:rsid w:val="005B3DEC"/>
    <w:rsid w:val="00601994"/>
    <w:rsid w:val="00672F8A"/>
    <w:rsid w:val="006961B7"/>
    <w:rsid w:val="006A0389"/>
    <w:rsid w:val="006E036D"/>
    <w:rsid w:val="006E2D42"/>
    <w:rsid w:val="00703676"/>
    <w:rsid w:val="00707304"/>
    <w:rsid w:val="00732269"/>
    <w:rsid w:val="00762555"/>
    <w:rsid w:val="00785ABD"/>
    <w:rsid w:val="00796BD3"/>
    <w:rsid w:val="007A2DD4"/>
    <w:rsid w:val="007C2E56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20199"/>
    <w:rsid w:val="00A71773"/>
    <w:rsid w:val="00AA7FF9"/>
    <w:rsid w:val="00AC686B"/>
    <w:rsid w:val="00AE2C85"/>
    <w:rsid w:val="00B12A37"/>
    <w:rsid w:val="00B41837"/>
    <w:rsid w:val="00B63EF2"/>
    <w:rsid w:val="00B87AEB"/>
    <w:rsid w:val="00BA7D89"/>
    <w:rsid w:val="00BC0D39"/>
    <w:rsid w:val="00BC7BC0"/>
    <w:rsid w:val="00BD57B7"/>
    <w:rsid w:val="00BE63E2"/>
    <w:rsid w:val="00CD2009"/>
    <w:rsid w:val="00CF629C"/>
    <w:rsid w:val="00D31911"/>
    <w:rsid w:val="00D50B23"/>
    <w:rsid w:val="00D92EEA"/>
    <w:rsid w:val="00DA5D4E"/>
    <w:rsid w:val="00E17064"/>
    <w:rsid w:val="00E176BA"/>
    <w:rsid w:val="00E423EC"/>
    <w:rsid w:val="00E55121"/>
    <w:rsid w:val="00E61B6E"/>
    <w:rsid w:val="00EB4FCB"/>
    <w:rsid w:val="00EC6BC5"/>
    <w:rsid w:val="00F35898"/>
    <w:rsid w:val="00F5225B"/>
    <w:rsid w:val="00F7175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6307C"/>
  <w15:docId w15:val="{910FA730-66E4-4685-92A8-694E69F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0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AA7FF9"/>
    <w:pPr>
      <w:spacing w:before="480"/>
    </w:pPr>
    <w:rPr>
      <w:b/>
      <w:sz w:val="32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E17064"/>
    <w:pPr>
      <w:framePr w:hSpace="180" w:wrap="around" w:hAnchor="page" w:x="1821" w:y="2317"/>
      <w:spacing w:before="120" w:after="160"/>
    </w:pPr>
    <w:rPr>
      <w:caps w:val="0"/>
    </w:rPr>
  </w:style>
  <w:style w:type="paragraph" w:styleId="ListParagraph">
    <w:name w:val="List Paragraph"/>
    <w:basedOn w:val="Normal"/>
    <w:uiPriority w:val="34"/>
    <w:qFormat/>
    <w:rsid w:val="006961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189/en" TargetMode="External"/><Relationship Id="rId13" Type="http://schemas.openxmlformats.org/officeDocument/2006/relationships/hyperlink" Target="https://www.itu.int/md/S22-PP-C-0189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u.int/md/s18-pp-c-0173" TargetMode="External"/><Relationship Id="rId12" Type="http://schemas.openxmlformats.org/officeDocument/2006/relationships/hyperlink" Target="https://www.itu.int/md/s18-pp-c-017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1-CL-C-0045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1-CL-C-0045/en" TargetMode="External"/><Relationship Id="rId10" Type="http://schemas.openxmlformats.org/officeDocument/2006/relationships/hyperlink" Target="https://www.itu.int/en/council/dashboard/Pages/Mou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PP-C-0206/en" TargetMode="External"/><Relationship Id="rId14" Type="http://schemas.openxmlformats.org/officeDocument/2006/relationships/hyperlink" Target="https://www.itu.int/md/S22-PP-C-020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3</Pages>
  <Words>566</Words>
  <Characters>4471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Australia - Increasing transparency of Memoranda of Understanding</dc:title>
  <dc:subject>Council 2023</dc:subject>
  <dc:creator>Xue, Kun</dc:creator>
  <cp:keywords>C2023, C23, Council-23</cp:keywords>
  <dc:description/>
  <cp:lastModifiedBy>Xue, Kun</cp:lastModifiedBy>
  <cp:revision>2</cp:revision>
  <cp:lastPrinted>2006-03-28T16:12:00Z</cp:lastPrinted>
  <dcterms:created xsi:type="dcterms:W3CDTF">2023-07-06T18:52:00Z</dcterms:created>
  <dcterms:modified xsi:type="dcterms:W3CDTF">2023-07-06T18:52:00Z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