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3B15F86D" w14:textId="77777777" w:rsidTr="00C538FC">
        <w:trPr>
          <w:cantSplit/>
          <w:trHeight w:val="23"/>
        </w:trPr>
        <w:tc>
          <w:tcPr>
            <w:tcW w:w="3969" w:type="dxa"/>
            <w:vMerge w:val="restart"/>
            <w:tcMar>
              <w:left w:w="0" w:type="dxa"/>
            </w:tcMar>
          </w:tcPr>
          <w:p w14:paraId="348DACBC" w14:textId="60BEF484" w:rsidR="00FE57F6" w:rsidRPr="00E85629" w:rsidRDefault="000C4B26" w:rsidP="00C538FC">
            <w:pPr>
              <w:tabs>
                <w:tab w:val="left" w:pos="851"/>
              </w:tabs>
              <w:spacing w:before="0" w:line="240" w:lineRule="atLeast"/>
              <w:rPr>
                <w:b/>
              </w:rPr>
            </w:pPr>
            <w:bookmarkStart w:id="0" w:name="_Hlk133421839"/>
            <w:r w:rsidRPr="006A4149">
              <w:rPr>
                <w:b/>
                <w:lang w:val="es-ES"/>
              </w:rPr>
              <w:t xml:space="preserve">Punto del orden del </w:t>
            </w:r>
            <w:r w:rsidR="00157658" w:rsidRPr="006A4149">
              <w:rPr>
                <w:b/>
                <w:lang w:val="es-ES"/>
              </w:rPr>
              <w:t>día:</w:t>
            </w:r>
            <w:r w:rsidRPr="006A4149">
              <w:rPr>
                <w:b/>
                <w:lang w:val="es-ES"/>
              </w:rPr>
              <w:t xml:space="preserve"> ADM 2</w:t>
            </w:r>
          </w:p>
        </w:tc>
        <w:tc>
          <w:tcPr>
            <w:tcW w:w="5245" w:type="dxa"/>
          </w:tcPr>
          <w:p w14:paraId="3A286776" w14:textId="125C9264"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0C4B26">
              <w:rPr>
                <w:b/>
              </w:rPr>
              <w:t>69</w:t>
            </w:r>
            <w:r>
              <w:rPr>
                <w:b/>
              </w:rPr>
              <w:t>-</w:t>
            </w:r>
            <w:r w:rsidR="00F24B71">
              <w:rPr>
                <w:b/>
              </w:rPr>
              <w:t>S</w:t>
            </w:r>
          </w:p>
        </w:tc>
      </w:tr>
      <w:tr w:rsidR="00FE57F6" w:rsidRPr="00813E5E" w14:paraId="4DF722E9" w14:textId="77777777" w:rsidTr="00C538FC">
        <w:trPr>
          <w:cantSplit/>
        </w:trPr>
        <w:tc>
          <w:tcPr>
            <w:tcW w:w="3969" w:type="dxa"/>
            <w:vMerge/>
          </w:tcPr>
          <w:p w14:paraId="54E85047" w14:textId="77777777" w:rsidR="00FE57F6" w:rsidRPr="00813E5E" w:rsidRDefault="00FE57F6" w:rsidP="00C538FC">
            <w:pPr>
              <w:tabs>
                <w:tab w:val="left" w:pos="851"/>
              </w:tabs>
              <w:spacing w:line="240" w:lineRule="atLeast"/>
              <w:rPr>
                <w:b/>
              </w:rPr>
            </w:pPr>
          </w:p>
        </w:tc>
        <w:tc>
          <w:tcPr>
            <w:tcW w:w="5245" w:type="dxa"/>
          </w:tcPr>
          <w:p w14:paraId="6F5C9619" w14:textId="1AC48B14" w:rsidR="00FE57F6" w:rsidRPr="00E85629" w:rsidRDefault="000C4B26" w:rsidP="00C538FC">
            <w:pPr>
              <w:tabs>
                <w:tab w:val="left" w:pos="851"/>
              </w:tabs>
              <w:spacing w:before="0"/>
              <w:jc w:val="right"/>
              <w:rPr>
                <w:b/>
              </w:rPr>
            </w:pPr>
            <w:r w:rsidRPr="006A4149">
              <w:rPr>
                <w:b/>
                <w:lang w:val="es-ES"/>
              </w:rPr>
              <w:t>27 de junio de 2023</w:t>
            </w:r>
          </w:p>
        </w:tc>
      </w:tr>
      <w:tr w:rsidR="00FE57F6" w:rsidRPr="00F24B71" w14:paraId="5865988B" w14:textId="77777777" w:rsidTr="00C538FC">
        <w:trPr>
          <w:cantSplit/>
          <w:trHeight w:val="23"/>
        </w:trPr>
        <w:tc>
          <w:tcPr>
            <w:tcW w:w="3969" w:type="dxa"/>
            <w:vMerge/>
          </w:tcPr>
          <w:p w14:paraId="1D0318CB" w14:textId="77777777" w:rsidR="00FE57F6" w:rsidRPr="00813E5E" w:rsidRDefault="00FE57F6" w:rsidP="00C538FC">
            <w:pPr>
              <w:tabs>
                <w:tab w:val="left" w:pos="851"/>
              </w:tabs>
              <w:spacing w:line="240" w:lineRule="atLeast"/>
              <w:rPr>
                <w:b/>
              </w:rPr>
            </w:pPr>
          </w:p>
        </w:tc>
        <w:tc>
          <w:tcPr>
            <w:tcW w:w="5245" w:type="dxa"/>
          </w:tcPr>
          <w:p w14:paraId="1ADAD68D"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398E60EA" w14:textId="77777777" w:rsidTr="00C538FC">
        <w:trPr>
          <w:cantSplit/>
          <w:trHeight w:val="23"/>
        </w:trPr>
        <w:tc>
          <w:tcPr>
            <w:tcW w:w="3969" w:type="dxa"/>
          </w:tcPr>
          <w:p w14:paraId="4C99E49C" w14:textId="77777777" w:rsidR="00FE57F6" w:rsidRPr="00813E5E" w:rsidRDefault="00FE57F6" w:rsidP="00C538FC">
            <w:pPr>
              <w:tabs>
                <w:tab w:val="left" w:pos="851"/>
              </w:tabs>
              <w:spacing w:line="240" w:lineRule="atLeast"/>
              <w:rPr>
                <w:b/>
              </w:rPr>
            </w:pPr>
          </w:p>
        </w:tc>
        <w:tc>
          <w:tcPr>
            <w:tcW w:w="5245" w:type="dxa"/>
          </w:tcPr>
          <w:p w14:paraId="46E425E3" w14:textId="77777777" w:rsidR="00FE57F6" w:rsidRDefault="00FE57F6" w:rsidP="00C538FC">
            <w:pPr>
              <w:tabs>
                <w:tab w:val="left" w:pos="851"/>
              </w:tabs>
              <w:spacing w:before="0" w:line="240" w:lineRule="atLeast"/>
              <w:jc w:val="right"/>
              <w:rPr>
                <w:b/>
              </w:rPr>
            </w:pPr>
          </w:p>
        </w:tc>
      </w:tr>
      <w:tr w:rsidR="00FE57F6" w:rsidRPr="00FE57F6" w14:paraId="02F29B6D" w14:textId="77777777" w:rsidTr="00C538FC">
        <w:trPr>
          <w:cantSplit/>
        </w:trPr>
        <w:tc>
          <w:tcPr>
            <w:tcW w:w="9214" w:type="dxa"/>
            <w:gridSpan w:val="2"/>
            <w:tcMar>
              <w:left w:w="0" w:type="dxa"/>
            </w:tcMar>
          </w:tcPr>
          <w:p w14:paraId="2628B69E" w14:textId="09F770C1" w:rsidR="00FE57F6" w:rsidRPr="004B5D49" w:rsidRDefault="000C4B26" w:rsidP="00C538FC">
            <w:pPr>
              <w:pStyle w:val="Source"/>
              <w:jc w:val="left"/>
              <w:rPr>
                <w:sz w:val="34"/>
                <w:szCs w:val="34"/>
                <w:lang w:val="es-ES"/>
              </w:rPr>
            </w:pPr>
            <w:r w:rsidRPr="006A4149">
              <w:rPr>
                <w:rFonts w:eastAsia="SimSun"/>
                <w:sz w:val="34"/>
                <w:lang w:val="es-ES"/>
              </w:rPr>
              <w:t>Contribución de Australia</w:t>
            </w:r>
          </w:p>
        </w:tc>
      </w:tr>
      <w:tr w:rsidR="00FE57F6" w:rsidRPr="00813E5E" w14:paraId="55D12318" w14:textId="77777777" w:rsidTr="00C538FC">
        <w:trPr>
          <w:cantSplit/>
        </w:trPr>
        <w:tc>
          <w:tcPr>
            <w:tcW w:w="9214" w:type="dxa"/>
            <w:gridSpan w:val="2"/>
            <w:tcMar>
              <w:left w:w="0" w:type="dxa"/>
            </w:tcMar>
          </w:tcPr>
          <w:p w14:paraId="304157C6" w14:textId="0E8BF11E" w:rsidR="00FE57F6" w:rsidRPr="000C4B26" w:rsidRDefault="000C4B26" w:rsidP="00C538FC">
            <w:pPr>
              <w:pStyle w:val="Subtitle"/>
              <w:framePr w:hSpace="0" w:wrap="auto" w:hAnchor="text" w:xAlign="left" w:yAlign="inline"/>
              <w:rPr>
                <w:lang w:val="es-ES"/>
              </w:rPr>
            </w:pPr>
            <w:r w:rsidRPr="006A4149">
              <w:rPr>
                <w:lang w:val="es-ES"/>
              </w:rPr>
              <w:t>AUMENTO DE LA TRANSPARENCIA DE LOS MEMORANDOS DE ENTENDIMIENTO</w:t>
            </w:r>
          </w:p>
        </w:tc>
      </w:tr>
      <w:tr w:rsidR="00FE57F6" w:rsidRPr="00813E5E" w14:paraId="6279348B" w14:textId="77777777" w:rsidTr="00C538FC">
        <w:trPr>
          <w:cantSplit/>
        </w:trPr>
        <w:tc>
          <w:tcPr>
            <w:tcW w:w="9214" w:type="dxa"/>
            <w:gridSpan w:val="2"/>
            <w:tcBorders>
              <w:top w:val="single" w:sz="4" w:space="0" w:color="auto"/>
              <w:bottom w:val="single" w:sz="4" w:space="0" w:color="auto"/>
            </w:tcBorders>
            <w:tcMar>
              <w:left w:w="0" w:type="dxa"/>
            </w:tcMar>
          </w:tcPr>
          <w:p w14:paraId="533C2A3B" w14:textId="26FDDB03" w:rsidR="00FE57F6" w:rsidRPr="00F24B71" w:rsidRDefault="00F24B71" w:rsidP="00C538FC">
            <w:pPr>
              <w:spacing w:before="160"/>
              <w:rPr>
                <w:b/>
                <w:bCs/>
                <w:sz w:val="26"/>
                <w:szCs w:val="26"/>
                <w:lang w:val="es-ES"/>
              </w:rPr>
            </w:pPr>
            <w:r w:rsidRPr="00F24B71">
              <w:rPr>
                <w:b/>
                <w:bCs/>
                <w:sz w:val="26"/>
                <w:szCs w:val="26"/>
                <w:lang w:val="es-ES"/>
              </w:rPr>
              <w:t>Finalidad</w:t>
            </w:r>
          </w:p>
          <w:p w14:paraId="462D0375" w14:textId="4D6B13C1" w:rsidR="00FE57F6" w:rsidRPr="00F24B71" w:rsidRDefault="000C4B26" w:rsidP="00C538FC">
            <w:pPr>
              <w:rPr>
                <w:lang w:val="es-ES"/>
              </w:rPr>
            </w:pPr>
            <w:r w:rsidRPr="006A4149">
              <w:rPr>
                <w:lang w:val="es-ES"/>
              </w:rPr>
              <w:t xml:space="preserve">En esta contribución se recomienda que la UIT adopte medidas para seguir avanzando hacia una mayor transparencia y </w:t>
            </w:r>
            <w:r>
              <w:rPr>
                <w:lang w:val="es-ES"/>
              </w:rPr>
              <w:t>la</w:t>
            </w:r>
            <w:r w:rsidRPr="006A4149">
              <w:rPr>
                <w:lang w:val="es-ES"/>
              </w:rPr>
              <w:t xml:space="preserve"> </w:t>
            </w:r>
            <w:r>
              <w:rPr>
                <w:lang w:val="es-ES"/>
              </w:rPr>
              <w:t>rendición de cuentas</w:t>
            </w:r>
            <w:r w:rsidRPr="006A4149">
              <w:rPr>
                <w:lang w:val="es-ES"/>
              </w:rPr>
              <w:t xml:space="preserve"> </w:t>
            </w:r>
            <w:r>
              <w:rPr>
                <w:lang w:val="es-ES"/>
              </w:rPr>
              <w:t>de</w:t>
            </w:r>
            <w:r w:rsidRPr="006A4149">
              <w:rPr>
                <w:lang w:val="es-ES"/>
              </w:rPr>
              <w:t xml:space="preserve"> los Memorandos de Entendimiento (MoU), de acuerdo con las decisiones de la PP-18 y la PP-22.</w:t>
            </w:r>
          </w:p>
          <w:p w14:paraId="47EA7A2B"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095D9539" w14:textId="06DF3500" w:rsidR="00FE57F6" w:rsidRPr="00F24B71" w:rsidRDefault="000C4B26" w:rsidP="00C538FC">
            <w:pPr>
              <w:rPr>
                <w:lang w:val="es-ES"/>
              </w:rPr>
            </w:pPr>
            <w:r w:rsidRPr="006A4149">
              <w:rPr>
                <w:rFonts w:cstheme="minorHAnsi"/>
                <w:color w:val="000000" w:themeColor="text1"/>
                <w:lang w:val="es-ES"/>
              </w:rPr>
              <w:t xml:space="preserve">El presente documento se somete a la </w:t>
            </w:r>
            <w:r w:rsidRPr="006A4149">
              <w:rPr>
                <w:rFonts w:cstheme="minorHAnsi"/>
                <w:b/>
                <w:color w:val="000000" w:themeColor="text1"/>
                <w:lang w:val="es-ES"/>
              </w:rPr>
              <w:t>consideración del Consejo</w:t>
            </w:r>
            <w:r w:rsidRPr="006A4149">
              <w:rPr>
                <w:rFonts w:cstheme="minorHAnsi"/>
                <w:color w:val="000000" w:themeColor="text1"/>
                <w:lang w:val="es-ES"/>
              </w:rPr>
              <w:t xml:space="preserve">. Se invita al Consejo </w:t>
            </w:r>
            <w:r w:rsidRPr="006A4149">
              <w:rPr>
                <w:rFonts w:cstheme="minorHAnsi"/>
                <w:b/>
                <w:bCs/>
                <w:color w:val="000000" w:themeColor="text1"/>
                <w:lang w:val="es-ES"/>
              </w:rPr>
              <w:t xml:space="preserve">a ofrecer orientaciones </w:t>
            </w:r>
            <w:r w:rsidRPr="006A4149">
              <w:rPr>
                <w:rFonts w:cstheme="minorHAnsi"/>
                <w:color w:val="000000" w:themeColor="text1"/>
                <w:lang w:val="es-ES"/>
              </w:rPr>
              <w:t>en relación con la propuesta</w:t>
            </w:r>
            <w:r w:rsidRPr="006A4149">
              <w:rPr>
                <w:rFonts w:cstheme="minorHAnsi"/>
                <w:lang w:val="es-ES"/>
              </w:rPr>
              <w:t>.</w:t>
            </w:r>
          </w:p>
          <w:p w14:paraId="10BFCB73" w14:textId="77777777" w:rsidR="00FE57F6" w:rsidRPr="00813E5E" w:rsidRDefault="00FE57F6" w:rsidP="00C538FC">
            <w:pPr>
              <w:spacing w:before="160"/>
              <w:rPr>
                <w:caps/>
                <w:sz w:val="22"/>
              </w:rPr>
            </w:pPr>
            <w:r w:rsidRPr="00813E5E">
              <w:rPr>
                <w:sz w:val="22"/>
              </w:rPr>
              <w:t>____________</w:t>
            </w:r>
            <w:r>
              <w:rPr>
                <w:sz w:val="22"/>
              </w:rPr>
              <w:t>______</w:t>
            </w:r>
          </w:p>
          <w:p w14:paraId="28ECA38A" w14:textId="6F6D5532" w:rsidR="00FE57F6" w:rsidRDefault="00F24B71" w:rsidP="00C538FC">
            <w:pPr>
              <w:spacing w:before="160"/>
              <w:rPr>
                <w:b/>
                <w:bCs/>
                <w:sz w:val="26"/>
                <w:szCs w:val="26"/>
              </w:rPr>
            </w:pPr>
            <w:r w:rsidRPr="00F24B71">
              <w:rPr>
                <w:b/>
                <w:bCs/>
                <w:sz w:val="26"/>
                <w:szCs w:val="26"/>
              </w:rPr>
              <w:t>Referencia</w:t>
            </w:r>
            <w:r w:rsidR="000C4B26">
              <w:rPr>
                <w:b/>
                <w:bCs/>
                <w:sz w:val="26"/>
                <w:szCs w:val="26"/>
              </w:rPr>
              <w:t>s</w:t>
            </w:r>
          </w:p>
          <w:p w14:paraId="57A6D6E7" w14:textId="77777777" w:rsidR="000C4B26" w:rsidRPr="006A4149" w:rsidRDefault="000C4B26" w:rsidP="000C4B26">
            <w:pPr>
              <w:pStyle w:val="enumlev1"/>
              <w:rPr>
                <w:rStyle w:val="Hyperlink"/>
                <w:lang w:val="es-ES"/>
              </w:rPr>
            </w:pPr>
            <w:r w:rsidRPr="00DA30B4">
              <w:rPr>
                <w:szCs w:val="24"/>
                <w:lang w:val="es-ES"/>
              </w:rPr>
              <w:t>–</w:t>
            </w:r>
            <w:r>
              <w:rPr>
                <w:szCs w:val="24"/>
                <w:lang w:val="es-ES"/>
              </w:rPr>
              <w:tab/>
            </w:r>
            <w:r w:rsidRPr="006A4149">
              <w:rPr>
                <w:szCs w:val="24"/>
                <w:lang w:val="es-ES"/>
              </w:rPr>
              <w:t xml:space="preserve">Decisión de la PP-18 sobre los MoU en el punto </w:t>
            </w:r>
            <w:r w:rsidRPr="006A4149">
              <w:rPr>
                <w:color w:val="242424"/>
                <w:shd w:val="clear" w:color="auto" w:fill="FFFFFF"/>
                <w:lang w:val="es-ES"/>
              </w:rPr>
              <w:t xml:space="preserve">2.13 del </w:t>
            </w:r>
            <w:hyperlink r:id="rId6" w:history="1">
              <w:r w:rsidRPr="006A4149">
                <w:rPr>
                  <w:rStyle w:val="Hyperlink"/>
                  <w:shd w:val="clear" w:color="auto" w:fill="FFFFFF"/>
                  <w:lang w:val="es-ES"/>
                </w:rPr>
                <w:t>documento PP-18/173</w:t>
              </w:r>
            </w:hyperlink>
          </w:p>
          <w:p w14:paraId="368F3BFA" w14:textId="30C57495" w:rsidR="000C4B26" w:rsidRPr="006A4149" w:rsidRDefault="000C4B26" w:rsidP="000C4B26">
            <w:pPr>
              <w:pStyle w:val="enumlev1"/>
              <w:rPr>
                <w:lang w:val="es-ES"/>
              </w:rPr>
            </w:pPr>
            <w:r w:rsidRPr="00DA30B4">
              <w:rPr>
                <w:color w:val="242424"/>
                <w:shd w:val="clear" w:color="auto" w:fill="FFFFFF"/>
                <w:lang w:val="es-ES"/>
              </w:rPr>
              <w:t>–</w:t>
            </w:r>
            <w:r>
              <w:rPr>
                <w:color w:val="242424"/>
                <w:shd w:val="clear" w:color="auto" w:fill="FFFFFF"/>
                <w:lang w:val="es-ES"/>
              </w:rPr>
              <w:tab/>
            </w:r>
            <w:r w:rsidRPr="006A4149">
              <w:rPr>
                <w:color w:val="242424"/>
                <w:shd w:val="clear" w:color="auto" w:fill="FFFFFF"/>
                <w:lang w:val="es-ES"/>
              </w:rPr>
              <w:t>Reconfirmación de la</w:t>
            </w:r>
            <w:r w:rsidRPr="006A4149">
              <w:rPr>
                <w:szCs w:val="24"/>
                <w:lang w:val="es-ES"/>
              </w:rPr>
              <w:t xml:space="preserve"> Decisión de la PP-18 en la PP-22</w:t>
            </w:r>
            <w:r w:rsidRPr="006A4149">
              <w:rPr>
                <w:color w:val="242424"/>
                <w:shd w:val="clear" w:color="auto" w:fill="FFFFFF"/>
                <w:lang w:val="es-ES"/>
              </w:rPr>
              <w:t xml:space="preserve"> (Recomendación 3 en el </w:t>
            </w:r>
            <w:hyperlink r:id="rId7" w:history="1">
              <w:r w:rsidRPr="006A4149">
                <w:rPr>
                  <w:rStyle w:val="Hyperlink"/>
                  <w:lang w:val="es-ES"/>
                </w:rPr>
                <w:t>Informe del Presidente de la Comisión 5 a la Sesión Plenaria (documento PP-22/189)</w:t>
              </w:r>
            </w:hyperlink>
            <w:r w:rsidRPr="006A4149">
              <w:rPr>
                <w:lang w:val="es-ES"/>
              </w:rPr>
              <w:t xml:space="preserve">, aprobada en la decimosexta Sesión Plenaria (punto 3.9 del </w:t>
            </w:r>
            <w:hyperlink r:id="rId8" w:history="1">
              <w:r w:rsidRPr="006A4149">
                <w:rPr>
                  <w:rStyle w:val="Hyperlink"/>
                  <w:lang w:val="es-ES"/>
                </w:rPr>
                <w:t>documento PP-22/206</w:t>
              </w:r>
            </w:hyperlink>
            <w:r w:rsidRPr="006A4149">
              <w:rPr>
                <w:lang w:val="es-ES"/>
              </w:rPr>
              <w:t>)</w:t>
            </w:r>
          </w:p>
          <w:p w14:paraId="2FFCBA6A" w14:textId="77777777" w:rsidR="000C4B26" w:rsidRPr="006A4149" w:rsidRDefault="000C4B26" w:rsidP="000C4B26">
            <w:pPr>
              <w:pStyle w:val="enumlev1"/>
              <w:rPr>
                <w:rStyle w:val="Hyperlink"/>
                <w:lang w:val="es-ES"/>
              </w:rPr>
            </w:pPr>
            <w:r w:rsidRPr="00DA30B4">
              <w:rPr>
                <w:lang w:val="es-ES"/>
              </w:rPr>
              <w:t>–</w:t>
            </w:r>
            <w:r w:rsidRPr="00DA30B4">
              <w:rPr>
                <w:lang w:val="es-ES"/>
              </w:rPr>
              <w:tab/>
            </w:r>
            <w:hyperlink r:id="rId9" w:history="1">
              <w:r w:rsidRPr="006A4149">
                <w:rPr>
                  <w:rStyle w:val="Hyperlink"/>
                  <w:lang w:val="es-ES"/>
                </w:rPr>
                <w:t>Tablero de los MoU de la UIT</w:t>
              </w:r>
            </w:hyperlink>
          </w:p>
          <w:p w14:paraId="194AB7C8" w14:textId="0D88511F" w:rsidR="00FE57F6" w:rsidRDefault="000C4B26" w:rsidP="000C4B26">
            <w:pPr>
              <w:spacing w:after="160"/>
            </w:pPr>
            <w:r w:rsidRPr="00DA30B4">
              <w:rPr>
                <w:lang w:val="es-ES"/>
              </w:rPr>
              <w:t>–</w:t>
            </w:r>
            <w:r>
              <w:rPr>
                <w:lang w:val="es-ES"/>
              </w:rPr>
              <w:tab/>
            </w:r>
            <w:r w:rsidRPr="006A4149">
              <w:rPr>
                <w:lang w:val="es-ES"/>
              </w:rPr>
              <w:t xml:space="preserve">Informe al Consejo de 2021 sobre Memorandos de Entendimiento, </w:t>
            </w:r>
            <w:hyperlink r:id="rId10" w:history="1">
              <w:r w:rsidRPr="006A4149">
                <w:rPr>
                  <w:rStyle w:val="Hyperlink"/>
                  <w:lang w:val="es-ES"/>
                </w:rPr>
                <w:t>documento C21/45</w:t>
              </w:r>
            </w:hyperlink>
          </w:p>
        </w:tc>
      </w:tr>
      <w:bookmarkEnd w:id="0"/>
    </w:tbl>
    <w:p w14:paraId="5EE19DDF" w14:textId="77777777" w:rsidR="00093EEB" w:rsidRDefault="00093EEB"/>
    <w:p w14:paraId="10726B00"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1226B2C6" w14:textId="77777777" w:rsidR="000C4B26" w:rsidRPr="006A4149" w:rsidRDefault="000C4B26" w:rsidP="000C4B26">
      <w:pPr>
        <w:pStyle w:val="Headingb"/>
        <w:rPr>
          <w:lang w:val="es-ES"/>
        </w:rPr>
      </w:pPr>
      <w:r w:rsidRPr="006A4149">
        <w:rPr>
          <w:lang w:val="es-ES"/>
        </w:rPr>
        <w:lastRenderedPageBreak/>
        <w:t>Introducción</w:t>
      </w:r>
    </w:p>
    <w:p w14:paraId="71A507C1" w14:textId="77777777" w:rsidR="000C4B26" w:rsidRPr="006A4149" w:rsidRDefault="000C4B26" w:rsidP="000C4B26">
      <w:pPr>
        <w:ind w:right="-1"/>
        <w:rPr>
          <w:lang w:val="es-ES"/>
        </w:rPr>
      </w:pPr>
      <w:r w:rsidRPr="006A4149">
        <w:rPr>
          <w:lang w:val="es-ES"/>
        </w:rPr>
        <w:t xml:space="preserve">La transparencia fomenta la responsabilidad y </w:t>
      </w:r>
      <w:r>
        <w:rPr>
          <w:lang w:val="es-ES"/>
        </w:rPr>
        <w:t xml:space="preserve">la rendición de cuentas, y </w:t>
      </w:r>
      <w:r w:rsidRPr="006A4149">
        <w:rPr>
          <w:lang w:val="es-ES"/>
        </w:rPr>
        <w:t xml:space="preserve">contribuye a aumentar el conocimiento y la confianza de los Miembros de la UIT en las actividades de </w:t>
      </w:r>
      <w:r>
        <w:rPr>
          <w:lang w:val="es-ES"/>
        </w:rPr>
        <w:t>la Unión</w:t>
      </w:r>
      <w:r w:rsidRPr="006A4149">
        <w:rPr>
          <w:lang w:val="es-ES"/>
        </w:rPr>
        <w:t xml:space="preserve">. Con la presentación transparente de informes sobre los Memorandos de Entendimiento, los Miembros de la UIT están mejor informados y en mejor posición para aportar ideas que pueden contribuir a la eficiencia y la eficacia de la UIT. Los Estados Miembros de la UIT también pueden </w:t>
      </w:r>
      <w:r>
        <w:rPr>
          <w:lang w:val="es-ES"/>
        </w:rPr>
        <w:t>asegurarse</w:t>
      </w:r>
      <w:r w:rsidRPr="006A4149">
        <w:rPr>
          <w:lang w:val="es-ES"/>
        </w:rPr>
        <w:t xml:space="preserve"> de que sus contribuciones financieras están </w:t>
      </w:r>
      <w:r>
        <w:rPr>
          <w:lang w:val="es-ES"/>
        </w:rPr>
        <w:t xml:space="preserve">dando soporte a una </w:t>
      </w:r>
      <w:r w:rsidRPr="006A4149">
        <w:rPr>
          <w:lang w:val="es-ES"/>
        </w:rPr>
        <w:t>movilizac</w:t>
      </w:r>
      <w:r>
        <w:rPr>
          <w:lang w:val="es-ES"/>
        </w:rPr>
        <w:t xml:space="preserve">ión de recursos que contribuye </w:t>
      </w:r>
      <w:r w:rsidRPr="006A4149">
        <w:rPr>
          <w:lang w:val="es-ES"/>
        </w:rPr>
        <w:t xml:space="preserve">a lograr la misión de la UIT, conectar </w:t>
      </w:r>
      <w:r>
        <w:rPr>
          <w:lang w:val="es-ES"/>
        </w:rPr>
        <w:t>a</w:t>
      </w:r>
      <w:r w:rsidRPr="006A4149">
        <w:rPr>
          <w:lang w:val="es-ES"/>
        </w:rPr>
        <w:t>l mundo.</w:t>
      </w:r>
    </w:p>
    <w:p w14:paraId="63276F4C" w14:textId="41DC4ED7" w:rsidR="000C4B26" w:rsidRPr="006A4149" w:rsidRDefault="000C4B26" w:rsidP="000C4B26">
      <w:pPr>
        <w:rPr>
          <w:sz w:val="22"/>
          <w:lang w:val="es-ES"/>
        </w:rPr>
      </w:pPr>
      <w:r w:rsidRPr="006A4149">
        <w:rPr>
          <w:lang w:val="es-ES"/>
        </w:rPr>
        <w:t>Tras los extensos debates sobre la mejora de la transparencia con respecto a los MoU de la UIT en la PP-22, la Conferencia reafirmó la decisión de la PP-18 (</w:t>
      </w:r>
      <w:r w:rsidRPr="006A4149">
        <w:rPr>
          <w:color w:val="242424"/>
          <w:shd w:val="clear" w:color="auto" w:fill="FFFFFF"/>
          <w:lang w:val="es-ES"/>
        </w:rPr>
        <w:t xml:space="preserve">en el punto 2.13 del documento </w:t>
      </w:r>
      <w:hyperlink r:id="rId11" w:history="1">
        <w:r w:rsidRPr="006A4149">
          <w:rPr>
            <w:rStyle w:val="Hyperlink"/>
            <w:shd w:val="clear" w:color="auto" w:fill="FFFFFF"/>
            <w:lang w:val="es-ES"/>
          </w:rPr>
          <w:t>PP-18/173</w:t>
        </w:r>
      </w:hyperlink>
      <w:r w:rsidRPr="006A4149">
        <w:rPr>
          <w:color w:val="242424"/>
          <w:shd w:val="clear" w:color="auto" w:fill="FFFFFF"/>
          <w:lang w:val="es-ES"/>
        </w:rPr>
        <w:t>),</w:t>
      </w:r>
      <w:r w:rsidR="00157658">
        <w:rPr>
          <w:color w:val="242424"/>
          <w:shd w:val="clear" w:color="auto" w:fill="FFFFFF"/>
          <w:lang w:val="es-ES"/>
        </w:rPr>
        <w:t xml:space="preserve"> </w:t>
      </w:r>
      <w:r w:rsidRPr="006A4149">
        <w:rPr>
          <w:color w:val="242424"/>
          <w:shd w:val="clear" w:color="auto" w:fill="FFFFFF"/>
          <w:lang w:val="es-ES"/>
        </w:rPr>
        <w:t>de que el Secretario General someterá a la reunión ordinaria del Consejo, para su aprobación previa, los Memorandos de Entendimiento que tengan repercusiones financieras o estratégicas sustanciales; y que se seguirá presentando un informe sobre los demás Memorandos de Entendimiento (sin repercusiones sustanciales) al Consejo (en el caso de la PP</w:t>
      </w:r>
      <w:r w:rsidRPr="006A4149">
        <w:rPr>
          <w:color w:val="242424"/>
          <w:shd w:val="clear" w:color="auto" w:fill="FFFFFF"/>
          <w:lang w:val="es-ES"/>
        </w:rPr>
        <w:noBreakHyphen/>
        <w:t xml:space="preserve">22, en la Recomendación 3 del </w:t>
      </w:r>
      <w:hyperlink r:id="rId12" w:history="1">
        <w:r w:rsidRPr="006A4149">
          <w:rPr>
            <w:rStyle w:val="Hyperlink"/>
            <w:lang w:val="es-ES"/>
          </w:rPr>
          <w:t>Informe del Presidente de la Comisión 5 a la Sesión Plenaria (documento PP-22/189</w:t>
        </w:r>
        <w:r w:rsidRPr="00157658">
          <w:rPr>
            <w:color w:val="242424"/>
            <w:shd w:val="clear" w:color="auto" w:fill="FFFFFF"/>
          </w:rPr>
          <w:t>)</w:t>
        </w:r>
      </w:hyperlink>
      <w:r w:rsidRPr="006A4149">
        <w:rPr>
          <w:lang w:val="es-ES"/>
        </w:rPr>
        <w:t xml:space="preserve">, aprobada en la decimosexta Sesión Plenaria (punto 3.9 del </w:t>
      </w:r>
      <w:hyperlink r:id="rId13" w:history="1">
        <w:r w:rsidRPr="006A4149">
          <w:rPr>
            <w:rStyle w:val="Hyperlink"/>
            <w:lang w:val="es-ES"/>
          </w:rPr>
          <w:t>documento PP-22/206</w:t>
        </w:r>
      </w:hyperlink>
      <w:r w:rsidRPr="006A4149">
        <w:rPr>
          <w:lang w:val="es-ES"/>
        </w:rPr>
        <w:t>).</w:t>
      </w:r>
    </w:p>
    <w:p w14:paraId="7AE59DEF" w14:textId="28C1E045" w:rsidR="000C4B26" w:rsidRPr="006A4149" w:rsidRDefault="000C4B26" w:rsidP="000C4B26">
      <w:pPr>
        <w:rPr>
          <w:lang w:val="es-ES"/>
        </w:rPr>
      </w:pPr>
      <w:r w:rsidRPr="006A4149">
        <w:rPr>
          <w:lang w:val="es-ES"/>
        </w:rPr>
        <w:t xml:space="preserve">Australia elogia los progresos realizados por la UIT hasta la fecha para mejorar la transparencia y la rendición de cuentas, incluido el lanzamiento del </w:t>
      </w:r>
      <w:hyperlink r:id="rId14" w:history="1">
        <w:r w:rsidRPr="006A4149">
          <w:rPr>
            <w:rStyle w:val="Hyperlink"/>
            <w:lang w:val="es-ES"/>
          </w:rPr>
          <w:t>Tablero de los MoU de la</w:t>
        </w:r>
        <w:r w:rsidR="00157658">
          <w:rPr>
            <w:rStyle w:val="Hyperlink"/>
            <w:lang w:val="es-ES"/>
          </w:rPr>
          <w:t> </w:t>
        </w:r>
        <w:r w:rsidRPr="006A4149">
          <w:rPr>
            <w:rStyle w:val="Hyperlink"/>
            <w:lang w:val="es-ES"/>
          </w:rPr>
          <w:t>UIT</w:t>
        </w:r>
      </w:hyperlink>
      <w:r w:rsidRPr="006A4149">
        <w:rPr>
          <w:lang w:val="es-ES"/>
        </w:rPr>
        <w:t xml:space="preserve"> que proporciona los enlaces a los Informes del Consejo sobre los MoU. Australia también señala que, desde la decisión de la PP-18: </w:t>
      </w:r>
    </w:p>
    <w:p w14:paraId="55E8C62B" w14:textId="77777777" w:rsidR="000C4B26" w:rsidRPr="006A4149" w:rsidRDefault="000C4B26" w:rsidP="000C4B26">
      <w:pPr>
        <w:pStyle w:val="enumlev1"/>
        <w:rPr>
          <w:lang w:val="es-ES"/>
        </w:rPr>
      </w:pPr>
      <w:r w:rsidRPr="00DA30B4">
        <w:rPr>
          <w:lang w:val="es-ES"/>
        </w:rPr>
        <w:t>•</w:t>
      </w:r>
      <w:r>
        <w:rPr>
          <w:lang w:val="es-ES"/>
        </w:rPr>
        <w:tab/>
      </w:r>
      <w:r w:rsidRPr="006A4149">
        <w:rPr>
          <w:lang w:val="es-ES"/>
        </w:rPr>
        <w:t xml:space="preserve">La UIT ha considerado que ningún MoU tiene repercusiones estratégicas o financieras sustanciales (esto es evidente, ya que </w:t>
      </w:r>
      <w:r>
        <w:rPr>
          <w:lang w:val="es-ES"/>
        </w:rPr>
        <w:t xml:space="preserve">no </w:t>
      </w:r>
      <w:r w:rsidRPr="006A4149">
        <w:rPr>
          <w:lang w:val="es-ES"/>
        </w:rPr>
        <w:t>se ha presentado ningún MoU al Consejo para su aprobación).</w:t>
      </w:r>
    </w:p>
    <w:p w14:paraId="5E0752A2" w14:textId="77777777" w:rsidR="000C4B26" w:rsidRPr="006A4149" w:rsidRDefault="000C4B26" w:rsidP="000C4B26">
      <w:pPr>
        <w:pStyle w:val="enumlev1"/>
        <w:rPr>
          <w:lang w:val="es-ES"/>
        </w:rPr>
      </w:pPr>
      <w:r w:rsidRPr="00DA30B4">
        <w:rPr>
          <w:lang w:val="es-ES"/>
        </w:rPr>
        <w:t>•</w:t>
      </w:r>
      <w:r>
        <w:rPr>
          <w:lang w:val="es-ES"/>
        </w:rPr>
        <w:tab/>
      </w:r>
      <w:r w:rsidRPr="006A4149">
        <w:rPr>
          <w:lang w:val="es-ES"/>
        </w:rPr>
        <w:t>No se ha informado al Consejo de varios MoU, quizá porque no están específicamente denominados como tales (por ejemplo, pueden estar calificados como "Memorando de Cooperación" o "Memorando de Acuerdo").</w:t>
      </w:r>
    </w:p>
    <w:p w14:paraId="59FA0A16" w14:textId="77777777" w:rsidR="000C4B26" w:rsidRPr="006A4149" w:rsidRDefault="000C4B26" w:rsidP="000C4B26">
      <w:pPr>
        <w:rPr>
          <w:lang w:val="es-ES"/>
        </w:rPr>
      </w:pPr>
      <w:r w:rsidRPr="006A4149">
        <w:rPr>
          <w:lang w:val="es-ES"/>
        </w:rPr>
        <w:t>La presente contribución de Australia propone los siguientes pasos para continuar con el impulso de la UIT hacia la consecución de una mayor transparencia.</w:t>
      </w:r>
    </w:p>
    <w:p w14:paraId="6861C3C8" w14:textId="77777777" w:rsidR="000C4B26" w:rsidRPr="006A4149" w:rsidRDefault="000C4B26" w:rsidP="000C4B26">
      <w:pPr>
        <w:pStyle w:val="Headingb"/>
        <w:rPr>
          <w:lang w:val="es-ES"/>
        </w:rPr>
      </w:pPr>
      <w:r w:rsidRPr="006A4149">
        <w:rPr>
          <w:lang w:val="es-ES"/>
        </w:rPr>
        <w:t>Propuesta</w:t>
      </w:r>
    </w:p>
    <w:p w14:paraId="09A0CF0A" w14:textId="77777777" w:rsidR="000C4B26" w:rsidRPr="006A4149" w:rsidRDefault="000C4B26" w:rsidP="000C4B26">
      <w:pPr>
        <w:rPr>
          <w:lang w:val="es-ES"/>
        </w:rPr>
      </w:pPr>
      <w:r w:rsidRPr="006A4149">
        <w:rPr>
          <w:lang w:val="es-ES"/>
        </w:rPr>
        <w:t>Australia propone que la Secretaría de la UIT facilite al Consejo los criterios que utiliza para determinar si un MoU tiene implicaciones estratégicas y/o financieras sustanciales, para su revisión. De este modo se logrará una interpretación común de qué MoU deben someterse a la aprobación previa del Consejo.</w:t>
      </w:r>
    </w:p>
    <w:p w14:paraId="79335E03" w14:textId="77777777" w:rsidR="000C4B26" w:rsidRPr="006A4149" w:rsidRDefault="000C4B26" w:rsidP="000C4B26">
      <w:pPr>
        <w:rPr>
          <w:lang w:val="es-ES"/>
        </w:rPr>
      </w:pPr>
      <w:r w:rsidRPr="006A4149">
        <w:rPr>
          <w:lang w:val="es-ES"/>
        </w:rPr>
        <w:t>Australia propone además que la Secretaría de la UIT actualice el Tablero de los MoU, para:</w:t>
      </w:r>
    </w:p>
    <w:p w14:paraId="42AA9FD0" w14:textId="77777777" w:rsidR="000C4B26" w:rsidRPr="006A4149" w:rsidRDefault="000C4B26" w:rsidP="000C4B26">
      <w:pPr>
        <w:pStyle w:val="enumlev1"/>
        <w:rPr>
          <w:sz w:val="22"/>
          <w:lang w:val="es-ES"/>
        </w:rPr>
      </w:pPr>
      <w:r w:rsidRPr="00DA30B4">
        <w:rPr>
          <w:lang w:val="es-ES"/>
        </w:rPr>
        <w:t>•</w:t>
      </w:r>
      <w:r>
        <w:rPr>
          <w:lang w:val="es-ES"/>
        </w:rPr>
        <w:tab/>
        <w:t>R</w:t>
      </w:r>
      <w:r w:rsidRPr="006A4149">
        <w:rPr>
          <w:lang w:val="es-ES"/>
        </w:rPr>
        <w:t>evisar su presentación, para que pueda servir como una herramienta útil para el análisis. Por ejemplo, el Tablero podría presentarse como un cuadro con encabezamientos, en el que cada MoU se introdujera en una línea separada:</w:t>
      </w:r>
    </w:p>
    <w:p w14:paraId="26C1B8D1" w14:textId="766EF29F" w:rsidR="000C4B26" w:rsidRPr="006A4149" w:rsidRDefault="000C4B26" w:rsidP="000C4B26">
      <w:pPr>
        <w:pStyle w:val="enumlev2"/>
        <w:rPr>
          <w:sz w:val="22"/>
          <w:lang w:val="es-ES"/>
        </w:rPr>
      </w:pPr>
      <w:r w:rsidRPr="00DA30B4">
        <w:rPr>
          <w:lang w:val="es-ES"/>
        </w:rPr>
        <w:t>–</w:t>
      </w:r>
      <w:r>
        <w:rPr>
          <w:lang w:val="es-ES"/>
        </w:rPr>
        <w:tab/>
      </w:r>
      <w:r w:rsidRPr="006A4149">
        <w:rPr>
          <w:lang w:val="es-ES"/>
        </w:rPr>
        <w:t xml:space="preserve">La UIT </w:t>
      </w:r>
      <w:r>
        <w:rPr>
          <w:lang w:val="es-ES"/>
        </w:rPr>
        <w:t xml:space="preserve">ya </w:t>
      </w:r>
      <w:r w:rsidRPr="006A4149">
        <w:rPr>
          <w:lang w:val="es-ES"/>
        </w:rPr>
        <w:t xml:space="preserve">ha utilizado anteriormente encabezamientos que podrían volver a incorporarse. Esos encabezamientos incluyen: homólogo(s); asunto; fecha de la firma; coordinador de la </w:t>
      </w:r>
      <w:r w:rsidR="00157658">
        <w:rPr>
          <w:lang w:val="es-ES"/>
        </w:rPr>
        <w:t>UIT</w:t>
      </w:r>
      <w:r w:rsidRPr="006A4149">
        <w:rPr>
          <w:lang w:val="es-ES"/>
        </w:rPr>
        <w:t xml:space="preserve"> (véase el Informe a la reunión de 2021 del Consejo, </w:t>
      </w:r>
      <w:hyperlink r:id="rId15" w:history="1">
        <w:r w:rsidRPr="006A4149">
          <w:rPr>
            <w:rStyle w:val="Hyperlink"/>
            <w:lang w:val="es-ES"/>
          </w:rPr>
          <w:t>documento C21/45</w:t>
        </w:r>
      </w:hyperlink>
      <w:r w:rsidRPr="006A4149">
        <w:rPr>
          <w:lang w:val="es-ES"/>
        </w:rPr>
        <w:t>).</w:t>
      </w:r>
    </w:p>
    <w:p w14:paraId="70DC03FD" w14:textId="77777777" w:rsidR="000C4B26" w:rsidRPr="006A4149" w:rsidRDefault="000C4B26" w:rsidP="000C4B26">
      <w:pPr>
        <w:pStyle w:val="enumlev2"/>
        <w:rPr>
          <w:lang w:val="es-ES"/>
        </w:rPr>
      </w:pPr>
      <w:r w:rsidRPr="00DA30B4">
        <w:rPr>
          <w:lang w:val="es-ES"/>
        </w:rPr>
        <w:lastRenderedPageBreak/>
        <w:t>–</w:t>
      </w:r>
      <w:r>
        <w:rPr>
          <w:lang w:val="es-ES"/>
        </w:rPr>
        <w:tab/>
      </w:r>
      <w:r w:rsidRPr="006A4149">
        <w:rPr>
          <w:lang w:val="es-ES"/>
        </w:rPr>
        <w:t>Otros encabezamientos adicionales útiles podrían ser: fecha de finalización; estado de las actividades del MoU; recursos financieros y/o de otro tipo gastados por la UIT en el cumplimiento de sus obligaciones en el marco del MoU; repercusiones/resultados previstos.</w:t>
      </w:r>
    </w:p>
    <w:p w14:paraId="107FA390" w14:textId="4391E77D" w:rsidR="00927F93" w:rsidRDefault="000C4B26" w:rsidP="000C4B26">
      <w:pPr>
        <w:rPr>
          <w:lang w:val="es-ES"/>
        </w:rPr>
      </w:pPr>
      <w:r w:rsidRPr="00DA30B4">
        <w:rPr>
          <w:lang w:val="es-ES"/>
        </w:rPr>
        <w:t>•</w:t>
      </w:r>
      <w:r>
        <w:rPr>
          <w:lang w:val="es-ES"/>
        </w:rPr>
        <w:tab/>
        <w:t>A</w:t>
      </w:r>
      <w:r w:rsidRPr="006A4149">
        <w:rPr>
          <w:lang w:val="es-ES"/>
        </w:rPr>
        <w:t>segurarse de que recoge todos los MoU, en consonancia con el espíritu de la decisión de la PP-18, refrendada en la PP</w:t>
      </w:r>
      <w:r>
        <w:rPr>
          <w:lang w:val="es-ES"/>
        </w:rPr>
        <w:t>-</w:t>
      </w:r>
      <w:r w:rsidRPr="006A4149">
        <w:rPr>
          <w:lang w:val="es-ES"/>
        </w:rPr>
        <w:t xml:space="preserve">22. Esto incluiría los MoU con denominaciones alternativas, como: acuerdos de asociación; convenios de colaboración; </w:t>
      </w:r>
      <w:r>
        <w:rPr>
          <w:lang w:val="es-ES"/>
        </w:rPr>
        <w:t>m</w:t>
      </w:r>
      <w:r w:rsidRPr="006A4149">
        <w:rPr>
          <w:lang w:val="es-ES"/>
        </w:rPr>
        <w:t xml:space="preserve">emorandos de </w:t>
      </w:r>
      <w:r>
        <w:rPr>
          <w:lang w:val="es-ES"/>
        </w:rPr>
        <w:t>c</w:t>
      </w:r>
      <w:r w:rsidRPr="006A4149">
        <w:rPr>
          <w:lang w:val="es-ES"/>
        </w:rPr>
        <w:t xml:space="preserve">ooperación; acuerdos de contribución voluntaria de </w:t>
      </w:r>
      <w:r>
        <w:rPr>
          <w:lang w:val="es-ES"/>
        </w:rPr>
        <w:t xml:space="preserve">los </w:t>
      </w:r>
      <w:r w:rsidRPr="006A4149">
        <w:rPr>
          <w:lang w:val="es-ES"/>
        </w:rPr>
        <w:t xml:space="preserve">Estados Miembros; </w:t>
      </w:r>
      <w:r>
        <w:rPr>
          <w:lang w:val="es-ES"/>
        </w:rPr>
        <w:t>y</w:t>
      </w:r>
      <w:r w:rsidRPr="006A4149">
        <w:rPr>
          <w:lang w:val="es-ES"/>
        </w:rPr>
        <w:t xml:space="preserve"> acuerdos destinados a iniciativas de desarrollo multirregionales, regionales o nacionales.</w:t>
      </w:r>
    </w:p>
    <w:p w14:paraId="6841DA3E" w14:textId="77777777" w:rsidR="000C4B26" w:rsidRDefault="000C4B26" w:rsidP="00411C49">
      <w:pPr>
        <w:pStyle w:val="Reasons"/>
      </w:pPr>
    </w:p>
    <w:p w14:paraId="415E7409" w14:textId="77777777" w:rsidR="000C4B26" w:rsidRDefault="000C4B26">
      <w:pPr>
        <w:jc w:val="center"/>
      </w:pPr>
      <w:r>
        <w:t>______________</w:t>
      </w:r>
    </w:p>
    <w:p w14:paraId="425594FF" w14:textId="77777777" w:rsidR="000C4B26" w:rsidRPr="000B0D00" w:rsidRDefault="000C4B26" w:rsidP="000C4B26"/>
    <w:sectPr w:rsidR="000C4B26" w:rsidRPr="000B0D00" w:rsidSect="00C538FC">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3A9B" w14:textId="77777777" w:rsidR="00C81C45" w:rsidRDefault="00C81C45">
      <w:r>
        <w:separator/>
      </w:r>
    </w:p>
  </w:endnote>
  <w:endnote w:type="continuationSeparator" w:id="0">
    <w:p w14:paraId="61ACB855" w14:textId="77777777" w:rsidR="00C81C45" w:rsidRDefault="00C8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ACBD953" w14:textId="77777777" w:rsidTr="00E31DCE">
      <w:trPr>
        <w:jc w:val="center"/>
      </w:trPr>
      <w:tc>
        <w:tcPr>
          <w:tcW w:w="1803" w:type="dxa"/>
          <w:vAlign w:val="center"/>
        </w:tcPr>
        <w:p w14:paraId="3BE166A4" w14:textId="73103B7A" w:rsidR="003273A4" w:rsidRDefault="003273A4" w:rsidP="003273A4">
          <w:pPr>
            <w:pStyle w:val="Header"/>
            <w:jc w:val="left"/>
            <w:rPr>
              <w:noProof/>
            </w:rPr>
          </w:pPr>
          <w:r>
            <w:rPr>
              <w:noProof/>
            </w:rPr>
            <w:t xml:space="preserve">DPS </w:t>
          </w:r>
          <w:r w:rsidR="000C4B26">
            <w:rPr>
              <w:noProof/>
            </w:rPr>
            <w:t>525317</w:t>
          </w:r>
        </w:p>
      </w:tc>
      <w:tc>
        <w:tcPr>
          <w:tcW w:w="8261" w:type="dxa"/>
        </w:tcPr>
        <w:p w14:paraId="512B7246" w14:textId="06448A02"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C4B26">
            <w:rPr>
              <w:bCs/>
            </w:rPr>
            <w:t>69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95CFC39" w14:textId="764FB9FE" w:rsidR="00760F1C" w:rsidRPr="00D8545D" w:rsidRDefault="00D8545D" w:rsidP="00D8545D">
    <w:pPr>
      <w:pStyle w:val="Footer"/>
      <w:rPr>
        <w:lang w:val="fr-FR"/>
      </w:rPr>
    </w:pPr>
    <w:r w:rsidRPr="00E348CC">
      <w:rPr>
        <w:color w:val="F2F2F2" w:themeColor="background1" w:themeShade="F2"/>
      </w:rPr>
      <w:fldChar w:fldCharType="begin"/>
    </w:r>
    <w:r w:rsidRPr="00E348CC">
      <w:rPr>
        <w:color w:val="F2F2F2" w:themeColor="background1" w:themeShade="F2"/>
        <w:lang w:val="fr-FR"/>
      </w:rPr>
      <w:instrText xml:space="preserve"> FILENAME \p  \* MERGEFORMAT </w:instrText>
    </w:r>
    <w:r w:rsidRPr="00E348CC">
      <w:rPr>
        <w:color w:val="F2F2F2" w:themeColor="background1" w:themeShade="F2"/>
      </w:rPr>
      <w:fldChar w:fldCharType="separate"/>
    </w:r>
    <w:r w:rsidRPr="00E348CC">
      <w:rPr>
        <w:color w:val="F2F2F2" w:themeColor="background1" w:themeShade="F2"/>
        <w:lang w:val="fr-FR"/>
      </w:rPr>
      <w:t>P:\ESP\SG\CONSEIL\C23\000\069S.docx</w:t>
    </w:r>
    <w:r w:rsidRPr="00E348CC">
      <w:rPr>
        <w:color w:val="F2F2F2" w:themeColor="background1" w:themeShade="F2"/>
      </w:rPr>
      <w:fldChar w:fldCharType="end"/>
    </w:r>
    <w:r w:rsidRPr="00E348CC">
      <w:rPr>
        <w:color w:val="F2F2F2" w:themeColor="background1" w:themeShade="F2"/>
        <w:lang w:val="fr-FR"/>
      </w:rPr>
      <w:t xml:space="preserve"> (525317)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A9B3483" w14:textId="77777777" w:rsidTr="00E31DCE">
      <w:trPr>
        <w:jc w:val="center"/>
      </w:trPr>
      <w:tc>
        <w:tcPr>
          <w:tcW w:w="1803" w:type="dxa"/>
          <w:vAlign w:val="center"/>
        </w:tcPr>
        <w:p w14:paraId="76630D6E" w14:textId="77777777" w:rsidR="00F24B71" w:rsidRDefault="00000000" w:rsidP="00F24B71">
          <w:pPr>
            <w:pStyle w:val="Header"/>
            <w:jc w:val="left"/>
            <w:rPr>
              <w:noProof/>
            </w:rPr>
          </w:pPr>
          <w:hyperlink r:id="rId1" w:history="1">
            <w:r w:rsidR="00F24B71" w:rsidRPr="00A514A4">
              <w:rPr>
                <w:rStyle w:val="Hyperlink"/>
                <w:szCs w:val="14"/>
              </w:rPr>
              <w:t>www.itu.int/council</w:t>
            </w:r>
          </w:hyperlink>
        </w:p>
      </w:tc>
      <w:tc>
        <w:tcPr>
          <w:tcW w:w="8261" w:type="dxa"/>
        </w:tcPr>
        <w:p w14:paraId="51072820" w14:textId="782B3CE6"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0C4B26">
            <w:rPr>
              <w:bCs/>
            </w:rPr>
            <w:t>69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F3A33BF" w14:textId="01231696" w:rsidR="00760F1C" w:rsidRPr="00D8545D" w:rsidRDefault="00D8545D" w:rsidP="00F24B71">
    <w:pPr>
      <w:pStyle w:val="Footer"/>
      <w:rPr>
        <w:lang w:val="fr-FR"/>
      </w:rPr>
    </w:pPr>
    <w:r w:rsidRPr="00E348CC">
      <w:rPr>
        <w:color w:val="F2F2F2" w:themeColor="background1" w:themeShade="F2"/>
      </w:rPr>
      <w:fldChar w:fldCharType="begin"/>
    </w:r>
    <w:r w:rsidRPr="00E348CC">
      <w:rPr>
        <w:color w:val="F2F2F2" w:themeColor="background1" w:themeShade="F2"/>
        <w:lang w:val="fr-FR"/>
      </w:rPr>
      <w:instrText xml:space="preserve"> FILENAME \p  \* MERGEFORMAT </w:instrText>
    </w:r>
    <w:r w:rsidRPr="00E348CC">
      <w:rPr>
        <w:color w:val="F2F2F2" w:themeColor="background1" w:themeShade="F2"/>
      </w:rPr>
      <w:fldChar w:fldCharType="separate"/>
    </w:r>
    <w:r w:rsidRPr="00E348CC">
      <w:rPr>
        <w:color w:val="F2F2F2" w:themeColor="background1" w:themeShade="F2"/>
        <w:lang w:val="fr-FR"/>
      </w:rPr>
      <w:t>P:\ESP\SG\CONSEIL\C23\000\069S.docx</w:t>
    </w:r>
    <w:r w:rsidRPr="00E348CC">
      <w:rPr>
        <w:color w:val="F2F2F2" w:themeColor="background1" w:themeShade="F2"/>
      </w:rPr>
      <w:fldChar w:fldCharType="end"/>
    </w:r>
    <w:r w:rsidRPr="00E348CC">
      <w:rPr>
        <w:color w:val="F2F2F2" w:themeColor="background1" w:themeShade="F2"/>
        <w:lang w:val="fr-FR"/>
      </w:rPr>
      <w:t xml:space="preserve"> (525317)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A0FE" w14:textId="77777777" w:rsidR="00C81C45" w:rsidRDefault="00C81C45">
      <w:r>
        <w:t>____________________</w:t>
      </w:r>
    </w:p>
  </w:footnote>
  <w:footnote w:type="continuationSeparator" w:id="0">
    <w:p w14:paraId="7F85F393" w14:textId="77777777" w:rsidR="00C81C45" w:rsidRDefault="00C8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B760740" w14:textId="77777777" w:rsidTr="00E31DCE">
      <w:trPr>
        <w:trHeight w:val="1104"/>
        <w:jc w:val="center"/>
      </w:trPr>
      <w:tc>
        <w:tcPr>
          <w:tcW w:w="4390" w:type="dxa"/>
          <w:vAlign w:val="center"/>
        </w:tcPr>
        <w:p w14:paraId="65B57B09"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49BE6289" wp14:editId="27D70161">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7E3DE879" w14:textId="77777777" w:rsidR="001559F5" w:rsidRDefault="001559F5" w:rsidP="001559F5">
          <w:pPr>
            <w:pStyle w:val="Header"/>
            <w:jc w:val="right"/>
            <w:rPr>
              <w:rFonts w:ascii="Arial" w:hAnsi="Arial" w:cs="Arial"/>
              <w:b/>
              <w:bCs/>
              <w:color w:val="009CD6"/>
              <w:szCs w:val="18"/>
            </w:rPr>
          </w:pPr>
        </w:p>
        <w:p w14:paraId="280C72DA" w14:textId="77777777" w:rsidR="001559F5" w:rsidRDefault="001559F5" w:rsidP="001559F5">
          <w:pPr>
            <w:pStyle w:val="Header"/>
            <w:jc w:val="right"/>
            <w:rPr>
              <w:rFonts w:ascii="Arial" w:hAnsi="Arial" w:cs="Arial"/>
              <w:b/>
              <w:bCs/>
              <w:color w:val="009CD6"/>
              <w:szCs w:val="18"/>
            </w:rPr>
          </w:pPr>
        </w:p>
        <w:p w14:paraId="009EE9A5"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2A0117D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E5CB762" wp14:editId="45F41FF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C452F"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26"/>
    <w:rsid w:val="000007D1"/>
    <w:rsid w:val="00093EEB"/>
    <w:rsid w:val="000B0D00"/>
    <w:rsid w:val="000B7C15"/>
    <w:rsid w:val="000C4B26"/>
    <w:rsid w:val="000D1D0F"/>
    <w:rsid w:val="000F5290"/>
    <w:rsid w:val="0010165C"/>
    <w:rsid w:val="00146BFB"/>
    <w:rsid w:val="001559F5"/>
    <w:rsid w:val="00157658"/>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574DB"/>
    <w:rsid w:val="00B75520"/>
    <w:rsid w:val="00B826C2"/>
    <w:rsid w:val="00B8298E"/>
    <w:rsid w:val="00BD0723"/>
    <w:rsid w:val="00BD2518"/>
    <w:rsid w:val="00BF1D1C"/>
    <w:rsid w:val="00C20C59"/>
    <w:rsid w:val="00C2727F"/>
    <w:rsid w:val="00C538FC"/>
    <w:rsid w:val="00C55B1F"/>
    <w:rsid w:val="00C81C45"/>
    <w:rsid w:val="00CF1A67"/>
    <w:rsid w:val="00D2750E"/>
    <w:rsid w:val="00D50A36"/>
    <w:rsid w:val="00D62446"/>
    <w:rsid w:val="00D8545D"/>
    <w:rsid w:val="00DA4EA2"/>
    <w:rsid w:val="00DC3D3E"/>
    <w:rsid w:val="00DE2C90"/>
    <w:rsid w:val="00DE3B24"/>
    <w:rsid w:val="00E06947"/>
    <w:rsid w:val="00E34072"/>
    <w:rsid w:val="00E348CC"/>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A0437"/>
  <w15:docId w15:val="{9ADDB21A-A478-412A-9F6F-764DD69E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PP-C-0206/en" TargetMode="External"/><Relationship Id="rId13" Type="http://schemas.openxmlformats.org/officeDocument/2006/relationships/hyperlink" Target="https://www.itu.int/md/S22-PP-C-0206/en"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22-PP-C-0189/en" TargetMode="External"/><Relationship Id="rId12" Type="http://schemas.openxmlformats.org/officeDocument/2006/relationships/hyperlink" Target="https://www.itu.int/md/S22-PP-C-0189/e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18-pp-c-0173" TargetMode="External"/><Relationship Id="rId11" Type="http://schemas.openxmlformats.org/officeDocument/2006/relationships/hyperlink" Target="https://www.itu.int/md/s18-pp-c-0173" TargetMode="External"/><Relationship Id="rId5" Type="http://schemas.openxmlformats.org/officeDocument/2006/relationships/endnotes" Target="endnotes.xml"/><Relationship Id="rId15" Type="http://schemas.openxmlformats.org/officeDocument/2006/relationships/hyperlink" Target="https://www.itu.int/md/S21-CL-C-0045/en" TargetMode="External"/><Relationship Id="rId10" Type="http://schemas.openxmlformats.org/officeDocument/2006/relationships/hyperlink" Target="https://www.itu.int/md/S21-CL-C-0045/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en/council/dashboard/Pages/Mou.aspx" TargetMode="External"/><Relationship Id="rId14" Type="http://schemas.openxmlformats.org/officeDocument/2006/relationships/hyperlink" Target="https://www.itu.int/en/council/dashboard/Pages/Mou.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3</Pages>
  <Words>818</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5477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Australia  - Aumento de la transparencia de los Memorandos de Entendimiento</dc:title>
  <dc:subject>Council 2023</dc:subject>
  <dc:creator>Spanish</dc:creator>
  <cp:keywords>C2023, C23, Council-23</cp:keywords>
  <dc:description/>
  <cp:lastModifiedBy>Xue, Kun</cp:lastModifiedBy>
  <cp:revision>3</cp:revision>
  <cp:lastPrinted>2006-03-24T09:51:00Z</cp:lastPrinted>
  <dcterms:created xsi:type="dcterms:W3CDTF">2023-07-02T19:32:00Z</dcterms:created>
  <dcterms:modified xsi:type="dcterms:W3CDTF">2023-07-02T19:33:00Z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