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B530E" w14:paraId="0FD435D0" w14:textId="77777777" w:rsidTr="00AD3606">
        <w:trPr>
          <w:cantSplit/>
          <w:trHeight w:val="23"/>
        </w:trPr>
        <w:tc>
          <w:tcPr>
            <w:tcW w:w="3969" w:type="dxa"/>
            <w:vMerge w:val="restart"/>
            <w:tcMar>
              <w:left w:w="0" w:type="dxa"/>
            </w:tcMar>
          </w:tcPr>
          <w:p w14:paraId="7C03CD30" w14:textId="6A4E0930" w:rsidR="00AD3606" w:rsidRPr="00AB530E"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AB530E">
              <w:rPr>
                <w:b/>
              </w:rPr>
              <w:t xml:space="preserve">Agenda item: </w:t>
            </w:r>
            <w:r w:rsidR="00047FDC" w:rsidRPr="00AB530E">
              <w:rPr>
                <w:b/>
              </w:rPr>
              <w:t>PL 3</w:t>
            </w:r>
          </w:p>
        </w:tc>
        <w:tc>
          <w:tcPr>
            <w:tcW w:w="5245" w:type="dxa"/>
          </w:tcPr>
          <w:p w14:paraId="38E3A240" w14:textId="6FE519AB" w:rsidR="00AD3606" w:rsidRPr="00AB530E" w:rsidRDefault="00AD3606" w:rsidP="00472BAD">
            <w:pPr>
              <w:tabs>
                <w:tab w:val="left" w:pos="851"/>
              </w:tabs>
              <w:spacing w:before="0" w:line="240" w:lineRule="atLeast"/>
              <w:jc w:val="right"/>
              <w:rPr>
                <w:b/>
              </w:rPr>
            </w:pPr>
            <w:r w:rsidRPr="00AB530E">
              <w:rPr>
                <w:b/>
              </w:rPr>
              <w:t>Document C23/</w:t>
            </w:r>
            <w:r w:rsidR="00047FDC" w:rsidRPr="00AB530E">
              <w:rPr>
                <w:b/>
              </w:rPr>
              <w:t>78</w:t>
            </w:r>
            <w:r w:rsidRPr="00AB530E">
              <w:rPr>
                <w:b/>
              </w:rPr>
              <w:t>-E</w:t>
            </w:r>
          </w:p>
        </w:tc>
      </w:tr>
      <w:tr w:rsidR="00AD3606" w:rsidRPr="00AB530E" w14:paraId="4F48B177" w14:textId="77777777" w:rsidTr="00AD3606">
        <w:trPr>
          <w:cantSplit/>
        </w:trPr>
        <w:tc>
          <w:tcPr>
            <w:tcW w:w="3969" w:type="dxa"/>
            <w:vMerge/>
          </w:tcPr>
          <w:p w14:paraId="5B2127C1" w14:textId="77777777" w:rsidR="00AD3606" w:rsidRPr="00AB530E" w:rsidRDefault="00AD3606" w:rsidP="00AD3606">
            <w:pPr>
              <w:tabs>
                <w:tab w:val="left" w:pos="851"/>
              </w:tabs>
              <w:spacing w:line="240" w:lineRule="atLeast"/>
              <w:rPr>
                <w:b/>
              </w:rPr>
            </w:pPr>
            <w:bookmarkStart w:id="6" w:name="ddate" w:colFirst="1" w:colLast="1"/>
            <w:bookmarkEnd w:id="0"/>
            <w:bookmarkEnd w:id="1"/>
          </w:p>
        </w:tc>
        <w:tc>
          <w:tcPr>
            <w:tcW w:w="5245" w:type="dxa"/>
          </w:tcPr>
          <w:p w14:paraId="21FF03FC" w14:textId="71418772" w:rsidR="00AD3606" w:rsidRPr="00AB530E" w:rsidRDefault="00047FDC" w:rsidP="00AD3606">
            <w:pPr>
              <w:tabs>
                <w:tab w:val="left" w:pos="851"/>
              </w:tabs>
              <w:spacing w:before="0"/>
              <w:jc w:val="right"/>
              <w:rPr>
                <w:b/>
              </w:rPr>
            </w:pPr>
            <w:r w:rsidRPr="00AB530E">
              <w:rPr>
                <w:b/>
              </w:rPr>
              <w:t>27 June</w:t>
            </w:r>
            <w:r w:rsidR="00AD3606" w:rsidRPr="00AB530E">
              <w:rPr>
                <w:b/>
              </w:rPr>
              <w:t xml:space="preserve"> 2023</w:t>
            </w:r>
          </w:p>
        </w:tc>
      </w:tr>
      <w:tr w:rsidR="00AD3606" w:rsidRPr="00AB530E" w14:paraId="007EE1A1" w14:textId="77777777" w:rsidTr="00AD3606">
        <w:trPr>
          <w:cantSplit/>
          <w:trHeight w:val="23"/>
        </w:trPr>
        <w:tc>
          <w:tcPr>
            <w:tcW w:w="3969" w:type="dxa"/>
            <w:vMerge/>
          </w:tcPr>
          <w:p w14:paraId="32CCF0AE" w14:textId="77777777" w:rsidR="00AD3606" w:rsidRPr="00AB530E" w:rsidRDefault="00AD3606" w:rsidP="00AD3606">
            <w:pPr>
              <w:tabs>
                <w:tab w:val="left" w:pos="851"/>
              </w:tabs>
              <w:spacing w:line="240" w:lineRule="atLeast"/>
              <w:rPr>
                <w:b/>
              </w:rPr>
            </w:pPr>
            <w:bookmarkStart w:id="7" w:name="dorlang" w:colFirst="1" w:colLast="1"/>
            <w:bookmarkEnd w:id="6"/>
          </w:p>
        </w:tc>
        <w:tc>
          <w:tcPr>
            <w:tcW w:w="5245" w:type="dxa"/>
          </w:tcPr>
          <w:p w14:paraId="7B3A23DD" w14:textId="60678AF2" w:rsidR="00AD3606" w:rsidRPr="00AB530E" w:rsidRDefault="00AD3606" w:rsidP="00AD3606">
            <w:pPr>
              <w:tabs>
                <w:tab w:val="left" w:pos="851"/>
              </w:tabs>
              <w:spacing w:before="0" w:line="240" w:lineRule="atLeast"/>
              <w:jc w:val="right"/>
              <w:rPr>
                <w:b/>
              </w:rPr>
            </w:pPr>
            <w:r w:rsidRPr="00AB530E">
              <w:rPr>
                <w:b/>
              </w:rPr>
              <w:t xml:space="preserve">Original: </w:t>
            </w:r>
            <w:r w:rsidR="00047FDC" w:rsidRPr="00AB530E">
              <w:rPr>
                <w:b/>
              </w:rPr>
              <w:t>Chinese</w:t>
            </w:r>
          </w:p>
        </w:tc>
      </w:tr>
      <w:tr w:rsidR="00472BAD" w:rsidRPr="00AB530E" w14:paraId="46094548" w14:textId="77777777" w:rsidTr="00AD3606">
        <w:trPr>
          <w:cantSplit/>
          <w:trHeight w:val="23"/>
        </w:trPr>
        <w:tc>
          <w:tcPr>
            <w:tcW w:w="3969" w:type="dxa"/>
          </w:tcPr>
          <w:p w14:paraId="1EA29935" w14:textId="77777777" w:rsidR="00472BAD" w:rsidRPr="00AB530E" w:rsidRDefault="00472BAD" w:rsidP="00AD3606">
            <w:pPr>
              <w:tabs>
                <w:tab w:val="left" w:pos="851"/>
              </w:tabs>
              <w:spacing w:line="240" w:lineRule="atLeast"/>
              <w:rPr>
                <w:b/>
              </w:rPr>
            </w:pPr>
          </w:p>
        </w:tc>
        <w:tc>
          <w:tcPr>
            <w:tcW w:w="5245" w:type="dxa"/>
          </w:tcPr>
          <w:p w14:paraId="5EDC572D" w14:textId="77777777" w:rsidR="00472BAD" w:rsidRPr="00AB530E" w:rsidRDefault="00472BAD" w:rsidP="00AD3606">
            <w:pPr>
              <w:tabs>
                <w:tab w:val="left" w:pos="851"/>
              </w:tabs>
              <w:spacing w:before="0" w:line="240" w:lineRule="atLeast"/>
              <w:jc w:val="right"/>
              <w:rPr>
                <w:b/>
              </w:rPr>
            </w:pPr>
          </w:p>
        </w:tc>
      </w:tr>
      <w:tr w:rsidR="00AD3606" w:rsidRPr="00AB530E" w14:paraId="46168217" w14:textId="77777777" w:rsidTr="00AD3606">
        <w:trPr>
          <w:cantSplit/>
        </w:trPr>
        <w:tc>
          <w:tcPr>
            <w:tcW w:w="9214" w:type="dxa"/>
            <w:gridSpan w:val="2"/>
            <w:tcMar>
              <w:left w:w="0" w:type="dxa"/>
            </w:tcMar>
          </w:tcPr>
          <w:p w14:paraId="6CB3BAEA" w14:textId="2B3DD96D" w:rsidR="00AD3606" w:rsidRPr="00AB530E" w:rsidRDefault="00F4300A" w:rsidP="00F94BA0">
            <w:pPr>
              <w:pStyle w:val="Source"/>
              <w:framePr w:hSpace="0" w:wrap="auto" w:vAnchor="margin" w:hAnchor="text" w:xAlign="left" w:yAlign="inline"/>
            </w:pPr>
            <w:bookmarkStart w:id="8" w:name="dsource" w:colFirst="0" w:colLast="0"/>
            <w:bookmarkEnd w:id="7"/>
            <w:r>
              <w:t>Contribution from the People's Republic of China</w:t>
            </w:r>
          </w:p>
        </w:tc>
      </w:tr>
      <w:tr w:rsidR="00AD3606" w:rsidRPr="00AB530E" w14:paraId="01D39C79" w14:textId="77777777" w:rsidTr="00AD3606">
        <w:trPr>
          <w:cantSplit/>
        </w:trPr>
        <w:tc>
          <w:tcPr>
            <w:tcW w:w="9214" w:type="dxa"/>
            <w:gridSpan w:val="2"/>
            <w:tcMar>
              <w:left w:w="0" w:type="dxa"/>
            </w:tcMar>
          </w:tcPr>
          <w:p w14:paraId="68899986" w14:textId="099E36EA" w:rsidR="00AD3606" w:rsidRPr="00AB530E" w:rsidRDefault="003276DB" w:rsidP="00F94BA0">
            <w:pPr>
              <w:pStyle w:val="Subtitle"/>
              <w:framePr w:hSpace="0" w:wrap="auto" w:xAlign="left" w:yAlign="inline"/>
            </w:pPr>
            <w:bookmarkStart w:id="9" w:name="dtitle1" w:colFirst="0" w:colLast="0"/>
            <w:bookmarkEnd w:id="8"/>
            <w:r w:rsidRPr="00AB530E">
              <w:t>PROPOSALS FOR THE IMPROVEMENTS OF THE COUNCIL</w:t>
            </w:r>
          </w:p>
        </w:tc>
      </w:tr>
      <w:tr w:rsidR="00AD3606" w:rsidRPr="00AB530E" w14:paraId="384FD687" w14:textId="77777777" w:rsidTr="00AD3606">
        <w:trPr>
          <w:cantSplit/>
        </w:trPr>
        <w:tc>
          <w:tcPr>
            <w:tcW w:w="9214" w:type="dxa"/>
            <w:gridSpan w:val="2"/>
            <w:tcBorders>
              <w:top w:val="single" w:sz="4" w:space="0" w:color="auto"/>
              <w:bottom w:val="single" w:sz="4" w:space="0" w:color="auto"/>
            </w:tcBorders>
            <w:tcMar>
              <w:left w:w="0" w:type="dxa"/>
            </w:tcMar>
          </w:tcPr>
          <w:p w14:paraId="2E268BED" w14:textId="6018E00C" w:rsidR="00AD3606" w:rsidRPr="00AB530E" w:rsidRDefault="00F16BAB" w:rsidP="00F16BAB">
            <w:pPr>
              <w:spacing w:before="160"/>
              <w:rPr>
                <w:b/>
                <w:bCs/>
                <w:sz w:val="26"/>
                <w:szCs w:val="26"/>
              </w:rPr>
            </w:pPr>
            <w:r w:rsidRPr="00AB530E">
              <w:rPr>
                <w:b/>
                <w:bCs/>
                <w:sz w:val="26"/>
                <w:szCs w:val="26"/>
              </w:rPr>
              <w:t>Purpose</w:t>
            </w:r>
          </w:p>
          <w:p w14:paraId="17D2BEE5" w14:textId="4DA129CF" w:rsidR="00AD3606" w:rsidRPr="00AB530E" w:rsidRDefault="00047FDC" w:rsidP="00047FDC">
            <w:r w:rsidRPr="00AB530E">
              <w:t>The ITU General Secretariat has proposed measures to further improve the Council, which will have a significant impact on ITU and hence should be carefully</w:t>
            </w:r>
            <w:r w:rsidRPr="00AB530E">
              <w:rPr>
                <w:lang w:eastAsia="zh-CN"/>
              </w:rPr>
              <w:t xml:space="preserve"> assessed and evaluated</w:t>
            </w:r>
            <w:r w:rsidRPr="00AB530E">
              <w:t xml:space="preserve">. </w:t>
            </w:r>
            <w:r w:rsidRPr="00AB530E">
              <w:rPr>
                <w:lang w:eastAsia="zh-CN" w:bidi="ar"/>
              </w:rPr>
              <w:t>China proposes</w:t>
            </w:r>
            <w:r w:rsidR="00D84233" w:rsidRPr="00AB530E">
              <w:rPr>
                <w:lang w:eastAsia="zh-CN" w:bidi="ar"/>
              </w:rPr>
              <w:t xml:space="preserve"> </w:t>
            </w:r>
            <w:r w:rsidR="00341AF0">
              <w:rPr>
                <w:lang w:eastAsia="zh-CN" w:bidi="ar"/>
              </w:rPr>
              <w:t xml:space="preserve">having </w:t>
            </w:r>
            <w:r w:rsidRPr="00AB530E">
              <w:rPr>
                <w:lang w:eastAsia="zh-CN" w:bidi="ar"/>
              </w:rPr>
              <w:t xml:space="preserve">a comprehensive discussion on these improvements </w:t>
            </w:r>
            <w:r w:rsidR="00341AF0">
              <w:rPr>
                <w:lang w:eastAsia="zh-CN" w:bidi="ar"/>
              </w:rPr>
              <w:t>at</w:t>
            </w:r>
            <w:r w:rsidRPr="00AB530E">
              <w:rPr>
                <w:lang w:eastAsia="zh-CN" w:bidi="ar"/>
              </w:rPr>
              <w:t xml:space="preserve"> the forthcoming Council session.</w:t>
            </w:r>
          </w:p>
          <w:p w14:paraId="0AF21FBA" w14:textId="77777777" w:rsidR="00AD3606" w:rsidRPr="00AB530E" w:rsidRDefault="00AD3606" w:rsidP="00F16BAB">
            <w:pPr>
              <w:spacing w:before="160"/>
              <w:rPr>
                <w:b/>
                <w:bCs/>
                <w:sz w:val="26"/>
                <w:szCs w:val="26"/>
              </w:rPr>
            </w:pPr>
            <w:r w:rsidRPr="00AB530E">
              <w:rPr>
                <w:b/>
                <w:bCs/>
                <w:sz w:val="26"/>
                <w:szCs w:val="26"/>
              </w:rPr>
              <w:t>Action required</w:t>
            </w:r>
            <w:r w:rsidR="00F16BAB" w:rsidRPr="00AB530E">
              <w:rPr>
                <w:b/>
                <w:bCs/>
                <w:sz w:val="26"/>
                <w:szCs w:val="26"/>
              </w:rPr>
              <w:t xml:space="preserve"> by the Council</w:t>
            </w:r>
          </w:p>
          <w:p w14:paraId="05B7CF75" w14:textId="49B0B21C" w:rsidR="00AD3606" w:rsidRPr="00AB530E" w:rsidRDefault="00047FDC" w:rsidP="00047FDC">
            <w:r w:rsidRPr="00AB530E">
              <w:t xml:space="preserve">The Council is invited </w:t>
            </w:r>
            <w:r w:rsidRPr="00AB530E">
              <w:rPr>
                <w:b/>
                <w:bCs/>
              </w:rPr>
              <w:t xml:space="preserve">to consider </w:t>
            </w:r>
            <w:r w:rsidRPr="00AB530E">
              <w:t xml:space="preserve">the proposals outlined in this contribution and </w:t>
            </w:r>
            <w:r w:rsidRPr="00AB530E">
              <w:rPr>
                <w:b/>
                <w:bCs/>
              </w:rPr>
              <w:t>take necessary actions</w:t>
            </w:r>
            <w:r w:rsidRPr="00AB530E">
              <w:t>,</w:t>
            </w:r>
            <w:r w:rsidRPr="00AB530E">
              <w:rPr>
                <w:lang w:eastAsia="zh-CN"/>
              </w:rPr>
              <w:t xml:space="preserve"> as appropriate</w:t>
            </w:r>
            <w:r w:rsidRPr="00AB530E">
              <w:t>.</w:t>
            </w:r>
          </w:p>
          <w:p w14:paraId="62C1B9E4" w14:textId="77777777" w:rsidR="00AD3606" w:rsidRPr="00AB530E" w:rsidRDefault="00AD3606" w:rsidP="00F16BAB">
            <w:pPr>
              <w:spacing w:before="160"/>
              <w:rPr>
                <w:caps/>
                <w:sz w:val="22"/>
              </w:rPr>
            </w:pPr>
            <w:r w:rsidRPr="00AB530E">
              <w:rPr>
                <w:sz w:val="22"/>
              </w:rPr>
              <w:t>__________________</w:t>
            </w:r>
          </w:p>
          <w:p w14:paraId="3D05583D" w14:textId="77777777" w:rsidR="00AD3606" w:rsidRPr="00AB530E" w:rsidRDefault="00AD3606" w:rsidP="00F16BAB">
            <w:pPr>
              <w:spacing w:before="160"/>
              <w:rPr>
                <w:b/>
                <w:bCs/>
                <w:sz w:val="26"/>
                <w:szCs w:val="26"/>
              </w:rPr>
            </w:pPr>
            <w:r w:rsidRPr="00AB530E">
              <w:rPr>
                <w:b/>
                <w:bCs/>
                <w:sz w:val="26"/>
                <w:szCs w:val="26"/>
              </w:rPr>
              <w:t>References</w:t>
            </w:r>
          </w:p>
          <w:p w14:paraId="5897D30E" w14:textId="77777777" w:rsidR="00047FDC" w:rsidRPr="00AB530E" w:rsidRDefault="00047FDC" w:rsidP="00047FDC">
            <w:pPr>
              <w:rPr>
                <w:rFonts w:asciiTheme="minorHAnsi" w:hAnsiTheme="minorHAnsi" w:cstheme="minorHAnsi"/>
                <w:i/>
                <w:iCs/>
                <w:szCs w:val="24"/>
              </w:rPr>
            </w:pPr>
            <w:r w:rsidRPr="00AB530E">
              <w:rPr>
                <w:rFonts w:asciiTheme="minorHAnsi" w:hAnsiTheme="minorHAnsi" w:cstheme="minorHAnsi"/>
                <w:i/>
                <w:iCs/>
                <w:szCs w:val="24"/>
              </w:rPr>
              <w:t xml:space="preserve">Article 10 of the </w:t>
            </w:r>
            <w:hyperlink r:id="rId8" w:history="1">
              <w:r w:rsidRPr="00AB530E">
                <w:rPr>
                  <w:rStyle w:val="Hyperlink"/>
                  <w:rFonts w:asciiTheme="minorHAnsi" w:hAnsiTheme="minorHAnsi"/>
                  <w:i/>
                  <w:iCs/>
                  <w:szCs w:val="24"/>
                </w:rPr>
                <w:t>Constitution</w:t>
              </w:r>
            </w:hyperlink>
            <w:r w:rsidRPr="00AB530E">
              <w:rPr>
                <w:rFonts w:asciiTheme="minorHAnsi" w:hAnsiTheme="minorHAnsi" w:cstheme="minorHAnsi"/>
                <w:i/>
                <w:iCs/>
                <w:szCs w:val="24"/>
              </w:rPr>
              <w:t xml:space="preserve">, Article 4 of the </w:t>
            </w:r>
            <w:hyperlink r:id="rId9" w:history="1">
              <w:r w:rsidRPr="00AB530E">
                <w:rPr>
                  <w:rStyle w:val="Hyperlink"/>
                  <w:rFonts w:asciiTheme="minorHAnsi" w:hAnsiTheme="minorHAnsi"/>
                  <w:i/>
                  <w:iCs/>
                  <w:szCs w:val="24"/>
                </w:rPr>
                <w:t>Convention</w:t>
              </w:r>
            </w:hyperlink>
            <w:r w:rsidRPr="00AB530E">
              <w:rPr>
                <w:rFonts w:asciiTheme="minorHAnsi" w:hAnsiTheme="minorHAnsi" w:cstheme="minorHAnsi"/>
                <w:i/>
                <w:iCs/>
                <w:szCs w:val="24"/>
              </w:rPr>
              <w:t xml:space="preserve">, </w:t>
            </w:r>
            <w:hyperlink r:id="rId10" w:history="1">
              <w:r w:rsidRPr="00AB530E">
                <w:rPr>
                  <w:rStyle w:val="Hyperlink"/>
                  <w:rFonts w:asciiTheme="minorHAnsi" w:hAnsiTheme="minorHAnsi" w:cstheme="minorHAnsi"/>
                  <w:i/>
                  <w:iCs/>
                  <w:szCs w:val="24"/>
                </w:rPr>
                <w:t>Rules of Procedure of the Council</w:t>
              </w:r>
            </w:hyperlink>
            <w:r w:rsidRPr="00AB530E">
              <w:rPr>
                <w:rFonts w:asciiTheme="minorHAnsi" w:hAnsiTheme="minorHAnsi" w:cstheme="minorHAnsi"/>
                <w:i/>
                <w:iCs/>
                <w:szCs w:val="24"/>
              </w:rPr>
              <w:t>;</w:t>
            </w:r>
          </w:p>
          <w:p w14:paraId="53889EB8" w14:textId="30A21B38" w:rsidR="00047FDC" w:rsidRPr="00AB530E" w:rsidRDefault="00437E32" w:rsidP="00047FDC">
            <w:pPr>
              <w:rPr>
                <w:rFonts w:asciiTheme="minorHAnsi" w:hAnsiTheme="minorHAnsi" w:cstheme="minorHAnsi"/>
                <w:i/>
                <w:iCs/>
                <w:szCs w:val="24"/>
              </w:rPr>
            </w:pPr>
            <w:hyperlink r:id="rId11" w:history="1">
              <w:r w:rsidR="00047FDC" w:rsidRPr="00AB530E">
                <w:rPr>
                  <w:rStyle w:val="Hyperlink"/>
                  <w:rFonts w:asciiTheme="minorHAnsi" w:hAnsiTheme="minorHAnsi"/>
                  <w:i/>
                  <w:iCs/>
                  <w:szCs w:val="24"/>
                </w:rPr>
                <w:t>Resolution 71</w:t>
              </w:r>
            </w:hyperlink>
            <w:r w:rsidR="00047FDC" w:rsidRPr="00AB530E">
              <w:rPr>
                <w:rFonts w:asciiTheme="minorHAnsi" w:hAnsiTheme="minorHAnsi" w:cstheme="minorHAnsi"/>
                <w:i/>
                <w:iCs/>
                <w:szCs w:val="24"/>
              </w:rPr>
              <w:t xml:space="preserve">, </w:t>
            </w:r>
            <w:hyperlink r:id="rId12" w:history="1">
              <w:r w:rsidR="00047FDC" w:rsidRPr="00AB530E">
                <w:rPr>
                  <w:rStyle w:val="Hyperlink"/>
                  <w:rFonts w:asciiTheme="minorHAnsi" w:hAnsiTheme="minorHAnsi"/>
                  <w:i/>
                  <w:iCs/>
                  <w:szCs w:val="24"/>
                </w:rPr>
                <w:t>Resolution 66</w:t>
              </w:r>
            </w:hyperlink>
            <w:r w:rsidR="00047FDC" w:rsidRPr="00AB530E">
              <w:rPr>
                <w:rFonts w:asciiTheme="minorHAnsi" w:hAnsiTheme="minorHAnsi" w:cstheme="minorHAnsi"/>
                <w:i/>
                <w:iCs/>
                <w:szCs w:val="24"/>
              </w:rPr>
              <w:t>,</w:t>
            </w:r>
            <w:r w:rsidR="00D84233" w:rsidRPr="00AB530E">
              <w:rPr>
                <w:rFonts w:asciiTheme="minorHAnsi" w:hAnsiTheme="minorHAnsi" w:cstheme="minorHAnsi"/>
                <w:i/>
                <w:iCs/>
                <w:szCs w:val="24"/>
              </w:rPr>
              <w:t xml:space="preserve"> </w:t>
            </w:r>
            <w:hyperlink r:id="rId13" w:history="1">
              <w:r w:rsidR="00047FDC" w:rsidRPr="00AB530E">
                <w:rPr>
                  <w:rStyle w:val="Hyperlink"/>
                  <w:rFonts w:asciiTheme="minorHAnsi" w:hAnsiTheme="minorHAnsi" w:cstheme="minorHAnsi"/>
                  <w:i/>
                  <w:iCs/>
                  <w:szCs w:val="24"/>
                </w:rPr>
                <w:t>Resolution 77</w:t>
              </w:r>
            </w:hyperlink>
            <w:r w:rsidR="00047FDC" w:rsidRPr="00AB530E">
              <w:rPr>
                <w:rFonts w:asciiTheme="minorHAnsi" w:hAnsiTheme="minorHAnsi" w:cstheme="minorHAnsi"/>
                <w:i/>
                <w:iCs/>
                <w:szCs w:val="24"/>
              </w:rPr>
              <w:t xml:space="preserve">, </w:t>
            </w:r>
            <w:hyperlink r:id="rId14" w:history="1">
              <w:r w:rsidR="00047FDC" w:rsidRPr="00AB530E">
                <w:rPr>
                  <w:rStyle w:val="Hyperlink"/>
                  <w:rFonts w:asciiTheme="minorHAnsi" w:hAnsiTheme="minorHAnsi"/>
                  <w:i/>
                  <w:iCs/>
                  <w:szCs w:val="24"/>
                </w:rPr>
                <w:t>Resolution 91</w:t>
              </w:r>
            </w:hyperlink>
            <w:r w:rsidR="00047FDC" w:rsidRPr="00AB530E">
              <w:rPr>
                <w:rFonts w:asciiTheme="minorHAnsi" w:hAnsiTheme="minorHAnsi" w:cstheme="minorHAnsi"/>
                <w:i/>
                <w:iCs/>
                <w:szCs w:val="24"/>
              </w:rPr>
              <w:t xml:space="preserve"> </w:t>
            </w:r>
            <w:r w:rsidR="00047FDC" w:rsidRPr="00AB530E">
              <w:rPr>
                <w:rFonts w:asciiTheme="minorHAnsi" w:hAnsiTheme="minorHAnsi" w:cstheme="minorHAnsi"/>
                <w:i/>
                <w:iCs/>
                <w:szCs w:val="24"/>
                <w:lang w:eastAsia="zh-CN"/>
              </w:rPr>
              <w:t>and</w:t>
            </w:r>
            <w:r w:rsidR="00047FDC" w:rsidRPr="00AB530E">
              <w:rPr>
                <w:rFonts w:asciiTheme="minorHAnsi" w:hAnsiTheme="minorHAnsi" w:cstheme="minorHAnsi"/>
                <w:i/>
                <w:iCs/>
                <w:szCs w:val="24"/>
              </w:rPr>
              <w:t xml:space="preserve"> </w:t>
            </w:r>
            <w:hyperlink r:id="rId15" w:history="1">
              <w:r w:rsidR="00047FDC" w:rsidRPr="00AB530E">
                <w:rPr>
                  <w:rStyle w:val="Hyperlink"/>
                  <w:rFonts w:asciiTheme="minorHAnsi" w:hAnsiTheme="minorHAnsi"/>
                  <w:i/>
                  <w:iCs/>
                  <w:szCs w:val="24"/>
                </w:rPr>
                <w:t>Resolution 191</w:t>
              </w:r>
            </w:hyperlink>
            <w:r w:rsidR="00047FDC" w:rsidRPr="00AB530E">
              <w:rPr>
                <w:rFonts w:asciiTheme="minorHAnsi" w:hAnsiTheme="minorHAnsi" w:cstheme="minorHAnsi"/>
                <w:i/>
                <w:iCs/>
                <w:szCs w:val="24"/>
              </w:rPr>
              <w:t xml:space="preserve"> of the Plenipotentiary Conference;</w:t>
            </w:r>
          </w:p>
          <w:p w14:paraId="3B3DEDF5" w14:textId="77777777" w:rsidR="00047FDC" w:rsidRPr="00AB530E" w:rsidRDefault="00047FDC" w:rsidP="00047FDC">
            <w:pPr>
              <w:rPr>
                <w:rFonts w:asciiTheme="minorHAnsi" w:hAnsiTheme="minorHAnsi" w:cstheme="minorHAnsi"/>
                <w:i/>
                <w:iCs/>
                <w:szCs w:val="24"/>
              </w:rPr>
            </w:pPr>
            <w:r w:rsidRPr="00AB530E">
              <w:rPr>
                <w:rFonts w:asciiTheme="minorHAnsi" w:hAnsiTheme="minorHAnsi" w:cstheme="minorHAnsi"/>
                <w:i/>
                <w:iCs/>
                <w:szCs w:val="24"/>
              </w:rPr>
              <w:t xml:space="preserve">Council </w:t>
            </w:r>
            <w:hyperlink r:id="rId16" w:history="1">
              <w:r w:rsidRPr="00AB530E">
                <w:rPr>
                  <w:rStyle w:val="Hyperlink"/>
                  <w:rFonts w:asciiTheme="minorHAnsi" w:hAnsiTheme="minorHAnsi" w:cstheme="minorHAnsi"/>
                  <w:i/>
                  <w:iCs/>
                  <w:szCs w:val="24"/>
                </w:rPr>
                <w:t>Decision 626</w:t>
              </w:r>
            </w:hyperlink>
            <w:r w:rsidRPr="00AB530E">
              <w:rPr>
                <w:i/>
                <w:iCs/>
                <w:szCs w:val="24"/>
              </w:rPr>
              <w:t xml:space="preserve"> </w:t>
            </w:r>
            <w:r w:rsidRPr="00AB530E">
              <w:rPr>
                <w:rFonts w:asciiTheme="minorHAnsi" w:hAnsiTheme="minorHAnsi" w:cstheme="minorHAnsi"/>
                <w:i/>
                <w:iCs/>
                <w:szCs w:val="24"/>
              </w:rPr>
              <w:t>(C22);</w:t>
            </w:r>
          </w:p>
          <w:p w14:paraId="1116F208" w14:textId="50E0B784" w:rsidR="00AD3606" w:rsidRPr="00AB530E" w:rsidRDefault="00047FDC" w:rsidP="00047FDC">
            <w:r w:rsidRPr="00AB530E">
              <w:rPr>
                <w:rFonts w:asciiTheme="minorHAnsi" w:hAnsiTheme="minorHAnsi" w:cstheme="minorHAnsi"/>
                <w:i/>
                <w:iCs/>
                <w:szCs w:val="24"/>
                <w:lang w:eastAsia="zh-CN"/>
              </w:rPr>
              <w:t xml:space="preserve">Council documents </w:t>
            </w:r>
            <w:hyperlink r:id="rId17" w:history="1">
              <w:r w:rsidRPr="00AB530E">
                <w:rPr>
                  <w:rStyle w:val="Hyperlink"/>
                  <w:rFonts w:asciiTheme="minorHAnsi" w:hAnsiTheme="minorHAnsi" w:cstheme="minorHAnsi"/>
                  <w:szCs w:val="24"/>
                  <w:lang w:eastAsia="zh-CN"/>
                </w:rPr>
                <w:t>C23/2</w:t>
              </w:r>
            </w:hyperlink>
            <w:r w:rsidRPr="00AB530E">
              <w:rPr>
                <w:rFonts w:asciiTheme="minorHAnsi" w:hAnsiTheme="minorHAnsi" w:cstheme="minorHAnsi"/>
                <w:i/>
                <w:iCs/>
                <w:szCs w:val="24"/>
                <w:lang w:eastAsia="zh-CN"/>
              </w:rPr>
              <w:t xml:space="preserve"> and </w:t>
            </w:r>
            <w:hyperlink r:id="rId18" w:history="1">
              <w:r w:rsidRPr="00AB530E">
                <w:rPr>
                  <w:rStyle w:val="Hyperlink"/>
                  <w:rFonts w:asciiTheme="minorHAnsi" w:eastAsiaTheme="minorEastAsia" w:hAnsiTheme="minorHAnsi" w:cstheme="minorHAnsi"/>
                  <w:szCs w:val="24"/>
                  <w:lang w:eastAsia="zh-CN"/>
                </w:rPr>
                <w:t>C23/32</w:t>
              </w:r>
            </w:hyperlink>
            <w:r w:rsidRPr="00AB530E">
              <w:rPr>
                <w:rFonts w:asciiTheme="minorHAnsi" w:hAnsiTheme="minorHAnsi" w:cstheme="minorHAnsi"/>
                <w:i/>
                <w:iCs/>
                <w:szCs w:val="24"/>
              </w:rPr>
              <w:t>.</w:t>
            </w:r>
          </w:p>
        </w:tc>
      </w:tr>
    </w:tbl>
    <w:p w14:paraId="69E5C6AB" w14:textId="77777777" w:rsidR="00E227F3" w:rsidRPr="00AB530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F036EDB" w14:textId="77777777" w:rsidR="0090147A" w:rsidRPr="00AB530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AB530E">
        <w:br w:type="page"/>
      </w:r>
    </w:p>
    <w:bookmarkEnd w:id="5"/>
    <w:bookmarkEnd w:id="10"/>
    <w:p w14:paraId="596A0AEB" w14:textId="56B32EB9" w:rsidR="00047FDC" w:rsidRPr="00AB530E" w:rsidRDefault="00047FDC" w:rsidP="00D84233">
      <w:pPr>
        <w:pStyle w:val="Heading1"/>
        <w:rPr>
          <w:lang w:eastAsia="zh-CN"/>
        </w:rPr>
      </w:pPr>
      <w:r w:rsidRPr="00AB530E">
        <w:rPr>
          <w:lang w:eastAsia="zh-CN"/>
        </w:rPr>
        <w:lastRenderedPageBreak/>
        <w:t>1</w:t>
      </w:r>
      <w:r w:rsidRPr="00AB530E">
        <w:rPr>
          <w:lang w:eastAsia="zh-CN"/>
        </w:rPr>
        <w:tab/>
        <w:t xml:space="preserve">Background </w:t>
      </w:r>
    </w:p>
    <w:p w14:paraId="5431CA10" w14:textId="0B2528A6" w:rsidR="00047FDC" w:rsidRPr="00AB530E" w:rsidRDefault="00047FDC" w:rsidP="00D84233">
      <w:pPr>
        <w:rPr>
          <w:lang w:eastAsia="zh-CN" w:bidi="ar"/>
        </w:rPr>
      </w:pPr>
      <w:r w:rsidRPr="00AB530E">
        <w:rPr>
          <w:lang w:eastAsia="zh-CN" w:bidi="ar"/>
        </w:rPr>
        <w:t>The</w:t>
      </w:r>
      <w:r w:rsidR="003276DB">
        <w:rPr>
          <w:lang w:eastAsia="zh-CN" w:bidi="ar"/>
        </w:rPr>
        <w:t xml:space="preserve"> </w:t>
      </w:r>
      <w:r w:rsidRPr="00AB530E">
        <w:rPr>
          <w:lang w:eastAsia="zh-CN" w:bidi="ar"/>
        </w:rPr>
        <w:t>ITU is governed</w:t>
      </w:r>
      <w:r w:rsidR="003276DB">
        <w:rPr>
          <w:lang w:eastAsia="zh-CN" w:bidi="ar"/>
        </w:rPr>
        <w:t xml:space="preserve"> </w:t>
      </w:r>
      <w:r w:rsidRPr="00AB530E">
        <w:rPr>
          <w:lang w:eastAsia="zh-CN" w:bidi="ar"/>
        </w:rPr>
        <w:t>by the</w:t>
      </w:r>
      <w:r w:rsidR="003276DB">
        <w:rPr>
          <w:lang w:eastAsia="zh-CN" w:bidi="ar"/>
        </w:rPr>
        <w:t xml:space="preserve"> </w:t>
      </w:r>
      <w:r w:rsidRPr="00AB530E">
        <w:rPr>
          <w:lang w:eastAsia="zh-CN" w:bidi="ar"/>
        </w:rPr>
        <w:t>Plenipotentiary Conference and the</w:t>
      </w:r>
      <w:r w:rsidR="003276DB">
        <w:rPr>
          <w:lang w:eastAsia="zh-CN" w:bidi="ar"/>
        </w:rPr>
        <w:t xml:space="preserve"> </w:t>
      </w:r>
      <w:r w:rsidRPr="00AB530E">
        <w:rPr>
          <w:lang w:eastAsia="zh-CN" w:bidi="ar"/>
        </w:rPr>
        <w:t>Council, which acts as the Union</w:t>
      </w:r>
      <w:r w:rsidR="00D84233" w:rsidRPr="00AB530E">
        <w:rPr>
          <w:lang w:eastAsia="zh-CN" w:bidi="ar"/>
        </w:rPr>
        <w:t>'</w:t>
      </w:r>
      <w:r w:rsidRPr="00AB530E">
        <w:rPr>
          <w:lang w:eastAsia="zh-CN" w:bidi="ar"/>
        </w:rPr>
        <w:t>s</w:t>
      </w:r>
      <w:r w:rsidR="003276DB">
        <w:rPr>
          <w:lang w:eastAsia="zh-CN" w:bidi="ar"/>
        </w:rPr>
        <w:t xml:space="preserve"> </w:t>
      </w:r>
      <w:r w:rsidRPr="00AB530E">
        <w:rPr>
          <w:lang w:eastAsia="zh-CN" w:bidi="ar"/>
        </w:rPr>
        <w:t>governing body</w:t>
      </w:r>
      <w:r w:rsidR="003276DB">
        <w:rPr>
          <w:lang w:eastAsia="zh-CN" w:bidi="ar"/>
        </w:rPr>
        <w:t xml:space="preserve"> </w:t>
      </w:r>
      <w:r w:rsidRPr="00AB530E">
        <w:rPr>
          <w:lang w:eastAsia="zh-CN" w:bidi="ar"/>
        </w:rPr>
        <w:t xml:space="preserve">in the interval between </w:t>
      </w:r>
      <w:r w:rsidR="00E22268" w:rsidRPr="00AB530E">
        <w:rPr>
          <w:lang w:eastAsia="zh-CN" w:bidi="ar"/>
        </w:rPr>
        <w:t>plenipotentiary conferences</w:t>
      </w:r>
      <w:r w:rsidRPr="00AB530E">
        <w:rPr>
          <w:lang w:eastAsia="zh-CN" w:bidi="ar"/>
        </w:rPr>
        <w:t>, on behalf of the Plenipotentiary Conference within the limits of the powers delegated to it by the latter. In accordance with Article 10 of the ITU Constitution and Article 4 of the Convention, the</w:t>
      </w:r>
      <w:r w:rsidR="00E22268">
        <w:rPr>
          <w:lang w:eastAsia="zh-CN" w:bidi="ar"/>
        </w:rPr>
        <w:t xml:space="preserve"> </w:t>
      </w:r>
      <w:r w:rsidRPr="00AB530E">
        <w:rPr>
          <w:lang w:eastAsia="zh-CN" w:bidi="ar"/>
        </w:rPr>
        <w:t>Council</w:t>
      </w:r>
      <w:r w:rsidR="00E22268">
        <w:rPr>
          <w:lang w:eastAsia="zh-CN" w:bidi="ar"/>
        </w:rPr>
        <w:t xml:space="preserve"> </w:t>
      </w:r>
      <w:r w:rsidRPr="00AB530E">
        <w:rPr>
          <w:lang w:eastAsia="zh-CN" w:bidi="ar"/>
        </w:rPr>
        <w:t>sh</w:t>
      </w:r>
      <w:r w:rsidR="00341AF0">
        <w:rPr>
          <w:lang w:eastAsia="zh-CN" w:bidi="ar"/>
        </w:rPr>
        <w:t>ould</w:t>
      </w:r>
      <w:r w:rsidR="003276DB">
        <w:rPr>
          <w:lang w:eastAsia="zh-CN" w:bidi="ar"/>
        </w:rPr>
        <w:t xml:space="preserve"> </w:t>
      </w:r>
      <w:r w:rsidRPr="00AB530E">
        <w:rPr>
          <w:lang w:eastAsia="zh-CN" w:bidi="ar"/>
        </w:rPr>
        <w:t>take</w:t>
      </w:r>
      <w:r w:rsidR="003276DB">
        <w:rPr>
          <w:lang w:eastAsia="zh-CN" w:bidi="ar"/>
        </w:rPr>
        <w:t xml:space="preserve"> </w:t>
      </w:r>
      <w:r w:rsidRPr="00AB530E">
        <w:rPr>
          <w:lang w:eastAsia="zh-CN" w:bidi="ar"/>
        </w:rPr>
        <w:t>all</w:t>
      </w:r>
      <w:r w:rsidR="003276DB">
        <w:rPr>
          <w:lang w:eastAsia="zh-CN" w:bidi="ar"/>
        </w:rPr>
        <w:t xml:space="preserve"> </w:t>
      </w:r>
      <w:r w:rsidRPr="00AB530E">
        <w:rPr>
          <w:lang w:eastAsia="zh-CN" w:bidi="ar"/>
        </w:rPr>
        <w:t>steps</w:t>
      </w:r>
      <w:r w:rsidR="003276DB">
        <w:rPr>
          <w:lang w:eastAsia="zh-CN" w:bidi="ar"/>
        </w:rPr>
        <w:t xml:space="preserve"> </w:t>
      </w:r>
      <w:r w:rsidRPr="00AB530E">
        <w:rPr>
          <w:lang w:eastAsia="zh-CN" w:bidi="ar"/>
        </w:rPr>
        <w:t>to facilitate the implementation by the Member States of the provisions of the</w:t>
      </w:r>
      <w:r w:rsidR="003276DB">
        <w:rPr>
          <w:lang w:eastAsia="zh-CN" w:bidi="ar"/>
        </w:rPr>
        <w:t xml:space="preserve"> </w:t>
      </w:r>
      <w:r w:rsidRPr="00AB530E">
        <w:rPr>
          <w:lang w:eastAsia="zh-CN" w:bidi="ar"/>
        </w:rPr>
        <w:t>Constitution, of the</w:t>
      </w:r>
      <w:r w:rsidR="003276DB">
        <w:rPr>
          <w:lang w:eastAsia="zh-CN" w:bidi="ar"/>
        </w:rPr>
        <w:t xml:space="preserve"> </w:t>
      </w:r>
      <w:r w:rsidRPr="00AB530E">
        <w:rPr>
          <w:lang w:eastAsia="zh-CN" w:bidi="ar"/>
        </w:rPr>
        <w:t>Convention, of the Administrative Regulations and of the decisions of the Plenipotentiary Conference and, where appropriate, of the decisions of other conferences and meetings of the Union, and perform any duties assigned to it by the Plenipotentiary Conference.</w:t>
      </w:r>
    </w:p>
    <w:p w14:paraId="1521A8D9" w14:textId="3058D317" w:rsidR="00047FDC" w:rsidRPr="00AB530E" w:rsidRDefault="00047FDC" w:rsidP="00D84233">
      <w:pPr>
        <w:rPr>
          <w:lang w:eastAsia="zh-CN" w:bidi="ar"/>
        </w:rPr>
      </w:pPr>
      <w:r w:rsidRPr="00AB530E">
        <w:rPr>
          <w:lang w:eastAsia="zh-CN" w:bidi="ar"/>
        </w:rPr>
        <w:t xml:space="preserve">Previously, by means of </w:t>
      </w:r>
      <w:r w:rsidR="00B53761">
        <w:rPr>
          <w:lang w:eastAsia="zh-CN" w:bidi="ar"/>
        </w:rPr>
        <w:t xml:space="preserve">an </w:t>
      </w:r>
      <w:r w:rsidRPr="00AB530E">
        <w:rPr>
          <w:lang w:eastAsia="zh-CN" w:bidi="ar"/>
        </w:rPr>
        <w:t xml:space="preserve">informal virtual meeting, </w:t>
      </w:r>
      <w:r w:rsidRPr="00AB530E">
        <w:t>virtual thematic briefings</w:t>
      </w:r>
      <w:r w:rsidRPr="00AB530E">
        <w:rPr>
          <w:lang w:eastAsia="zh-CN" w:bidi="ar"/>
        </w:rPr>
        <w:t xml:space="preserve"> and </w:t>
      </w:r>
      <w:r w:rsidR="00B53761">
        <w:rPr>
          <w:lang w:eastAsia="zh-CN" w:bidi="ar"/>
        </w:rPr>
        <w:t xml:space="preserve">a </w:t>
      </w:r>
      <w:r w:rsidRPr="00AB530E">
        <w:rPr>
          <w:lang w:eastAsia="zh-CN" w:bidi="ar"/>
        </w:rPr>
        <w:t xml:space="preserve">retreat with councillors, the </w:t>
      </w:r>
      <w:r w:rsidR="006C4862" w:rsidRPr="00AB530E">
        <w:rPr>
          <w:lang w:eastAsia="zh-CN" w:bidi="ar"/>
        </w:rPr>
        <w:t xml:space="preserve">ITU </w:t>
      </w:r>
      <w:r w:rsidRPr="00AB530E">
        <w:rPr>
          <w:lang w:eastAsia="zh-CN" w:bidi="ar"/>
        </w:rPr>
        <w:t>General Secretariat presented further improvements to Council preparations and deliberations to strengthen its strategic role and effectiveness. Documents</w:t>
      </w:r>
      <w:r w:rsidR="00D84233" w:rsidRPr="00AB530E">
        <w:rPr>
          <w:lang w:eastAsia="zh-CN" w:bidi="ar"/>
        </w:rPr>
        <w:t> </w:t>
      </w:r>
      <w:r w:rsidRPr="00AB530E">
        <w:rPr>
          <w:lang w:eastAsia="zh-CN" w:bidi="ar"/>
        </w:rPr>
        <w:t xml:space="preserve">2 and 32 have been submitted for consideration by the 2023 session of the Council. The improvements include shortening the duration of the Council session from </w:t>
      </w:r>
      <w:r w:rsidR="00AB530E">
        <w:rPr>
          <w:lang w:eastAsia="zh-CN" w:bidi="ar"/>
        </w:rPr>
        <w:t>nine</w:t>
      </w:r>
      <w:r w:rsidRPr="00AB530E">
        <w:rPr>
          <w:lang w:eastAsia="zh-CN" w:bidi="ar"/>
        </w:rPr>
        <w:t xml:space="preserve"> to </w:t>
      </w:r>
      <w:r w:rsidR="00AB530E">
        <w:rPr>
          <w:lang w:eastAsia="zh-CN" w:bidi="ar"/>
        </w:rPr>
        <w:t>six</w:t>
      </w:r>
      <w:r w:rsidRPr="00AB530E">
        <w:rPr>
          <w:lang w:eastAsia="zh-CN" w:bidi="ar"/>
        </w:rPr>
        <w:t xml:space="preserve"> working days, categorizing and adopting documents in groups, reducing items on the agenda of the annual Council session, focusing on essential items, organization of the High-Level Segment,</w:t>
      </w:r>
      <w:r w:rsidRPr="00AB530E">
        <w:t xml:space="preserve"> </w:t>
      </w:r>
      <w:r w:rsidR="006C4862">
        <w:t xml:space="preserve">and </w:t>
      </w:r>
      <w:r w:rsidRPr="00AB530E">
        <w:t xml:space="preserve">organization of a retreat with councillors under </w:t>
      </w:r>
      <w:r w:rsidR="00D84233" w:rsidRPr="00AB530E">
        <w:rPr>
          <w:lang w:eastAsia="zh-CN"/>
        </w:rPr>
        <w:t>"</w:t>
      </w:r>
      <w:r w:rsidRPr="00AB530E">
        <w:t>Chatham House Rules</w:t>
      </w:r>
      <w:r w:rsidR="00D84233" w:rsidRPr="00AB530E">
        <w:rPr>
          <w:lang w:eastAsia="zh-CN"/>
        </w:rPr>
        <w:t>"</w:t>
      </w:r>
      <w:r w:rsidRPr="00AB530E">
        <w:rPr>
          <w:lang w:eastAsia="zh-CN" w:bidi="ar"/>
        </w:rPr>
        <w:t>.</w:t>
      </w:r>
      <w:r w:rsidR="00D84233" w:rsidRPr="00AB530E">
        <w:rPr>
          <w:lang w:eastAsia="zh-CN" w:bidi="ar"/>
        </w:rPr>
        <w:t xml:space="preserve"> </w:t>
      </w:r>
    </w:p>
    <w:p w14:paraId="475748ED" w14:textId="2B40ED67" w:rsidR="00047FDC" w:rsidRPr="00AB530E" w:rsidRDefault="00047FDC" w:rsidP="00D84233">
      <w:pPr>
        <w:pStyle w:val="Heading1"/>
        <w:rPr>
          <w:lang w:eastAsia="zh-CN"/>
        </w:rPr>
      </w:pPr>
      <w:r w:rsidRPr="00AB530E">
        <w:rPr>
          <w:lang w:eastAsia="zh-CN"/>
        </w:rPr>
        <w:t>2</w:t>
      </w:r>
      <w:r w:rsidRPr="00AB530E">
        <w:rPr>
          <w:lang w:eastAsia="zh-CN"/>
        </w:rPr>
        <w:tab/>
        <w:t>Proposals</w:t>
      </w:r>
      <w:r w:rsidRPr="00AB530E">
        <w:rPr>
          <w:lang w:eastAsia="zh-CN"/>
        </w:rPr>
        <w:tab/>
      </w:r>
    </w:p>
    <w:p w14:paraId="7A95797F" w14:textId="5AA6ED33" w:rsidR="00047FDC" w:rsidRPr="00AB530E" w:rsidRDefault="00047FDC" w:rsidP="00D84233">
      <w:pPr>
        <w:rPr>
          <w:lang w:eastAsia="zh-CN" w:bidi="ar"/>
        </w:rPr>
      </w:pPr>
      <w:r w:rsidRPr="00AB530E">
        <w:rPr>
          <w:lang w:eastAsia="zh-CN" w:bidi="ar"/>
        </w:rPr>
        <w:t xml:space="preserve">China believes that the core objective of improving the Council lies in facilitating the Council to better fulfil its mandates </w:t>
      </w:r>
      <w:r w:rsidR="00033CF3">
        <w:rPr>
          <w:lang w:eastAsia="zh-CN" w:bidi="ar"/>
        </w:rPr>
        <w:t xml:space="preserve">as </w:t>
      </w:r>
      <w:r w:rsidRPr="00AB530E">
        <w:rPr>
          <w:lang w:eastAsia="zh-CN" w:bidi="ar"/>
        </w:rPr>
        <w:t xml:space="preserve">stipulated in the </w:t>
      </w:r>
      <w:r w:rsidR="00033CF3">
        <w:rPr>
          <w:lang w:eastAsia="zh-CN" w:bidi="ar"/>
        </w:rPr>
        <w:t xml:space="preserve">ITU </w:t>
      </w:r>
      <w:r w:rsidRPr="00AB530E">
        <w:rPr>
          <w:lang w:eastAsia="zh-CN" w:bidi="ar"/>
        </w:rPr>
        <w:t>Constitution and Convention. Thorough discussions around this important topic are needed. For this reason, China would like to make the following proposals with a view to improving the Council</w:t>
      </w:r>
      <w:r w:rsidR="00D84233" w:rsidRPr="00AB530E">
        <w:rPr>
          <w:lang w:eastAsia="zh-CN" w:bidi="ar"/>
        </w:rPr>
        <w:t>:</w:t>
      </w:r>
    </w:p>
    <w:p w14:paraId="5362EF54" w14:textId="5E977E89" w:rsidR="00047FDC" w:rsidRPr="00AB530E" w:rsidRDefault="00D84233" w:rsidP="00D84233">
      <w:pPr>
        <w:rPr>
          <w:lang w:eastAsia="zh-CN" w:bidi="ar"/>
        </w:rPr>
      </w:pPr>
      <w:r w:rsidRPr="00AB530E">
        <w:rPr>
          <w:lang w:eastAsia="zh-CN" w:bidi="ar"/>
        </w:rPr>
        <w:t>1</w:t>
      </w:r>
      <w:r w:rsidRPr="00AB530E">
        <w:rPr>
          <w:lang w:eastAsia="zh-CN" w:bidi="ar"/>
        </w:rPr>
        <w:tab/>
      </w:r>
      <w:r w:rsidR="00047FDC" w:rsidRPr="00AB530E">
        <w:rPr>
          <w:lang w:eastAsia="zh-CN" w:bidi="ar"/>
        </w:rPr>
        <w:t>The Council should hear a wide range of perspectives from Member States with regard to the gaps in implementing its mandates and areas for improvement. For instance, the Council sh</w:t>
      </w:r>
      <w:r w:rsidR="00B53761">
        <w:rPr>
          <w:lang w:eastAsia="zh-CN" w:bidi="ar"/>
        </w:rPr>
        <w:t>ould</w:t>
      </w:r>
      <w:r w:rsidR="00047FDC" w:rsidRPr="00AB530E">
        <w:rPr>
          <w:lang w:eastAsia="zh-CN" w:bidi="ar"/>
        </w:rPr>
        <w:t xml:space="preserve"> consider broad telecommunication policy issues to ensure that the Union</w:t>
      </w:r>
      <w:r w:rsidRPr="00AB530E">
        <w:rPr>
          <w:lang w:eastAsia="zh-CN" w:bidi="ar"/>
        </w:rPr>
        <w:t>'</w:t>
      </w:r>
      <w:r w:rsidR="00047FDC" w:rsidRPr="00AB530E">
        <w:rPr>
          <w:lang w:eastAsia="zh-CN" w:bidi="ar"/>
        </w:rPr>
        <w:t>s policies and strategy fully respond to changes in the telecommunication environment; it sh</w:t>
      </w:r>
      <w:r w:rsidR="00B53761">
        <w:rPr>
          <w:lang w:eastAsia="zh-CN" w:bidi="ar"/>
        </w:rPr>
        <w:t>ould</w:t>
      </w:r>
      <w:r w:rsidR="00047FDC" w:rsidRPr="00AB530E">
        <w:rPr>
          <w:lang w:eastAsia="zh-CN" w:bidi="ar"/>
        </w:rPr>
        <w:t xml:space="preserve"> contribute</w:t>
      </w:r>
      <w:r w:rsidRPr="00AB530E">
        <w:rPr>
          <w:lang w:eastAsia="zh-CN" w:bidi="ar"/>
        </w:rPr>
        <w:t xml:space="preserve"> </w:t>
      </w:r>
      <w:r w:rsidR="00047FDC" w:rsidRPr="00AB530E">
        <w:rPr>
          <w:lang w:eastAsia="zh-CN" w:bidi="ar"/>
        </w:rPr>
        <w:t>to the development of telecommunications in the developing countries, including through the participation of the Union in the appropriate programmes of the United Nations. These issues should be discussed among all Member States across the three Sectors of ITU, rather than leaving them to be studied by external consultan</w:t>
      </w:r>
      <w:r w:rsidR="00033CF3">
        <w:rPr>
          <w:lang w:eastAsia="zh-CN" w:bidi="ar"/>
        </w:rPr>
        <w:t>ts</w:t>
      </w:r>
      <w:r w:rsidR="00047FDC" w:rsidRPr="00AB530E">
        <w:rPr>
          <w:lang w:eastAsia="zh-CN" w:bidi="ar"/>
        </w:rPr>
        <w:t xml:space="preserve">. Furthermore, the improvement of the Council should follow </w:t>
      </w:r>
      <w:r w:rsidR="00033CF3">
        <w:rPr>
          <w:lang w:eastAsia="zh-CN" w:bidi="ar"/>
        </w:rPr>
        <w:t xml:space="preserve">the </w:t>
      </w:r>
      <w:r w:rsidR="00047FDC" w:rsidRPr="00AB530E">
        <w:rPr>
          <w:lang w:eastAsia="zh-CN" w:bidi="ar"/>
        </w:rPr>
        <w:t xml:space="preserve">applicable rules and procedures of the Union. </w:t>
      </w:r>
      <w:r w:rsidR="00033CF3">
        <w:rPr>
          <w:lang w:eastAsia="zh-CN" w:bidi="ar"/>
        </w:rPr>
        <w:t>T</w:t>
      </w:r>
      <w:r w:rsidR="00047FDC" w:rsidRPr="00AB530E">
        <w:rPr>
          <w:lang w:eastAsia="zh-CN" w:bidi="ar"/>
        </w:rPr>
        <w:t>he rules and regulations that do need modifications</w:t>
      </w:r>
      <w:r w:rsidR="006C4862">
        <w:rPr>
          <w:lang w:eastAsia="zh-CN" w:bidi="ar"/>
        </w:rPr>
        <w:t xml:space="preserve"> </w:t>
      </w:r>
      <w:r w:rsidR="00047FDC" w:rsidRPr="00AB530E">
        <w:rPr>
          <w:lang w:eastAsia="zh-CN" w:bidi="ar"/>
        </w:rPr>
        <w:t xml:space="preserve">should be submitted to a competent </w:t>
      </w:r>
      <w:r w:rsidR="00700797">
        <w:rPr>
          <w:lang w:eastAsia="zh-CN" w:bidi="ar"/>
        </w:rPr>
        <w:t>c</w:t>
      </w:r>
      <w:r w:rsidR="00047FDC" w:rsidRPr="00AB530E">
        <w:rPr>
          <w:lang w:eastAsia="zh-CN" w:bidi="ar"/>
        </w:rPr>
        <w:t>onference/</w:t>
      </w:r>
      <w:r w:rsidR="00700797">
        <w:rPr>
          <w:lang w:eastAsia="zh-CN" w:bidi="ar"/>
        </w:rPr>
        <w:t>a</w:t>
      </w:r>
      <w:r w:rsidR="00047FDC" w:rsidRPr="00AB530E">
        <w:rPr>
          <w:lang w:eastAsia="zh-CN" w:bidi="ar"/>
        </w:rPr>
        <w:t>ssembly in accordance with established procedures for consideration and decision.</w:t>
      </w:r>
    </w:p>
    <w:p w14:paraId="15843C77" w14:textId="2154A5AF" w:rsidR="00047FDC" w:rsidRPr="00AB530E" w:rsidRDefault="00047FDC" w:rsidP="00D84233">
      <w:pPr>
        <w:rPr>
          <w:lang w:eastAsia="zh-CN" w:bidi="ar"/>
        </w:rPr>
      </w:pPr>
      <w:r w:rsidRPr="00AB530E">
        <w:rPr>
          <w:lang w:eastAsia="zh-CN" w:bidi="ar"/>
        </w:rPr>
        <w:t>2</w:t>
      </w:r>
      <w:r w:rsidR="00D84233" w:rsidRPr="00AB530E">
        <w:rPr>
          <w:lang w:eastAsia="zh-CN" w:bidi="ar"/>
        </w:rPr>
        <w:tab/>
      </w:r>
      <w:r w:rsidRPr="00AB530E">
        <w:rPr>
          <w:lang w:eastAsia="zh-CN" w:bidi="ar"/>
        </w:rPr>
        <w:t>Views on the specific improvements proposed by the General Secretariat:</w:t>
      </w:r>
    </w:p>
    <w:p w14:paraId="0D1057A2" w14:textId="16C7FB17" w:rsidR="00047FDC" w:rsidRPr="00AB530E" w:rsidRDefault="00D84233" w:rsidP="00D84233">
      <w:pPr>
        <w:pStyle w:val="enumlev1"/>
        <w:rPr>
          <w:lang w:eastAsia="zh-CN" w:bidi="ar"/>
        </w:rPr>
      </w:pPr>
      <w:r w:rsidRPr="00AB530E">
        <w:rPr>
          <w:rFonts w:cs="Calibri"/>
          <w:lang w:eastAsia="zh-CN" w:bidi="ar"/>
        </w:rPr>
        <w:t>•</w:t>
      </w:r>
      <w:r w:rsidRPr="00AB530E">
        <w:rPr>
          <w:lang w:eastAsia="zh-CN" w:bidi="ar"/>
        </w:rPr>
        <w:tab/>
      </w:r>
      <w:r w:rsidR="00047FDC" w:rsidRPr="00AB530E">
        <w:rPr>
          <w:lang w:eastAsia="zh-CN" w:bidi="ar"/>
        </w:rPr>
        <w:t xml:space="preserve">On the issue of </w:t>
      </w:r>
      <w:r w:rsidRPr="00AB530E">
        <w:rPr>
          <w:lang w:eastAsia="zh-CN" w:bidi="ar"/>
        </w:rPr>
        <w:t>"</w:t>
      </w:r>
      <w:r w:rsidR="00047FDC" w:rsidRPr="00AB530E">
        <w:rPr>
          <w:lang w:eastAsia="zh-CN" w:bidi="ar"/>
        </w:rPr>
        <w:t>The preparation of the agenda for the annual session should define and prioritize essential items for which the Council</w:t>
      </w:r>
      <w:r w:rsidRPr="00AB530E">
        <w:rPr>
          <w:lang w:eastAsia="zh-CN" w:bidi="ar"/>
        </w:rPr>
        <w:t>'</w:t>
      </w:r>
      <w:r w:rsidR="00047FDC" w:rsidRPr="00AB530E">
        <w:rPr>
          <w:lang w:eastAsia="zh-CN" w:bidi="ar"/>
        </w:rPr>
        <w:t>s action and/or guidance is needed</w:t>
      </w:r>
      <w:r w:rsidRPr="00AB530E">
        <w:rPr>
          <w:lang w:eastAsia="zh-CN" w:bidi="ar"/>
        </w:rPr>
        <w:t>"</w:t>
      </w:r>
      <w:r w:rsidR="00700797">
        <w:rPr>
          <w:lang w:eastAsia="zh-CN" w:bidi="ar"/>
        </w:rPr>
        <w:t>:</w:t>
      </w:r>
      <w:r w:rsidR="00047FDC" w:rsidRPr="00AB530E">
        <w:rPr>
          <w:lang w:eastAsia="zh-CN" w:bidi="ar"/>
        </w:rPr>
        <w:t xml:space="preserve"> China believes that prioritizing the strategic role of the Council is not in line with the Council's well-defined mandates in the Constitution and the Convention. No</w:t>
      </w:r>
      <w:r w:rsidR="006C4862">
        <w:rPr>
          <w:lang w:eastAsia="zh-CN" w:bidi="ar"/>
        </w:rPr>
        <w:t xml:space="preserve"> part of</w:t>
      </w:r>
      <w:r w:rsidR="00047FDC" w:rsidRPr="00AB530E">
        <w:rPr>
          <w:lang w:eastAsia="zh-CN" w:bidi="ar"/>
        </w:rPr>
        <w:t xml:space="preserve"> the Basic Texts of the Union defines what constitutes </w:t>
      </w:r>
      <w:r w:rsidRPr="00AB530E">
        <w:rPr>
          <w:lang w:eastAsia="zh-CN" w:bidi="ar"/>
        </w:rPr>
        <w:t>an</w:t>
      </w:r>
      <w:r w:rsidR="00047FDC" w:rsidRPr="00AB530E">
        <w:rPr>
          <w:lang w:eastAsia="zh-CN" w:bidi="ar"/>
        </w:rPr>
        <w:t xml:space="preserve"> "essential item". Only a Plenipotentiary Conference, not the Council itself, can decide whether future Council sessions </w:t>
      </w:r>
      <w:r w:rsidR="00700797">
        <w:rPr>
          <w:lang w:eastAsia="zh-CN" w:bidi="ar"/>
        </w:rPr>
        <w:t xml:space="preserve">should </w:t>
      </w:r>
      <w:r w:rsidR="00047FDC" w:rsidRPr="00AB530E">
        <w:rPr>
          <w:lang w:eastAsia="zh-CN" w:bidi="ar"/>
        </w:rPr>
        <w:t xml:space="preserve">focus only on the so-called </w:t>
      </w:r>
      <w:r w:rsidRPr="00AB530E">
        <w:rPr>
          <w:lang w:eastAsia="zh-CN" w:bidi="ar"/>
        </w:rPr>
        <w:t>"</w:t>
      </w:r>
      <w:r w:rsidR="00047FDC" w:rsidRPr="00AB530E">
        <w:rPr>
          <w:lang w:eastAsia="zh-CN" w:bidi="ar"/>
        </w:rPr>
        <w:t>essential items</w:t>
      </w:r>
      <w:r w:rsidRPr="00AB530E">
        <w:rPr>
          <w:lang w:eastAsia="zh-CN" w:bidi="ar"/>
        </w:rPr>
        <w:t>"</w:t>
      </w:r>
      <w:r w:rsidR="00047FDC" w:rsidRPr="00AB530E">
        <w:rPr>
          <w:lang w:eastAsia="zh-CN" w:bidi="ar"/>
        </w:rPr>
        <w:t xml:space="preserve">. </w:t>
      </w:r>
    </w:p>
    <w:p w14:paraId="46FE9062" w14:textId="7E75D9A7" w:rsidR="00047FDC" w:rsidRPr="00AB530E" w:rsidRDefault="00D84233" w:rsidP="00D84233">
      <w:pPr>
        <w:pStyle w:val="enumlev1"/>
        <w:rPr>
          <w:lang w:eastAsia="zh-CN" w:bidi="ar"/>
        </w:rPr>
      </w:pPr>
      <w:r w:rsidRPr="00AB530E">
        <w:rPr>
          <w:rFonts w:cs="Calibri"/>
          <w:lang w:eastAsia="zh-CN" w:bidi="ar"/>
        </w:rPr>
        <w:lastRenderedPageBreak/>
        <w:t>•</w:t>
      </w:r>
      <w:r w:rsidRPr="00AB530E">
        <w:rPr>
          <w:lang w:eastAsia="zh-CN" w:bidi="ar"/>
        </w:rPr>
        <w:tab/>
      </w:r>
      <w:r w:rsidR="00047FDC" w:rsidRPr="00AB530E">
        <w:rPr>
          <w:lang w:eastAsia="zh-CN" w:bidi="ar"/>
        </w:rPr>
        <w:t xml:space="preserve">On the issue of </w:t>
      </w:r>
      <w:r w:rsidRPr="00AB530E">
        <w:rPr>
          <w:lang w:eastAsia="zh-CN" w:bidi="ar"/>
        </w:rPr>
        <w:t>"</w:t>
      </w:r>
      <w:r w:rsidR="00047FDC" w:rsidRPr="00AB530E">
        <w:rPr>
          <w:lang w:eastAsia="zh-CN" w:bidi="ar"/>
        </w:rPr>
        <w:t>Certain documents not requiring discussion could be noted and/or adopted without being presented</w:t>
      </w:r>
      <w:r w:rsidRPr="00AB530E">
        <w:rPr>
          <w:lang w:eastAsia="zh-CN" w:bidi="ar"/>
        </w:rPr>
        <w:t>"</w:t>
      </w:r>
      <w:r w:rsidR="00047FDC" w:rsidRPr="00AB530E">
        <w:rPr>
          <w:lang w:eastAsia="zh-CN" w:bidi="ar"/>
        </w:rPr>
        <w:t xml:space="preserve"> (i.e., adopting documents in groups)</w:t>
      </w:r>
      <w:r w:rsidR="00700797">
        <w:rPr>
          <w:lang w:eastAsia="zh-CN" w:bidi="ar"/>
        </w:rPr>
        <w:t>:</w:t>
      </w:r>
      <w:r w:rsidR="00047FDC" w:rsidRPr="00AB530E">
        <w:rPr>
          <w:lang w:eastAsia="zh-CN" w:bidi="ar"/>
        </w:rPr>
        <w:t xml:space="preserve"> China believes that it will be difficult for councillors to decide whether to note or adopt </w:t>
      </w:r>
      <w:r w:rsidR="00700797">
        <w:rPr>
          <w:lang w:eastAsia="zh-CN" w:bidi="ar"/>
        </w:rPr>
        <w:t>a</w:t>
      </w:r>
      <w:r w:rsidR="0008676C">
        <w:rPr>
          <w:lang w:eastAsia="zh-CN" w:bidi="ar"/>
        </w:rPr>
        <w:t xml:space="preserve"> </w:t>
      </w:r>
      <w:r w:rsidR="00047FDC" w:rsidRPr="00AB530E">
        <w:rPr>
          <w:lang w:eastAsia="zh-CN" w:bidi="ar"/>
        </w:rPr>
        <w:t xml:space="preserve">document before </w:t>
      </w:r>
      <w:r w:rsidR="00700797">
        <w:rPr>
          <w:lang w:eastAsia="zh-CN" w:bidi="ar"/>
        </w:rPr>
        <w:t xml:space="preserve">it </w:t>
      </w:r>
      <w:r w:rsidR="00047FDC" w:rsidRPr="00AB530E">
        <w:rPr>
          <w:lang w:eastAsia="zh-CN" w:bidi="ar"/>
        </w:rPr>
        <w:t xml:space="preserve">is properly presented. We suggest that the General Secretariat provide assistance to the councillors to fully discuss </w:t>
      </w:r>
      <w:r w:rsidR="0008676C">
        <w:rPr>
          <w:lang w:eastAsia="zh-CN" w:bidi="ar"/>
        </w:rPr>
        <w:t xml:space="preserve">all documents </w:t>
      </w:r>
      <w:r w:rsidR="00047FDC" w:rsidRPr="00AB530E">
        <w:rPr>
          <w:lang w:eastAsia="zh-CN" w:bidi="ar"/>
        </w:rPr>
        <w:t>before noting or adopting them, rather than categoriz</w:t>
      </w:r>
      <w:r w:rsidR="00700797">
        <w:rPr>
          <w:lang w:eastAsia="zh-CN" w:bidi="ar"/>
        </w:rPr>
        <w:t>ing</w:t>
      </w:r>
      <w:r w:rsidR="00047FDC" w:rsidRPr="00AB530E">
        <w:rPr>
          <w:lang w:eastAsia="zh-CN" w:bidi="ar"/>
        </w:rPr>
        <w:t xml:space="preserve"> and adopt</w:t>
      </w:r>
      <w:r w:rsidR="00700797">
        <w:rPr>
          <w:lang w:eastAsia="zh-CN" w:bidi="ar"/>
        </w:rPr>
        <w:t>ing</w:t>
      </w:r>
      <w:r w:rsidR="00047FDC" w:rsidRPr="00AB530E">
        <w:rPr>
          <w:lang w:eastAsia="zh-CN" w:bidi="ar"/>
        </w:rPr>
        <w:t xml:space="preserve"> the documents in groups.</w:t>
      </w:r>
    </w:p>
    <w:p w14:paraId="2EF5D1B9" w14:textId="2B9526DF" w:rsidR="00047FDC" w:rsidRPr="00AB530E" w:rsidRDefault="00AB530E" w:rsidP="00D84233">
      <w:pPr>
        <w:pStyle w:val="enumlev1"/>
        <w:rPr>
          <w:lang w:eastAsia="zh-CN" w:bidi="ar"/>
        </w:rPr>
      </w:pPr>
      <w:r w:rsidRPr="00AB530E">
        <w:rPr>
          <w:rFonts w:cs="Calibri"/>
          <w:lang w:eastAsia="zh-CN" w:bidi="ar"/>
        </w:rPr>
        <w:t>•</w:t>
      </w:r>
      <w:r w:rsidRPr="00AB530E">
        <w:rPr>
          <w:lang w:eastAsia="zh-CN" w:bidi="ar"/>
        </w:rPr>
        <w:tab/>
      </w:r>
      <w:r w:rsidR="00047FDC" w:rsidRPr="00AB530E">
        <w:rPr>
          <w:lang w:eastAsia="zh-CN" w:bidi="ar"/>
        </w:rPr>
        <w:t xml:space="preserve">On the issue of </w:t>
      </w:r>
      <w:r w:rsidR="00D84233" w:rsidRPr="00AB530E">
        <w:rPr>
          <w:lang w:eastAsia="zh-CN" w:bidi="ar"/>
        </w:rPr>
        <w:t>"</w:t>
      </w:r>
      <w:r w:rsidR="00047FDC" w:rsidRPr="00AB530E">
        <w:rPr>
          <w:lang w:eastAsia="zh-CN" w:bidi="ar"/>
        </w:rPr>
        <w:t xml:space="preserve">Reducing the duration of the Council from </w:t>
      </w:r>
      <w:r>
        <w:rPr>
          <w:lang w:eastAsia="zh-CN" w:bidi="ar"/>
        </w:rPr>
        <w:t>nine</w:t>
      </w:r>
      <w:r w:rsidR="00047FDC" w:rsidRPr="00AB530E">
        <w:rPr>
          <w:lang w:eastAsia="zh-CN" w:bidi="ar"/>
        </w:rPr>
        <w:t xml:space="preserve"> working days to </w:t>
      </w:r>
      <w:r>
        <w:rPr>
          <w:lang w:eastAsia="zh-CN" w:bidi="ar"/>
        </w:rPr>
        <w:t>six</w:t>
      </w:r>
      <w:r w:rsidR="00047FDC" w:rsidRPr="00AB530E">
        <w:rPr>
          <w:lang w:eastAsia="zh-CN" w:bidi="ar"/>
        </w:rPr>
        <w:t xml:space="preserve"> working days</w:t>
      </w:r>
      <w:r w:rsidR="00D84233" w:rsidRPr="00AB530E">
        <w:rPr>
          <w:lang w:eastAsia="zh-CN" w:bidi="ar"/>
        </w:rPr>
        <w:t>"</w:t>
      </w:r>
      <w:r w:rsidR="00700797">
        <w:rPr>
          <w:lang w:eastAsia="zh-CN" w:bidi="ar"/>
        </w:rPr>
        <w:t>:</w:t>
      </w:r>
      <w:r w:rsidR="003276DB">
        <w:rPr>
          <w:lang w:eastAsia="zh-CN" w:bidi="ar"/>
        </w:rPr>
        <w:t xml:space="preserve"> </w:t>
      </w:r>
      <w:r w:rsidR="00047FDC" w:rsidRPr="00AB530E">
        <w:rPr>
          <w:lang w:eastAsia="zh-CN" w:bidi="ar"/>
        </w:rPr>
        <w:t xml:space="preserve">The 2022 Council Session approved Decision 626 on the </w:t>
      </w:r>
      <w:r w:rsidRPr="00AB530E">
        <w:rPr>
          <w:lang w:eastAsia="zh-CN" w:bidi="ar"/>
        </w:rPr>
        <w:t xml:space="preserve">dates and duration </w:t>
      </w:r>
      <w:r w:rsidR="00047FDC" w:rsidRPr="00AB530E">
        <w:rPr>
          <w:lang w:eastAsia="zh-CN" w:bidi="ar"/>
        </w:rPr>
        <w:t xml:space="preserve">of the 2023, 2024, 2025, and 2026 </w:t>
      </w:r>
      <w:r w:rsidR="00700797">
        <w:rPr>
          <w:lang w:eastAsia="zh-CN" w:bidi="ar"/>
        </w:rPr>
        <w:t>s</w:t>
      </w:r>
      <w:r w:rsidR="00047FDC" w:rsidRPr="00AB530E">
        <w:rPr>
          <w:lang w:eastAsia="zh-CN" w:bidi="ar"/>
        </w:rPr>
        <w:t xml:space="preserve">essions of the Council, along with the clusters of Council Working Groups and Expert Groups for 2023, 2024, and 2025. We propose that the General Secretariat </w:t>
      </w:r>
      <w:r w:rsidR="00700797">
        <w:rPr>
          <w:lang w:eastAsia="zh-CN" w:bidi="ar"/>
        </w:rPr>
        <w:t xml:space="preserve">should </w:t>
      </w:r>
      <w:r w:rsidR="00047FDC" w:rsidRPr="00AB530E">
        <w:rPr>
          <w:lang w:eastAsia="zh-CN" w:bidi="ar"/>
        </w:rPr>
        <w:t>strictly</w:t>
      </w:r>
      <w:r w:rsidR="00047FDC" w:rsidRPr="00AB530E" w:rsidDel="006E20CF">
        <w:rPr>
          <w:lang w:eastAsia="zh-CN" w:bidi="ar"/>
        </w:rPr>
        <w:t xml:space="preserve"> </w:t>
      </w:r>
      <w:r w:rsidR="00047FDC" w:rsidRPr="00AB530E">
        <w:rPr>
          <w:lang w:eastAsia="zh-CN" w:bidi="ar"/>
        </w:rPr>
        <w:t xml:space="preserve">follow Decision 626 in terms of the holding of sessions/meetings of the Council and its Working Groups (CWGs) and Expert Groups (EGs) in the next </w:t>
      </w:r>
      <w:r>
        <w:rPr>
          <w:lang w:eastAsia="zh-CN" w:bidi="ar"/>
        </w:rPr>
        <w:t>four</w:t>
      </w:r>
      <w:r w:rsidR="00047FDC" w:rsidRPr="00AB530E">
        <w:rPr>
          <w:lang w:eastAsia="zh-CN" w:bidi="ar"/>
        </w:rPr>
        <w:t xml:space="preserve"> years. Furthermore, the Council normally meets physically</w:t>
      </w:r>
      <w:r w:rsidR="00047FDC" w:rsidRPr="00AB530E" w:rsidDel="00756661">
        <w:rPr>
          <w:lang w:eastAsia="zh-CN" w:bidi="ar"/>
        </w:rPr>
        <w:t xml:space="preserve"> </w:t>
      </w:r>
      <w:r w:rsidR="00047FDC" w:rsidRPr="00AB530E">
        <w:rPr>
          <w:lang w:eastAsia="zh-CN" w:bidi="ar"/>
        </w:rPr>
        <w:t>once per year</w:t>
      </w:r>
      <w:r w:rsidR="0008676C">
        <w:rPr>
          <w:lang w:eastAsia="zh-CN" w:bidi="ar"/>
        </w:rPr>
        <w:t>,</w:t>
      </w:r>
      <w:r w:rsidR="00047FDC" w:rsidRPr="00AB530E">
        <w:rPr>
          <w:lang w:eastAsia="zh-CN" w:bidi="ar"/>
        </w:rPr>
        <w:t xml:space="preserve"> while the issues that need to be discussed are very important and quite extensive. We do</w:t>
      </w:r>
      <w:r w:rsidR="00700797">
        <w:rPr>
          <w:lang w:eastAsia="zh-CN" w:bidi="ar"/>
        </w:rPr>
        <w:t xml:space="preserve"> not</w:t>
      </w:r>
      <w:r w:rsidR="00047FDC" w:rsidRPr="00AB530E">
        <w:rPr>
          <w:lang w:eastAsia="zh-CN" w:bidi="ar"/>
        </w:rPr>
        <w:t xml:space="preserve"> think </w:t>
      </w:r>
      <w:r w:rsidR="00700797">
        <w:rPr>
          <w:lang w:eastAsia="zh-CN" w:bidi="ar"/>
        </w:rPr>
        <w:t xml:space="preserve">that </w:t>
      </w:r>
      <w:r>
        <w:rPr>
          <w:lang w:eastAsia="zh-CN" w:bidi="ar"/>
        </w:rPr>
        <w:t>six</w:t>
      </w:r>
      <w:r w:rsidR="00047FDC" w:rsidRPr="00AB530E">
        <w:rPr>
          <w:lang w:eastAsia="zh-CN" w:bidi="ar"/>
        </w:rPr>
        <w:t xml:space="preserve"> working days are sufficient for the Council to fulfil its mandates in the Constitution.</w:t>
      </w:r>
    </w:p>
    <w:p w14:paraId="277B830C" w14:textId="7881D75C" w:rsidR="00047FDC" w:rsidRPr="00AB530E" w:rsidRDefault="00AB530E" w:rsidP="00D84233">
      <w:pPr>
        <w:pStyle w:val="enumlev1"/>
        <w:rPr>
          <w:lang w:eastAsia="zh-CN" w:bidi="ar"/>
        </w:rPr>
      </w:pPr>
      <w:r w:rsidRPr="00AB530E">
        <w:rPr>
          <w:rFonts w:cs="Calibri"/>
          <w:lang w:eastAsia="zh-CN" w:bidi="ar"/>
        </w:rPr>
        <w:t>•</w:t>
      </w:r>
      <w:r w:rsidRPr="00AB530E">
        <w:rPr>
          <w:lang w:eastAsia="zh-CN" w:bidi="ar"/>
        </w:rPr>
        <w:tab/>
      </w:r>
      <w:r w:rsidR="00047FDC" w:rsidRPr="00AB530E">
        <w:rPr>
          <w:lang w:eastAsia="zh-CN" w:bidi="ar"/>
        </w:rPr>
        <w:t xml:space="preserve">On the issue of </w:t>
      </w:r>
      <w:r w:rsidR="00D84233" w:rsidRPr="00AB530E">
        <w:rPr>
          <w:lang w:eastAsia="zh-CN" w:bidi="ar"/>
        </w:rPr>
        <w:t>"</w:t>
      </w:r>
      <w:r w:rsidR="00047FDC" w:rsidRPr="00AB530E">
        <w:rPr>
          <w:lang w:eastAsia="zh-CN" w:bidi="ar"/>
        </w:rPr>
        <w:t>Enhancing the preparatory process and facilitating decision-making</w:t>
      </w:r>
      <w:r w:rsidR="00D84233" w:rsidRPr="00AB530E">
        <w:rPr>
          <w:lang w:eastAsia="zh-CN" w:bidi="ar"/>
        </w:rPr>
        <w:t>"</w:t>
      </w:r>
      <w:r w:rsidR="00047FDC" w:rsidRPr="00AB530E">
        <w:rPr>
          <w:lang w:eastAsia="zh-CN" w:bidi="ar"/>
        </w:rPr>
        <w:t xml:space="preserve"> (i.e., virtual thematic briefings for Council preparations)</w:t>
      </w:r>
      <w:r w:rsidR="00700797">
        <w:rPr>
          <w:lang w:eastAsia="zh-CN" w:bidi="ar"/>
        </w:rPr>
        <w:t>:</w:t>
      </w:r>
      <w:r w:rsidR="00047FDC" w:rsidRPr="00AB530E">
        <w:rPr>
          <w:lang w:eastAsia="zh-CN" w:bidi="ar"/>
        </w:rPr>
        <w:t xml:space="preserve"> In view of the fact that the CWG</w:t>
      </w:r>
      <w:r w:rsidR="002A3CEF">
        <w:rPr>
          <w:lang w:eastAsia="zh-CN" w:bidi="ar"/>
        </w:rPr>
        <w:t xml:space="preserve"> </w:t>
      </w:r>
      <w:r w:rsidR="00047FDC" w:rsidRPr="00AB530E">
        <w:rPr>
          <w:lang w:eastAsia="zh-CN" w:bidi="ar"/>
        </w:rPr>
        <w:t>and</w:t>
      </w:r>
      <w:r w:rsidR="002A3CEF">
        <w:rPr>
          <w:lang w:eastAsia="zh-CN" w:bidi="ar"/>
        </w:rPr>
        <w:t xml:space="preserve"> </w:t>
      </w:r>
      <w:r w:rsidR="00047FDC" w:rsidRPr="00AB530E">
        <w:rPr>
          <w:lang w:eastAsia="zh-CN" w:bidi="ar"/>
        </w:rPr>
        <w:t xml:space="preserve">EG meetings were not convened in early 2023, we believe that the thematic briefings would help to inform the membership of the work progress in various areas in the Union. At the same time, we also want to point out that thematic briefings are designed to be informative, not a place to make decisions on important matters of the Union. They should maintain </w:t>
      </w:r>
      <w:r w:rsidR="00700797">
        <w:rPr>
          <w:lang w:eastAsia="zh-CN" w:bidi="ar"/>
        </w:rPr>
        <w:t>their</w:t>
      </w:r>
      <w:r w:rsidR="0008676C">
        <w:rPr>
          <w:lang w:eastAsia="zh-CN" w:bidi="ar"/>
        </w:rPr>
        <w:t xml:space="preserve"> </w:t>
      </w:r>
      <w:r w:rsidR="00047FDC" w:rsidRPr="00AB530E">
        <w:rPr>
          <w:lang w:eastAsia="zh-CN" w:bidi="ar"/>
        </w:rPr>
        <w:t>nature of information briefing. If decisions have to be made by the councillors for any urgent matter, a decision-making process that conforms to the Convention should be followed, such as by correspondence. We believe that consultation with Member States through electronic means of communication (e</w:t>
      </w:r>
      <w:r w:rsidR="00700797">
        <w:rPr>
          <w:lang w:eastAsia="zh-CN" w:bidi="ar"/>
        </w:rPr>
        <w:t>-</w:t>
      </w:r>
      <w:r w:rsidR="00047FDC" w:rsidRPr="00AB530E">
        <w:rPr>
          <w:lang w:eastAsia="zh-CN" w:bidi="ar"/>
        </w:rPr>
        <w:t>mail for instance) will not bring additional financial burden to ITU.</w:t>
      </w:r>
    </w:p>
    <w:p w14:paraId="485F18DC" w14:textId="2539F798" w:rsidR="00047FDC" w:rsidRPr="00AB530E" w:rsidRDefault="00AB530E" w:rsidP="00D84233">
      <w:pPr>
        <w:pStyle w:val="enumlev1"/>
        <w:rPr>
          <w:lang w:eastAsia="zh-CN" w:bidi="ar"/>
        </w:rPr>
      </w:pPr>
      <w:r w:rsidRPr="00AB530E">
        <w:rPr>
          <w:rFonts w:cs="Calibri"/>
          <w:lang w:eastAsia="zh-CN" w:bidi="ar"/>
        </w:rPr>
        <w:t>•</w:t>
      </w:r>
      <w:r w:rsidRPr="00AB530E">
        <w:rPr>
          <w:lang w:eastAsia="zh-CN" w:bidi="ar"/>
        </w:rPr>
        <w:tab/>
      </w:r>
      <w:r w:rsidR="00047FDC" w:rsidRPr="00AB530E">
        <w:rPr>
          <w:lang w:eastAsia="zh-CN" w:bidi="ar"/>
        </w:rPr>
        <w:t xml:space="preserve">On the issue of </w:t>
      </w:r>
      <w:r w:rsidR="00D84233" w:rsidRPr="00AB530E">
        <w:rPr>
          <w:lang w:eastAsia="zh-CN" w:bidi="ar"/>
        </w:rPr>
        <w:t>"</w:t>
      </w:r>
      <w:r w:rsidR="00047FDC" w:rsidRPr="00AB530E">
        <w:rPr>
          <w:lang w:eastAsia="zh-CN" w:bidi="ar"/>
        </w:rPr>
        <w:t xml:space="preserve">Strengthening high-level engagement and dialogue with Member States of the </w:t>
      </w:r>
      <w:r w:rsidRPr="00AB530E">
        <w:rPr>
          <w:lang w:eastAsia="zh-CN" w:bidi="ar"/>
        </w:rPr>
        <w:t>Council</w:t>
      </w:r>
      <w:r w:rsidR="00D84233" w:rsidRPr="00AB530E">
        <w:rPr>
          <w:lang w:eastAsia="zh-CN" w:bidi="ar"/>
        </w:rPr>
        <w:t>"</w:t>
      </w:r>
      <w:r w:rsidR="00700797">
        <w:rPr>
          <w:lang w:eastAsia="zh-CN" w:bidi="ar"/>
        </w:rPr>
        <w:t>:</w:t>
      </w:r>
      <w:r w:rsidR="00047FDC" w:rsidRPr="00AB530E">
        <w:rPr>
          <w:lang w:eastAsia="zh-CN" w:bidi="ar"/>
        </w:rPr>
        <w:t xml:space="preserve"> Considering that the General Secretariat has not previously </w:t>
      </w:r>
      <w:r w:rsidRPr="00AB530E">
        <w:rPr>
          <w:lang w:eastAsia="zh-CN" w:bidi="ar"/>
        </w:rPr>
        <w:t xml:space="preserve">formally </w:t>
      </w:r>
      <w:r w:rsidR="00047FDC" w:rsidRPr="00AB530E">
        <w:rPr>
          <w:lang w:eastAsia="zh-CN" w:bidi="ar"/>
        </w:rPr>
        <w:t xml:space="preserve">consulted Member States on the schedule and themes of various activities in the </w:t>
      </w:r>
      <w:r w:rsidR="00E47B35">
        <w:rPr>
          <w:lang w:eastAsia="zh-CN" w:bidi="ar"/>
        </w:rPr>
        <w:t>H</w:t>
      </w:r>
      <w:r w:rsidR="00047FDC" w:rsidRPr="00AB530E">
        <w:rPr>
          <w:lang w:eastAsia="zh-CN" w:bidi="ar"/>
        </w:rPr>
        <w:t>igh-</w:t>
      </w:r>
      <w:r w:rsidR="00E47B35">
        <w:rPr>
          <w:lang w:eastAsia="zh-CN" w:bidi="ar"/>
        </w:rPr>
        <w:t>L</w:t>
      </w:r>
      <w:r w:rsidR="00047FDC" w:rsidRPr="00AB530E">
        <w:rPr>
          <w:lang w:eastAsia="zh-CN" w:bidi="ar"/>
        </w:rPr>
        <w:t xml:space="preserve">evel </w:t>
      </w:r>
      <w:r w:rsidR="00E47B35">
        <w:rPr>
          <w:lang w:eastAsia="zh-CN" w:bidi="ar"/>
        </w:rPr>
        <w:t>S</w:t>
      </w:r>
      <w:r w:rsidR="00047FDC" w:rsidRPr="00AB530E">
        <w:rPr>
          <w:lang w:eastAsia="zh-CN" w:bidi="ar"/>
        </w:rPr>
        <w:t xml:space="preserve">egment to be held during the 2023 Council session in accordance with the Council's </w:t>
      </w:r>
      <w:r w:rsidRPr="00AB530E">
        <w:rPr>
          <w:lang w:eastAsia="zh-CN" w:bidi="ar"/>
        </w:rPr>
        <w:t xml:space="preserve">Rules </w:t>
      </w:r>
      <w:r w:rsidR="00047FDC" w:rsidRPr="00AB530E">
        <w:rPr>
          <w:lang w:eastAsia="zh-CN" w:bidi="ar"/>
        </w:rPr>
        <w:t xml:space="preserve">of </w:t>
      </w:r>
      <w:r w:rsidRPr="00AB530E">
        <w:rPr>
          <w:lang w:eastAsia="zh-CN" w:bidi="ar"/>
        </w:rPr>
        <w:t>Procedure</w:t>
      </w:r>
      <w:r w:rsidR="00047FDC" w:rsidRPr="00AB530E">
        <w:rPr>
          <w:lang w:eastAsia="zh-CN" w:bidi="ar"/>
        </w:rPr>
        <w:t>, and that such a format does not allow councillors to fully engage themselves in the discussion, this event is not to be considered as a formal agenda item of the 2023 Council session. N</w:t>
      </w:r>
      <w:r w:rsidR="003A52D2">
        <w:rPr>
          <w:lang w:eastAsia="zh-CN" w:bidi="ar"/>
        </w:rPr>
        <w:t>or</w:t>
      </w:r>
      <w:r w:rsidR="00047FDC" w:rsidRPr="00AB530E">
        <w:rPr>
          <w:lang w:eastAsia="zh-CN" w:bidi="ar"/>
        </w:rPr>
        <w:t xml:space="preserve"> are the outputs of the High-Level Segment to be considered as part of the Council 2023 outcome. In addition, we do not recommend holding high-level engagements and dialogues during future Council sessions due to the following facts. Firstly, ITU convenes a physical Council session </w:t>
      </w:r>
      <w:r w:rsidR="00E47B35" w:rsidRPr="00AB530E">
        <w:rPr>
          <w:lang w:eastAsia="zh-CN" w:bidi="ar"/>
        </w:rPr>
        <w:t xml:space="preserve">only </w:t>
      </w:r>
      <w:r w:rsidR="00047FDC" w:rsidRPr="00AB530E">
        <w:rPr>
          <w:lang w:eastAsia="zh-CN" w:bidi="ar"/>
        </w:rPr>
        <w:t xml:space="preserve">once a year during which there are many financial, administrative and human resource issues to discuss. The organization of a high-level meeting will consume the already insufficient time of the Council, which may hinder </w:t>
      </w:r>
      <w:r w:rsidR="00E47B35">
        <w:rPr>
          <w:lang w:eastAsia="zh-CN" w:bidi="ar"/>
        </w:rPr>
        <w:t xml:space="preserve">it </w:t>
      </w:r>
      <w:r w:rsidR="00047FDC" w:rsidRPr="00AB530E">
        <w:rPr>
          <w:lang w:eastAsia="zh-CN" w:bidi="ar"/>
        </w:rPr>
        <w:t xml:space="preserve">from fully discussing the issues that should be considered. Secondly, </w:t>
      </w:r>
      <w:r w:rsidR="00E47B35">
        <w:rPr>
          <w:lang w:eastAsia="zh-CN" w:bidi="ar"/>
        </w:rPr>
        <w:t xml:space="preserve">the </w:t>
      </w:r>
      <w:r w:rsidR="00047FDC" w:rsidRPr="00AB530E">
        <w:rPr>
          <w:lang w:eastAsia="zh-CN" w:bidi="ar"/>
        </w:rPr>
        <w:t xml:space="preserve">Council is not the right place to discuss macropolicy issues such as ITU strategies. The Council is supposed to implement the responsibilities assigned by the Plenipotentiary Conference in accordance with </w:t>
      </w:r>
      <w:r w:rsidR="00341AF0">
        <w:rPr>
          <w:lang w:eastAsia="zh-CN" w:bidi="ar"/>
        </w:rPr>
        <w:t>No.</w:t>
      </w:r>
      <w:r w:rsidR="003276DB">
        <w:rPr>
          <w:lang w:eastAsia="zh-CN" w:bidi="ar"/>
        </w:rPr>
        <w:t> </w:t>
      </w:r>
      <w:r w:rsidR="00047FDC" w:rsidRPr="00AB530E">
        <w:rPr>
          <w:lang w:eastAsia="zh-CN" w:bidi="ar"/>
        </w:rPr>
        <w:t>69, Article</w:t>
      </w:r>
      <w:r w:rsidR="003276DB">
        <w:rPr>
          <w:lang w:eastAsia="zh-CN" w:bidi="ar"/>
        </w:rPr>
        <w:t> </w:t>
      </w:r>
      <w:r w:rsidR="00047FDC" w:rsidRPr="00AB530E">
        <w:rPr>
          <w:lang w:eastAsia="zh-CN" w:bidi="ar"/>
        </w:rPr>
        <w:t>10 of the Constitution. Organizing high-level meetings is not a responsibility assigned to the Council by the Plenipotentiary Conference</w:t>
      </w:r>
      <w:r w:rsidR="00341AF0">
        <w:rPr>
          <w:lang w:eastAsia="zh-CN" w:bidi="ar"/>
        </w:rPr>
        <w:t xml:space="preserve"> (PP)</w:t>
      </w:r>
      <w:r w:rsidR="00047FDC" w:rsidRPr="00AB530E">
        <w:rPr>
          <w:lang w:eastAsia="zh-CN" w:bidi="ar"/>
        </w:rPr>
        <w:t xml:space="preserve">. The Union could take advantage of PP, WRC and other conferences and assemblies to organize high-level </w:t>
      </w:r>
      <w:r w:rsidR="00047FDC" w:rsidRPr="00AB530E">
        <w:rPr>
          <w:lang w:eastAsia="zh-CN" w:bidi="ar"/>
        </w:rPr>
        <w:lastRenderedPageBreak/>
        <w:t>meetings for discussion of issues such as the strategic direction of ITU. Thirdly, we note that ITU has held or is about to hold a number of global high-level meetings in 2023, including GSR, WSIS Forum</w:t>
      </w:r>
      <w:r w:rsidRPr="00AB530E">
        <w:rPr>
          <w:lang w:eastAsia="zh-CN" w:bidi="ar"/>
        </w:rPr>
        <w:t xml:space="preserve"> and the</w:t>
      </w:r>
      <w:r w:rsidR="00047FDC" w:rsidRPr="00AB530E">
        <w:rPr>
          <w:lang w:eastAsia="zh-CN" w:bidi="ar"/>
        </w:rPr>
        <w:t xml:space="preserve"> AI for Good Global Summit. Frequent high-level events will not only bring </w:t>
      </w:r>
      <w:r w:rsidR="00997296">
        <w:rPr>
          <w:lang w:eastAsia="zh-CN" w:bidi="ar"/>
        </w:rPr>
        <w:t xml:space="preserve">a </w:t>
      </w:r>
      <w:r w:rsidR="00047FDC" w:rsidRPr="00AB530E">
        <w:rPr>
          <w:lang w:eastAsia="zh-CN" w:bidi="ar"/>
        </w:rPr>
        <w:t xml:space="preserve">significant financial burden </w:t>
      </w:r>
      <w:r w:rsidR="00997296">
        <w:rPr>
          <w:lang w:eastAsia="zh-CN" w:bidi="ar"/>
        </w:rPr>
        <w:t>for</w:t>
      </w:r>
      <w:r w:rsidR="00047FDC" w:rsidRPr="00AB530E">
        <w:rPr>
          <w:lang w:eastAsia="zh-CN" w:bidi="ar"/>
        </w:rPr>
        <w:t xml:space="preserve"> the Union, but also create difficulties for developing countries to fully participate in all the meetings. In view of the above, we propose that the General Secretariat coordinate various high-level activities of the Union based on the One ITU concept, and regularly consult with Member States by correspondence on the theme and agenda of the proposed high-level events </w:t>
      </w:r>
      <w:r w:rsidRPr="00AB530E">
        <w:rPr>
          <w:lang w:eastAsia="zh-CN" w:bidi="ar"/>
        </w:rPr>
        <w:t>planned</w:t>
      </w:r>
      <w:r w:rsidR="00047FDC" w:rsidRPr="00AB530E">
        <w:rPr>
          <w:lang w:eastAsia="zh-CN" w:bidi="ar"/>
        </w:rPr>
        <w:t xml:space="preserve"> for the next year, </w:t>
      </w:r>
      <w:r w:rsidR="00047FDC" w:rsidRPr="00AB530E">
        <w:t>and report to the Council</w:t>
      </w:r>
      <w:r w:rsidR="00047FDC" w:rsidRPr="00AB530E">
        <w:rPr>
          <w:lang w:eastAsia="zh-CN"/>
        </w:rPr>
        <w:t xml:space="preserve"> for its approval. Meanwhile, recalling that ITU organizes multiple high-level side events every year, in order to promote the participation from Member States in these events, we propose that the Council develop guidelines on the theme, organization and effectiveness </w:t>
      </w:r>
      <w:r w:rsidR="00341AF0">
        <w:rPr>
          <w:lang w:eastAsia="zh-CN"/>
        </w:rPr>
        <w:t xml:space="preserve">of </w:t>
      </w:r>
      <w:r w:rsidR="00047FDC" w:rsidRPr="00AB530E">
        <w:rPr>
          <w:lang w:eastAsia="zh-CN"/>
        </w:rPr>
        <w:t>holding side events so that Member States c</w:t>
      </w:r>
      <w:r w:rsidR="00997296">
        <w:rPr>
          <w:lang w:eastAsia="zh-CN"/>
        </w:rPr>
        <w:t>an</w:t>
      </w:r>
      <w:r w:rsidR="00047FDC" w:rsidRPr="00AB530E">
        <w:rPr>
          <w:lang w:eastAsia="zh-CN"/>
        </w:rPr>
        <w:t xml:space="preserve"> better prepare for and participate in these events.</w:t>
      </w:r>
    </w:p>
    <w:p w14:paraId="03497DED" w14:textId="4915DBB1" w:rsidR="00047FDC" w:rsidRPr="00AB530E" w:rsidRDefault="00AB530E" w:rsidP="00D84233">
      <w:pPr>
        <w:pStyle w:val="enumlev1"/>
        <w:rPr>
          <w:lang w:eastAsia="zh-CN" w:bidi="ar"/>
        </w:rPr>
      </w:pPr>
      <w:r w:rsidRPr="00AB530E">
        <w:rPr>
          <w:rFonts w:cs="Calibri"/>
          <w:lang w:eastAsia="zh-CN" w:bidi="ar"/>
        </w:rPr>
        <w:t>•</w:t>
      </w:r>
      <w:r w:rsidRPr="00AB530E">
        <w:rPr>
          <w:lang w:eastAsia="zh-CN" w:bidi="ar"/>
        </w:rPr>
        <w:tab/>
      </w:r>
      <w:r w:rsidR="00047FDC" w:rsidRPr="00AB530E">
        <w:rPr>
          <w:lang w:eastAsia="zh-CN" w:bidi="ar"/>
        </w:rPr>
        <w:t xml:space="preserve">On the issue of </w:t>
      </w:r>
      <w:r w:rsidR="00D84233" w:rsidRPr="00AB530E">
        <w:rPr>
          <w:lang w:eastAsia="zh-CN" w:bidi="ar"/>
        </w:rPr>
        <w:t>"</w:t>
      </w:r>
      <w:r w:rsidR="00047FDC" w:rsidRPr="00AB530E">
        <w:rPr>
          <w:lang w:eastAsia="zh-CN" w:bidi="ar"/>
        </w:rPr>
        <w:t>O</w:t>
      </w:r>
      <w:r w:rsidR="00047FDC" w:rsidRPr="00AB530E">
        <w:t>rganization of a retreat with councillors to explore opportunities, including for upscaling ITU governance, processes and systems</w:t>
      </w:r>
      <w:r w:rsidR="00D84233" w:rsidRPr="00AB530E">
        <w:t>"</w:t>
      </w:r>
      <w:r w:rsidR="00341AF0">
        <w:t>:</w:t>
      </w:r>
      <w:r w:rsidR="00047FDC" w:rsidRPr="00AB530E">
        <w:t xml:space="preserve"> </w:t>
      </w:r>
      <w:r w:rsidR="00047FDC" w:rsidRPr="00AB530E">
        <w:rPr>
          <w:lang w:eastAsia="zh-CN" w:bidi="ar"/>
        </w:rPr>
        <w:t xml:space="preserve">Considering the absence of the Council Working Group and Expert Group meetings in early 2023, the </w:t>
      </w:r>
      <w:r w:rsidR="00341AF0">
        <w:rPr>
          <w:lang w:eastAsia="zh-CN" w:bidi="ar"/>
        </w:rPr>
        <w:t>r</w:t>
      </w:r>
      <w:r w:rsidR="00047FDC" w:rsidRPr="00AB530E">
        <w:rPr>
          <w:lang w:eastAsia="zh-CN" w:bidi="ar"/>
        </w:rPr>
        <w:t>etreat</w:t>
      </w:r>
      <w:r w:rsidR="003276DB">
        <w:rPr>
          <w:lang w:eastAsia="zh-CN" w:bidi="ar"/>
        </w:rPr>
        <w:t xml:space="preserve"> </w:t>
      </w:r>
      <w:r w:rsidR="00047FDC" w:rsidRPr="00AB530E">
        <w:rPr>
          <w:lang w:eastAsia="zh-CN" w:bidi="ar"/>
        </w:rPr>
        <w:t xml:space="preserve">with Councillors could contribute to the preparatory work of the Council, </w:t>
      </w:r>
      <w:r w:rsidR="00341AF0">
        <w:rPr>
          <w:lang w:eastAsia="zh-CN" w:bidi="ar"/>
        </w:rPr>
        <w:t xml:space="preserve">as it </w:t>
      </w:r>
      <w:r w:rsidR="00047FDC" w:rsidRPr="00AB530E">
        <w:rPr>
          <w:lang w:eastAsia="zh-CN" w:bidi="ar"/>
        </w:rPr>
        <w:t xml:space="preserve">allows informal discussion among councillors in advance of the Council sessions. However, under normal circumstances, ITU Member States could extensively debate various </w:t>
      </w:r>
      <w:r w:rsidR="00341AF0">
        <w:rPr>
          <w:lang w:eastAsia="zh-CN" w:bidi="ar"/>
        </w:rPr>
        <w:t>C</w:t>
      </w:r>
      <w:r w:rsidR="00047FDC" w:rsidRPr="00AB530E">
        <w:rPr>
          <w:lang w:eastAsia="zh-CN" w:bidi="ar"/>
        </w:rPr>
        <w:t xml:space="preserve">ouncil issues through working group meetings. The retreat could only serve as an informal activity that </w:t>
      </w:r>
      <w:r w:rsidR="00341AF0">
        <w:rPr>
          <w:lang w:eastAsia="zh-CN" w:bidi="ar"/>
        </w:rPr>
        <w:t>would</w:t>
      </w:r>
      <w:r w:rsidR="006C4862">
        <w:rPr>
          <w:lang w:eastAsia="zh-CN" w:bidi="ar"/>
        </w:rPr>
        <w:t xml:space="preserve"> </w:t>
      </w:r>
      <w:r w:rsidR="00047FDC" w:rsidRPr="00AB530E">
        <w:rPr>
          <w:lang w:eastAsia="zh-CN" w:bidi="ar"/>
        </w:rPr>
        <w:t xml:space="preserve">consume the financial and human resources of the Council, </w:t>
      </w:r>
      <w:r w:rsidR="00341AF0">
        <w:rPr>
          <w:lang w:eastAsia="zh-CN" w:bidi="ar"/>
        </w:rPr>
        <w:t xml:space="preserve">and its </w:t>
      </w:r>
      <w:r w:rsidR="00047FDC" w:rsidRPr="00AB530E">
        <w:rPr>
          <w:lang w:eastAsia="zh-CN" w:bidi="ar"/>
        </w:rPr>
        <w:t>outcome w</w:t>
      </w:r>
      <w:r w:rsidR="00341AF0">
        <w:rPr>
          <w:lang w:eastAsia="zh-CN" w:bidi="ar"/>
        </w:rPr>
        <w:t xml:space="preserve">ould </w:t>
      </w:r>
      <w:r w:rsidR="00047FDC" w:rsidRPr="00AB530E">
        <w:rPr>
          <w:lang w:eastAsia="zh-CN" w:bidi="ar"/>
        </w:rPr>
        <w:t>hardly contribute substantially to the formal discussions of the Council. Therefore, we do not recommend continuing the practice of organizing retreats with councillors in the subsequent preparation process</w:t>
      </w:r>
      <w:r w:rsidR="00341AF0">
        <w:rPr>
          <w:lang w:eastAsia="zh-CN" w:bidi="ar"/>
        </w:rPr>
        <w:t xml:space="preserve"> for the Council</w:t>
      </w:r>
      <w:r w:rsidR="00047FDC" w:rsidRPr="00AB530E">
        <w:rPr>
          <w:lang w:eastAsia="zh-CN" w:bidi="ar"/>
        </w:rPr>
        <w:t xml:space="preserve">. </w:t>
      </w:r>
      <w:bookmarkStart w:id="11" w:name="_Hlk139290166"/>
      <w:r w:rsidR="00047FDC" w:rsidRPr="00AB530E">
        <w:rPr>
          <w:lang w:eastAsia="zh-CN" w:bidi="ar"/>
        </w:rPr>
        <w:t>Furthermore, the "</w:t>
      </w:r>
      <w:r w:rsidR="00047FDC" w:rsidRPr="00AB530E">
        <w:t>Chatham House Rules</w:t>
      </w:r>
      <w:r w:rsidR="00047FDC" w:rsidRPr="00AB530E">
        <w:rPr>
          <w:lang w:eastAsia="zh-CN" w:bidi="ar"/>
        </w:rPr>
        <w:t xml:space="preserve">" mentioned in the </w:t>
      </w:r>
      <w:r w:rsidR="00047FDC" w:rsidRPr="00341AF0">
        <w:rPr>
          <w:lang w:eastAsia="zh-CN" w:bidi="ar"/>
        </w:rPr>
        <w:t>Secretariat's</w:t>
      </w:r>
      <w:r w:rsidR="00047FDC" w:rsidRPr="00AB530E">
        <w:rPr>
          <w:lang w:eastAsia="zh-CN" w:bidi="ar"/>
        </w:rPr>
        <w:t xml:space="preserve"> report </w:t>
      </w:r>
      <w:r w:rsidR="00A23A90">
        <w:rPr>
          <w:lang w:eastAsia="zh-CN" w:bidi="ar"/>
        </w:rPr>
        <w:t xml:space="preserve">cannot be treated </w:t>
      </w:r>
      <w:r w:rsidR="00A23A90" w:rsidRPr="00AB530E">
        <w:rPr>
          <w:lang w:eastAsia="zh-CN" w:bidi="ar"/>
        </w:rPr>
        <w:t xml:space="preserve">as a rule of procedure </w:t>
      </w:r>
      <w:r w:rsidR="00A23A90">
        <w:rPr>
          <w:lang w:eastAsia="zh-CN" w:bidi="ar"/>
        </w:rPr>
        <w:t xml:space="preserve">(like other rules contained in the Rules of Procedure of the Council) as they are not defined </w:t>
      </w:r>
      <w:r w:rsidR="00047FDC" w:rsidRPr="00AB530E">
        <w:rPr>
          <w:lang w:eastAsia="zh-CN" w:bidi="ar"/>
        </w:rPr>
        <w:t>in the Constitution, Convention or the decisions of the Plenipotentiary Conference. It is not applicable to the retreat with councillors which addresses important management and reform matters to be covered by the Council.</w:t>
      </w:r>
      <w:bookmarkEnd w:id="11"/>
    </w:p>
    <w:p w14:paraId="31C08E24" w14:textId="624160B6" w:rsidR="00A514A4" w:rsidRPr="00AB530E" w:rsidRDefault="00047FDC" w:rsidP="00AB530E">
      <w:pPr>
        <w:rPr>
          <w:lang w:eastAsia="zh-CN" w:bidi="ar"/>
        </w:rPr>
      </w:pPr>
      <w:r w:rsidRPr="00AB530E">
        <w:rPr>
          <w:lang w:eastAsia="zh-CN" w:bidi="ar"/>
        </w:rPr>
        <w:t>3</w:t>
      </w:r>
      <w:r w:rsidR="00AB530E" w:rsidRPr="00AB530E">
        <w:rPr>
          <w:lang w:eastAsia="zh-CN" w:bidi="ar"/>
        </w:rPr>
        <w:tab/>
      </w:r>
      <w:r w:rsidRPr="00AB530E">
        <w:rPr>
          <w:lang w:eastAsia="zh-CN" w:bidi="ar"/>
        </w:rPr>
        <w:t>China proposes that the Council Working Group on Financial and Human Resources (CWG-FHR) should be tasked to consider issues related to the improvements of the Council and report back to the 2024 Council session.</w:t>
      </w:r>
    </w:p>
    <w:p w14:paraId="779B9FC6" w14:textId="77777777" w:rsidR="00AB530E" w:rsidRPr="00AB530E" w:rsidRDefault="00AB530E" w:rsidP="00AB530E">
      <w:pPr>
        <w:rPr>
          <w:lang w:eastAsia="zh-CN" w:bidi="ar"/>
        </w:rPr>
      </w:pPr>
    </w:p>
    <w:p w14:paraId="3E4881A7" w14:textId="77777777" w:rsidR="00AB530E" w:rsidRPr="00AB530E" w:rsidRDefault="00AB530E" w:rsidP="00AB530E">
      <w:pPr>
        <w:rPr>
          <w:lang w:eastAsia="zh-CN" w:bidi="ar"/>
        </w:rPr>
      </w:pPr>
    </w:p>
    <w:p w14:paraId="4643FF44" w14:textId="614AFC15" w:rsidR="00AB530E" w:rsidRPr="00047FDC" w:rsidRDefault="00AB530E" w:rsidP="00AB530E">
      <w:pPr>
        <w:jc w:val="center"/>
        <w:rPr>
          <w:lang w:val="en-US"/>
        </w:rPr>
      </w:pPr>
      <w:r w:rsidRPr="00AB530E">
        <w:rPr>
          <w:lang w:eastAsia="zh-CN" w:bidi="ar"/>
        </w:rPr>
        <w:t>_______________</w:t>
      </w:r>
    </w:p>
    <w:sectPr w:rsidR="00AB530E" w:rsidRPr="00047FDC"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92FA" w14:textId="77777777" w:rsidR="00102CCC" w:rsidRDefault="00102CCC">
      <w:r>
        <w:separator/>
      </w:r>
    </w:p>
  </w:endnote>
  <w:endnote w:type="continuationSeparator" w:id="0">
    <w:p w14:paraId="6B0F642F" w14:textId="77777777" w:rsidR="00102CCC" w:rsidRDefault="0010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14B3768F" w14:textId="77777777" w:rsidTr="0042469C">
      <w:trPr>
        <w:jc w:val="center"/>
      </w:trPr>
      <w:tc>
        <w:tcPr>
          <w:tcW w:w="1803" w:type="dxa"/>
          <w:vAlign w:val="center"/>
        </w:tcPr>
        <w:p w14:paraId="0B3B6D4E" w14:textId="356356AE" w:rsidR="00EE49E8" w:rsidRDefault="00EE49E8" w:rsidP="00EE49E8">
          <w:pPr>
            <w:pStyle w:val="Header"/>
            <w:jc w:val="left"/>
            <w:rPr>
              <w:noProof/>
            </w:rPr>
          </w:pPr>
          <w:r>
            <w:rPr>
              <w:noProof/>
            </w:rPr>
            <w:t xml:space="preserve">DPS </w:t>
          </w:r>
          <w:r w:rsidR="00D84233">
            <w:rPr>
              <w:noProof/>
            </w:rPr>
            <w:t>525349</w:t>
          </w:r>
        </w:p>
      </w:tc>
      <w:tc>
        <w:tcPr>
          <w:tcW w:w="8261" w:type="dxa"/>
        </w:tcPr>
        <w:p w14:paraId="01DCF519" w14:textId="6EE2CFC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27F3">
            <w:rPr>
              <w:bCs/>
            </w:rPr>
            <w:t>3</w:t>
          </w:r>
          <w:r w:rsidRPr="00623AE3">
            <w:rPr>
              <w:bCs/>
            </w:rPr>
            <w:t>/</w:t>
          </w:r>
          <w:r w:rsidR="00D84233">
            <w:rPr>
              <w:bCs/>
            </w:rPr>
            <w:t>78</w:t>
          </w:r>
          <w:r w:rsidRPr="00623AE3">
            <w:rPr>
              <w:bCs/>
            </w:rPr>
            <w:t>-E</w:t>
          </w:r>
          <w:r>
            <w:rPr>
              <w:bCs/>
            </w:rPr>
            <w:tab/>
          </w:r>
          <w:r>
            <w:fldChar w:fldCharType="begin"/>
          </w:r>
          <w:r>
            <w:instrText>PAGE</w:instrText>
          </w:r>
          <w:r>
            <w:fldChar w:fldCharType="separate"/>
          </w:r>
          <w:r>
            <w:t>1</w:t>
          </w:r>
          <w:r>
            <w:rPr>
              <w:noProof/>
            </w:rPr>
            <w:fldChar w:fldCharType="end"/>
          </w:r>
        </w:p>
      </w:tc>
    </w:tr>
  </w:tbl>
  <w:p w14:paraId="43D80173"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2B6D158F" w14:textId="77777777" w:rsidTr="00EE49E8">
      <w:trPr>
        <w:jc w:val="center"/>
      </w:trPr>
      <w:tc>
        <w:tcPr>
          <w:tcW w:w="1803" w:type="dxa"/>
          <w:vAlign w:val="center"/>
        </w:tcPr>
        <w:p w14:paraId="5E43E9AB" w14:textId="77777777" w:rsidR="00EE49E8" w:rsidRDefault="00437E3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6E681EA8" w14:textId="7AC6342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27F3">
            <w:rPr>
              <w:bCs/>
            </w:rPr>
            <w:t>3</w:t>
          </w:r>
          <w:r w:rsidRPr="00623AE3">
            <w:rPr>
              <w:bCs/>
            </w:rPr>
            <w:t>/</w:t>
          </w:r>
          <w:r w:rsidR="00047FDC">
            <w:rPr>
              <w:bCs/>
            </w:rPr>
            <w:t>78</w:t>
          </w:r>
          <w:r w:rsidRPr="00623AE3">
            <w:rPr>
              <w:bCs/>
            </w:rPr>
            <w:t>-E</w:t>
          </w:r>
          <w:r>
            <w:rPr>
              <w:bCs/>
            </w:rPr>
            <w:tab/>
          </w:r>
          <w:r>
            <w:fldChar w:fldCharType="begin"/>
          </w:r>
          <w:r>
            <w:instrText>PAGE</w:instrText>
          </w:r>
          <w:r>
            <w:fldChar w:fldCharType="separate"/>
          </w:r>
          <w:r>
            <w:t>1</w:t>
          </w:r>
          <w:r>
            <w:rPr>
              <w:noProof/>
            </w:rPr>
            <w:fldChar w:fldCharType="end"/>
          </w:r>
        </w:p>
      </w:tc>
    </w:tr>
  </w:tbl>
  <w:p w14:paraId="12E0D29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C8E7" w14:textId="77777777" w:rsidR="00102CCC" w:rsidRDefault="00102CCC">
      <w:r>
        <w:t>____________________</w:t>
      </w:r>
    </w:p>
  </w:footnote>
  <w:footnote w:type="continuationSeparator" w:id="0">
    <w:p w14:paraId="2C5A38DA" w14:textId="77777777" w:rsidR="00102CCC" w:rsidRDefault="00102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28E70A57" w14:textId="77777777" w:rsidTr="00C91CFC">
      <w:trPr>
        <w:trHeight w:val="1104"/>
        <w:jc w:val="center"/>
      </w:trPr>
      <w:tc>
        <w:tcPr>
          <w:tcW w:w="4390" w:type="dxa"/>
          <w:vAlign w:val="center"/>
        </w:tcPr>
        <w:p w14:paraId="6A3235CC" w14:textId="77777777" w:rsidR="00AD3606" w:rsidRPr="009621F8" w:rsidRDefault="00AD3606" w:rsidP="00AD3606">
          <w:pPr>
            <w:pStyle w:val="Header"/>
            <w:jc w:val="left"/>
            <w:rPr>
              <w:rFonts w:ascii="Arial" w:hAnsi="Arial" w:cs="Arial"/>
              <w:b/>
              <w:bCs/>
              <w:color w:val="009CD6"/>
              <w:sz w:val="36"/>
              <w:szCs w:val="36"/>
            </w:rPr>
          </w:pPr>
          <w:bookmarkStart w:id="12" w:name="_Hlk133422111"/>
          <w:r>
            <w:rPr>
              <w:noProof/>
            </w:rPr>
            <w:drawing>
              <wp:inline distT="0" distB="0" distL="0" distR="0" wp14:anchorId="70B0DB86" wp14:editId="4BE29C64">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6471" cy="534171"/>
                        </a:xfrm>
                        <a:prstGeom prst="rect">
                          <a:avLst/>
                        </a:prstGeom>
                      </pic:spPr>
                    </pic:pic>
                  </a:graphicData>
                </a:graphic>
              </wp:inline>
            </w:drawing>
          </w:r>
        </w:p>
      </w:tc>
      <w:tc>
        <w:tcPr>
          <w:tcW w:w="5630" w:type="dxa"/>
        </w:tcPr>
        <w:p w14:paraId="2346D2A4" w14:textId="77777777" w:rsidR="00AD3606" w:rsidRDefault="00AD3606" w:rsidP="00AD3606">
          <w:pPr>
            <w:pStyle w:val="Header"/>
            <w:jc w:val="right"/>
            <w:rPr>
              <w:rFonts w:ascii="Arial" w:hAnsi="Arial" w:cs="Arial"/>
              <w:b/>
              <w:bCs/>
              <w:color w:val="009CD6"/>
              <w:szCs w:val="18"/>
            </w:rPr>
          </w:pPr>
        </w:p>
        <w:p w14:paraId="6F0B96E5" w14:textId="77777777" w:rsidR="00AD3606" w:rsidRDefault="00AD3606" w:rsidP="00AD3606">
          <w:pPr>
            <w:pStyle w:val="Header"/>
            <w:jc w:val="right"/>
            <w:rPr>
              <w:rFonts w:ascii="Arial" w:hAnsi="Arial" w:cs="Arial"/>
              <w:b/>
              <w:bCs/>
              <w:color w:val="009CD6"/>
              <w:szCs w:val="18"/>
            </w:rPr>
          </w:pPr>
        </w:p>
        <w:p w14:paraId="2AA8CDAC"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428470B1"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F9673C8" wp14:editId="59E4961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50BF9"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1C2658"/>
    <w:multiLevelType w:val="multilevel"/>
    <w:tmpl w:val="4C1C2658"/>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 w15:restartNumberingAfterBreak="0">
    <w:nsid w:val="7B39A1CB"/>
    <w:multiLevelType w:val="singleLevel"/>
    <w:tmpl w:val="7B39A1CB"/>
    <w:lvl w:ilvl="0">
      <w:start w:val="1"/>
      <w:numFmt w:val="decimal"/>
      <w:suff w:val="space"/>
      <w:lvlText w:val="%1."/>
      <w:lvlJc w:val="left"/>
    </w:lvl>
  </w:abstractNum>
  <w:num w:numId="1" w16cid:durableId="1374816267">
    <w:abstractNumId w:val="0"/>
  </w:num>
  <w:num w:numId="2" w16cid:durableId="2145657164">
    <w:abstractNumId w:val="2"/>
  </w:num>
  <w:num w:numId="3" w16cid:durableId="14662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DC"/>
    <w:rsid w:val="000210D4"/>
    <w:rsid w:val="00033CF3"/>
    <w:rsid w:val="00047FDC"/>
    <w:rsid w:val="00063016"/>
    <w:rsid w:val="00066795"/>
    <w:rsid w:val="00076AF6"/>
    <w:rsid w:val="00085CF2"/>
    <w:rsid w:val="0008676C"/>
    <w:rsid w:val="000B1705"/>
    <w:rsid w:val="000D75B2"/>
    <w:rsid w:val="00102CCC"/>
    <w:rsid w:val="001121F5"/>
    <w:rsid w:val="001400DC"/>
    <w:rsid w:val="00140CE1"/>
    <w:rsid w:val="00155CCF"/>
    <w:rsid w:val="0017539C"/>
    <w:rsid w:val="00175AC2"/>
    <w:rsid w:val="0017609F"/>
    <w:rsid w:val="001A7D1D"/>
    <w:rsid w:val="001B51DD"/>
    <w:rsid w:val="001C628E"/>
    <w:rsid w:val="001E0F7B"/>
    <w:rsid w:val="002119FD"/>
    <w:rsid w:val="002130E0"/>
    <w:rsid w:val="00264425"/>
    <w:rsid w:val="00265875"/>
    <w:rsid w:val="0027303B"/>
    <w:rsid w:val="0028109B"/>
    <w:rsid w:val="002A2188"/>
    <w:rsid w:val="002A3CEF"/>
    <w:rsid w:val="002B1F58"/>
    <w:rsid w:val="002C1C7A"/>
    <w:rsid w:val="002C54E2"/>
    <w:rsid w:val="0030160F"/>
    <w:rsid w:val="00320223"/>
    <w:rsid w:val="00322D0D"/>
    <w:rsid w:val="003276DB"/>
    <w:rsid w:val="00341AF0"/>
    <w:rsid w:val="00361465"/>
    <w:rsid w:val="003877F5"/>
    <w:rsid w:val="003942D4"/>
    <w:rsid w:val="003958A8"/>
    <w:rsid w:val="003A52D2"/>
    <w:rsid w:val="003C2533"/>
    <w:rsid w:val="003D5A7F"/>
    <w:rsid w:val="003F2B4F"/>
    <w:rsid w:val="0040435A"/>
    <w:rsid w:val="00416A24"/>
    <w:rsid w:val="00425539"/>
    <w:rsid w:val="00431D9E"/>
    <w:rsid w:val="00433CE8"/>
    <w:rsid w:val="00434A5C"/>
    <w:rsid w:val="00437E32"/>
    <w:rsid w:val="004544D9"/>
    <w:rsid w:val="00472BAD"/>
    <w:rsid w:val="00484009"/>
    <w:rsid w:val="00490E72"/>
    <w:rsid w:val="00491157"/>
    <w:rsid w:val="004921C8"/>
    <w:rsid w:val="00495B0B"/>
    <w:rsid w:val="004A1B8B"/>
    <w:rsid w:val="004D1851"/>
    <w:rsid w:val="004D599D"/>
    <w:rsid w:val="004E2EA5"/>
    <w:rsid w:val="004E3AEB"/>
    <w:rsid w:val="0050223C"/>
    <w:rsid w:val="0050286E"/>
    <w:rsid w:val="005243FF"/>
    <w:rsid w:val="00564FBC"/>
    <w:rsid w:val="00567544"/>
    <w:rsid w:val="005800BC"/>
    <w:rsid w:val="00582442"/>
    <w:rsid w:val="005F3269"/>
    <w:rsid w:val="00623AE3"/>
    <w:rsid w:val="0064737F"/>
    <w:rsid w:val="006535F1"/>
    <w:rsid w:val="0065557D"/>
    <w:rsid w:val="00660D50"/>
    <w:rsid w:val="00662984"/>
    <w:rsid w:val="006716BB"/>
    <w:rsid w:val="006B1859"/>
    <w:rsid w:val="006B6680"/>
    <w:rsid w:val="006B6DCC"/>
    <w:rsid w:val="006C27D1"/>
    <w:rsid w:val="006C4862"/>
    <w:rsid w:val="00700797"/>
    <w:rsid w:val="00702DEF"/>
    <w:rsid w:val="00706861"/>
    <w:rsid w:val="0075051B"/>
    <w:rsid w:val="007736AF"/>
    <w:rsid w:val="00793188"/>
    <w:rsid w:val="00794D34"/>
    <w:rsid w:val="00813E5E"/>
    <w:rsid w:val="0083581B"/>
    <w:rsid w:val="00863874"/>
    <w:rsid w:val="00864AFF"/>
    <w:rsid w:val="00865925"/>
    <w:rsid w:val="008B4A6A"/>
    <w:rsid w:val="008C7E27"/>
    <w:rsid w:val="008F7448"/>
    <w:rsid w:val="0090147A"/>
    <w:rsid w:val="009173EF"/>
    <w:rsid w:val="00932906"/>
    <w:rsid w:val="00961B0B"/>
    <w:rsid w:val="00962D33"/>
    <w:rsid w:val="00997296"/>
    <w:rsid w:val="009B38C3"/>
    <w:rsid w:val="009E17BD"/>
    <w:rsid w:val="009E485A"/>
    <w:rsid w:val="00A04CEC"/>
    <w:rsid w:val="00A23A90"/>
    <w:rsid w:val="00A27F92"/>
    <w:rsid w:val="00A32257"/>
    <w:rsid w:val="00A36D20"/>
    <w:rsid w:val="00A514A4"/>
    <w:rsid w:val="00A55622"/>
    <w:rsid w:val="00A65500"/>
    <w:rsid w:val="00A83502"/>
    <w:rsid w:val="00AB530E"/>
    <w:rsid w:val="00AD15B3"/>
    <w:rsid w:val="00AD3606"/>
    <w:rsid w:val="00AD4A3D"/>
    <w:rsid w:val="00AF6E49"/>
    <w:rsid w:val="00B04A67"/>
    <w:rsid w:val="00B0583C"/>
    <w:rsid w:val="00B40A81"/>
    <w:rsid w:val="00B44910"/>
    <w:rsid w:val="00B53761"/>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D4296"/>
    <w:rsid w:val="00CE03FB"/>
    <w:rsid w:val="00CE4197"/>
    <w:rsid w:val="00CE433C"/>
    <w:rsid w:val="00CF0161"/>
    <w:rsid w:val="00CF33F3"/>
    <w:rsid w:val="00D06183"/>
    <w:rsid w:val="00D22C42"/>
    <w:rsid w:val="00D65041"/>
    <w:rsid w:val="00D84233"/>
    <w:rsid w:val="00DB1936"/>
    <w:rsid w:val="00DB384B"/>
    <w:rsid w:val="00DF0189"/>
    <w:rsid w:val="00E06FD5"/>
    <w:rsid w:val="00E10E80"/>
    <w:rsid w:val="00E124F0"/>
    <w:rsid w:val="00E22268"/>
    <w:rsid w:val="00E227F3"/>
    <w:rsid w:val="00E47B35"/>
    <w:rsid w:val="00E545C6"/>
    <w:rsid w:val="00E60F04"/>
    <w:rsid w:val="00E65B24"/>
    <w:rsid w:val="00E854E4"/>
    <w:rsid w:val="00E86DBF"/>
    <w:rsid w:val="00EB0D6F"/>
    <w:rsid w:val="00EB2232"/>
    <w:rsid w:val="00EC5337"/>
    <w:rsid w:val="00EE49E8"/>
    <w:rsid w:val="00F16BAB"/>
    <w:rsid w:val="00F2150A"/>
    <w:rsid w:val="00F231D8"/>
    <w:rsid w:val="00F4300A"/>
    <w:rsid w:val="00F44C00"/>
    <w:rsid w:val="00F45D2C"/>
    <w:rsid w:val="00F46C5F"/>
    <w:rsid w:val="00F632C0"/>
    <w:rsid w:val="00F94A63"/>
    <w:rsid w:val="00F94BA0"/>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43782"/>
  <w15:docId w15:val="{69DCBB7B-2E1B-4AC9-95D1-9A25BF82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94BA0"/>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047FDC"/>
    <w:pPr>
      <w:spacing w:after="160" w:line="259" w:lineRule="auto"/>
      <w:ind w:left="720"/>
      <w:contextualSpacing/>
    </w:pPr>
  </w:style>
  <w:style w:type="paragraph" w:styleId="Revision">
    <w:name w:val="Revision"/>
    <w:hidden/>
    <w:uiPriority w:val="99"/>
    <w:semiHidden/>
    <w:rsid w:val="00155CCF"/>
    <w:rPr>
      <w:rFonts w:ascii="Calibri" w:hAnsi="Calibri"/>
      <w:sz w:val="24"/>
      <w:lang w:val="en-GB" w:eastAsia="en-US"/>
    </w:rPr>
  </w:style>
  <w:style w:type="character" w:styleId="CommentReference">
    <w:name w:val="annotation reference"/>
    <w:basedOn w:val="DefaultParagraphFont"/>
    <w:semiHidden/>
    <w:unhideWhenUsed/>
    <w:rsid w:val="00155CCF"/>
    <w:rPr>
      <w:sz w:val="16"/>
      <w:szCs w:val="16"/>
    </w:rPr>
  </w:style>
  <w:style w:type="paragraph" w:styleId="CommentText">
    <w:name w:val="annotation text"/>
    <w:basedOn w:val="Normal"/>
    <w:link w:val="CommentTextChar"/>
    <w:unhideWhenUsed/>
    <w:rsid w:val="00155CCF"/>
    <w:rPr>
      <w:sz w:val="20"/>
    </w:rPr>
  </w:style>
  <w:style w:type="character" w:customStyle="1" w:styleId="CommentTextChar">
    <w:name w:val="Comment Text Char"/>
    <w:basedOn w:val="DefaultParagraphFont"/>
    <w:link w:val="CommentText"/>
    <w:rsid w:val="00155CCF"/>
    <w:rPr>
      <w:rFonts w:ascii="Calibri" w:hAnsi="Calibri"/>
      <w:lang w:val="en-GB" w:eastAsia="en-US"/>
    </w:rPr>
  </w:style>
  <w:style w:type="paragraph" w:styleId="CommentSubject">
    <w:name w:val="annotation subject"/>
    <w:basedOn w:val="CommentText"/>
    <w:next w:val="CommentText"/>
    <w:link w:val="CommentSubjectChar"/>
    <w:semiHidden/>
    <w:unhideWhenUsed/>
    <w:rsid w:val="00155CCF"/>
    <w:rPr>
      <w:b/>
      <w:bCs/>
    </w:rPr>
  </w:style>
  <w:style w:type="character" w:customStyle="1" w:styleId="CommentSubjectChar">
    <w:name w:val="Comment Subject Char"/>
    <w:basedOn w:val="CommentTextChar"/>
    <w:link w:val="CommentSubject"/>
    <w:semiHidden/>
    <w:rsid w:val="00155CCF"/>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E.pdf" TargetMode="External"/><Relationship Id="rId13" Type="http://schemas.openxmlformats.org/officeDocument/2006/relationships/hyperlink" Target="https://www.itu.int/en/council/Documents/basic-texts-2023/RES-077-e.pdf" TargetMode="External"/><Relationship Id="rId18" Type="http://schemas.openxmlformats.org/officeDocument/2006/relationships/hyperlink" Target="https://www.itu.int/md/S23-CL-C-0032/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council/Documents/basic-texts-2023/RES-066-e.pdf" TargetMode="External"/><Relationship Id="rId17" Type="http://schemas.openxmlformats.org/officeDocument/2006/relationships/hyperlink" Target="https://www.itu.int/md/S23-CL-C-0002/en" TargetMode="External"/><Relationship Id="rId2" Type="http://schemas.openxmlformats.org/officeDocument/2006/relationships/numbering" Target="numbering.xml"/><Relationship Id="rId16" Type="http://schemas.openxmlformats.org/officeDocument/2006/relationships/hyperlink" Target="https://www.itu.int/md/S22-CL-C-009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1-e.pdf" TargetMode="External"/><Relationship Id="rId5" Type="http://schemas.openxmlformats.org/officeDocument/2006/relationships/webSettings" Target="webSettings.xml"/><Relationship Id="rId15" Type="http://schemas.openxmlformats.org/officeDocument/2006/relationships/hyperlink" Target="https://www.itu.int/en/council/Documents/basic-texts-2023/RES-191-e.pdf" TargetMode="External"/><Relationship Id="rId23" Type="http://schemas.openxmlformats.org/officeDocument/2006/relationships/theme" Target="theme/theme1.xml"/><Relationship Id="rId10" Type="http://schemas.openxmlformats.org/officeDocument/2006/relationships/hyperlink" Target="https://www.itu.int/council/pd/rop-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2023/Convention-E.pdf" TargetMode="External"/><Relationship Id="rId14" Type="http://schemas.openxmlformats.org/officeDocument/2006/relationships/hyperlink" Target="https://www.itu.int/en/council/Documents/basic-texts-2023/RES-091-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4</Pages>
  <Words>1678</Words>
  <Characters>10097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C2022, C22, Council-22</vt:lpstr>
    </vt:vector>
  </TitlesOfParts>
  <Manager>General Secretariat - Pool</Manager>
  <Company>International Telecommunication Union (ITU)</Company>
  <LinksUpToDate>false</LinksUpToDate>
  <CharactersWithSpaces>11752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People's Republic of China - Proposals for the improvements of the Council</dc:title>
  <dc:subject>Council 2023</dc:subject>
  <dc:creator>English71</dc:creator>
  <cp:keywords>C2023, C23, Council-23</cp:keywords>
  <dc:description/>
  <cp:lastModifiedBy>Xue, Kun</cp:lastModifiedBy>
  <cp:revision>2</cp:revision>
  <cp:lastPrinted>2000-07-18T13:30:00Z</cp:lastPrinted>
  <dcterms:created xsi:type="dcterms:W3CDTF">2023-07-05T13:06:00Z</dcterms:created>
  <dcterms:modified xsi:type="dcterms:W3CDTF">2023-07-05T13:06:00Z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