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2"/>
        <w:gridCol w:w="3117"/>
      </w:tblGrid>
      <w:tr w:rsidR="007B0AA0" w14:paraId="003F2531" w14:textId="77777777" w:rsidTr="00F363FE">
        <w:tc>
          <w:tcPr>
            <w:tcW w:w="6512" w:type="dxa"/>
          </w:tcPr>
          <w:p w14:paraId="6EA52A6F" w14:textId="1C217C12" w:rsidR="007B0AA0" w:rsidRPr="007B0AA0" w:rsidRDefault="007B0AA0" w:rsidP="00F363FE">
            <w:pPr>
              <w:spacing w:before="60" w:after="60" w:line="260" w:lineRule="exact"/>
              <w:rPr>
                <w:b/>
                <w:bCs/>
                <w:lang w:bidi="ar-EG"/>
              </w:rPr>
            </w:pPr>
            <w:r w:rsidRPr="007B0AA0">
              <w:rPr>
                <w:rFonts w:hint="cs"/>
                <w:b/>
                <w:bCs/>
                <w:rtl/>
                <w:lang w:bidi="ar-EG"/>
              </w:rPr>
              <w:t>بند جدول الأعمال:</w:t>
            </w:r>
            <w:r w:rsidR="00930252">
              <w:rPr>
                <w:rFonts w:hint="cs"/>
                <w:b/>
                <w:bCs/>
                <w:rtl/>
                <w:lang w:bidi="ar-EG"/>
              </w:rPr>
              <w:t xml:space="preserve"> </w:t>
            </w:r>
            <w:r w:rsidR="00930252">
              <w:rPr>
                <w:b/>
                <w:bCs/>
                <w:lang w:bidi="ar-EG"/>
              </w:rPr>
              <w:t>ADM 1</w:t>
            </w:r>
          </w:p>
        </w:tc>
        <w:tc>
          <w:tcPr>
            <w:tcW w:w="3117" w:type="dxa"/>
          </w:tcPr>
          <w:p w14:paraId="5159E1FA" w14:textId="3BB346B2" w:rsidR="007B0AA0" w:rsidRPr="007B0AA0" w:rsidRDefault="007B0AA0" w:rsidP="00F363FE">
            <w:pPr>
              <w:spacing w:before="60" w:after="60" w:line="260" w:lineRule="exact"/>
              <w:rPr>
                <w:b/>
                <w:bCs/>
                <w:lang w:bidi="ar-EG"/>
              </w:rPr>
            </w:pPr>
            <w:r w:rsidRPr="007B0AA0">
              <w:rPr>
                <w:rFonts w:hint="cs"/>
                <w:b/>
                <w:bCs/>
                <w:rtl/>
                <w:lang w:bidi="ar-EG"/>
              </w:rPr>
              <w:t xml:space="preserve">الوثيقة </w:t>
            </w:r>
            <w:r w:rsidRPr="007B0AA0">
              <w:rPr>
                <w:b/>
                <w:bCs/>
                <w:lang w:bidi="ar-EG"/>
              </w:rPr>
              <w:t>C23/</w:t>
            </w:r>
            <w:r w:rsidR="00930252">
              <w:rPr>
                <w:b/>
                <w:bCs/>
                <w:lang w:bidi="ar-EG"/>
              </w:rPr>
              <w:t>82</w:t>
            </w:r>
            <w:r w:rsidRPr="007B0AA0">
              <w:rPr>
                <w:b/>
                <w:bCs/>
                <w:lang w:bidi="ar-EG"/>
              </w:rPr>
              <w:t>-A</w:t>
            </w:r>
          </w:p>
        </w:tc>
      </w:tr>
      <w:tr w:rsidR="007B0AA0" w14:paraId="53F9F5F0" w14:textId="77777777" w:rsidTr="00F363FE">
        <w:tc>
          <w:tcPr>
            <w:tcW w:w="6512" w:type="dxa"/>
          </w:tcPr>
          <w:p w14:paraId="11827576" w14:textId="77777777" w:rsidR="007B0AA0" w:rsidRPr="007B0AA0" w:rsidRDefault="007B0AA0" w:rsidP="00F363FE">
            <w:pPr>
              <w:spacing w:before="60" w:after="60" w:line="260" w:lineRule="exact"/>
              <w:rPr>
                <w:b/>
                <w:bCs/>
                <w:rtl/>
                <w:lang w:bidi="ar-EG"/>
              </w:rPr>
            </w:pPr>
          </w:p>
        </w:tc>
        <w:tc>
          <w:tcPr>
            <w:tcW w:w="3117" w:type="dxa"/>
          </w:tcPr>
          <w:p w14:paraId="54E0ED3C" w14:textId="49D2E8DF" w:rsidR="007B0AA0" w:rsidRPr="007B0AA0" w:rsidRDefault="00930252" w:rsidP="00F363FE">
            <w:pPr>
              <w:spacing w:before="60" w:after="60" w:line="260" w:lineRule="exact"/>
              <w:rPr>
                <w:b/>
                <w:bCs/>
                <w:rtl/>
                <w:lang w:bidi="ar-EG"/>
              </w:rPr>
            </w:pPr>
            <w:r>
              <w:rPr>
                <w:b/>
                <w:bCs/>
                <w:lang w:bidi="ar-EG"/>
              </w:rPr>
              <w:t>27</w:t>
            </w:r>
            <w:r w:rsidR="007B0AA0" w:rsidRPr="007B0AA0">
              <w:rPr>
                <w:rFonts w:hint="cs"/>
                <w:b/>
                <w:bCs/>
                <w:rtl/>
                <w:lang w:bidi="ar-EG"/>
              </w:rPr>
              <w:t xml:space="preserve"> </w:t>
            </w:r>
            <w:r>
              <w:rPr>
                <w:rFonts w:hint="cs"/>
                <w:b/>
                <w:bCs/>
                <w:rtl/>
                <w:lang w:bidi="ar-EG"/>
              </w:rPr>
              <w:t>يونيو</w:t>
            </w:r>
            <w:r w:rsidR="007B0AA0" w:rsidRPr="007B0AA0">
              <w:rPr>
                <w:rFonts w:hint="cs"/>
                <w:b/>
                <w:bCs/>
                <w:rtl/>
                <w:lang w:bidi="ar-EG"/>
              </w:rPr>
              <w:t xml:space="preserve"> </w:t>
            </w:r>
            <w:r w:rsidR="007B0AA0" w:rsidRPr="007B0AA0">
              <w:rPr>
                <w:b/>
                <w:bCs/>
                <w:lang w:bidi="ar-EG"/>
              </w:rPr>
              <w:t>2023</w:t>
            </w:r>
          </w:p>
        </w:tc>
      </w:tr>
      <w:tr w:rsidR="007B0AA0" w14:paraId="1D500B9B" w14:textId="77777777" w:rsidTr="00F363FE">
        <w:tc>
          <w:tcPr>
            <w:tcW w:w="6512" w:type="dxa"/>
          </w:tcPr>
          <w:p w14:paraId="375CCDC2" w14:textId="77777777" w:rsidR="007B0AA0" w:rsidRPr="007B0AA0" w:rsidRDefault="007B0AA0" w:rsidP="00F363FE">
            <w:pPr>
              <w:spacing w:before="60" w:after="60" w:line="260" w:lineRule="exact"/>
              <w:rPr>
                <w:b/>
                <w:bCs/>
                <w:rtl/>
                <w:lang w:bidi="ar-EG"/>
              </w:rPr>
            </w:pPr>
          </w:p>
        </w:tc>
        <w:tc>
          <w:tcPr>
            <w:tcW w:w="3117" w:type="dxa"/>
          </w:tcPr>
          <w:p w14:paraId="7E4E4F95" w14:textId="77777777" w:rsidR="007B0AA0" w:rsidRPr="007B0AA0" w:rsidRDefault="007B0AA0" w:rsidP="00F363FE">
            <w:pPr>
              <w:spacing w:before="60" w:after="60" w:line="260" w:lineRule="exact"/>
              <w:rPr>
                <w:b/>
                <w:bCs/>
                <w:rtl/>
                <w:lang w:bidi="ar-EG"/>
              </w:rPr>
            </w:pPr>
            <w:r w:rsidRPr="007B0AA0">
              <w:rPr>
                <w:rFonts w:hint="cs"/>
                <w:b/>
                <w:bCs/>
                <w:rtl/>
                <w:lang w:bidi="ar-EG"/>
              </w:rPr>
              <w:t>الأصل: بالإنكليزية</w:t>
            </w:r>
          </w:p>
        </w:tc>
      </w:tr>
      <w:tr w:rsidR="007B0AA0" w14:paraId="3184A3D2" w14:textId="77777777" w:rsidTr="00F363FE">
        <w:tc>
          <w:tcPr>
            <w:tcW w:w="6512" w:type="dxa"/>
          </w:tcPr>
          <w:p w14:paraId="22D9F22E" w14:textId="77777777" w:rsidR="007B0AA0" w:rsidRDefault="007B0AA0" w:rsidP="00F363FE">
            <w:pPr>
              <w:spacing w:before="60" w:after="60" w:line="260" w:lineRule="exact"/>
              <w:rPr>
                <w:lang w:bidi="ar-EG"/>
              </w:rPr>
            </w:pPr>
          </w:p>
        </w:tc>
        <w:tc>
          <w:tcPr>
            <w:tcW w:w="3117" w:type="dxa"/>
          </w:tcPr>
          <w:p w14:paraId="1E2CA362" w14:textId="77777777" w:rsidR="007B0AA0" w:rsidRDefault="007B0AA0" w:rsidP="00F363FE">
            <w:pPr>
              <w:spacing w:before="60" w:after="60" w:line="260" w:lineRule="exact"/>
              <w:rPr>
                <w:rtl/>
                <w:lang w:bidi="ar-EG"/>
              </w:rPr>
            </w:pPr>
          </w:p>
        </w:tc>
      </w:tr>
      <w:tr w:rsidR="007B0AA0" w14:paraId="7560105C" w14:textId="77777777" w:rsidTr="00EE7446">
        <w:tc>
          <w:tcPr>
            <w:tcW w:w="9629" w:type="dxa"/>
            <w:gridSpan w:val="2"/>
          </w:tcPr>
          <w:p w14:paraId="488D7220" w14:textId="2663D79F" w:rsidR="007B0AA0" w:rsidRDefault="00E83921" w:rsidP="007B0AA0">
            <w:pPr>
              <w:pStyle w:val="Source"/>
              <w:jc w:val="left"/>
              <w:rPr>
                <w:rtl/>
                <w:lang w:bidi="ar-EG"/>
              </w:rPr>
            </w:pPr>
            <w:r>
              <w:rPr>
                <w:rFonts w:hint="cs"/>
                <w:rtl/>
                <w:lang w:bidi="ar-EG"/>
              </w:rPr>
              <w:t xml:space="preserve">مساهمة </w:t>
            </w:r>
            <w:r w:rsidR="004249B1" w:rsidRPr="00CE5300">
              <w:rPr>
                <w:rFonts w:hint="cs"/>
                <w:rtl/>
              </w:rPr>
              <w:t>مقدمة</w:t>
            </w:r>
            <w:r w:rsidR="004249B1">
              <w:rPr>
                <w:rFonts w:hint="cs"/>
                <w:rtl/>
              </w:rPr>
              <w:t xml:space="preserve"> </w:t>
            </w:r>
            <w:r>
              <w:rPr>
                <w:rFonts w:hint="cs"/>
                <w:rtl/>
                <w:lang w:bidi="ar-EG"/>
              </w:rPr>
              <w:t>من كندا والولايات المتحدة الأمريكية</w:t>
            </w:r>
          </w:p>
        </w:tc>
      </w:tr>
      <w:tr w:rsidR="007B0AA0" w14:paraId="71C18324" w14:textId="77777777" w:rsidTr="007B0AA0">
        <w:tc>
          <w:tcPr>
            <w:tcW w:w="9629" w:type="dxa"/>
            <w:gridSpan w:val="2"/>
            <w:tcBorders>
              <w:bottom w:val="single" w:sz="4" w:space="0" w:color="auto"/>
            </w:tcBorders>
          </w:tcPr>
          <w:p w14:paraId="0160985B" w14:textId="01AAB3CA" w:rsidR="007B0AA0" w:rsidRDefault="004249B1" w:rsidP="001944FC">
            <w:pPr>
              <w:pStyle w:val="Subtitle0"/>
            </w:pPr>
            <w:r>
              <w:rPr>
                <w:rFonts w:hint="cs"/>
                <w:rtl/>
                <w:lang w:bidi="ar-SA"/>
              </w:rPr>
              <w:t>تأييد ال</w:t>
            </w:r>
            <w:r w:rsidR="001944FC" w:rsidRPr="001944FC">
              <w:rPr>
                <w:rtl/>
                <w:lang w:bidi="ar-SA"/>
              </w:rPr>
              <w:t xml:space="preserve">دراسة عن مدى ملاءمة </w:t>
            </w:r>
            <w:r w:rsidR="001944FC" w:rsidRPr="001944FC">
              <w:rPr>
                <w:rFonts w:hint="cs"/>
                <w:rtl/>
                <w:lang w:bidi="ar-SA"/>
              </w:rPr>
              <w:t>المقرَّر</w:t>
            </w:r>
            <w:r w:rsidR="001944FC" w:rsidRPr="001944FC">
              <w:rPr>
                <w:rtl/>
                <w:lang w:bidi="ar-SA"/>
              </w:rPr>
              <w:t xml:space="preserve"> 482 للمجلس بشأن استرداد التكاليف المتعلقة بمعالجة بطاقات التبليغ عن الشبكات الساتلية</w:t>
            </w:r>
          </w:p>
        </w:tc>
      </w:tr>
      <w:tr w:rsidR="007B0AA0" w14:paraId="2F7B4391" w14:textId="77777777" w:rsidTr="007B0AA0">
        <w:tc>
          <w:tcPr>
            <w:tcW w:w="9629" w:type="dxa"/>
            <w:gridSpan w:val="2"/>
            <w:tcBorders>
              <w:top w:val="single" w:sz="4" w:space="0" w:color="auto"/>
              <w:bottom w:val="single" w:sz="4" w:space="0" w:color="auto"/>
            </w:tcBorders>
          </w:tcPr>
          <w:p w14:paraId="27D1031A" w14:textId="4592B1AF" w:rsidR="007B0AA0" w:rsidRPr="007B0AA0" w:rsidRDefault="007B0AA0" w:rsidP="007B0AA0">
            <w:pPr>
              <w:rPr>
                <w:b/>
                <w:bCs/>
                <w:rtl/>
                <w:lang w:bidi="ar-EG"/>
              </w:rPr>
            </w:pPr>
            <w:r w:rsidRPr="007B0AA0">
              <w:rPr>
                <w:rFonts w:hint="cs"/>
                <w:b/>
                <w:bCs/>
                <w:rtl/>
              </w:rPr>
              <w:t>الغرض</w:t>
            </w:r>
            <w:r w:rsidR="00A51437">
              <w:rPr>
                <w:rFonts w:hint="cs"/>
                <w:b/>
                <w:bCs/>
                <w:rtl/>
                <w:lang w:bidi="ar-EG"/>
              </w:rPr>
              <w:t xml:space="preserve"> </w:t>
            </w:r>
          </w:p>
          <w:p w14:paraId="51BF6530" w14:textId="63FA3234" w:rsidR="001944FC" w:rsidRDefault="00490B7F" w:rsidP="00267A89">
            <w:pPr>
              <w:rPr>
                <w:rtl/>
              </w:rPr>
            </w:pPr>
            <w:r>
              <w:rPr>
                <w:rFonts w:hint="cs"/>
                <w:rtl/>
              </w:rPr>
              <w:t xml:space="preserve">تتضمن هذه المساهمة رداً على الوثيقة </w:t>
            </w:r>
            <w:r>
              <w:t>C23/19</w:t>
            </w:r>
            <w:r>
              <w:rPr>
                <w:rFonts w:hint="cs"/>
                <w:rtl/>
              </w:rPr>
              <w:t xml:space="preserve"> المقدمة من الأمانة العامة بشأن</w:t>
            </w:r>
            <w:r w:rsidR="001944FC">
              <w:rPr>
                <w:rFonts w:hint="cs"/>
                <w:rtl/>
              </w:rPr>
              <w:t xml:space="preserve"> "</w:t>
            </w:r>
            <w:r w:rsidR="001944FC" w:rsidRPr="001944FC">
              <w:rPr>
                <w:rtl/>
              </w:rPr>
              <w:t xml:space="preserve">دراسة عن مدى ملاءمة </w:t>
            </w:r>
            <w:r w:rsidR="001944FC" w:rsidRPr="001944FC">
              <w:rPr>
                <w:rFonts w:hint="cs"/>
                <w:rtl/>
              </w:rPr>
              <w:t>المقرَّر</w:t>
            </w:r>
            <w:r w:rsidR="001944FC" w:rsidRPr="001944FC">
              <w:rPr>
                <w:rtl/>
              </w:rPr>
              <w:t xml:space="preserve"> 482 للمجلس بشأن استرداد التكاليف المتعلقة بمعالجة بطاقات التبليغ عن الشبكات الساتلية</w:t>
            </w:r>
            <w:r w:rsidR="00CE5300">
              <w:rPr>
                <w:rFonts w:hint="cs"/>
                <w:rtl/>
              </w:rPr>
              <w:t>.</w:t>
            </w:r>
            <w:r w:rsidR="00792684">
              <w:rPr>
                <w:rFonts w:hint="cs"/>
                <w:rtl/>
              </w:rPr>
              <w:t>"</w:t>
            </w:r>
            <w:r>
              <w:rPr>
                <w:rFonts w:hint="cs"/>
                <w:rtl/>
              </w:rPr>
              <w:t xml:space="preserve"> وتؤيد كندا والولايات المتحدة إنشاء فريق خبراء تابع للمجلس يُعنى بالمقرَّر 482 واعتماد الاختصاصات </w:t>
            </w:r>
            <w:r w:rsidR="00267A89">
              <w:rPr>
                <w:rFonts w:hint="cs"/>
                <w:rtl/>
              </w:rPr>
              <w:t>المنبثقة عن</w:t>
            </w:r>
            <w:r>
              <w:rPr>
                <w:rFonts w:hint="cs"/>
                <w:rtl/>
              </w:rPr>
              <w:t xml:space="preserve"> التقرير </w:t>
            </w:r>
            <w:r w:rsidR="00267A89">
              <w:rPr>
                <w:rFonts w:hint="cs"/>
                <w:rtl/>
              </w:rPr>
              <w:t>المتعلق بمدى استرداد التكاليف المتعلقة بمعالجة بطاقات التبليغ عن الشبكات الساتلية.</w:t>
            </w:r>
          </w:p>
          <w:p w14:paraId="39A6198A" w14:textId="77777777" w:rsidR="007B0AA0" w:rsidRPr="007B0AA0" w:rsidRDefault="007B0AA0" w:rsidP="007B0AA0">
            <w:pPr>
              <w:rPr>
                <w:b/>
                <w:bCs/>
                <w:rtl/>
              </w:rPr>
            </w:pPr>
            <w:r w:rsidRPr="007B0AA0">
              <w:rPr>
                <w:rFonts w:hint="cs"/>
                <w:b/>
                <w:bCs/>
                <w:rtl/>
              </w:rPr>
              <w:t>الإجراء المطلوب من المجلس</w:t>
            </w:r>
          </w:p>
          <w:p w14:paraId="473EB0A9" w14:textId="4F7F9C45" w:rsidR="002C5511" w:rsidRDefault="00267A89" w:rsidP="00267A89">
            <w:pPr>
              <w:rPr>
                <w:rtl/>
              </w:rPr>
            </w:pPr>
            <w:r>
              <w:rPr>
                <w:rFonts w:hint="cs"/>
                <w:rtl/>
              </w:rPr>
              <w:t xml:space="preserve">يدعى المجلس إلى </w:t>
            </w:r>
            <w:r w:rsidRPr="00267A89">
              <w:rPr>
                <w:rFonts w:hint="cs"/>
                <w:b/>
                <w:bCs/>
                <w:rtl/>
              </w:rPr>
              <w:t xml:space="preserve">إنشاء فريق خبراء تابع للمجلس يُعنى بالمقرَّر </w:t>
            </w:r>
            <w:r>
              <w:rPr>
                <w:rFonts w:hint="cs"/>
                <w:b/>
                <w:bCs/>
                <w:rtl/>
              </w:rPr>
              <w:t>4</w:t>
            </w:r>
            <w:r w:rsidRPr="00267A89">
              <w:rPr>
                <w:rFonts w:hint="cs"/>
                <w:b/>
                <w:bCs/>
                <w:rtl/>
              </w:rPr>
              <w:t>82</w:t>
            </w:r>
            <w:r>
              <w:rPr>
                <w:rFonts w:hint="cs"/>
                <w:rtl/>
              </w:rPr>
              <w:t xml:space="preserve"> </w:t>
            </w:r>
            <w:r w:rsidRPr="00267A89">
              <w:rPr>
                <w:rFonts w:hint="cs"/>
                <w:rtl/>
              </w:rPr>
              <w:t>و</w:t>
            </w:r>
            <w:r w:rsidRPr="00267A89">
              <w:rPr>
                <w:rFonts w:hint="cs"/>
                <w:b/>
                <w:bCs/>
                <w:rtl/>
              </w:rPr>
              <w:t>تحديد اختصاصاته</w:t>
            </w:r>
            <w:r>
              <w:rPr>
                <w:rFonts w:hint="cs"/>
                <w:rtl/>
              </w:rPr>
              <w:t>.</w:t>
            </w:r>
          </w:p>
          <w:p w14:paraId="79184D5A" w14:textId="77777777" w:rsidR="007B0AA0" w:rsidRPr="007B0AA0" w:rsidRDefault="007B0AA0" w:rsidP="007B0AA0">
            <w:pPr>
              <w:rPr>
                <w:rFonts w:ascii="Traditional Arabic" w:hAnsi="Traditional Arabic" w:cs="Traditional Arabic"/>
                <w:sz w:val="30"/>
                <w:szCs w:val="30"/>
                <w:rtl/>
              </w:rPr>
            </w:pPr>
            <w:r w:rsidRPr="007B0AA0">
              <w:rPr>
                <w:rFonts w:ascii="Traditional Arabic" w:hAnsi="Traditional Arabic" w:cs="Traditional Arabic"/>
                <w:sz w:val="30"/>
                <w:szCs w:val="30"/>
                <w:rtl/>
              </w:rPr>
              <w:t>___________</w:t>
            </w:r>
          </w:p>
          <w:p w14:paraId="345C802A" w14:textId="77777777" w:rsidR="007B0AA0" w:rsidRPr="007B0AA0" w:rsidRDefault="007B0AA0" w:rsidP="007B0AA0">
            <w:pPr>
              <w:rPr>
                <w:b/>
                <w:bCs/>
                <w:rtl/>
              </w:rPr>
            </w:pPr>
            <w:r w:rsidRPr="007B0AA0">
              <w:rPr>
                <w:rFonts w:hint="cs"/>
                <w:b/>
                <w:bCs/>
                <w:rtl/>
              </w:rPr>
              <w:t>المراجع</w:t>
            </w:r>
          </w:p>
          <w:p w14:paraId="5BADA40C" w14:textId="793155EF" w:rsidR="007B0AA0" w:rsidRDefault="004F0724" w:rsidP="00CE5300">
            <w:pPr>
              <w:spacing w:after="120"/>
              <w:rPr>
                <w:rtl/>
              </w:rPr>
            </w:pPr>
            <w:hyperlink r:id="rId8" w:history="1">
              <w:r w:rsidR="00A73093" w:rsidRPr="00A73093">
                <w:rPr>
                  <w:rStyle w:val="Hyperlink"/>
                </w:rPr>
                <w:t>C23/19</w:t>
              </w:r>
              <w:r w:rsidR="00A73093" w:rsidRPr="00A73093">
                <w:rPr>
                  <w:rStyle w:val="Hyperlink"/>
                  <w:rFonts w:hint="cs"/>
                  <w:rtl/>
                  <w:lang w:bidi="ar-EG"/>
                </w:rPr>
                <w:t xml:space="preserve"> </w:t>
              </w:r>
              <w:r w:rsidR="002C5511" w:rsidRPr="00A73093">
                <w:rPr>
                  <w:rStyle w:val="Hyperlink"/>
                  <w:rtl/>
                </w:rPr>
                <w:t xml:space="preserve">دراسة عن مدى ملاءمة </w:t>
              </w:r>
              <w:r w:rsidR="002C5511" w:rsidRPr="00A73093">
                <w:rPr>
                  <w:rStyle w:val="Hyperlink"/>
                  <w:rFonts w:hint="cs"/>
                  <w:rtl/>
                </w:rPr>
                <w:t>المقرَّر</w:t>
              </w:r>
              <w:r w:rsidR="002C5511" w:rsidRPr="00A73093">
                <w:rPr>
                  <w:rStyle w:val="Hyperlink"/>
                  <w:rtl/>
                </w:rPr>
                <w:t xml:space="preserve"> 482 للمجلس بشأن استرداد التكاليف المتعلقة بمعالجة بطاقات التبليغ عن الشبكات الساتلية</w:t>
              </w:r>
            </w:hyperlink>
          </w:p>
        </w:tc>
      </w:tr>
    </w:tbl>
    <w:p w14:paraId="5AFB9A40" w14:textId="77777777" w:rsidR="00F50E3F" w:rsidRDefault="00F50E3F" w:rsidP="00792684">
      <w:pPr>
        <w:rPr>
          <w:rtl/>
          <w:lang w:bidi="ar-EG"/>
        </w:rPr>
      </w:pPr>
      <w:r>
        <w:rPr>
          <w:rtl/>
          <w:lang w:bidi="ar-EG"/>
        </w:rPr>
        <w:br w:type="page"/>
      </w:r>
    </w:p>
    <w:p w14:paraId="01595FF2" w14:textId="79AEAA46" w:rsidR="00F50E3F" w:rsidRDefault="003C7662" w:rsidP="003C7662">
      <w:pPr>
        <w:pStyle w:val="Headingb"/>
        <w:rPr>
          <w:rtl/>
          <w:lang w:bidi="ar-EG"/>
        </w:rPr>
      </w:pPr>
      <w:r>
        <w:rPr>
          <w:rFonts w:hint="cs"/>
          <w:rtl/>
          <w:lang w:bidi="ar-EG"/>
        </w:rPr>
        <w:lastRenderedPageBreak/>
        <w:t>مقدمة</w:t>
      </w:r>
    </w:p>
    <w:p w14:paraId="7560BB8E" w14:textId="3C41D116" w:rsidR="003C7662" w:rsidRDefault="00267A89" w:rsidP="00792684">
      <w:pPr>
        <w:rPr>
          <w:rtl/>
          <w:lang w:bidi="ar-EG"/>
        </w:rPr>
      </w:pPr>
      <w:r>
        <w:rPr>
          <w:rFonts w:hint="cs"/>
          <w:rtl/>
          <w:lang w:bidi="ar-EG"/>
        </w:rPr>
        <w:t>تعرب كندا والولايات المتحدة عن تقديرهما وتأييدهما الواسع لتقرير الأمانة بشأن</w:t>
      </w:r>
      <w:r w:rsidR="00792684">
        <w:rPr>
          <w:rFonts w:hint="cs"/>
          <w:rtl/>
          <w:lang w:bidi="ar-EG"/>
        </w:rPr>
        <w:t xml:space="preserve"> </w:t>
      </w:r>
      <w:r w:rsidR="003C7662">
        <w:rPr>
          <w:rFonts w:hint="cs"/>
          <w:rtl/>
          <w:lang w:bidi="ar-EG"/>
        </w:rPr>
        <w:t>"</w:t>
      </w:r>
      <w:r w:rsidR="003C7662" w:rsidRPr="002C5511">
        <w:rPr>
          <w:rtl/>
        </w:rPr>
        <w:t xml:space="preserve">دراسة عن مدى ملاءمة </w:t>
      </w:r>
      <w:r w:rsidR="003C7662" w:rsidRPr="002C5511">
        <w:rPr>
          <w:rFonts w:hint="cs"/>
          <w:rtl/>
        </w:rPr>
        <w:t>المقرَّر</w:t>
      </w:r>
      <w:r w:rsidR="003C7662" w:rsidRPr="002C5511">
        <w:rPr>
          <w:rtl/>
        </w:rPr>
        <w:t xml:space="preserve"> 482 للمجلس بشأن استرداد التكاليف المتعلقة بمعالجة بطاقات التبليغ عن الشبكات الساتلية</w:t>
      </w:r>
      <w:r w:rsidR="003C7662">
        <w:rPr>
          <w:rFonts w:hint="cs"/>
          <w:rtl/>
          <w:lang w:bidi="ar-EG"/>
        </w:rPr>
        <w:t>"</w:t>
      </w:r>
      <w:r w:rsidR="00F77626">
        <w:rPr>
          <w:rFonts w:hint="cs"/>
          <w:rtl/>
          <w:lang w:bidi="ar-EG"/>
        </w:rPr>
        <w:t xml:space="preserve"> </w:t>
      </w:r>
      <w:r>
        <w:rPr>
          <w:rFonts w:hint="cs"/>
          <w:rtl/>
          <w:lang w:bidi="ar-EG"/>
        </w:rPr>
        <w:t xml:space="preserve">(الوثيقة </w:t>
      </w:r>
      <w:r>
        <w:rPr>
          <w:lang w:bidi="ar-EG"/>
        </w:rPr>
        <w:t>C23/19</w:t>
      </w:r>
      <w:r>
        <w:rPr>
          <w:rFonts w:hint="cs"/>
          <w:rtl/>
          <w:lang w:bidi="ar-EG"/>
        </w:rPr>
        <w:t xml:space="preserve">). واستناداً إلى هذه الدراسة، تؤيد كندا والولايات المتحدة إنشاء فريق خبراء تابع للمجلس يعنى بالمقرَّر 482 </w:t>
      </w:r>
      <w:r w:rsidR="002C228C">
        <w:rPr>
          <w:rFonts w:hint="cs"/>
          <w:rtl/>
          <w:lang w:bidi="ar-EG"/>
        </w:rPr>
        <w:t xml:space="preserve">وتُسند إليه </w:t>
      </w:r>
      <w:r w:rsidR="00BD7121">
        <w:rPr>
          <w:rFonts w:hint="cs"/>
          <w:rtl/>
          <w:lang w:bidi="ar-EG"/>
        </w:rPr>
        <w:t>اختصاصات محددة تقتصر على قضايا محددة منبثقة عن هذه الدراسة، على النحو الموضح أدناه.</w:t>
      </w:r>
    </w:p>
    <w:p w14:paraId="52C809EF" w14:textId="6965530B" w:rsidR="00F77626" w:rsidRDefault="00BD7121" w:rsidP="00792684">
      <w:pPr>
        <w:rPr>
          <w:rtl/>
          <w:lang w:bidi="ar-EG"/>
        </w:rPr>
      </w:pPr>
      <w:r>
        <w:rPr>
          <w:rFonts w:hint="cs"/>
          <w:rtl/>
          <w:lang w:bidi="ar-EG"/>
        </w:rPr>
        <w:t xml:space="preserve">ونؤكد تأييدنا أيضاً للاستنتاجات المعبر عنها في القسم 7 من الملحق 1 أي أن كل النقاط الجيدة </w:t>
      </w:r>
      <w:r w:rsidR="00AC4A02">
        <w:rPr>
          <w:rFonts w:hint="cs"/>
          <w:rtl/>
          <w:lang w:bidi="ar-EG"/>
        </w:rPr>
        <w:t>التي ترد في مقرَّر المجلس 482 ولا تزال عملية ينبغي عدم تغييرها.</w:t>
      </w:r>
    </w:p>
    <w:p w14:paraId="1AF1F0DA" w14:textId="5576EED0" w:rsidR="00F77626" w:rsidRDefault="00AC4A02" w:rsidP="00792684">
      <w:pPr>
        <w:rPr>
          <w:rtl/>
          <w:lang w:bidi="ar-EG"/>
        </w:rPr>
      </w:pPr>
      <w:r>
        <w:rPr>
          <w:rFonts w:hint="cs"/>
          <w:rtl/>
          <w:lang w:bidi="ar-EG"/>
        </w:rPr>
        <w:t xml:space="preserve">ويرد تحليلنا التفصيلي لاستنتاجات الدراسة في </w:t>
      </w:r>
      <w:hyperlink w:anchor="الملحق1" w:history="1">
        <w:r w:rsidRPr="00792684">
          <w:rPr>
            <w:rStyle w:val="Hyperlink"/>
            <w:rFonts w:hint="cs"/>
            <w:rtl/>
            <w:lang w:bidi="ar-EG"/>
          </w:rPr>
          <w:t>الملحق 1</w:t>
        </w:r>
      </w:hyperlink>
      <w:r>
        <w:rPr>
          <w:rFonts w:hint="cs"/>
          <w:rtl/>
          <w:lang w:bidi="ar-EG"/>
        </w:rPr>
        <w:t xml:space="preserve"> بهذه المساهمة. ويمكن الاطلاع في </w:t>
      </w:r>
      <w:hyperlink w:anchor="الملحق2" w:history="1">
        <w:r w:rsidRPr="00792684">
          <w:rPr>
            <w:rStyle w:val="Hyperlink"/>
            <w:rFonts w:hint="cs"/>
            <w:rtl/>
            <w:lang w:bidi="ar-EG"/>
          </w:rPr>
          <w:t>الملحق 2</w:t>
        </w:r>
      </w:hyperlink>
      <w:r>
        <w:rPr>
          <w:rFonts w:hint="cs"/>
          <w:rtl/>
          <w:lang w:bidi="ar-EG"/>
        </w:rPr>
        <w:t xml:space="preserve"> على الاختصاصات المقترحة لفريق الخبراء التابع للمجلس.</w:t>
      </w:r>
    </w:p>
    <w:p w14:paraId="49DFBC25" w14:textId="5C36348C" w:rsidR="00F77626" w:rsidRDefault="00570423" w:rsidP="00F77626">
      <w:pPr>
        <w:pStyle w:val="Headingb"/>
        <w:rPr>
          <w:rtl/>
          <w:lang w:bidi="ar-EG"/>
        </w:rPr>
      </w:pPr>
      <w:r>
        <w:rPr>
          <w:rFonts w:hint="cs"/>
          <w:rtl/>
          <w:lang w:bidi="ar-EG"/>
        </w:rPr>
        <w:t>المقترح</w:t>
      </w:r>
    </w:p>
    <w:p w14:paraId="3F247785" w14:textId="15C3718F" w:rsidR="00F77626" w:rsidRDefault="00AC4A02" w:rsidP="00E61BE8">
      <w:pPr>
        <w:rPr>
          <w:rFonts w:ascii="Arial" w:hAnsi="Arial" w:cs="Arial"/>
          <w:rtl/>
          <w:lang w:bidi="ar-EG"/>
        </w:rPr>
      </w:pPr>
      <w:r>
        <w:rPr>
          <w:rFonts w:hint="cs"/>
          <w:rtl/>
          <w:lang w:bidi="ar-EG"/>
        </w:rPr>
        <w:t>تلتمس</w:t>
      </w:r>
      <w:r w:rsidRPr="00AC4A02">
        <w:rPr>
          <w:rtl/>
          <w:lang w:bidi="ar-EG"/>
        </w:rPr>
        <w:t xml:space="preserve"> كندا والولايات المتحدة من المجلس النظر في الآراء الواردة في الملحق </w:t>
      </w:r>
      <w:r w:rsidRPr="00AC4A02">
        <w:rPr>
          <w:rFonts w:ascii="Arial" w:hAnsi="Arial" w:cs="Arial" w:hint="cs"/>
          <w:rtl/>
          <w:lang w:bidi="ar-EG"/>
        </w:rPr>
        <w:t>‬</w:t>
      </w:r>
      <w:r w:rsidRPr="00AC4A02">
        <w:rPr>
          <w:rtl/>
          <w:lang w:bidi="ar-EG"/>
        </w:rPr>
        <w:t xml:space="preserve">1 </w:t>
      </w:r>
      <w:dir w:val="rtl">
        <w:r w:rsidRPr="00AC4A02">
          <w:rPr>
            <w:rFonts w:hint="cs"/>
            <w:rtl/>
            <w:lang w:bidi="ar-EG"/>
          </w:rPr>
          <w:t>كأساس</w:t>
        </w:r>
        <w:r w:rsidRPr="00AC4A02">
          <w:rPr>
            <w:rtl/>
            <w:lang w:bidi="ar-EG"/>
          </w:rPr>
          <w:t xml:space="preserve"> </w:t>
        </w:r>
        <w:r w:rsidRPr="00AC4A02">
          <w:rPr>
            <w:rFonts w:hint="cs"/>
            <w:rtl/>
            <w:lang w:bidi="ar-EG"/>
          </w:rPr>
          <w:t>لإنشاء</w:t>
        </w:r>
        <w:r w:rsidRPr="00AC4A02">
          <w:rPr>
            <w:rtl/>
            <w:lang w:bidi="ar-EG"/>
          </w:rPr>
          <w:t xml:space="preserve"> </w:t>
        </w:r>
        <w:r w:rsidRPr="00AC4A02">
          <w:rPr>
            <w:rFonts w:hint="cs"/>
            <w:rtl/>
            <w:lang w:bidi="ar-EG"/>
          </w:rPr>
          <w:t>فريق</w:t>
        </w:r>
        <w:r w:rsidRPr="00AC4A02">
          <w:rPr>
            <w:rtl/>
            <w:lang w:bidi="ar-EG"/>
          </w:rPr>
          <w:t xml:space="preserve"> </w:t>
        </w:r>
        <w:r w:rsidRPr="00AC4A02">
          <w:rPr>
            <w:rFonts w:hint="cs"/>
            <w:rtl/>
            <w:lang w:bidi="ar-EG"/>
          </w:rPr>
          <w:t>خبراء</w:t>
        </w:r>
        <w:r w:rsidRPr="00AC4A02">
          <w:rPr>
            <w:rtl/>
            <w:lang w:bidi="ar-EG"/>
          </w:rPr>
          <w:t xml:space="preserve"> </w:t>
        </w:r>
        <w:r w:rsidRPr="00AC4A02">
          <w:rPr>
            <w:rFonts w:hint="cs"/>
            <w:rtl/>
            <w:lang w:bidi="ar-EG"/>
          </w:rPr>
          <w:t>تابع</w:t>
        </w:r>
        <w:r w:rsidRPr="00AC4A02">
          <w:rPr>
            <w:rtl/>
            <w:lang w:bidi="ar-EG"/>
          </w:rPr>
          <w:t xml:space="preserve"> </w:t>
        </w:r>
        <w:r w:rsidRPr="00AC4A02">
          <w:rPr>
            <w:rFonts w:hint="cs"/>
            <w:rtl/>
            <w:lang w:bidi="ar-EG"/>
          </w:rPr>
          <w:t>للمجلس</w:t>
        </w:r>
        <w:r w:rsidRPr="00AC4A02">
          <w:rPr>
            <w:rtl/>
            <w:lang w:bidi="ar-EG"/>
          </w:rPr>
          <w:t xml:space="preserve"> </w:t>
        </w:r>
        <w:r w:rsidR="0055261E">
          <w:rPr>
            <w:rFonts w:hint="cs"/>
            <w:rtl/>
            <w:lang w:bidi="ar-EG"/>
          </w:rPr>
          <w:t>يعنى بالمقرَّر 482.</w:t>
        </w:r>
        <w:r w:rsidRPr="00AC4A02">
          <w:rPr>
            <w:rFonts w:ascii="Arial" w:hAnsi="Arial" w:cs="Arial" w:hint="cs"/>
            <w:rtl/>
            <w:lang w:bidi="ar-EG"/>
          </w:rPr>
          <w:t>‬</w:t>
        </w:r>
        <w:r w:rsidR="002C228C">
          <w:t>‬</w:t>
        </w:r>
        <w:r w:rsidR="00A51437">
          <w:t>‬</w:t>
        </w:r>
        <w:r w:rsidR="00010B88">
          <w:t>‬</w:t>
        </w:r>
        <w:r w:rsidR="004D1B73">
          <w:t>‬</w:t>
        </w:r>
        <w:r w:rsidR="004F0724">
          <w:t>‬</w:t>
        </w:r>
      </w:dir>
    </w:p>
    <w:p w14:paraId="3B82ACA5" w14:textId="285E12F4" w:rsidR="0055261E" w:rsidRDefault="0055261E" w:rsidP="00E61BE8">
      <w:pPr>
        <w:rPr>
          <w:rtl/>
          <w:lang w:bidi="ar-EG"/>
        </w:rPr>
      </w:pPr>
      <w:r>
        <w:rPr>
          <w:rFonts w:hint="cs"/>
          <w:rtl/>
          <w:lang w:bidi="ar-EG"/>
        </w:rPr>
        <w:t>و</w:t>
      </w:r>
      <w:r w:rsidRPr="0055261E">
        <w:rPr>
          <w:rtl/>
          <w:lang w:bidi="ar-EG"/>
        </w:rPr>
        <w:t xml:space="preserve">تقترح كندا والولايات المتحدة أن ينشئ المجلس فريق خبراء </w:t>
      </w:r>
      <w:r>
        <w:rPr>
          <w:rFonts w:hint="cs"/>
          <w:rtl/>
          <w:lang w:bidi="ar-EG"/>
        </w:rPr>
        <w:t xml:space="preserve">يعنى بالمقرَّر </w:t>
      </w:r>
      <w:r w:rsidRPr="0055261E">
        <w:rPr>
          <w:rFonts w:ascii="Arial" w:hAnsi="Arial" w:cs="Arial" w:hint="cs"/>
          <w:rtl/>
          <w:lang w:bidi="ar-EG"/>
        </w:rPr>
        <w:t>‬</w:t>
      </w:r>
      <w:r w:rsidRPr="0055261E">
        <w:rPr>
          <w:rtl/>
          <w:lang w:bidi="ar-EG"/>
        </w:rPr>
        <w:t xml:space="preserve">482 </w:t>
      </w:r>
      <w:r>
        <w:rPr>
          <w:rFonts w:hint="cs"/>
          <w:rtl/>
          <w:lang w:bidi="ar-EG"/>
        </w:rPr>
        <w:t>وأن يسند إليه الاختصاصات الواردة في</w:t>
      </w:r>
      <w:r w:rsidR="00792684">
        <w:rPr>
          <w:rFonts w:hint="eastAsia"/>
          <w:rtl/>
          <w:lang w:bidi="ar-EG"/>
        </w:rPr>
        <w:t> </w:t>
      </w:r>
      <w:r>
        <w:rPr>
          <w:rFonts w:hint="cs"/>
          <w:rtl/>
          <w:lang w:bidi="ar-EG"/>
        </w:rPr>
        <w:t>الملحق</w:t>
      </w:r>
      <w:r w:rsidR="00792684">
        <w:rPr>
          <w:rFonts w:hint="eastAsia"/>
          <w:rtl/>
          <w:lang w:bidi="ar-EG"/>
        </w:rPr>
        <w:t> </w:t>
      </w:r>
      <w:r>
        <w:rPr>
          <w:rFonts w:hint="cs"/>
          <w:rtl/>
          <w:lang w:bidi="ar-EG"/>
        </w:rPr>
        <w:t>2</w:t>
      </w:r>
      <w:r w:rsidRPr="0055261E">
        <w:rPr>
          <w:rFonts w:ascii="Arial" w:hAnsi="Arial" w:cs="Arial" w:hint="cs"/>
          <w:rtl/>
          <w:lang w:bidi="ar-EG"/>
        </w:rPr>
        <w:t>‬</w:t>
      </w:r>
      <w:r w:rsidRPr="0055261E">
        <w:rPr>
          <w:rtl/>
          <w:lang w:bidi="ar-EG"/>
        </w:rPr>
        <w:t>.</w:t>
      </w:r>
      <w:r w:rsidR="002C228C">
        <w:t>‬</w:t>
      </w:r>
    </w:p>
    <w:p w14:paraId="6BA6E5C6" w14:textId="4EB496AD" w:rsidR="00792684" w:rsidRDefault="00792684" w:rsidP="00792684">
      <w:pPr>
        <w:rPr>
          <w:rtl/>
          <w:lang w:bidi="ar-EG"/>
        </w:rPr>
      </w:pPr>
      <w:r>
        <w:rPr>
          <w:rtl/>
          <w:lang w:bidi="ar-EG"/>
        </w:rPr>
        <w:br w:type="page"/>
      </w:r>
    </w:p>
    <w:p w14:paraId="6424767A" w14:textId="77777777" w:rsidR="00F77626" w:rsidRDefault="00F77626" w:rsidP="00E61BE8">
      <w:pPr>
        <w:rPr>
          <w:rtl/>
          <w:lang w:bidi="ar-EG"/>
        </w:rPr>
        <w:sectPr w:rsidR="00F77626" w:rsidSect="006C3242">
          <w:headerReference w:type="even" r:id="rId9"/>
          <w:headerReference w:type="default" r:id="rId10"/>
          <w:footerReference w:type="even" r:id="rId11"/>
          <w:footerReference w:type="default" r:id="rId12"/>
          <w:headerReference w:type="first" r:id="rId13"/>
          <w:footerReference w:type="first" r:id="rId14"/>
          <w:type w:val="oddPage"/>
          <w:pgSz w:w="11907" w:h="16840" w:code="9"/>
          <w:pgMar w:top="1418" w:right="1134" w:bottom="1134" w:left="1134" w:header="709" w:footer="709" w:gutter="0"/>
          <w:cols w:space="708"/>
          <w:titlePg/>
          <w:docGrid w:linePitch="360"/>
        </w:sectPr>
      </w:pPr>
    </w:p>
    <w:p w14:paraId="539D38A0" w14:textId="014791BC" w:rsidR="003C7662" w:rsidRDefault="00486117" w:rsidP="00486117">
      <w:pPr>
        <w:pStyle w:val="AnnexNo"/>
      </w:pPr>
      <w:bookmarkStart w:id="0" w:name="الملحق1"/>
      <w:r>
        <w:rPr>
          <w:rFonts w:hint="cs"/>
          <w:rtl/>
        </w:rPr>
        <w:lastRenderedPageBreak/>
        <w:t xml:space="preserve">الملحق </w:t>
      </w:r>
      <w:r>
        <w:t>1</w:t>
      </w:r>
    </w:p>
    <w:bookmarkEnd w:id="0"/>
    <w:p w14:paraId="5CC28075" w14:textId="71516B13" w:rsidR="00F50E3F" w:rsidRDefault="00092F0D" w:rsidP="00486117">
      <w:pPr>
        <w:pStyle w:val="Annextitle"/>
        <w:rPr>
          <w:rtl/>
        </w:rPr>
      </w:pPr>
      <w:r>
        <w:rPr>
          <w:rFonts w:hint="cs"/>
          <w:rtl/>
        </w:rPr>
        <w:t>مناقشة مواضيع الدراسة</w:t>
      </w:r>
    </w:p>
    <w:p w14:paraId="1E7AA5B1" w14:textId="3CE0F74C" w:rsidR="00792684" w:rsidRDefault="0055261E" w:rsidP="00792684">
      <w:r>
        <w:rPr>
          <w:rFonts w:hint="cs"/>
          <w:rtl/>
          <w:lang w:bidi="ar-EG"/>
        </w:rPr>
        <w:t xml:space="preserve">تقدم كندا والولايات المتحدة في هذا الملحق مناقشة تفصيلية لمواضيع محددة مستمدة من الوثيقة </w:t>
      </w:r>
      <w:r>
        <w:rPr>
          <w:lang w:bidi="ar-EG"/>
        </w:rPr>
        <w:t>C23/19</w:t>
      </w:r>
      <w:r>
        <w:rPr>
          <w:rFonts w:hint="cs"/>
          <w:rtl/>
        </w:rPr>
        <w:t xml:space="preserve"> وتضعان توصيات بشأن ما إذا ينبغي إدراج الموضوع ضمن اختصاصات فريق الخبراء التابع للمجلس والمعني بالمقرَّر 482 (انظر الملحق 2).</w:t>
      </w:r>
    </w:p>
    <w:p w14:paraId="504331F9" w14:textId="2B697016" w:rsidR="00792684" w:rsidRDefault="00792684" w:rsidP="00792684">
      <w:pPr>
        <w:rPr>
          <w:rtl/>
        </w:rPr>
      </w:pPr>
      <w:r>
        <w:rPr>
          <w:rtl/>
        </w:rPr>
        <w:br w:type="page"/>
      </w:r>
    </w:p>
    <w:tbl>
      <w:tblPr>
        <w:tblStyle w:val="TableGrid"/>
        <w:bidiVisual/>
        <w:tblW w:w="5000" w:type="pct"/>
        <w:tblLook w:val="04A0" w:firstRow="1" w:lastRow="0" w:firstColumn="1" w:lastColumn="0" w:noHBand="0" w:noVBand="1"/>
      </w:tblPr>
      <w:tblGrid>
        <w:gridCol w:w="1361"/>
        <w:gridCol w:w="7990"/>
        <w:gridCol w:w="5777"/>
      </w:tblGrid>
      <w:tr w:rsidR="00385527" w:rsidRPr="00E402C4" w14:paraId="0B0FF1B1" w14:textId="77777777" w:rsidTr="00792684">
        <w:trPr>
          <w:cantSplit/>
          <w:tblHeader/>
        </w:trPr>
        <w:tc>
          <w:tcPr>
            <w:tcW w:w="1165" w:type="dxa"/>
            <w:shd w:val="clear" w:color="auto" w:fill="D9D9D9" w:themeFill="background1" w:themeFillShade="D9"/>
          </w:tcPr>
          <w:p w14:paraId="05B47212" w14:textId="2BA574F4" w:rsidR="00385527" w:rsidRPr="00E402C4" w:rsidRDefault="0055261E" w:rsidP="00CE559E">
            <w:pPr>
              <w:spacing w:before="60" w:after="60" w:line="280" w:lineRule="exact"/>
              <w:jc w:val="left"/>
              <w:rPr>
                <w:spacing w:val="-8"/>
                <w:sz w:val="20"/>
                <w:szCs w:val="20"/>
                <w:lang w:bidi="ar-EG"/>
              </w:rPr>
            </w:pPr>
            <w:r w:rsidRPr="00E402C4">
              <w:rPr>
                <w:spacing w:val="-8"/>
                <w:sz w:val="20"/>
                <w:szCs w:val="20"/>
                <w:rtl/>
                <w:lang w:bidi="ar-EG"/>
              </w:rPr>
              <w:lastRenderedPageBreak/>
              <w:t>قسم الملحق 1</w:t>
            </w:r>
            <w:r w:rsidR="00792684" w:rsidRPr="00E402C4">
              <w:rPr>
                <w:spacing w:val="-8"/>
                <w:sz w:val="20"/>
                <w:szCs w:val="20"/>
                <w:rtl/>
                <w:lang w:bidi="ar-EG"/>
              </w:rPr>
              <w:br/>
            </w:r>
            <w:r w:rsidRPr="00E402C4">
              <w:rPr>
                <w:spacing w:val="-8"/>
                <w:sz w:val="20"/>
                <w:szCs w:val="20"/>
                <w:rtl/>
                <w:lang w:bidi="ar-EG"/>
              </w:rPr>
              <w:t xml:space="preserve">بالوثيقة </w:t>
            </w:r>
            <w:r w:rsidRPr="00E402C4">
              <w:rPr>
                <w:spacing w:val="-8"/>
                <w:sz w:val="20"/>
                <w:szCs w:val="20"/>
                <w:lang w:bidi="ar-EG"/>
              </w:rPr>
              <w:t>C23/19</w:t>
            </w:r>
          </w:p>
        </w:tc>
        <w:tc>
          <w:tcPr>
            <w:tcW w:w="6840" w:type="dxa"/>
            <w:shd w:val="clear" w:color="auto" w:fill="D9D9D9" w:themeFill="background1" w:themeFillShade="D9"/>
          </w:tcPr>
          <w:p w14:paraId="79142175" w14:textId="154AC2CA" w:rsidR="00385527" w:rsidRPr="00E402C4" w:rsidRDefault="0055261E" w:rsidP="00CE559E">
            <w:pPr>
              <w:spacing w:before="60" w:after="60" w:line="280" w:lineRule="exact"/>
              <w:jc w:val="left"/>
              <w:rPr>
                <w:sz w:val="20"/>
                <w:szCs w:val="20"/>
                <w:rtl/>
              </w:rPr>
            </w:pPr>
            <w:r w:rsidRPr="00E402C4">
              <w:rPr>
                <w:sz w:val="20"/>
                <w:szCs w:val="20"/>
                <w:rtl/>
              </w:rPr>
              <w:t xml:space="preserve">النص الوارد </w:t>
            </w:r>
            <w:r w:rsidR="00792684" w:rsidRPr="00E402C4">
              <w:rPr>
                <w:sz w:val="20"/>
                <w:szCs w:val="20"/>
                <w:rtl/>
              </w:rPr>
              <w:br/>
            </w:r>
            <w:r w:rsidRPr="00E402C4">
              <w:rPr>
                <w:sz w:val="20"/>
                <w:szCs w:val="20"/>
                <w:rtl/>
              </w:rPr>
              <w:t xml:space="preserve">في الوثيقة </w:t>
            </w:r>
            <w:r w:rsidRPr="00E402C4">
              <w:rPr>
                <w:sz w:val="20"/>
                <w:szCs w:val="20"/>
              </w:rPr>
              <w:t>C23/19</w:t>
            </w:r>
          </w:p>
        </w:tc>
        <w:tc>
          <w:tcPr>
            <w:tcW w:w="4945" w:type="dxa"/>
            <w:shd w:val="clear" w:color="auto" w:fill="D9D9D9" w:themeFill="background1" w:themeFillShade="D9"/>
          </w:tcPr>
          <w:p w14:paraId="14548F73" w14:textId="600B51E1" w:rsidR="00385527" w:rsidRPr="00E402C4" w:rsidRDefault="002F1314" w:rsidP="00CE559E">
            <w:pPr>
              <w:spacing w:before="60" w:after="60" w:line="280" w:lineRule="exact"/>
              <w:rPr>
                <w:sz w:val="20"/>
                <w:szCs w:val="20"/>
              </w:rPr>
            </w:pPr>
            <w:r w:rsidRPr="00E402C4">
              <w:rPr>
                <w:sz w:val="20"/>
                <w:szCs w:val="20"/>
                <w:rtl/>
              </w:rPr>
              <w:t>ملاحظات</w:t>
            </w:r>
            <w:r w:rsidR="0055261E" w:rsidRPr="00E402C4">
              <w:rPr>
                <w:sz w:val="20"/>
                <w:szCs w:val="20"/>
                <w:rtl/>
              </w:rPr>
              <w:t xml:space="preserve"> كندا</w:t>
            </w:r>
            <w:r w:rsidRPr="00E402C4">
              <w:rPr>
                <w:sz w:val="20"/>
                <w:szCs w:val="20"/>
                <w:rtl/>
              </w:rPr>
              <w:t>/</w:t>
            </w:r>
            <w:r w:rsidR="0055261E" w:rsidRPr="00E402C4">
              <w:rPr>
                <w:sz w:val="20"/>
                <w:szCs w:val="20"/>
                <w:rtl/>
              </w:rPr>
              <w:t>الولايات المتحدة</w:t>
            </w:r>
            <w:r w:rsidR="00E6654F" w:rsidRPr="00E402C4">
              <w:rPr>
                <w:sz w:val="20"/>
                <w:szCs w:val="20"/>
                <w:rtl/>
              </w:rPr>
              <w:t xml:space="preserve"> الأمريكية</w:t>
            </w:r>
          </w:p>
        </w:tc>
      </w:tr>
      <w:tr w:rsidR="00385527" w:rsidRPr="00E402C4" w14:paraId="1B31C72C" w14:textId="77777777" w:rsidTr="00792684">
        <w:trPr>
          <w:cantSplit/>
        </w:trPr>
        <w:tc>
          <w:tcPr>
            <w:tcW w:w="1165" w:type="dxa"/>
          </w:tcPr>
          <w:p w14:paraId="7DB7CEA4" w14:textId="32B84B87" w:rsidR="00385527" w:rsidRPr="00E402C4" w:rsidRDefault="00C816A7" w:rsidP="00CE559E">
            <w:pPr>
              <w:spacing w:before="60" w:after="60" w:line="280" w:lineRule="exact"/>
              <w:rPr>
                <w:sz w:val="20"/>
                <w:szCs w:val="20"/>
              </w:rPr>
            </w:pPr>
            <w:r w:rsidRPr="00E402C4">
              <w:rPr>
                <w:sz w:val="20"/>
                <w:szCs w:val="20"/>
              </w:rPr>
              <w:t>1.2</w:t>
            </w:r>
          </w:p>
        </w:tc>
        <w:tc>
          <w:tcPr>
            <w:tcW w:w="6840" w:type="dxa"/>
          </w:tcPr>
          <w:p w14:paraId="0F17EE5E" w14:textId="62EFBAD2" w:rsidR="00E10F50" w:rsidRPr="00E402C4" w:rsidRDefault="00002B35" w:rsidP="00CE559E">
            <w:pPr>
              <w:spacing w:before="60" w:after="60" w:line="280" w:lineRule="exact"/>
              <w:rPr>
                <w:sz w:val="20"/>
                <w:szCs w:val="20"/>
                <w:lang w:bidi="ar-EG"/>
              </w:rPr>
            </w:pPr>
            <w:r w:rsidRPr="00E402C4">
              <w:rPr>
                <w:sz w:val="20"/>
                <w:szCs w:val="20"/>
                <w:rtl/>
                <w:lang w:bidi="ar-EG"/>
              </w:rPr>
              <w:t>هناك خمس حالات ينبغي أن تُعتبر فيها بطاقة التبليغ "غير مقبولة"</w:t>
            </w:r>
            <w:r w:rsidR="00E10F50" w:rsidRPr="00E402C4">
              <w:rPr>
                <w:sz w:val="20"/>
                <w:szCs w:val="20"/>
                <w:rtl/>
                <w:lang w:bidi="ar-EG"/>
              </w:rPr>
              <w:t>:</w:t>
            </w:r>
          </w:p>
          <w:p w14:paraId="5124C4EF" w14:textId="6B469D93" w:rsidR="00E10F50" w:rsidRPr="00E402C4" w:rsidRDefault="00E10F50" w:rsidP="00CE559E">
            <w:pPr>
              <w:pStyle w:val="enumlev1"/>
              <w:spacing w:before="60" w:after="60" w:line="280" w:lineRule="exact"/>
              <w:rPr>
                <w:sz w:val="20"/>
                <w:szCs w:val="20"/>
                <w:rtl/>
              </w:rPr>
            </w:pPr>
            <w:r w:rsidRPr="00E402C4">
              <w:rPr>
                <w:sz w:val="20"/>
                <w:szCs w:val="20"/>
                <w:rtl/>
              </w:rPr>
              <w:t>1</w:t>
            </w:r>
            <w:r w:rsidRPr="00E402C4">
              <w:rPr>
                <w:sz w:val="20"/>
                <w:szCs w:val="20"/>
                <w:rtl/>
              </w:rPr>
              <w:tab/>
              <w:t xml:space="preserve">بموجب الفقرة </w:t>
            </w:r>
            <w:r w:rsidRPr="00E402C4">
              <w:rPr>
                <w:sz w:val="20"/>
                <w:szCs w:val="20"/>
              </w:rPr>
              <w:t>2.3</w:t>
            </w:r>
            <w:r w:rsidRPr="00E402C4">
              <w:rPr>
                <w:sz w:val="20"/>
                <w:szCs w:val="20"/>
                <w:rtl/>
              </w:rPr>
              <w:t xml:space="preserve"> من القاعدة، إذا قدمت الإدارة المبلِّغة معلومات غير صحيحة.</w:t>
            </w:r>
          </w:p>
          <w:p w14:paraId="0AA3D85F" w14:textId="77777777" w:rsidR="00E10F50" w:rsidRPr="00E402C4" w:rsidRDefault="00E10F50" w:rsidP="00CE559E">
            <w:pPr>
              <w:pStyle w:val="enumlev1"/>
              <w:spacing w:before="60" w:after="60" w:line="280" w:lineRule="exact"/>
              <w:rPr>
                <w:sz w:val="20"/>
                <w:szCs w:val="20"/>
                <w:rtl/>
                <w:lang w:bidi="ar-EG"/>
              </w:rPr>
            </w:pPr>
            <w:r w:rsidRPr="00E402C4">
              <w:rPr>
                <w:sz w:val="20"/>
                <w:szCs w:val="20"/>
                <w:rtl/>
              </w:rPr>
              <w:t>2</w:t>
            </w:r>
            <w:r w:rsidRPr="00E402C4">
              <w:rPr>
                <w:sz w:val="20"/>
                <w:szCs w:val="20"/>
                <w:rtl/>
              </w:rPr>
              <w:tab/>
              <w:t xml:space="preserve">بموجب الفقرة </w:t>
            </w:r>
            <w:r w:rsidRPr="00E402C4">
              <w:rPr>
                <w:sz w:val="20"/>
                <w:szCs w:val="20"/>
              </w:rPr>
              <w:t>3.3</w:t>
            </w:r>
            <w:r w:rsidRPr="00E402C4">
              <w:rPr>
                <w:sz w:val="20"/>
                <w:szCs w:val="20"/>
                <w:rtl/>
              </w:rPr>
              <w:t xml:space="preserve"> من القاعدة، إذا كانت المعلومات الإلزامية التي يتطلبها التذييل </w:t>
            </w:r>
            <w:r w:rsidRPr="00E402C4">
              <w:rPr>
                <w:b/>
                <w:bCs/>
                <w:sz w:val="20"/>
                <w:szCs w:val="20"/>
                <w:rtl/>
              </w:rPr>
              <w:t>4</w:t>
            </w:r>
            <w:r w:rsidRPr="00E402C4">
              <w:rPr>
                <w:sz w:val="20"/>
                <w:szCs w:val="20"/>
                <w:rtl/>
              </w:rPr>
              <w:t xml:space="preserve"> للوائح الراديو غير واردة في التبليغ.</w:t>
            </w:r>
          </w:p>
          <w:p w14:paraId="4AB07C4B" w14:textId="77777777" w:rsidR="00E10F50" w:rsidRPr="00E402C4" w:rsidRDefault="00E10F50" w:rsidP="00CE559E">
            <w:pPr>
              <w:pStyle w:val="enumlev1"/>
              <w:spacing w:before="60" w:after="60" w:line="280" w:lineRule="exact"/>
              <w:rPr>
                <w:sz w:val="20"/>
                <w:szCs w:val="20"/>
                <w:rtl/>
              </w:rPr>
            </w:pPr>
            <w:r w:rsidRPr="00E402C4">
              <w:rPr>
                <w:sz w:val="20"/>
                <w:szCs w:val="20"/>
                <w:rtl/>
              </w:rPr>
              <w:t>3</w:t>
            </w:r>
            <w:r w:rsidRPr="00E402C4">
              <w:rPr>
                <w:sz w:val="20"/>
                <w:szCs w:val="20"/>
                <w:rtl/>
              </w:rPr>
              <w:tab/>
              <w:t xml:space="preserve">بموجب الفقرة </w:t>
            </w:r>
            <w:r w:rsidRPr="00E402C4">
              <w:rPr>
                <w:sz w:val="20"/>
                <w:szCs w:val="20"/>
              </w:rPr>
              <w:t>8.3</w:t>
            </w:r>
            <w:r w:rsidRPr="00E402C4">
              <w:rPr>
                <w:sz w:val="20"/>
                <w:szCs w:val="20"/>
                <w:rtl/>
              </w:rPr>
              <w:t xml:space="preserve"> من القاعدة، إذا لم يرد أي رد في غضون 30 يوماً من تاريخ طلب المكتب تقديم توضيحات.</w:t>
            </w:r>
          </w:p>
          <w:p w14:paraId="6F9D2388" w14:textId="77777777" w:rsidR="00E10F50" w:rsidRPr="00E402C4" w:rsidRDefault="00E10F50" w:rsidP="00CE559E">
            <w:pPr>
              <w:pStyle w:val="enumlev1"/>
              <w:spacing w:before="60" w:after="60" w:line="280" w:lineRule="exact"/>
              <w:rPr>
                <w:sz w:val="20"/>
                <w:szCs w:val="20"/>
                <w:rtl/>
              </w:rPr>
            </w:pPr>
            <w:r w:rsidRPr="00E402C4">
              <w:rPr>
                <w:sz w:val="20"/>
                <w:szCs w:val="20"/>
                <w:rtl/>
              </w:rPr>
              <w:t>4</w:t>
            </w:r>
            <w:r w:rsidRPr="00E402C4">
              <w:rPr>
                <w:sz w:val="20"/>
                <w:szCs w:val="20"/>
                <w:rtl/>
              </w:rPr>
              <w:tab/>
              <w:t xml:space="preserve">بموجب الحاشية </w:t>
            </w:r>
            <w:r w:rsidRPr="00E402C4">
              <w:rPr>
                <w:sz w:val="20"/>
                <w:szCs w:val="20"/>
              </w:rPr>
              <w:t>(*)</w:t>
            </w:r>
            <w:r w:rsidRPr="00E402C4">
              <w:rPr>
                <w:sz w:val="20"/>
                <w:szCs w:val="20"/>
                <w:rtl/>
              </w:rPr>
              <w:t xml:space="preserve"> المتعلقة بعنوان القاعدة، إذا لم تُستوف الشروط الخاصة بمجموعة الخصائص المدارية الواردة في طلب التنسيق فيما يتعلق بشبكة ساتلية غير مستقرة بالنسبة إلى الأرض أو نظام ساتلي غير مستقر بالنسبة على الأرض.</w:t>
            </w:r>
          </w:p>
          <w:p w14:paraId="7A6913E3" w14:textId="77777777" w:rsidR="00E10F50" w:rsidRPr="00E402C4" w:rsidRDefault="00E10F50" w:rsidP="00CE559E">
            <w:pPr>
              <w:pStyle w:val="enumlev1"/>
              <w:spacing w:before="60" w:after="60" w:line="280" w:lineRule="exact"/>
              <w:rPr>
                <w:sz w:val="20"/>
                <w:szCs w:val="20"/>
                <w:rtl/>
              </w:rPr>
            </w:pPr>
            <w:r w:rsidRPr="00E402C4">
              <w:rPr>
                <w:sz w:val="20"/>
                <w:szCs w:val="20"/>
                <w:rtl/>
              </w:rPr>
              <w:t>5</w:t>
            </w:r>
            <w:r w:rsidRPr="00E402C4">
              <w:rPr>
                <w:sz w:val="20"/>
                <w:szCs w:val="20"/>
                <w:rtl/>
              </w:rPr>
              <w:tab/>
              <w:t>بموجب الفقرة 4 من القاعدة، إذا لم تُستوف شروط أخرى مختلفة.</w:t>
            </w:r>
          </w:p>
          <w:p w14:paraId="34AF1490" w14:textId="39CD85D2" w:rsidR="00385527" w:rsidRPr="00E402C4" w:rsidRDefault="00E10F50" w:rsidP="00CE559E">
            <w:pPr>
              <w:spacing w:before="60" w:after="60" w:line="280" w:lineRule="exact"/>
              <w:rPr>
                <w:i/>
                <w:iCs/>
                <w:sz w:val="20"/>
                <w:szCs w:val="20"/>
              </w:rPr>
            </w:pPr>
            <w:r w:rsidRPr="00E402C4">
              <w:rPr>
                <w:sz w:val="20"/>
                <w:szCs w:val="20"/>
                <w:rtl/>
                <w:lang w:bidi="ar-EG"/>
              </w:rPr>
              <w:t xml:space="preserve">وفي الحالة الثانية، يمكن أن يقتصر استعراض المكتب على </w:t>
            </w:r>
            <w:r w:rsidRPr="00E402C4">
              <w:rPr>
                <w:sz w:val="20"/>
                <w:szCs w:val="20"/>
                <w:rtl/>
              </w:rPr>
              <w:t>القيام ب</w:t>
            </w:r>
            <w:r w:rsidRPr="00E402C4">
              <w:rPr>
                <w:sz w:val="20"/>
                <w:szCs w:val="20"/>
                <w:rtl/>
                <w:lang w:bidi="ar-EG"/>
              </w:rPr>
              <w:t xml:space="preserve">تحقق أولي، ولكن جميع الحالات الأخرى تقتضي من المكتب إجراء استعراض لاكتمال الشبكة الساتلية بمجملها، بما يشمل أحياناً بطاقة (بطاقات) التبليغ المستلمة والمنشورة سابقاً، بأكملها. </w:t>
            </w:r>
          </w:p>
        </w:tc>
        <w:tc>
          <w:tcPr>
            <w:tcW w:w="4945" w:type="dxa"/>
          </w:tcPr>
          <w:p w14:paraId="0DF71D0F" w14:textId="201A0DD7" w:rsidR="00385527" w:rsidRPr="00E402C4" w:rsidRDefault="00002B35" w:rsidP="00CE559E">
            <w:pPr>
              <w:spacing w:before="60" w:after="60" w:line="280" w:lineRule="exact"/>
              <w:rPr>
                <w:sz w:val="20"/>
                <w:szCs w:val="20"/>
                <w:rtl/>
              </w:rPr>
            </w:pPr>
            <w:r w:rsidRPr="00E402C4">
              <w:rPr>
                <w:sz w:val="20"/>
                <w:szCs w:val="20"/>
                <w:rtl/>
              </w:rPr>
              <w:t xml:space="preserve">تؤيد كندا والولايات المتحدة </w:t>
            </w:r>
            <w:r w:rsidR="00E6654F" w:rsidRPr="00E402C4">
              <w:rPr>
                <w:sz w:val="20"/>
                <w:szCs w:val="20"/>
                <w:rtl/>
              </w:rPr>
              <w:t xml:space="preserve">الأمريكية </w:t>
            </w:r>
            <w:r w:rsidRPr="00E402C4">
              <w:rPr>
                <w:sz w:val="20"/>
                <w:szCs w:val="20"/>
                <w:rtl/>
              </w:rPr>
              <w:t xml:space="preserve">دراسة </w:t>
            </w:r>
            <w:r w:rsidR="002F1314" w:rsidRPr="00E402C4">
              <w:rPr>
                <w:sz w:val="20"/>
                <w:szCs w:val="20"/>
                <w:rtl/>
              </w:rPr>
              <w:t xml:space="preserve">المبادئ التوجيهية للشروط التي تقضي بأن يجري مكتب الاتصالات الراديوية استعراضاً كاملاً لبطاقة التبليغ، ما قد يستدعي </w:t>
            </w:r>
            <w:r w:rsidR="00067D28" w:rsidRPr="00E402C4">
              <w:rPr>
                <w:sz w:val="20"/>
                <w:szCs w:val="20"/>
                <w:rtl/>
              </w:rPr>
              <w:t>رسماً إضافياً ل</w:t>
            </w:r>
            <w:r w:rsidR="002F1314" w:rsidRPr="00E402C4">
              <w:rPr>
                <w:sz w:val="20"/>
                <w:szCs w:val="20"/>
                <w:rtl/>
              </w:rPr>
              <w:t xml:space="preserve">استرداد </w:t>
            </w:r>
            <w:r w:rsidR="00067D28" w:rsidRPr="00E402C4">
              <w:rPr>
                <w:sz w:val="20"/>
                <w:szCs w:val="20"/>
                <w:rtl/>
              </w:rPr>
              <w:t>التكاليف</w:t>
            </w:r>
            <w:r w:rsidR="00E10F50" w:rsidRPr="00E402C4">
              <w:rPr>
                <w:sz w:val="20"/>
                <w:szCs w:val="20"/>
                <w:rtl/>
              </w:rPr>
              <w:t>.</w:t>
            </w:r>
          </w:p>
          <w:p w14:paraId="08CE0378" w14:textId="77777777" w:rsidR="00067D28" w:rsidRPr="00E402C4" w:rsidRDefault="00067D28" w:rsidP="00CE559E">
            <w:pPr>
              <w:spacing w:before="60" w:after="60" w:line="280" w:lineRule="exact"/>
              <w:rPr>
                <w:sz w:val="20"/>
                <w:szCs w:val="20"/>
              </w:rPr>
            </w:pPr>
          </w:p>
          <w:p w14:paraId="415D3B44" w14:textId="57C35C89" w:rsidR="00067D28" w:rsidRPr="00E402C4" w:rsidRDefault="00067D28" w:rsidP="00CE559E">
            <w:pPr>
              <w:spacing w:before="60" w:after="60" w:line="280" w:lineRule="exact"/>
              <w:rPr>
                <w:sz w:val="20"/>
                <w:szCs w:val="20"/>
                <w:rtl/>
              </w:rPr>
            </w:pPr>
            <w:r w:rsidRPr="00E402C4">
              <w:rPr>
                <w:sz w:val="20"/>
                <w:szCs w:val="20"/>
                <w:rtl/>
              </w:rPr>
              <w:t>سوف يُسترشد بهذه المبادئ التوجيهية في إدراج بنود الدراسة.</w:t>
            </w:r>
          </w:p>
          <w:p w14:paraId="3515E785" w14:textId="77777777" w:rsidR="00067D28" w:rsidRPr="00E402C4" w:rsidRDefault="00067D28" w:rsidP="00CE559E">
            <w:pPr>
              <w:spacing w:before="60" w:after="60" w:line="280" w:lineRule="exact"/>
              <w:rPr>
                <w:sz w:val="20"/>
                <w:szCs w:val="20"/>
                <w:rtl/>
              </w:rPr>
            </w:pPr>
          </w:p>
          <w:p w14:paraId="0114EF6D" w14:textId="57B9979F" w:rsidR="00E10F50" w:rsidRPr="00E402C4" w:rsidRDefault="00067D28" w:rsidP="00CE559E">
            <w:pPr>
              <w:spacing w:before="60" w:after="60" w:line="280" w:lineRule="exact"/>
              <w:rPr>
                <w:sz w:val="20"/>
                <w:szCs w:val="20"/>
              </w:rPr>
            </w:pPr>
            <w:r w:rsidRPr="00E402C4">
              <w:rPr>
                <w:sz w:val="20"/>
                <w:szCs w:val="20"/>
                <w:rtl/>
              </w:rPr>
              <w:t>انظر</w:t>
            </w:r>
            <w:r w:rsidR="00353151" w:rsidRPr="00E402C4">
              <w:rPr>
                <w:sz w:val="20"/>
                <w:szCs w:val="20"/>
                <w:rtl/>
              </w:rPr>
              <w:t xml:space="preserve"> أيضاً</w:t>
            </w:r>
            <w:r w:rsidRPr="00E402C4">
              <w:rPr>
                <w:sz w:val="20"/>
                <w:szCs w:val="20"/>
                <w:rtl/>
              </w:rPr>
              <w:t xml:space="preserve"> القسم 1.5.</w:t>
            </w:r>
          </w:p>
        </w:tc>
      </w:tr>
      <w:tr w:rsidR="00385527" w:rsidRPr="00E402C4" w14:paraId="1D60F58B" w14:textId="77777777" w:rsidTr="00792684">
        <w:trPr>
          <w:cantSplit/>
        </w:trPr>
        <w:tc>
          <w:tcPr>
            <w:tcW w:w="1165" w:type="dxa"/>
          </w:tcPr>
          <w:p w14:paraId="5FB29AA8" w14:textId="68C6F6F0" w:rsidR="00385527" w:rsidRPr="00E402C4" w:rsidRDefault="00C95195" w:rsidP="00CE559E">
            <w:pPr>
              <w:spacing w:before="60" w:after="60" w:line="280" w:lineRule="exact"/>
              <w:rPr>
                <w:sz w:val="20"/>
                <w:szCs w:val="20"/>
              </w:rPr>
            </w:pPr>
            <w:r w:rsidRPr="00E402C4">
              <w:rPr>
                <w:sz w:val="20"/>
                <w:szCs w:val="20"/>
              </w:rPr>
              <w:t>1.2</w:t>
            </w:r>
          </w:p>
        </w:tc>
        <w:tc>
          <w:tcPr>
            <w:tcW w:w="6840" w:type="dxa"/>
          </w:tcPr>
          <w:p w14:paraId="61E402CC" w14:textId="4FB33644" w:rsidR="00385527" w:rsidRPr="00E402C4" w:rsidRDefault="00C95195" w:rsidP="00CE559E">
            <w:pPr>
              <w:spacing w:before="60" w:after="60" w:line="280" w:lineRule="exact"/>
              <w:rPr>
                <w:sz w:val="20"/>
                <w:szCs w:val="20"/>
              </w:rPr>
            </w:pPr>
            <w:r w:rsidRPr="00E402C4">
              <w:rPr>
                <w:sz w:val="20"/>
                <w:szCs w:val="20"/>
                <w:rtl/>
              </w:rPr>
              <w:t>ينبغي إجراء دراسات بالنظر إلى أن بطاقات التبليغ عن الشبكات الساتلية التي تُعتبر "غير مقبولة" بسبب عدم الرد على طلب المكتب تقديم توضيحات ينبغي أن تخضع أيضاً لرسوم استرداد التكاليف المحسوبة وفقاً لجدول الرسوم القائم على وحدات بطاقة التبليغ المقدمة وفئتها.</w:t>
            </w:r>
          </w:p>
        </w:tc>
        <w:tc>
          <w:tcPr>
            <w:tcW w:w="4945" w:type="dxa"/>
          </w:tcPr>
          <w:p w14:paraId="034C3384" w14:textId="6627D9C2" w:rsidR="00C95195" w:rsidRPr="00E402C4" w:rsidRDefault="00067D28" w:rsidP="00CE559E">
            <w:pPr>
              <w:spacing w:before="60" w:after="60" w:line="280" w:lineRule="exact"/>
              <w:rPr>
                <w:sz w:val="20"/>
                <w:szCs w:val="20"/>
              </w:rPr>
            </w:pPr>
            <w:r w:rsidRPr="00E402C4">
              <w:rPr>
                <w:sz w:val="20"/>
                <w:szCs w:val="20"/>
                <w:rtl/>
                <w:lang w:bidi="ar-EG"/>
              </w:rPr>
              <w:t xml:space="preserve">هذه </w:t>
            </w:r>
            <w:r w:rsidR="006E3C8A" w:rsidRPr="00E402C4">
              <w:rPr>
                <w:sz w:val="20"/>
                <w:szCs w:val="20"/>
                <w:rtl/>
              </w:rPr>
              <w:t>ال</w:t>
            </w:r>
            <w:r w:rsidRPr="00E402C4">
              <w:rPr>
                <w:sz w:val="20"/>
                <w:szCs w:val="20"/>
                <w:rtl/>
                <w:lang w:bidi="ar-EG"/>
              </w:rPr>
              <w:t>توصية خاصة بالحالة 3</w:t>
            </w:r>
            <w:r w:rsidR="00C95195" w:rsidRPr="00E402C4">
              <w:rPr>
                <w:sz w:val="20"/>
                <w:szCs w:val="20"/>
                <w:rtl/>
                <w:lang w:bidi="ar-EG"/>
              </w:rPr>
              <w:t>.</w:t>
            </w:r>
            <w:r w:rsidRPr="00E402C4">
              <w:rPr>
                <w:sz w:val="20"/>
                <w:szCs w:val="20"/>
                <w:rtl/>
                <w:lang w:bidi="ar-EG"/>
              </w:rPr>
              <w:t xml:space="preserve"> ترى كندا والولايات المتحدة</w:t>
            </w:r>
            <w:r w:rsidR="00E6654F" w:rsidRPr="00E402C4">
              <w:rPr>
                <w:sz w:val="20"/>
                <w:szCs w:val="20"/>
                <w:rtl/>
                <w:lang w:bidi="ar-EG"/>
              </w:rPr>
              <w:t xml:space="preserve"> الأمريكية</w:t>
            </w:r>
            <w:r w:rsidRPr="00E402C4">
              <w:rPr>
                <w:sz w:val="20"/>
                <w:szCs w:val="20"/>
                <w:rtl/>
                <w:lang w:bidi="ar-EG"/>
              </w:rPr>
              <w:t xml:space="preserve"> أن من غير المناسب </w:t>
            </w:r>
            <w:r w:rsidR="00353151" w:rsidRPr="00E402C4">
              <w:rPr>
                <w:sz w:val="20"/>
                <w:szCs w:val="20"/>
                <w:rtl/>
                <w:lang w:bidi="ar-EG"/>
              </w:rPr>
              <w:t xml:space="preserve">أن </w:t>
            </w:r>
            <w:r w:rsidR="006E3C8A" w:rsidRPr="00E402C4">
              <w:rPr>
                <w:sz w:val="20"/>
                <w:szCs w:val="20"/>
                <w:rtl/>
                <w:lang w:bidi="ar-EG"/>
              </w:rPr>
              <w:t>تُ</w:t>
            </w:r>
            <w:r w:rsidRPr="00E402C4">
              <w:rPr>
                <w:sz w:val="20"/>
                <w:szCs w:val="20"/>
                <w:rtl/>
                <w:lang w:bidi="ar-EG"/>
              </w:rPr>
              <w:t>فرض</w:t>
            </w:r>
            <w:r w:rsidR="00353151" w:rsidRPr="00E402C4">
              <w:rPr>
                <w:sz w:val="20"/>
                <w:szCs w:val="20"/>
                <w:rtl/>
                <w:lang w:bidi="ar-EG"/>
              </w:rPr>
              <w:t xml:space="preserve"> على بطاقة تبليغ</w:t>
            </w:r>
            <w:r w:rsidRPr="00E402C4">
              <w:rPr>
                <w:sz w:val="20"/>
                <w:szCs w:val="20"/>
                <w:rtl/>
                <w:lang w:bidi="ar-EG"/>
              </w:rPr>
              <w:t xml:space="preserve"> </w:t>
            </w:r>
            <w:r w:rsidR="00353151" w:rsidRPr="00E402C4">
              <w:rPr>
                <w:sz w:val="20"/>
                <w:szCs w:val="20"/>
                <w:rtl/>
                <w:lang w:bidi="ar-EG"/>
              </w:rPr>
              <w:t xml:space="preserve">"غير مقبولة" </w:t>
            </w:r>
            <w:r w:rsidR="00353151" w:rsidRPr="00E402C4">
              <w:rPr>
                <w:sz w:val="20"/>
                <w:szCs w:val="20"/>
                <w:rtl/>
              </w:rPr>
              <w:t>نفس الرس</w:t>
            </w:r>
            <w:r w:rsidR="006E3C8A" w:rsidRPr="00E402C4">
              <w:rPr>
                <w:sz w:val="20"/>
                <w:szCs w:val="20"/>
                <w:rtl/>
              </w:rPr>
              <w:t>و</w:t>
            </w:r>
            <w:r w:rsidR="00353151" w:rsidRPr="00E402C4">
              <w:rPr>
                <w:sz w:val="20"/>
                <w:szCs w:val="20"/>
                <w:rtl/>
              </w:rPr>
              <w:t>م ال</w:t>
            </w:r>
            <w:r w:rsidR="006E3C8A" w:rsidRPr="00E402C4">
              <w:rPr>
                <w:sz w:val="20"/>
                <w:szCs w:val="20"/>
                <w:rtl/>
              </w:rPr>
              <w:t>تي تُ</w:t>
            </w:r>
            <w:r w:rsidR="00353151" w:rsidRPr="00E402C4">
              <w:rPr>
                <w:sz w:val="20"/>
                <w:szCs w:val="20"/>
                <w:rtl/>
              </w:rPr>
              <w:t xml:space="preserve">فرض على بطاقة تبليغ مقبولة أجري لها تحليل كامل (بما يشمل تحديد متطلبات التنسيق). ويمكن أن </w:t>
            </w:r>
            <w:r w:rsidR="00B324C3" w:rsidRPr="00E402C4">
              <w:rPr>
                <w:sz w:val="20"/>
                <w:szCs w:val="20"/>
                <w:rtl/>
              </w:rPr>
              <w:t>توافق</w:t>
            </w:r>
            <w:r w:rsidR="00353151" w:rsidRPr="00E402C4">
              <w:rPr>
                <w:sz w:val="20"/>
                <w:szCs w:val="20"/>
                <w:rtl/>
              </w:rPr>
              <w:t xml:space="preserve"> كندا والولايات المتحدة</w:t>
            </w:r>
            <w:r w:rsidR="00E6654F" w:rsidRPr="00E402C4">
              <w:rPr>
                <w:sz w:val="20"/>
                <w:szCs w:val="20"/>
                <w:rtl/>
              </w:rPr>
              <w:t xml:space="preserve"> الأمريكية</w:t>
            </w:r>
            <w:r w:rsidR="00353151" w:rsidRPr="00E402C4">
              <w:rPr>
                <w:sz w:val="20"/>
                <w:szCs w:val="20"/>
                <w:rtl/>
              </w:rPr>
              <w:t xml:space="preserve"> على دراسة إمكانية فرض جزء من</w:t>
            </w:r>
            <w:r w:rsidR="00B324C3" w:rsidRPr="00E402C4">
              <w:rPr>
                <w:sz w:val="20"/>
                <w:szCs w:val="20"/>
                <w:rtl/>
              </w:rPr>
              <w:t xml:space="preserve"> الرسوم</w:t>
            </w:r>
            <w:r w:rsidR="00353151" w:rsidRPr="00E402C4">
              <w:rPr>
                <w:sz w:val="20"/>
                <w:szCs w:val="20"/>
                <w:rtl/>
              </w:rPr>
              <w:t xml:space="preserve"> </w:t>
            </w:r>
            <w:r w:rsidR="00B324C3" w:rsidRPr="00E402C4">
              <w:rPr>
                <w:sz w:val="20"/>
                <w:szCs w:val="20"/>
                <w:rtl/>
              </w:rPr>
              <w:t>المفروضة على بطاقة تبليغ مقبولة مكافئة في</w:t>
            </w:r>
            <w:r w:rsidR="00353151" w:rsidRPr="00E402C4">
              <w:rPr>
                <w:sz w:val="20"/>
                <w:szCs w:val="20"/>
                <w:rtl/>
              </w:rPr>
              <w:t xml:space="preserve"> هذه الحالات.</w:t>
            </w:r>
            <w:r w:rsidR="00353151" w:rsidRPr="00E402C4">
              <w:rPr>
                <w:rFonts w:ascii="Arial" w:hAnsi="Arial" w:cs="Arial" w:hint="cs"/>
                <w:sz w:val="20"/>
                <w:szCs w:val="20"/>
                <w:rtl/>
              </w:rPr>
              <w:t>‬</w:t>
            </w:r>
          </w:p>
        </w:tc>
      </w:tr>
      <w:tr w:rsidR="00C95195" w:rsidRPr="00E402C4" w14:paraId="43A1D578" w14:textId="77777777" w:rsidTr="00792684">
        <w:trPr>
          <w:cantSplit/>
        </w:trPr>
        <w:tc>
          <w:tcPr>
            <w:tcW w:w="1165" w:type="dxa"/>
          </w:tcPr>
          <w:p w14:paraId="2BB89DE1" w14:textId="4773B397" w:rsidR="00C95195" w:rsidRPr="00E402C4" w:rsidRDefault="00C95195" w:rsidP="00CE559E">
            <w:pPr>
              <w:spacing w:before="60" w:after="60" w:line="280" w:lineRule="exact"/>
              <w:rPr>
                <w:sz w:val="20"/>
                <w:szCs w:val="20"/>
              </w:rPr>
            </w:pPr>
            <w:r w:rsidRPr="00E402C4">
              <w:rPr>
                <w:sz w:val="20"/>
                <w:szCs w:val="20"/>
              </w:rPr>
              <w:t>1.3</w:t>
            </w:r>
          </w:p>
        </w:tc>
        <w:tc>
          <w:tcPr>
            <w:tcW w:w="6840" w:type="dxa"/>
          </w:tcPr>
          <w:p w14:paraId="648D9D0C" w14:textId="5D12ABCE" w:rsidR="00C95195" w:rsidRPr="00E402C4" w:rsidRDefault="002A4839" w:rsidP="00CE559E">
            <w:pPr>
              <w:spacing w:before="60" w:after="60" w:line="280" w:lineRule="exact"/>
              <w:rPr>
                <w:sz w:val="20"/>
                <w:szCs w:val="20"/>
                <w:lang w:bidi="ar-SY"/>
              </w:rPr>
            </w:pPr>
            <w:r w:rsidRPr="00E402C4">
              <w:rPr>
                <w:sz w:val="20"/>
                <w:szCs w:val="20"/>
                <w:rtl/>
                <w:lang w:bidi="ar-EG"/>
              </w:rPr>
              <w:t>"</w:t>
            </w:r>
            <w:r w:rsidRPr="00E402C4">
              <w:rPr>
                <w:sz w:val="20"/>
                <w:szCs w:val="20"/>
                <w:rtl/>
              </w:rPr>
              <w:t>لا تفرض رسوم على التعديلات التي لا تستتبع فحصاً آخر يجريه مكتب الاتصالات الراديوية على الصعيدين التقني أو التنظيمي". فطبيعة وحجم العمل المطلوب من المكتب لم يتغيرا كثيراً منذ عام 2005؛ وبالتالي، ينبغي الاستمرار في تطبيق الإعفاء من الرسوم.</w:t>
            </w:r>
          </w:p>
        </w:tc>
        <w:tc>
          <w:tcPr>
            <w:tcW w:w="4945" w:type="dxa"/>
            <w:tcBorders>
              <w:bottom w:val="single" w:sz="4" w:space="0" w:color="auto"/>
            </w:tcBorders>
          </w:tcPr>
          <w:p w14:paraId="27CECD2C" w14:textId="05FA8DA1" w:rsidR="00C95195" w:rsidRPr="00E402C4" w:rsidRDefault="008B6E70" w:rsidP="00CE559E">
            <w:pPr>
              <w:spacing w:before="60" w:after="60" w:line="280" w:lineRule="exact"/>
              <w:rPr>
                <w:sz w:val="20"/>
                <w:szCs w:val="20"/>
                <w:lang w:bidi="ar-EG"/>
              </w:rPr>
            </w:pPr>
            <w:r w:rsidRPr="00E402C4">
              <w:rPr>
                <w:sz w:val="20"/>
                <w:szCs w:val="20"/>
                <w:rtl/>
                <w:lang w:bidi="ar-EG"/>
              </w:rPr>
              <w:t>تتفق</w:t>
            </w:r>
            <w:r w:rsidR="0016446F" w:rsidRPr="00E402C4">
              <w:rPr>
                <w:sz w:val="20"/>
                <w:szCs w:val="20"/>
                <w:rtl/>
                <w:lang w:bidi="ar-EG"/>
              </w:rPr>
              <w:t xml:space="preserve"> كندا والولايات المتحدة </w:t>
            </w:r>
            <w:r w:rsidR="00E6654F" w:rsidRPr="00E402C4">
              <w:rPr>
                <w:sz w:val="20"/>
                <w:szCs w:val="20"/>
                <w:rtl/>
                <w:lang w:bidi="ar-EG"/>
              </w:rPr>
              <w:t xml:space="preserve">الأمريكية </w:t>
            </w:r>
            <w:r w:rsidR="0016446F" w:rsidRPr="00E402C4">
              <w:rPr>
                <w:sz w:val="20"/>
                <w:szCs w:val="20"/>
                <w:rtl/>
                <w:lang w:bidi="ar-EG"/>
              </w:rPr>
              <w:t xml:space="preserve">على الاستمرار في تطبيق هذا الإعفاء من الرسوم؛ لا حاجة </w:t>
            </w:r>
            <w:r w:rsidR="00192C72" w:rsidRPr="00E402C4">
              <w:rPr>
                <w:sz w:val="20"/>
                <w:szCs w:val="20"/>
                <w:rtl/>
                <w:lang w:bidi="ar-EG"/>
              </w:rPr>
              <w:t>لل</w:t>
            </w:r>
            <w:r w:rsidR="0016446F" w:rsidRPr="00E402C4">
              <w:rPr>
                <w:sz w:val="20"/>
                <w:szCs w:val="20"/>
                <w:rtl/>
                <w:lang w:bidi="ar-EG"/>
              </w:rPr>
              <w:t>دراسة.</w:t>
            </w:r>
          </w:p>
        </w:tc>
      </w:tr>
      <w:tr w:rsidR="00C95195" w:rsidRPr="00E402C4" w14:paraId="2C8F06F7" w14:textId="77777777" w:rsidTr="00792684">
        <w:trPr>
          <w:cantSplit/>
        </w:trPr>
        <w:tc>
          <w:tcPr>
            <w:tcW w:w="1165" w:type="dxa"/>
          </w:tcPr>
          <w:p w14:paraId="3287372F" w14:textId="179C6284" w:rsidR="00C95195" w:rsidRPr="00E402C4" w:rsidRDefault="00C95195" w:rsidP="00CE559E">
            <w:pPr>
              <w:spacing w:before="60" w:after="60" w:line="280" w:lineRule="exact"/>
              <w:rPr>
                <w:sz w:val="20"/>
                <w:szCs w:val="20"/>
              </w:rPr>
            </w:pPr>
            <w:r w:rsidRPr="00E402C4">
              <w:rPr>
                <w:sz w:val="20"/>
                <w:szCs w:val="20"/>
              </w:rPr>
              <w:lastRenderedPageBreak/>
              <w:t>2.3</w:t>
            </w:r>
          </w:p>
        </w:tc>
        <w:tc>
          <w:tcPr>
            <w:tcW w:w="6840" w:type="dxa"/>
          </w:tcPr>
          <w:p w14:paraId="085CD0B5" w14:textId="2A9A26EC" w:rsidR="00C95195" w:rsidRPr="00E402C4" w:rsidRDefault="00625064" w:rsidP="00CE559E">
            <w:pPr>
              <w:spacing w:before="60" w:after="60" w:line="280" w:lineRule="exact"/>
              <w:rPr>
                <w:sz w:val="20"/>
                <w:szCs w:val="20"/>
              </w:rPr>
            </w:pPr>
            <w:r w:rsidRPr="00E402C4">
              <w:rPr>
                <w:sz w:val="20"/>
                <w:szCs w:val="20"/>
                <w:rtl/>
              </w:rPr>
              <w:t xml:space="preserve">وينبغي إجراء استعراض لتقييم ما إذا كان الأمر لا يستدعي فرض قيود معينة على بطاقات التبليغ المؤهلة للاستفادة من الإعفاء من الرسوم، مثل قصر الأهلية في الخدمات المخططة على بطاقات التبليغ التي لديها منطقة خدمة وطنية أو استبعاد بطاقات التبليغ عن الأنظمة </w:t>
            </w:r>
            <w:r w:rsidRPr="00E402C4">
              <w:rPr>
                <w:sz w:val="20"/>
                <w:szCs w:val="20"/>
              </w:rPr>
              <w:t>non-GSO</w:t>
            </w:r>
            <w:r w:rsidRPr="00E402C4">
              <w:rPr>
                <w:sz w:val="20"/>
                <w:szCs w:val="20"/>
                <w:rtl/>
              </w:rPr>
              <w:t xml:space="preserve"> ذات التشكيلات المتعددة و/أو تلك الخاضعة لحدود كثافة تدفق القدرة المكافئة </w:t>
            </w:r>
            <w:r w:rsidRPr="00E402C4">
              <w:rPr>
                <w:sz w:val="20"/>
                <w:szCs w:val="20"/>
              </w:rPr>
              <w:t>(epfd)</w:t>
            </w:r>
            <w:r w:rsidRPr="00E402C4">
              <w:rPr>
                <w:sz w:val="20"/>
                <w:szCs w:val="20"/>
                <w:rtl/>
              </w:rPr>
              <w:t>، التي تتطلب قدراً كبيراً من موارد مكتب الاتصالات الراديوية.</w:t>
            </w:r>
          </w:p>
        </w:tc>
        <w:tc>
          <w:tcPr>
            <w:tcW w:w="4945" w:type="dxa"/>
            <w:shd w:val="clear" w:color="auto" w:fill="auto"/>
          </w:tcPr>
          <w:p w14:paraId="1185DE7C" w14:textId="36D9277E" w:rsidR="000562D6" w:rsidRPr="00E402C4" w:rsidRDefault="00A12420" w:rsidP="00CE559E">
            <w:pPr>
              <w:spacing w:before="60" w:after="60" w:line="280" w:lineRule="exact"/>
              <w:rPr>
                <w:sz w:val="20"/>
                <w:szCs w:val="20"/>
                <w:rtl/>
              </w:rPr>
            </w:pPr>
            <w:r w:rsidRPr="00E402C4">
              <w:rPr>
                <w:sz w:val="20"/>
                <w:szCs w:val="20"/>
                <w:rtl/>
              </w:rPr>
              <w:t xml:space="preserve">كمرجع، </w:t>
            </w:r>
            <w:r w:rsidRPr="00E402C4">
              <w:rPr>
                <w:sz w:val="20"/>
                <w:szCs w:val="20"/>
                <w:rtl/>
                <w:lang w:bidi="ar-EG"/>
              </w:rPr>
              <w:t xml:space="preserve">تشير الوثيقة </w:t>
            </w:r>
            <w:r w:rsidRPr="00E402C4">
              <w:rPr>
                <w:sz w:val="20"/>
                <w:szCs w:val="20"/>
                <w:lang w:bidi="ar-EG"/>
              </w:rPr>
              <w:t>C23/16</w:t>
            </w:r>
            <w:r w:rsidRPr="00E402C4">
              <w:rPr>
                <w:sz w:val="20"/>
                <w:szCs w:val="20"/>
                <w:rtl/>
              </w:rPr>
              <w:t xml:space="preserve"> إلى أن قيمة معالجة بطاقات التبليغ </w:t>
            </w:r>
            <w:r w:rsidR="00E6654F" w:rsidRPr="00E402C4">
              <w:rPr>
                <w:sz w:val="20"/>
                <w:szCs w:val="20"/>
                <w:rtl/>
              </w:rPr>
              <w:t xml:space="preserve">المجانية بلغت </w:t>
            </w:r>
            <w:r w:rsidR="00E6654F" w:rsidRPr="00E402C4">
              <w:rPr>
                <w:sz w:val="20"/>
                <w:szCs w:val="20"/>
              </w:rPr>
              <w:t>1 461 379</w:t>
            </w:r>
            <w:r w:rsidR="00E6654F" w:rsidRPr="00E402C4">
              <w:rPr>
                <w:sz w:val="20"/>
                <w:szCs w:val="20"/>
                <w:rtl/>
              </w:rPr>
              <w:t xml:space="preserve"> فرنكاً سويسرياً في عام 2021</w:t>
            </w:r>
            <w:r w:rsidR="00E6654F" w:rsidRPr="0052395D">
              <w:rPr>
                <w:sz w:val="20"/>
                <w:szCs w:val="20"/>
              </w:rPr>
              <w:t xml:space="preserve"> </w:t>
            </w:r>
            <w:r w:rsidR="00E6654F" w:rsidRPr="00E402C4">
              <w:rPr>
                <w:sz w:val="20"/>
                <w:szCs w:val="20"/>
                <w:rtl/>
                <w:lang w:val="fr-CH"/>
              </w:rPr>
              <w:t>و</w:t>
            </w:r>
            <w:r w:rsidR="00E6654F" w:rsidRPr="00E402C4">
              <w:rPr>
                <w:sz w:val="20"/>
                <w:szCs w:val="20"/>
              </w:rPr>
              <w:t>1</w:t>
            </w:r>
            <w:r w:rsidR="00792684" w:rsidRPr="00E402C4">
              <w:rPr>
                <w:sz w:val="20"/>
                <w:szCs w:val="20"/>
              </w:rPr>
              <w:t> </w:t>
            </w:r>
            <w:r w:rsidR="00E6654F" w:rsidRPr="00E402C4">
              <w:rPr>
                <w:sz w:val="20"/>
                <w:szCs w:val="20"/>
              </w:rPr>
              <w:t>301</w:t>
            </w:r>
            <w:r w:rsidR="00792684" w:rsidRPr="00E402C4">
              <w:rPr>
                <w:sz w:val="20"/>
                <w:szCs w:val="20"/>
              </w:rPr>
              <w:t> </w:t>
            </w:r>
            <w:r w:rsidR="00E6654F" w:rsidRPr="00E402C4">
              <w:rPr>
                <w:sz w:val="20"/>
                <w:szCs w:val="20"/>
              </w:rPr>
              <w:t>909</w:t>
            </w:r>
            <w:r w:rsidR="00E6654F" w:rsidRPr="00E402C4">
              <w:rPr>
                <w:sz w:val="20"/>
                <w:szCs w:val="20"/>
                <w:rtl/>
              </w:rPr>
              <w:t xml:space="preserve"> فرنكات سويسرية في عام 2022. وتتجاوز القيمة المسجلة في عام 2022 نسبة </w:t>
            </w:r>
            <w:r w:rsidR="00E6654F" w:rsidRPr="00E402C4">
              <w:rPr>
                <w:sz w:val="20"/>
                <w:szCs w:val="20"/>
              </w:rPr>
              <w:t>%10</w:t>
            </w:r>
            <w:r w:rsidR="00E6654F" w:rsidRPr="00E402C4">
              <w:rPr>
                <w:sz w:val="20"/>
                <w:szCs w:val="20"/>
                <w:rtl/>
              </w:rPr>
              <w:t xml:space="preserve"> من المبلغ الإجمالي لاسترداد التكاليف.</w:t>
            </w:r>
          </w:p>
          <w:p w14:paraId="673A307C" w14:textId="77777777" w:rsidR="00E6654F" w:rsidRPr="00E402C4" w:rsidRDefault="00E6654F" w:rsidP="00CE559E">
            <w:pPr>
              <w:spacing w:before="60" w:after="60" w:line="280" w:lineRule="exact"/>
              <w:rPr>
                <w:sz w:val="20"/>
                <w:szCs w:val="20"/>
                <w:rtl/>
              </w:rPr>
            </w:pPr>
          </w:p>
          <w:p w14:paraId="5E48DE8F" w14:textId="2A7BE430" w:rsidR="000562D6" w:rsidRPr="00E402C4" w:rsidRDefault="00E6654F" w:rsidP="00CE559E">
            <w:pPr>
              <w:spacing w:before="60" w:after="60" w:line="280" w:lineRule="exact"/>
              <w:rPr>
                <w:sz w:val="20"/>
                <w:szCs w:val="20"/>
              </w:rPr>
            </w:pPr>
            <w:r w:rsidRPr="00E402C4">
              <w:rPr>
                <w:sz w:val="20"/>
                <w:szCs w:val="20"/>
                <w:rtl/>
              </w:rPr>
              <w:t>تلاحظ كندا والولايات المتحدة الأمريكية أن الأفكار المحددة المقترحة مثيرة للاهتمام و</w:t>
            </w:r>
            <w:r w:rsidR="00192C72" w:rsidRPr="00E402C4">
              <w:rPr>
                <w:sz w:val="20"/>
                <w:szCs w:val="20"/>
                <w:rtl/>
              </w:rPr>
              <w:t xml:space="preserve">أن </w:t>
            </w:r>
            <w:r w:rsidRPr="00E402C4">
              <w:rPr>
                <w:sz w:val="20"/>
                <w:szCs w:val="20"/>
                <w:rtl/>
              </w:rPr>
              <w:t xml:space="preserve">إمكانية فرض هذه القيود على </w:t>
            </w:r>
            <w:r w:rsidR="00192C72" w:rsidRPr="00E402C4">
              <w:rPr>
                <w:sz w:val="20"/>
                <w:szCs w:val="20"/>
                <w:rtl/>
              </w:rPr>
              <w:t xml:space="preserve">بطاقات التبليغ </w:t>
            </w:r>
            <w:r w:rsidRPr="00E402C4">
              <w:rPr>
                <w:sz w:val="20"/>
                <w:szCs w:val="20"/>
                <w:rtl/>
              </w:rPr>
              <w:t xml:space="preserve">المؤهلة للاستفادة من الإعفاء من الرسوم تستدعي </w:t>
            </w:r>
            <w:r w:rsidR="00192C72" w:rsidRPr="00E402C4">
              <w:rPr>
                <w:sz w:val="20"/>
                <w:szCs w:val="20"/>
                <w:rtl/>
              </w:rPr>
              <w:t>إمعان</w:t>
            </w:r>
            <w:r w:rsidRPr="00E402C4">
              <w:rPr>
                <w:sz w:val="20"/>
                <w:szCs w:val="20"/>
                <w:rtl/>
              </w:rPr>
              <w:t xml:space="preserve"> </w:t>
            </w:r>
            <w:r w:rsidR="00192C72" w:rsidRPr="00E402C4">
              <w:rPr>
                <w:sz w:val="20"/>
                <w:szCs w:val="20"/>
                <w:rtl/>
              </w:rPr>
              <w:t>النظر فيها.</w:t>
            </w:r>
          </w:p>
        </w:tc>
      </w:tr>
      <w:tr w:rsidR="00C95195" w:rsidRPr="00E402C4" w14:paraId="440B6298" w14:textId="77777777" w:rsidTr="00792684">
        <w:trPr>
          <w:cantSplit/>
        </w:trPr>
        <w:tc>
          <w:tcPr>
            <w:tcW w:w="1165" w:type="dxa"/>
          </w:tcPr>
          <w:p w14:paraId="060B049B" w14:textId="43555051" w:rsidR="00C95195" w:rsidRPr="00E402C4" w:rsidRDefault="00C95195" w:rsidP="00CE559E">
            <w:pPr>
              <w:spacing w:before="60" w:after="60" w:line="280" w:lineRule="exact"/>
              <w:rPr>
                <w:sz w:val="20"/>
                <w:szCs w:val="20"/>
              </w:rPr>
            </w:pPr>
            <w:r w:rsidRPr="00E402C4">
              <w:rPr>
                <w:sz w:val="20"/>
                <w:szCs w:val="20"/>
              </w:rPr>
              <w:t>1.3.3</w:t>
            </w:r>
          </w:p>
        </w:tc>
        <w:tc>
          <w:tcPr>
            <w:tcW w:w="6840" w:type="dxa"/>
          </w:tcPr>
          <w:p w14:paraId="6FBC5DBC" w14:textId="4064F64D" w:rsidR="00C95195" w:rsidRPr="00E402C4" w:rsidRDefault="00994F7F" w:rsidP="00CE559E">
            <w:pPr>
              <w:spacing w:before="60" w:after="60" w:line="280" w:lineRule="exact"/>
              <w:rPr>
                <w:sz w:val="20"/>
                <w:szCs w:val="20"/>
              </w:rPr>
            </w:pPr>
            <w:r w:rsidRPr="00E402C4">
              <w:rPr>
                <w:sz w:val="20"/>
                <w:szCs w:val="20"/>
                <w:rtl/>
              </w:rPr>
              <w:t xml:space="preserve">ففي حين أنه ينبغي أن يستمر تطبيق مبدأ الإعفاء على بطاقات التبليغ في خدمة الهواة الساتلية، ينبغي تذكير الدول الأعضاء بشروط الأهلية المنصوص عليها في الرقمين </w:t>
            </w:r>
            <w:r w:rsidRPr="00E402C4">
              <w:rPr>
                <w:sz w:val="20"/>
                <w:szCs w:val="20"/>
              </w:rPr>
              <w:t>56.1</w:t>
            </w:r>
            <w:r w:rsidRPr="00E402C4">
              <w:rPr>
                <w:sz w:val="20"/>
                <w:szCs w:val="20"/>
                <w:rtl/>
              </w:rPr>
              <w:t xml:space="preserve"> و</w:t>
            </w:r>
            <w:r w:rsidRPr="00E402C4">
              <w:rPr>
                <w:sz w:val="20"/>
                <w:szCs w:val="20"/>
              </w:rPr>
              <w:t>57.1</w:t>
            </w:r>
            <w:r w:rsidRPr="00E402C4">
              <w:rPr>
                <w:sz w:val="20"/>
                <w:szCs w:val="20"/>
                <w:rtl/>
              </w:rPr>
              <w:t xml:space="preserve"> من لوائح الراديو.</w:t>
            </w:r>
          </w:p>
        </w:tc>
        <w:tc>
          <w:tcPr>
            <w:tcW w:w="4945" w:type="dxa"/>
          </w:tcPr>
          <w:p w14:paraId="2864F4AD" w14:textId="6DEDD203" w:rsidR="00994F7F" w:rsidRPr="00E402C4" w:rsidRDefault="008B6E70" w:rsidP="00CE559E">
            <w:pPr>
              <w:spacing w:before="60" w:after="60" w:line="280" w:lineRule="exact"/>
              <w:rPr>
                <w:sz w:val="20"/>
                <w:szCs w:val="20"/>
                <w:lang w:bidi="ar-EG"/>
              </w:rPr>
            </w:pPr>
            <w:r w:rsidRPr="00E402C4">
              <w:rPr>
                <w:sz w:val="20"/>
                <w:szCs w:val="20"/>
                <w:rtl/>
                <w:lang w:bidi="ar-EG"/>
              </w:rPr>
              <w:t>تتفق</w:t>
            </w:r>
            <w:r w:rsidR="00192C72" w:rsidRPr="00E402C4">
              <w:rPr>
                <w:sz w:val="20"/>
                <w:szCs w:val="20"/>
                <w:rtl/>
                <w:lang w:bidi="ar-EG"/>
              </w:rPr>
              <w:t xml:space="preserve"> كندا والولايات المتحدة الأمريكية على أن هذا الإعفاء من الرسوم ينبغي الاستمرار في تطبيقه وأن التذكير أمر مناسب. لا حاجة للدراسة</w:t>
            </w:r>
            <w:r w:rsidR="00994F7F" w:rsidRPr="00E402C4">
              <w:rPr>
                <w:sz w:val="20"/>
                <w:szCs w:val="20"/>
                <w:rtl/>
                <w:lang w:bidi="ar-EG"/>
              </w:rPr>
              <w:t>.</w:t>
            </w:r>
          </w:p>
        </w:tc>
      </w:tr>
      <w:tr w:rsidR="00C95195" w:rsidRPr="00E402C4" w14:paraId="66C2C00B" w14:textId="77777777" w:rsidTr="00792684">
        <w:trPr>
          <w:cantSplit/>
        </w:trPr>
        <w:tc>
          <w:tcPr>
            <w:tcW w:w="1165" w:type="dxa"/>
          </w:tcPr>
          <w:p w14:paraId="03D24195" w14:textId="4588611E" w:rsidR="00C95195" w:rsidRPr="00E402C4" w:rsidRDefault="00C95195" w:rsidP="00CE559E">
            <w:pPr>
              <w:spacing w:before="60" w:after="60" w:line="280" w:lineRule="exact"/>
              <w:rPr>
                <w:sz w:val="20"/>
                <w:szCs w:val="20"/>
              </w:rPr>
            </w:pPr>
            <w:r w:rsidRPr="00E402C4">
              <w:rPr>
                <w:sz w:val="20"/>
                <w:szCs w:val="20"/>
              </w:rPr>
              <w:t>2.3.3</w:t>
            </w:r>
          </w:p>
        </w:tc>
        <w:tc>
          <w:tcPr>
            <w:tcW w:w="6840" w:type="dxa"/>
          </w:tcPr>
          <w:p w14:paraId="342A94DF" w14:textId="579EAF5B" w:rsidR="00C95195" w:rsidRPr="00E402C4" w:rsidRDefault="008B6E70" w:rsidP="00CE559E">
            <w:pPr>
              <w:spacing w:before="60" w:after="60" w:line="280" w:lineRule="exact"/>
              <w:rPr>
                <w:sz w:val="20"/>
                <w:szCs w:val="20"/>
              </w:rPr>
            </w:pPr>
            <w:r w:rsidRPr="00E402C4">
              <w:rPr>
                <w:sz w:val="20"/>
                <w:szCs w:val="20"/>
                <w:rtl/>
              </w:rPr>
              <w:t xml:space="preserve">... </w:t>
            </w:r>
            <w:r w:rsidR="00994F7F" w:rsidRPr="00E402C4">
              <w:rPr>
                <w:sz w:val="20"/>
                <w:szCs w:val="20"/>
                <w:rtl/>
              </w:rPr>
              <w:t xml:space="preserve">لم تقدم سوى 15 إدارة أو أقل سنوياً بطاقات تبليغ عن المحطات الأرضية </w:t>
            </w:r>
            <w:r w:rsidRPr="00E402C4">
              <w:rPr>
                <w:sz w:val="20"/>
                <w:szCs w:val="20"/>
                <w:rtl/>
              </w:rPr>
              <w:t xml:space="preserve">... </w:t>
            </w:r>
            <w:r w:rsidR="00994F7F" w:rsidRPr="00E402C4">
              <w:rPr>
                <w:sz w:val="20"/>
                <w:szCs w:val="20"/>
                <w:rtl/>
              </w:rPr>
              <w:t>وهذا يعني أن عمل مكتب الاتصالات الراديوية يستفيد بصورة رئيسية من عدد قليل من الإدارات. ولذلك ينبغي إجراء دراسات لتحديد ما إذا كان ينبغي دفع رسوم محددة عندما تقدم نفس الإدارة أكثر من عدد معين (يتم تحديده لاحقاً) من بطاقات التبليغ عن محطات أرضية.</w:t>
            </w:r>
          </w:p>
        </w:tc>
        <w:tc>
          <w:tcPr>
            <w:tcW w:w="4945" w:type="dxa"/>
          </w:tcPr>
          <w:p w14:paraId="27B85C89" w14:textId="59292B26" w:rsidR="00994F7F" w:rsidRPr="00E402C4" w:rsidRDefault="008B6E70" w:rsidP="00CE559E">
            <w:pPr>
              <w:spacing w:before="60" w:after="60" w:line="280" w:lineRule="exact"/>
              <w:rPr>
                <w:sz w:val="20"/>
                <w:szCs w:val="20"/>
              </w:rPr>
            </w:pPr>
            <w:r w:rsidRPr="00E402C4">
              <w:rPr>
                <w:sz w:val="20"/>
                <w:szCs w:val="20"/>
                <w:rtl/>
                <w:lang w:bidi="ar-EG"/>
              </w:rPr>
              <w:t xml:space="preserve">تتفق كندا والولايات المتحدة الأمريكية على أن هذا الموضوع ينبغي دراسته. وفي إطار هذه الدراسة، نطلب أن يقدم المكتب معلومات </w:t>
            </w:r>
            <w:r w:rsidR="004915E9" w:rsidRPr="00E402C4">
              <w:rPr>
                <w:sz w:val="20"/>
                <w:szCs w:val="20"/>
                <w:rtl/>
              </w:rPr>
              <w:t>تفصيلية عن عبء العمل الذي تقتضيه معالجة بطاقة تبليغ عن محطة أرضية. وقد تشمل الجوانب عدد المحطات الأرضية</w:t>
            </w:r>
            <w:r w:rsidR="000C3364" w:rsidRPr="00E402C4">
              <w:rPr>
                <w:sz w:val="20"/>
                <w:szCs w:val="20"/>
                <w:rtl/>
              </w:rPr>
              <w:t>، ونمطها (</w:t>
            </w:r>
            <w:r w:rsidR="004915E9" w:rsidRPr="00E402C4">
              <w:rPr>
                <w:sz w:val="20"/>
                <w:szCs w:val="20"/>
                <w:rtl/>
              </w:rPr>
              <w:t>محددة مقابل نموذجية</w:t>
            </w:r>
            <w:r w:rsidR="000C3364" w:rsidRPr="00E402C4">
              <w:rPr>
                <w:sz w:val="20"/>
                <w:szCs w:val="20"/>
              </w:rPr>
              <w:t>(</w:t>
            </w:r>
            <w:r w:rsidR="004915E9" w:rsidRPr="00E402C4">
              <w:rPr>
                <w:sz w:val="20"/>
                <w:szCs w:val="20"/>
                <w:rtl/>
              </w:rPr>
              <w:t>،</w:t>
            </w:r>
            <w:r w:rsidR="001A7B44" w:rsidRPr="00E402C4">
              <w:rPr>
                <w:sz w:val="20"/>
                <w:szCs w:val="20"/>
              </w:rPr>
              <w:t xml:space="preserve"> </w:t>
            </w:r>
            <w:r w:rsidR="000C3364" w:rsidRPr="00E402C4">
              <w:rPr>
                <w:sz w:val="20"/>
                <w:szCs w:val="20"/>
                <w:rtl/>
              </w:rPr>
              <w:t xml:space="preserve">وما إذا </w:t>
            </w:r>
            <w:r w:rsidR="004915E9" w:rsidRPr="00E402C4">
              <w:rPr>
                <w:sz w:val="20"/>
                <w:szCs w:val="20"/>
                <w:rtl/>
              </w:rPr>
              <w:t xml:space="preserve">كانت المحطة الأرضية مرتبطة </w:t>
            </w:r>
            <w:r w:rsidR="000C3364" w:rsidRPr="00E402C4">
              <w:rPr>
                <w:sz w:val="20"/>
                <w:szCs w:val="20"/>
                <w:rtl/>
              </w:rPr>
              <w:t>ببطاقة تبليغ عن</w:t>
            </w:r>
            <w:r w:rsidR="004915E9" w:rsidRPr="00E402C4">
              <w:rPr>
                <w:sz w:val="20"/>
                <w:szCs w:val="20"/>
                <w:rtl/>
              </w:rPr>
              <w:t xml:space="preserve"> مركبة فضائية أ</w:t>
            </w:r>
            <w:r w:rsidR="000C3364" w:rsidRPr="00E402C4">
              <w:rPr>
                <w:sz w:val="20"/>
                <w:szCs w:val="20"/>
                <w:rtl/>
              </w:rPr>
              <w:t>و لديها بطاقة تبليغ</w:t>
            </w:r>
            <w:r w:rsidR="004915E9" w:rsidRPr="00E402C4">
              <w:rPr>
                <w:sz w:val="20"/>
                <w:szCs w:val="20"/>
                <w:rtl/>
              </w:rPr>
              <w:t xml:space="preserve"> قائمة بذاتها، </w:t>
            </w:r>
            <w:r w:rsidR="000C3364" w:rsidRPr="00E402C4">
              <w:rPr>
                <w:sz w:val="20"/>
                <w:szCs w:val="20"/>
                <w:rtl/>
              </w:rPr>
              <w:t>وما إذا كانت بطاقة التبليغ عن المحطة الأرضية مقدمة من إدارة أخرى غير الإدارة المبلَّغة</w:t>
            </w:r>
            <w:r w:rsidR="004915E9" w:rsidRPr="00E402C4">
              <w:rPr>
                <w:sz w:val="20"/>
                <w:szCs w:val="20"/>
                <w:rtl/>
              </w:rPr>
              <w:t xml:space="preserve"> </w:t>
            </w:r>
            <w:r w:rsidR="000C3364" w:rsidRPr="00E402C4">
              <w:rPr>
                <w:sz w:val="20"/>
                <w:szCs w:val="20"/>
                <w:rtl/>
              </w:rPr>
              <w:t>عن ا</w:t>
            </w:r>
            <w:r w:rsidR="004915E9" w:rsidRPr="00E402C4">
              <w:rPr>
                <w:sz w:val="20"/>
                <w:szCs w:val="20"/>
                <w:rtl/>
              </w:rPr>
              <w:t xml:space="preserve">لنظام الفضائي، </w:t>
            </w:r>
            <w:r w:rsidR="000C3364" w:rsidRPr="00E402C4">
              <w:rPr>
                <w:sz w:val="20"/>
                <w:szCs w:val="20"/>
                <w:rtl/>
              </w:rPr>
              <w:t xml:space="preserve">وما إلى ذلك. انظر أيضاً القسم </w:t>
            </w:r>
            <w:r w:rsidR="000C3364" w:rsidRPr="00E402C4">
              <w:rPr>
                <w:sz w:val="20"/>
                <w:szCs w:val="20"/>
              </w:rPr>
              <w:t>1.6</w:t>
            </w:r>
            <w:r w:rsidR="000C3364" w:rsidRPr="00E402C4">
              <w:rPr>
                <w:sz w:val="20"/>
                <w:szCs w:val="20"/>
                <w:rtl/>
              </w:rPr>
              <w:t>.</w:t>
            </w:r>
          </w:p>
        </w:tc>
      </w:tr>
      <w:tr w:rsidR="00C95195" w:rsidRPr="00E402C4" w14:paraId="57DFA945" w14:textId="77777777" w:rsidTr="00792684">
        <w:trPr>
          <w:cantSplit/>
        </w:trPr>
        <w:tc>
          <w:tcPr>
            <w:tcW w:w="1165" w:type="dxa"/>
          </w:tcPr>
          <w:p w14:paraId="584E62C0" w14:textId="42CF4911" w:rsidR="00C95195" w:rsidRPr="00E402C4" w:rsidRDefault="000549B1" w:rsidP="00CE559E">
            <w:pPr>
              <w:spacing w:before="60" w:after="60" w:line="280" w:lineRule="exact"/>
              <w:rPr>
                <w:sz w:val="20"/>
                <w:szCs w:val="20"/>
              </w:rPr>
            </w:pPr>
            <w:r w:rsidRPr="00E402C4">
              <w:rPr>
                <w:sz w:val="20"/>
                <w:szCs w:val="20"/>
              </w:rPr>
              <w:t>3.3.3</w:t>
            </w:r>
          </w:p>
        </w:tc>
        <w:tc>
          <w:tcPr>
            <w:tcW w:w="6840" w:type="dxa"/>
          </w:tcPr>
          <w:p w14:paraId="522F4A26" w14:textId="66067BF7" w:rsidR="00D21A19" w:rsidRPr="00E402C4" w:rsidRDefault="00D21A19" w:rsidP="00CE559E">
            <w:pPr>
              <w:spacing w:before="60" w:after="60" w:line="280" w:lineRule="exact"/>
              <w:rPr>
                <w:sz w:val="20"/>
                <w:szCs w:val="20"/>
              </w:rPr>
            </w:pPr>
            <w:r w:rsidRPr="00E402C4">
              <w:rPr>
                <w:sz w:val="20"/>
                <w:szCs w:val="20"/>
                <w:rtl/>
                <w:lang w:bidi="ar-SY"/>
              </w:rPr>
              <w:t>ينبغي أن يظل التحويل معفياً من الرسوم طالما أنه يبقى ضمن غلاف التعيين الوطني.</w:t>
            </w:r>
          </w:p>
        </w:tc>
        <w:tc>
          <w:tcPr>
            <w:tcW w:w="4945" w:type="dxa"/>
            <w:shd w:val="clear" w:color="auto" w:fill="auto"/>
          </w:tcPr>
          <w:p w14:paraId="7B3C6AF1" w14:textId="1065DB80" w:rsidR="00504A07" w:rsidRPr="00E402C4" w:rsidRDefault="000C3364" w:rsidP="00CE559E">
            <w:pPr>
              <w:spacing w:before="60" w:after="60" w:line="280" w:lineRule="exact"/>
              <w:rPr>
                <w:sz w:val="20"/>
                <w:szCs w:val="20"/>
              </w:rPr>
            </w:pPr>
            <w:r w:rsidRPr="00E402C4">
              <w:rPr>
                <w:sz w:val="20"/>
                <w:szCs w:val="20"/>
                <w:rtl/>
                <w:lang w:bidi="ar-EG"/>
              </w:rPr>
              <w:t>تتفق كندا والولايات المتحدة الأمريكية على أن هذا الإعفاء</w:t>
            </w:r>
            <w:r w:rsidR="00774681" w:rsidRPr="00E402C4">
              <w:rPr>
                <w:sz w:val="20"/>
                <w:szCs w:val="20"/>
                <w:rtl/>
                <w:lang w:bidi="ar-EG"/>
              </w:rPr>
              <w:t xml:space="preserve"> </w:t>
            </w:r>
            <w:r w:rsidRPr="00E402C4">
              <w:rPr>
                <w:sz w:val="20"/>
                <w:szCs w:val="20"/>
                <w:rtl/>
                <w:lang w:bidi="ar-EG"/>
              </w:rPr>
              <w:t xml:space="preserve">ينبغي الاستمرار في تطبيقه </w:t>
            </w:r>
            <w:r w:rsidR="00774681" w:rsidRPr="00E402C4">
              <w:rPr>
                <w:sz w:val="20"/>
                <w:szCs w:val="20"/>
                <w:rtl/>
                <w:lang w:bidi="ar-EG"/>
              </w:rPr>
              <w:t>وأن لا حاجة للدراسة.</w:t>
            </w:r>
          </w:p>
        </w:tc>
      </w:tr>
      <w:tr w:rsidR="00C95195" w:rsidRPr="00E402C4" w14:paraId="182FDA89" w14:textId="77777777" w:rsidTr="00792684">
        <w:trPr>
          <w:cantSplit/>
        </w:trPr>
        <w:tc>
          <w:tcPr>
            <w:tcW w:w="1165" w:type="dxa"/>
          </w:tcPr>
          <w:p w14:paraId="3A6D9083" w14:textId="2D468BF0" w:rsidR="00C95195" w:rsidRPr="00E402C4" w:rsidRDefault="000549B1" w:rsidP="00CE559E">
            <w:pPr>
              <w:spacing w:before="60" w:after="60" w:line="280" w:lineRule="exact"/>
              <w:rPr>
                <w:sz w:val="20"/>
                <w:szCs w:val="20"/>
              </w:rPr>
            </w:pPr>
            <w:r w:rsidRPr="00E402C4">
              <w:rPr>
                <w:sz w:val="20"/>
                <w:szCs w:val="20"/>
              </w:rPr>
              <w:t>4.3.3</w:t>
            </w:r>
          </w:p>
        </w:tc>
        <w:tc>
          <w:tcPr>
            <w:tcW w:w="6840" w:type="dxa"/>
          </w:tcPr>
          <w:p w14:paraId="184DC044" w14:textId="15AF6059" w:rsidR="00C95195" w:rsidRPr="00E402C4" w:rsidRDefault="00504A07" w:rsidP="00CE559E">
            <w:pPr>
              <w:spacing w:before="60" w:after="60" w:line="280" w:lineRule="exact"/>
              <w:rPr>
                <w:sz w:val="20"/>
                <w:szCs w:val="20"/>
              </w:rPr>
            </w:pPr>
            <w:r w:rsidRPr="00E402C4">
              <w:rPr>
                <w:sz w:val="20"/>
                <w:szCs w:val="20"/>
                <w:rtl/>
              </w:rPr>
              <w:t>يرتبط هذا الإعفاء أيضاً بحق أساسي تتمتع به كل دولة عضو بموجب المادة 44 من دستور الاتحاد. وبناء على ذلك، ينبغي أن يستمر هذا الإعفاء من دفع الرسوم.</w:t>
            </w:r>
          </w:p>
        </w:tc>
        <w:tc>
          <w:tcPr>
            <w:tcW w:w="4945" w:type="dxa"/>
          </w:tcPr>
          <w:p w14:paraId="79D5BFE6" w14:textId="2B6A1AC0" w:rsidR="00504A07" w:rsidRPr="00E402C4" w:rsidRDefault="00774681" w:rsidP="00CE559E">
            <w:pPr>
              <w:spacing w:before="60" w:after="60" w:line="280" w:lineRule="exact"/>
              <w:rPr>
                <w:sz w:val="20"/>
                <w:szCs w:val="20"/>
              </w:rPr>
            </w:pPr>
            <w:r w:rsidRPr="00E402C4">
              <w:rPr>
                <w:sz w:val="20"/>
                <w:szCs w:val="20"/>
                <w:rtl/>
                <w:lang w:bidi="ar-EG"/>
              </w:rPr>
              <w:t>تتفق كندا والولايات المتحدة الأمريكية على أن هذا الإعفاء ينبغي الاستمرار في تطبيقه وأن لا حاجة للدراسة.</w:t>
            </w:r>
          </w:p>
        </w:tc>
      </w:tr>
      <w:tr w:rsidR="00C95195" w:rsidRPr="00E402C4" w14:paraId="462546BE" w14:textId="77777777" w:rsidTr="00792684">
        <w:trPr>
          <w:cantSplit/>
        </w:trPr>
        <w:tc>
          <w:tcPr>
            <w:tcW w:w="1165" w:type="dxa"/>
          </w:tcPr>
          <w:p w14:paraId="7EDF7688" w14:textId="612901CC" w:rsidR="00C95195" w:rsidRPr="00E402C4" w:rsidRDefault="000549B1" w:rsidP="00CE559E">
            <w:pPr>
              <w:spacing w:before="60" w:after="60" w:line="280" w:lineRule="exact"/>
              <w:rPr>
                <w:sz w:val="20"/>
                <w:szCs w:val="20"/>
              </w:rPr>
            </w:pPr>
            <w:r w:rsidRPr="00E402C4">
              <w:rPr>
                <w:sz w:val="20"/>
                <w:szCs w:val="20"/>
              </w:rPr>
              <w:t>1.5</w:t>
            </w:r>
          </w:p>
        </w:tc>
        <w:tc>
          <w:tcPr>
            <w:tcW w:w="6840" w:type="dxa"/>
          </w:tcPr>
          <w:p w14:paraId="14C13677" w14:textId="659D3F00" w:rsidR="0031750E" w:rsidRPr="00E402C4" w:rsidRDefault="0043680B" w:rsidP="00CE559E">
            <w:pPr>
              <w:spacing w:before="60" w:after="60" w:line="280" w:lineRule="exact"/>
              <w:rPr>
                <w:sz w:val="20"/>
                <w:szCs w:val="20"/>
                <w:rtl/>
              </w:rPr>
            </w:pPr>
            <w:r w:rsidRPr="00E402C4">
              <w:rPr>
                <w:sz w:val="20"/>
                <w:szCs w:val="20"/>
                <w:rtl/>
              </w:rPr>
              <w:t xml:space="preserve">عمليات إعادة التقديم الحالية تتطلب عموماً قدراً من العمل أكبر مما كان متوقعاً في عام 2005 بسبب المعلومات الإضافية الواردة في هذه التبليغات المعاد تقديمها، الأمر الذي يستدعي إجراء عمليات تفحص جديدة. </w:t>
            </w:r>
          </w:p>
          <w:p w14:paraId="397C2E5B" w14:textId="2FD8C82D" w:rsidR="0031750E" w:rsidRPr="00E402C4" w:rsidRDefault="0031750E" w:rsidP="00CE559E">
            <w:pPr>
              <w:spacing w:before="60" w:after="60" w:line="280" w:lineRule="exact"/>
              <w:rPr>
                <w:sz w:val="20"/>
                <w:szCs w:val="20"/>
              </w:rPr>
            </w:pPr>
            <w:r w:rsidRPr="00E402C4">
              <w:rPr>
                <w:sz w:val="20"/>
                <w:szCs w:val="20"/>
                <w:rtl/>
              </w:rPr>
              <w:t>...</w:t>
            </w:r>
          </w:p>
          <w:p w14:paraId="75CD2EB6" w14:textId="743ACF1E" w:rsidR="00C95195" w:rsidRPr="00E402C4" w:rsidRDefault="0043680B" w:rsidP="00CE559E">
            <w:pPr>
              <w:spacing w:before="60" w:after="60" w:line="280" w:lineRule="exact"/>
              <w:rPr>
                <w:sz w:val="20"/>
                <w:szCs w:val="20"/>
              </w:rPr>
            </w:pPr>
            <w:r w:rsidRPr="00E402C4">
              <w:rPr>
                <w:sz w:val="20"/>
                <w:szCs w:val="20"/>
                <w:rtl/>
              </w:rPr>
              <w:t>من شأن استرداد تكاليف معالجة بطاقات التبليغ المعاد تقديمها أن يستفيد من إجراء دراسة أكثر تعمقاً من أجل مواءمة التكاليف الفعلية مع التكاليف المستردة.</w:t>
            </w:r>
          </w:p>
        </w:tc>
        <w:tc>
          <w:tcPr>
            <w:tcW w:w="4945" w:type="dxa"/>
          </w:tcPr>
          <w:p w14:paraId="6E123821" w14:textId="2C61F375" w:rsidR="00486DD1" w:rsidRPr="00E402C4" w:rsidRDefault="00774681" w:rsidP="00CE559E">
            <w:pPr>
              <w:spacing w:before="60" w:after="60" w:line="280" w:lineRule="exact"/>
              <w:rPr>
                <w:sz w:val="20"/>
                <w:szCs w:val="20"/>
                <w:rtl/>
              </w:rPr>
            </w:pPr>
            <w:r w:rsidRPr="00E402C4">
              <w:rPr>
                <w:sz w:val="20"/>
                <w:szCs w:val="20"/>
                <w:rtl/>
                <w:lang w:bidi="ar-EG"/>
              </w:rPr>
              <w:t>تتفق كندا والولايات المتحدة الأمريكية</w:t>
            </w:r>
            <w:r w:rsidR="009954D1" w:rsidRPr="00E402C4">
              <w:rPr>
                <w:sz w:val="20"/>
                <w:szCs w:val="20"/>
                <w:rtl/>
                <w:lang w:bidi="ar-EG"/>
              </w:rPr>
              <w:t xml:space="preserve"> على أن هذه الدراسة ضرورية.</w:t>
            </w:r>
          </w:p>
          <w:p w14:paraId="0172477A" w14:textId="77777777" w:rsidR="009954D1" w:rsidRPr="00E402C4" w:rsidRDefault="009954D1" w:rsidP="00CE559E">
            <w:pPr>
              <w:spacing w:before="60" w:after="60" w:line="280" w:lineRule="exact"/>
              <w:rPr>
                <w:sz w:val="20"/>
                <w:szCs w:val="20"/>
                <w:rtl/>
              </w:rPr>
            </w:pPr>
          </w:p>
          <w:p w14:paraId="39748529" w14:textId="2090F605" w:rsidR="00C95195" w:rsidRPr="00E402C4" w:rsidRDefault="009954D1" w:rsidP="00CE559E">
            <w:pPr>
              <w:spacing w:before="60" w:after="60" w:line="280" w:lineRule="exact"/>
              <w:rPr>
                <w:sz w:val="20"/>
                <w:szCs w:val="20"/>
              </w:rPr>
            </w:pPr>
            <w:r w:rsidRPr="00E402C4">
              <w:rPr>
                <w:sz w:val="20"/>
                <w:szCs w:val="20"/>
                <w:rtl/>
              </w:rPr>
              <w:t xml:space="preserve">انظر أيضاً القسم </w:t>
            </w:r>
            <w:r w:rsidRPr="00E402C4">
              <w:rPr>
                <w:sz w:val="20"/>
                <w:szCs w:val="20"/>
              </w:rPr>
              <w:t>1.2</w:t>
            </w:r>
            <w:r w:rsidRPr="00E402C4">
              <w:rPr>
                <w:sz w:val="20"/>
                <w:szCs w:val="20"/>
                <w:rtl/>
              </w:rPr>
              <w:t>، الحالات 1 و3 و4 و5.</w:t>
            </w:r>
          </w:p>
        </w:tc>
      </w:tr>
      <w:tr w:rsidR="00C95195" w:rsidRPr="00E402C4" w14:paraId="324D7948" w14:textId="77777777" w:rsidTr="00792684">
        <w:trPr>
          <w:cantSplit/>
        </w:trPr>
        <w:tc>
          <w:tcPr>
            <w:tcW w:w="1165" w:type="dxa"/>
          </w:tcPr>
          <w:p w14:paraId="1F17C07D" w14:textId="4BF2B0DD" w:rsidR="00C95195" w:rsidRPr="00E402C4" w:rsidRDefault="000549B1" w:rsidP="00CE559E">
            <w:pPr>
              <w:spacing w:before="60" w:after="60" w:line="280" w:lineRule="exact"/>
              <w:rPr>
                <w:sz w:val="20"/>
                <w:szCs w:val="20"/>
              </w:rPr>
            </w:pPr>
            <w:r w:rsidRPr="00E402C4">
              <w:rPr>
                <w:sz w:val="20"/>
                <w:szCs w:val="20"/>
              </w:rPr>
              <w:lastRenderedPageBreak/>
              <w:t>2.5</w:t>
            </w:r>
          </w:p>
        </w:tc>
        <w:tc>
          <w:tcPr>
            <w:tcW w:w="6840" w:type="dxa"/>
          </w:tcPr>
          <w:p w14:paraId="6D40509A" w14:textId="27C188E7" w:rsidR="00C95195" w:rsidRPr="00E402C4" w:rsidRDefault="00D562A2" w:rsidP="00CE559E">
            <w:pPr>
              <w:spacing w:before="60" w:after="60" w:line="280" w:lineRule="exact"/>
              <w:rPr>
                <w:sz w:val="20"/>
                <w:szCs w:val="20"/>
              </w:rPr>
            </w:pPr>
            <w:r w:rsidRPr="00E402C4">
              <w:rPr>
                <w:sz w:val="20"/>
                <w:szCs w:val="20"/>
                <w:rtl/>
              </w:rPr>
              <w:t>ولئن كان من الممكن الاستمرار في فرض رسوم على تطبيقها إلى جانب التبليغ، فينبغي إجراء استعراض للتكاليف المترتبة على هذه الأحكام الإضافية.</w:t>
            </w:r>
          </w:p>
        </w:tc>
        <w:tc>
          <w:tcPr>
            <w:tcW w:w="4945" w:type="dxa"/>
          </w:tcPr>
          <w:p w14:paraId="4064DFFB" w14:textId="595B4C9E" w:rsidR="00486DD1" w:rsidRPr="00E402C4" w:rsidRDefault="009954D1" w:rsidP="00CE559E">
            <w:pPr>
              <w:spacing w:before="60" w:after="60" w:line="280" w:lineRule="exact"/>
              <w:rPr>
                <w:sz w:val="20"/>
                <w:szCs w:val="20"/>
                <w:rtl/>
                <w:lang w:bidi="ar-EG"/>
              </w:rPr>
            </w:pPr>
            <w:r w:rsidRPr="00E402C4">
              <w:rPr>
                <w:sz w:val="20"/>
                <w:szCs w:val="20"/>
                <w:rtl/>
                <w:lang w:bidi="ar-EG"/>
              </w:rPr>
              <w:t xml:space="preserve">هذا يحيل إلى القرارين 4 و49 والأرقام </w:t>
            </w:r>
            <w:r w:rsidRPr="00E402C4">
              <w:rPr>
                <w:sz w:val="20"/>
                <w:szCs w:val="20"/>
                <w:lang w:bidi="ar-EG"/>
              </w:rPr>
              <w:t>32A.11</w:t>
            </w:r>
            <w:r w:rsidRPr="00E402C4">
              <w:rPr>
                <w:sz w:val="20"/>
                <w:szCs w:val="20"/>
                <w:rtl/>
                <w:lang w:bidi="ar-EG"/>
              </w:rPr>
              <w:t xml:space="preserve"> (انظر الحاشية أ)) و</w:t>
            </w:r>
            <w:r w:rsidRPr="00E402C4">
              <w:rPr>
                <w:sz w:val="20"/>
                <w:szCs w:val="20"/>
                <w:lang w:bidi="ar-EG"/>
              </w:rPr>
              <w:t>41.11</w:t>
            </w:r>
            <w:r w:rsidRPr="00E402C4">
              <w:rPr>
                <w:sz w:val="20"/>
                <w:szCs w:val="20"/>
                <w:rtl/>
                <w:lang w:bidi="ar-EG"/>
              </w:rPr>
              <w:t xml:space="preserve"> و</w:t>
            </w:r>
            <w:r w:rsidRPr="00E402C4">
              <w:rPr>
                <w:sz w:val="20"/>
                <w:szCs w:val="20"/>
                <w:lang w:bidi="ar-EG"/>
              </w:rPr>
              <w:t>47.11</w:t>
            </w:r>
            <w:r w:rsidRPr="00E402C4">
              <w:rPr>
                <w:sz w:val="20"/>
                <w:szCs w:val="20"/>
                <w:rtl/>
                <w:lang w:bidi="ar-EG"/>
              </w:rPr>
              <w:t xml:space="preserve"> و</w:t>
            </w:r>
            <w:r w:rsidRPr="00E402C4">
              <w:rPr>
                <w:sz w:val="20"/>
                <w:szCs w:val="20"/>
                <w:lang w:bidi="ar-EG"/>
              </w:rPr>
              <w:t>49.11</w:t>
            </w:r>
            <w:r w:rsidRPr="00E402C4">
              <w:rPr>
                <w:sz w:val="20"/>
                <w:szCs w:val="20"/>
                <w:rtl/>
                <w:lang w:bidi="ar-EG"/>
              </w:rPr>
              <w:t xml:space="preserve"> والقسم الفرعي </w:t>
            </w:r>
            <w:r w:rsidRPr="00E402C4">
              <w:rPr>
                <w:sz w:val="20"/>
                <w:szCs w:val="20"/>
                <w:lang w:bidi="ar-EG"/>
              </w:rPr>
              <w:t>IID</w:t>
            </w:r>
            <w:r w:rsidRPr="00E402C4">
              <w:rPr>
                <w:sz w:val="20"/>
                <w:szCs w:val="20"/>
                <w:rtl/>
                <w:lang w:bidi="ar-EG"/>
              </w:rPr>
              <w:t xml:space="preserve"> من المادة 9 والقسمين 1 و2 من المادة 13 والمادة 14.</w:t>
            </w:r>
          </w:p>
          <w:p w14:paraId="41FA16E7" w14:textId="0F289FAC" w:rsidR="00C95195" w:rsidRPr="00E402C4" w:rsidRDefault="00E71647" w:rsidP="00CE559E">
            <w:pPr>
              <w:spacing w:before="60" w:after="60" w:line="280" w:lineRule="exact"/>
              <w:rPr>
                <w:sz w:val="20"/>
                <w:szCs w:val="20"/>
              </w:rPr>
            </w:pPr>
            <w:r w:rsidRPr="00E402C4">
              <w:rPr>
                <w:sz w:val="20"/>
                <w:szCs w:val="20"/>
                <w:rtl/>
                <w:lang w:bidi="ar-EG"/>
              </w:rPr>
              <w:t xml:space="preserve">تتفق كندا والولايات المتحدة الأمريكية على أن هذا الموضوع ينبغي دراسته. وفي إطار هذه الدراسة، تطلب كندا والولايات المتحدة الأمريكية أن يقدم المكتب معلومات </w:t>
            </w:r>
            <w:r w:rsidRPr="00E402C4">
              <w:rPr>
                <w:sz w:val="20"/>
                <w:szCs w:val="20"/>
                <w:rtl/>
              </w:rPr>
              <w:t xml:space="preserve">تفصيلية عن التكاليف المترتبة على تطبيق </w:t>
            </w:r>
            <w:r w:rsidR="00274622" w:rsidRPr="00E402C4">
              <w:rPr>
                <w:sz w:val="20"/>
                <w:szCs w:val="20"/>
                <w:rtl/>
              </w:rPr>
              <w:t>هذه الأحكام.</w:t>
            </w:r>
          </w:p>
        </w:tc>
      </w:tr>
      <w:tr w:rsidR="00C95195" w:rsidRPr="00E402C4" w14:paraId="63AA6F73" w14:textId="77777777" w:rsidTr="00792684">
        <w:trPr>
          <w:cantSplit/>
        </w:trPr>
        <w:tc>
          <w:tcPr>
            <w:tcW w:w="1165" w:type="dxa"/>
          </w:tcPr>
          <w:p w14:paraId="61327F12" w14:textId="744DA004" w:rsidR="00C95195" w:rsidRPr="00E402C4" w:rsidRDefault="000549B1" w:rsidP="00CE559E">
            <w:pPr>
              <w:spacing w:before="60" w:after="60" w:line="280" w:lineRule="exact"/>
              <w:rPr>
                <w:sz w:val="20"/>
                <w:szCs w:val="20"/>
              </w:rPr>
            </w:pPr>
            <w:r w:rsidRPr="00E402C4">
              <w:rPr>
                <w:sz w:val="20"/>
                <w:szCs w:val="20"/>
              </w:rPr>
              <w:t>1.6</w:t>
            </w:r>
          </w:p>
        </w:tc>
        <w:tc>
          <w:tcPr>
            <w:tcW w:w="6840" w:type="dxa"/>
          </w:tcPr>
          <w:p w14:paraId="6941AD0E" w14:textId="24824102" w:rsidR="00C95195" w:rsidRPr="00E402C4" w:rsidRDefault="00D562A2" w:rsidP="00CE559E">
            <w:pPr>
              <w:spacing w:before="60" w:after="60" w:line="280" w:lineRule="exact"/>
              <w:rPr>
                <w:sz w:val="20"/>
                <w:szCs w:val="20"/>
              </w:rPr>
            </w:pPr>
            <w:r w:rsidRPr="00E402C4">
              <w:rPr>
                <w:sz w:val="20"/>
                <w:szCs w:val="20"/>
                <w:rtl/>
              </w:rPr>
              <w:t xml:space="preserve">ومع ذلك، تلقى مكتب الاتصالات الراديوية منذ 1 يوليو 2019 خمس بطاقات تبليغ عن أنظمة </w:t>
            </w:r>
            <w:r w:rsidRPr="00E402C4">
              <w:rPr>
                <w:sz w:val="20"/>
                <w:szCs w:val="20"/>
              </w:rPr>
              <w:t>non-GSO</w:t>
            </w:r>
            <w:r w:rsidRPr="00E402C4">
              <w:rPr>
                <w:sz w:val="20"/>
                <w:szCs w:val="20"/>
                <w:rtl/>
              </w:rPr>
              <w:t xml:space="preserve"> تتضمن أكثر من </w:t>
            </w:r>
            <w:r w:rsidRPr="00E402C4">
              <w:rPr>
                <w:sz w:val="20"/>
                <w:szCs w:val="20"/>
              </w:rPr>
              <w:t>75 000</w:t>
            </w:r>
            <w:r w:rsidRPr="00E402C4">
              <w:rPr>
                <w:sz w:val="20"/>
                <w:szCs w:val="20"/>
                <w:rtl/>
              </w:rPr>
              <w:t xml:space="preserve"> وحدة. وعلاوةً على ذلك، لا تأخذ الصيغة المستخدمة لحساب وحدات الأنظمة </w:t>
            </w:r>
            <w:r w:rsidRPr="00E402C4">
              <w:rPr>
                <w:sz w:val="20"/>
                <w:szCs w:val="20"/>
              </w:rPr>
              <w:t>non-GSO</w:t>
            </w:r>
            <w:r w:rsidRPr="00E402C4">
              <w:rPr>
                <w:sz w:val="20"/>
                <w:szCs w:val="20"/>
                <w:rtl/>
              </w:rPr>
              <w:t xml:space="preserve"> في الاعتبار عدد الارتفاعات المدارية المختلفة أو عدد السواتل أو عدد المحطات الأرضية أو الخصائص الأخرى التي تؤثر على عبء العمل المتعلق بالتفحص. وبالتالي، ينبغي مواصلة دراسة هذه الجوانب.</w:t>
            </w:r>
          </w:p>
        </w:tc>
        <w:tc>
          <w:tcPr>
            <w:tcW w:w="4945" w:type="dxa"/>
          </w:tcPr>
          <w:p w14:paraId="63B4E069" w14:textId="7074E26A" w:rsidR="00486DD1" w:rsidRPr="00E402C4" w:rsidRDefault="00274622" w:rsidP="00CE559E">
            <w:pPr>
              <w:spacing w:before="60" w:after="60" w:line="280" w:lineRule="exact"/>
              <w:rPr>
                <w:sz w:val="20"/>
                <w:szCs w:val="20"/>
                <w:rtl/>
              </w:rPr>
            </w:pPr>
            <w:r w:rsidRPr="00E402C4">
              <w:rPr>
                <w:sz w:val="20"/>
                <w:szCs w:val="20"/>
                <w:rtl/>
              </w:rPr>
              <w:t xml:space="preserve">على الرغم من أن عدد هذه الأنظمة </w:t>
            </w:r>
            <w:r w:rsidRPr="00E402C4">
              <w:rPr>
                <w:sz w:val="20"/>
                <w:szCs w:val="20"/>
              </w:rPr>
              <w:t>non-GSO</w:t>
            </w:r>
            <w:r w:rsidRPr="00E402C4">
              <w:rPr>
                <w:sz w:val="20"/>
                <w:szCs w:val="20"/>
                <w:rtl/>
              </w:rPr>
              <w:t xml:space="preserve"> الضخمة كان محدوداً حتى الآن، فإن كندا والولايات المتحدة الأمريكية تتفقان على أن هذا الموضوع ينبغي دراسته. وفي إطار هذه الدراسة، نطلب أن يقدم المكتب معلومات تفصيلية عن تأثير عدد الارتفاعات المدارية المختلفة أو عدد السواتل أو عدد المحطات الأرضية أو الخصائص الأخرى التي تؤثر على عبء العمل المتعلق بالتفحص</w:t>
            </w:r>
            <w:r w:rsidR="00486DD1" w:rsidRPr="00E402C4">
              <w:rPr>
                <w:sz w:val="20"/>
                <w:szCs w:val="20"/>
                <w:rtl/>
              </w:rPr>
              <w:t>.</w:t>
            </w:r>
          </w:p>
          <w:p w14:paraId="2D11FBAE" w14:textId="77777777" w:rsidR="00486DD1" w:rsidRPr="00E402C4" w:rsidRDefault="00486DD1" w:rsidP="00CE559E">
            <w:pPr>
              <w:spacing w:before="60" w:after="60" w:line="280" w:lineRule="exact"/>
              <w:rPr>
                <w:sz w:val="20"/>
                <w:szCs w:val="20"/>
                <w:rtl/>
              </w:rPr>
            </w:pPr>
          </w:p>
          <w:p w14:paraId="682EBA35" w14:textId="66840416" w:rsidR="00C95195" w:rsidRPr="00E402C4" w:rsidRDefault="00274622" w:rsidP="00CE559E">
            <w:pPr>
              <w:spacing w:before="60" w:after="60" w:line="280" w:lineRule="exact"/>
              <w:rPr>
                <w:sz w:val="20"/>
                <w:szCs w:val="20"/>
                <w:lang w:bidi="ar-SY"/>
              </w:rPr>
            </w:pPr>
            <w:r w:rsidRPr="00E402C4">
              <w:rPr>
                <w:sz w:val="20"/>
                <w:szCs w:val="20"/>
                <w:rtl/>
              </w:rPr>
              <w:t xml:space="preserve">انظر أيضاً القسمين </w:t>
            </w:r>
            <w:r w:rsidRPr="00E402C4">
              <w:rPr>
                <w:sz w:val="20"/>
                <w:szCs w:val="20"/>
              </w:rPr>
              <w:t>2.3.3</w:t>
            </w:r>
            <w:r w:rsidRPr="00E402C4">
              <w:rPr>
                <w:sz w:val="20"/>
                <w:szCs w:val="20"/>
                <w:rtl/>
              </w:rPr>
              <w:t xml:space="preserve"> و</w:t>
            </w:r>
            <w:r w:rsidRPr="00E402C4">
              <w:rPr>
                <w:sz w:val="20"/>
                <w:szCs w:val="20"/>
              </w:rPr>
              <w:t>.9</w:t>
            </w:r>
            <w:r w:rsidR="00E71D7E">
              <w:rPr>
                <w:rFonts w:hint="cs"/>
                <w:sz w:val="20"/>
                <w:szCs w:val="20"/>
                <w:rtl/>
              </w:rPr>
              <w:t>1.</w:t>
            </w:r>
          </w:p>
        </w:tc>
      </w:tr>
      <w:tr w:rsidR="00C95195" w:rsidRPr="00E402C4" w14:paraId="50CD14B2" w14:textId="77777777" w:rsidTr="00792684">
        <w:trPr>
          <w:cantSplit/>
        </w:trPr>
        <w:tc>
          <w:tcPr>
            <w:tcW w:w="1165" w:type="dxa"/>
          </w:tcPr>
          <w:p w14:paraId="1C8273B5" w14:textId="1A4E2274" w:rsidR="00C95195" w:rsidRPr="00E402C4" w:rsidRDefault="000549B1" w:rsidP="00CE559E">
            <w:pPr>
              <w:spacing w:before="60" w:after="60" w:line="280" w:lineRule="exact"/>
              <w:rPr>
                <w:sz w:val="20"/>
                <w:szCs w:val="20"/>
              </w:rPr>
            </w:pPr>
            <w:r w:rsidRPr="00E402C4">
              <w:rPr>
                <w:sz w:val="20"/>
                <w:szCs w:val="20"/>
              </w:rPr>
              <w:t>2.6</w:t>
            </w:r>
          </w:p>
        </w:tc>
        <w:tc>
          <w:tcPr>
            <w:tcW w:w="6840" w:type="dxa"/>
          </w:tcPr>
          <w:p w14:paraId="539DB3EE" w14:textId="5C2CDC98" w:rsidR="00C95195" w:rsidRPr="00E402C4" w:rsidRDefault="002378E3" w:rsidP="00CE559E">
            <w:pPr>
              <w:spacing w:before="60" w:after="60" w:line="280" w:lineRule="exact"/>
              <w:rPr>
                <w:sz w:val="20"/>
                <w:szCs w:val="20"/>
              </w:rPr>
            </w:pPr>
            <w:r w:rsidRPr="00E402C4">
              <w:rPr>
                <w:sz w:val="20"/>
                <w:szCs w:val="20"/>
                <w:rtl/>
              </w:rPr>
              <w:t xml:space="preserve">أصبحت بطاقات التبليغ المستلمة أقل جودة من ذي قبل، حيث كان مشغلو السواتل ذوو الخبرة من يقومون بإعدادها أساساً. وبالنسبة لهذه الحالات، ينبغي إجراء دراسات للنظر في إدخال وحدات في الفئتين </w:t>
            </w:r>
            <w:r w:rsidRPr="00E402C4">
              <w:rPr>
                <w:sz w:val="20"/>
                <w:szCs w:val="20"/>
              </w:rPr>
              <w:t>A1</w:t>
            </w:r>
            <w:r w:rsidRPr="00E402C4">
              <w:rPr>
                <w:sz w:val="20"/>
                <w:szCs w:val="20"/>
                <w:rtl/>
              </w:rPr>
              <w:t xml:space="preserve"> و</w:t>
            </w:r>
            <w:r w:rsidRPr="00E402C4">
              <w:rPr>
                <w:sz w:val="20"/>
                <w:szCs w:val="20"/>
              </w:rPr>
              <w:t>N4</w:t>
            </w:r>
            <w:r w:rsidRPr="00E402C4">
              <w:rPr>
                <w:sz w:val="20"/>
                <w:szCs w:val="20"/>
                <w:rtl/>
              </w:rPr>
              <w:t>، مع فرض رسم مختلف حسب عدد الوحدات.</w:t>
            </w:r>
          </w:p>
        </w:tc>
        <w:tc>
          <w:tcPr>
            <w:tcW w:w="4945" w:type="dxa"/>
          </w:tcPr>
          <w:p w14:paraId="25F10C64" w14:textId="4D0AF2EE" w:rsidR="00486DD1" w:rsidRPr="00E402C4" w:rsidRDefault="00274622" w:rsidP="00CE559E">
            <w:pPr>
              <w:spacing w:before="60" w:after="60" w:line="280" w:lineRule="exact"/>
              <w:rPr>
                <w:sz w:val="20"/>
                <w:szCs w:val="20"/>
                <w:rtl/>
              </w:rPr>
            </w:pPr>
            <w:r w:rsidRPr="00E402C4">
              <w:rPr>
                <w:sz w:val="20"/>
                <w:szCs w:val="20"/>
                <w:rtl/>
                <w:lang w:bidi="ar-EG"/>
              </w:rPr>
              <w:t>تتفق كندا والولايات المتحدة الأمريكية على أن هذه الدراسة ضرورية.</w:t>
            </w:r>
          </w:p>
          <w:p w14:paraId="640C8EBF" w14:textId="6E453AD3" w:rsidR="00C95195" w:rsidRPr="00E402C4" w:rsidRDefault="00C95195" w:rsidP="00CE559E">
            <w:pPr>
              <w:spacing w:before="60" w:after="60" w:line="280" w:lineRule="exact"/>
              <w:rPr>
                <w:sz w:val="20"/>
                <w:szCs w:val="20"/>
              </w:rPr>
            </w:pPr>
          </w:p>
        </w:tc>
      </w:tr>
      <w:tr w:rsidR="00C95195" w:rsidRPr="00E402C4" w14:paraId="66457042" w14:textId="77777777" w:rsidTr="00792684">
        <w:trPr>
          <w:cantSplit/>
        </w:trPr>
        <w:tc>
          <w:tcPr>
            <w:tcW w:w="1165" w:type="dxa"/>
          </w:tcPr>
          <w:p w14:paraId="669FCC4D" w14:textId="16E678C2" w:rsidR="00C95195" w:rsidRPr="00E402C4" w:rsidRDefault="000549B1" w:rsidP="00CE559E">
            <w:pPr>
              <w:spacing w:before="60" w:after="60" w:line="280" w:lineRule="exact"/>
              <w:rPr>
                <w:sz w:val="20"/>
                <w:szCs w:val="20"/>
              </w:rPr>
            </w:pPr>
            <w:r w:rsidRPr="00E402C4">
              <w:rPr>
                <w:sz w:val="20"/>
                <w:szCs w:val="20"/>
              </w:rPr>
              <w:t>3.6</w:t>
            </w:r>
          </w:p>
        </w:tc>
        <w:tc>
          <w:tcPr>
            <w:tcW w:w="6840" w:type="dxa"/>
          </w:tcPr>
          <w:p w14:paraId="1F3E5149" w14:textId="77777777" w:rsidR="00C95195" w:rsidRPr="00E402C4" w:rsidRDefault="00705AA7" w:rsidP="00CE559E">
            <w:pPr>
              <w:spacing w:before="60" w:after="60" w:line="280" w:lineRule="exact"/>
              <w:rPr>
                <w:sz w:val="20"/>
                <w:szCs w:val="20"/>
                <w:rtl/>
              </w:rPr>
            </w:pPr>
            <w:r w:rsidRPr="00E402C4">
              <w:rPr>
                <w:sz w:val="20"/>
                <w:szCs w:val="20"/>
                <w:rtl/>
              </w:rPr>
              <w:t xml:space="preserve">لا تزال الأنظمة </w:t>
            </w:r>
            <w:r w:rsidRPr="00E402C4">
              <w:rPr>
                <w:sz w:val="20"/>
                <w:szCs w:val="20"/>
              </w:rPr>
              <w:t>non-GSO</w:t>
            </w:r>
            <w:r w:rsidRPr="00E402C4">
              <w:rPr>
                <w:sz w:val="20"/>
                <w:szCs w:val="20"/>
                <w:rtl/>
              </w:rPr>
              <w:t xml:space="preserve"> الخاضعة لحدود كثافة تدفق القدرة المكافئة </w:t>
            </w:r>
            <w:r w:rsidRPr="00E402C4">
              <w:rPr>
                <w:sz w:val="20"/>
                <w:szCs w:val="20"/>
              </w:rPr>
              <w:t>(epfd)</w:t>
            </w:r>
            <w:r w:rsidRPr="00E402C4">
              <w:rPr>
                <w:sz w:val="20"/>
                <w:szCs w:val="20"/>
                <w:rtl/>
              </w:rPr>
              <w:t xml:space="preserve"> تتطلب موارد إضافية كبيرة ليس فقط لحساب منحنيات الكثافة </w:t>
            </w:r>
            <w:r w:rsidRPr="00E402C4">
              <w:rPr>
                <w:sz w:val="20"/>
                <w:szCs w:val="20"/>
              </w:rPr>
              <w:t>epfd</w:t>
            </w:r>
            <w:r w:rsidRPr="00E402C4">
              <w:rPr>
                <w:sz w:val="20"/>
                <w:szCs w:val="20"/>
                <w:rtl/>
              </w:rPr>
              <w:t xml:space="preserve">، بل أيضاً لإعداد البيانات وتحليل النتائج. </w:t>
            </w:r>
          </w:p>
          <w:p w14:paraId="72824785" w14:textId="77777777" w:rsidR="00705AA7" w:rsidRPr="00E402C4" w:rsidRDefault="00705AA7" w:rsidP="00CE559E">
            <w:pPr>
              <w:spacing w:before="60" w:after="60" w:line="280" w:lineRule="exact"/>
              <w:rPr>
                <w:sz w:val="20"/>
                <w:szCs w:val="20"/>
                <w:rtl/>
              </w:rPr>
            </w:pPr>
            <w:r w:rsidRPr="00E402C4">
              <w:rPr>
                <w:sz w:val="20"/>
                <w:szCs w:val="20"/>
                <w:rtl/>
              </w:rPr>
              <w:t>...</w:t>
            </w:r>
          </w:p>
          <w:p w14:paraId="70FB7CFC" w14:textId="667DD5F6" w:rsidR="00705AA7" w:rsidRPr="00E402C4" w:rsidRDefault="005378C5" w:rsidP="00CE559E">
            <w:pPr>
              <w:spacing w:before="60" w:after="60" w:line="280" w:lineRule="exact"/>
              <w:rPr>
                <w:sz w:val="20"/>
                <w:szCs w:val="20"/>
              </w:rPr>
            </w:pPr>
            <w:r w:rsidRPr="00E402C4">
              <w:rPr>
                <w:sz w:val="20"/>
                <w:szCs w:val="20"/>
                <w:rtl/>
              </w:rPr>
              <w:t>وبالتالي، ينبغي دراسة إمكانية إدخال رسم إضافي خاص لاسترداد تكاليف تفحص طلبات التنسيق والتبليغات الخاضعة لكثافة تدفق القدرة المكافئة.</w:t>
            </w:r>
          </w:p>
        </w:tc>
        <w:tc>
          <w:tcPr>
            <w:tcW w:w="4945" w:type="dxa"/>
          </w:tcPr>
          <w:p w14:paraId="7AF6B9DE" w14:textId="04858C8B" w:rsidR="00C95195" w:rsidRPr="00E402C4" w:rsidRDefault="00274622" w:rsidP="00CE559E">
            <w:pPr>
              <w:spacing w:before="60" w:after="60" w:line="280" w:lineRule="exact"/>
              <w:rPr>
                <w:sz w:val="20"/>
                <w:szCs w:val="20"/>
              </w:rPr>
            </w:pPr>
            <w:r w:rsidRPr="00E402C4">
              <w:rPr>
                <w:sz w:val="20"/>
                <w:szCs w:val="20"/>
                <w:rtl/>
                <w:lang w:bidi="ar-EG"/>
              </w:rPr>
              <w:t>تتفق كندا والولايات المتحدة الأمريكية على</w:t>
            </w:r>
            <w:r w:rsidR="008A5072" w:rsidRPr="00E402C4">
              <w:rPr>
                <w:sz w:val="20"/>
                <w:szCs w:val="20"/>
                <w:rtl/>
                <w:lang w:bidi="ar-EG"/>
              </w:rPr>
              <w:t xml:space="preserve"> أن هذا الرسم الإضافي </w:t>
            </w:r>
            <w:r w:rsidR="008A5072" w:rsidRPr="00E402C4">
              <w:rPr>
                <w:sz w:val="20"/>
                <w:szCs w:val="20"/>
                <w:rtl/>
              </w:rPr>
              <w:t xml:space="preserve">لاسترداد تكاليف تفحص طلبات التنسيق والتبليغات الخاضعة لكثافة تدفق القدرة المكافئة ينبغي أن يخضع للدراسة. وفي إطار هذه الدراسة، تطلب كندا والولايات المتحدة الأمريكية أن يقدم المكتب معلومات عن تكاليف تحليل كثافة تدفق القدرة المكافئة. (انظر القسم </w:t>
            </w:r>
            <w:r w:rsidR="008A5072" w:rsidRPr="00E402C4">
              <w:rPr>
                <w:sz w:val="20"/>
                <w:szCs w:val="20"/>
              </w:rPr>
              <w:t>2.3</w:t>
            </w:r>
            <w:r w:rsidR="008A5072" w:rsidRPr="00E402C4">
              <w:rPr>
                <w:sz w:val="20"/>
                <w:szCs w:val="20"/>
                <w:rtl/>
              </w:rPr>
              <w:t>)</w:t>
            </w:r>
            <w:r w:rsidR="00E71D7E">
              <w:rPr>
                <w:sz w:val="20"/>
                <w:szCs w:val="20"/>
              </w:rPr>
              <w:t>.</w:t>
            </w:r>
          </w:p>
        </w:tc>
      </w:tr>
      <w:tr w:rsidR="00C95195" w:rsidRPr="00E402C4" w14:paraId="4493F4B2" w14:textId="77777777" w:rsidTr="00792684">
        <w:trPr>
          <w:cantSplit/>
        </w:trPr>
        <w:tc>
          <w:tcPr>
            <w:tcW w:w="1165" w:type="dxa"/>
          </w:tcPr>
          <w:p w14:paraId="10F08280" w14:textId="3E8C2E78" w:rsidR="00C95195" w:rsidRPr="00E402C4" w:rsidRDefault="000549B1" w:rsidP="00CE559E">
            <w:pPr>
              <w:spacing w:before="60" w:after="60" w:line="280" w:lineRule="exact"/>
              <w:rPr>
                <w:sz w:val="20"/>
                <w:szCs w:val="20"/>
              </w:rPr>
            </w:pPr>
            <w:r w:rsidRPr="00E402C4">
              <w:rPr>
                <w:sz w:val="20"/>
                <w:szCs w:val="20"/>
              </w:rPr>
              <w:t>3.6</w:t>
            </w:r>
          </w:p>
        </w:tc>
        <w:tc>
          <w:tcPr>
            <w:tcW w:w="6840" w:type="dxa"/>
          </w:tcPr>
          <w:p w14:paraId="02739AC6" w14:textId="04CD3FA2" w:rsidR="005378C5" w:rsidRPr="00E402C4" w:rsidRDefault="005378C5" w:rsidP="00CE559E">
            <w:pPr>
              <w:spacing w:before="60" w:after="60" w:line="280" w:lineRule="exact"/>
              <w:rPr>
                <w:sz w:val="20"/>
                <w:szCs w:val="20"/>
                <w:rtl/>
              </w:rPr>
            </w:pPr>
            <w:r w:rsidRPr="00E402C4">
              <w:rPr>
                <w:sz w:val="20"/>
                <w:szCs w:val="20"/>
                <w:rtl/>
              </w:rPr>
              <w:t>....</w:t>
            </w:r>
          </w:p>
          <w:p w14:paraId="5E3420B8" w14:textId="0A6A5014" w:rsidR="00C95195" w:rsidRPr="00E402C4" w:rsidRDefault="005378C5" w:rsidP="00CE559E">
            <w:pPr>
              <w:spacing w:before="60" w:after="60" w:line="280" w:lineRule="exact"/>
              <w:rPr>
                <w:sz w:val="20"/>
                <w:szCs w:val="20"/>
              </w:rPr>
            </w:pPr>
            <w:r w:rsidRPr="00E402C4">
              <w:rPr>
                <w:sz w:val="20"/>
                <w:szCs w:val="20"/>
                <w:rtl/>
              </w:rPr>
              <w:t>وعلاوةً على ذلك، فإن تزايد عدد ودرجة تعقيد الأنظمة </w:t>
            </w:r>
            <w:r w:rsidRPr="00E402C4">
              <w:rPr>
                <w:sz w:val="20"/>
                <w:szCs w:val="20"/>
              </w:rPr>
              <w:t>non-GSO</w:t>
            </w:r>
            <w:r w:rsidRPr="00E402C4">
              <w:rPr>
                <w:sz w:val="20"/>
                <w:szCs w:val="20"/>
                <w:rtl/>
              </w:rPr>
              <w:t xml:space="preserve"> الخاضعة لحدود الكثافة </w:t>
            </w:r>
            <w:r w:rsidRPr="00E402C4">
              <w:rPr>
                <w:sz w:val="20"/>
                <w:szCs w:val="20"/>
              </w:rPr>
              <w:t>epfd</w:t>
            </w:r>
            <w:r w:rsidRPr="00E402C4">
              <w:rPr>
                <w:sz w:val="20"/>
                <w:szCs w:val="20"/>
                <w:rtl/>
              </w:rPr>
              <w:t xml:space="preserve"> يقتضي التحديث شبه المستمر لمنهجية </w:t>
            </w:r>
            <w:r w:rsidR="00B36BFF" w:rsidRPr="00E402C4">
              <w:rPr>
                <w:sz w:val="20"/>
                <w:szCs w:val="20"/>
                <w:rtl/>
              </w:rPr>
              <w:t>ا</w:t>
            </w:r>
            <w:r w:rsidRPr="00E402C4">
              <w:rPr>
                <w:sz w:val="20"/>
                <w:szCs w:val="20"/>
                <w:rtl/>
              </w:rPr>
              <w:t xml:space="preserve">لتحقق من الكثافة </w:t>
            </w:r>
            <w:r w:rsidRPr="00E402C4">
              <w:rPr>
                <w:sz w:val="20"/>
                <w:szCs w:val="20"/>
              </w:rPr>
              <w:t>epfd</w:t>
            </w:r>
            <w:r w:rsidRPr="00E402C4">
              <w:rPr>
                <w:sz w:val="20"/>
                <w:szCs w:val="20"/>
                <w:rtl/>
              </w:rPr>
              <w:t xml:space="preserve"> التي وضعها قطاع الاتصالات الراديوية والواردة في التوصية </w:t>
            </w:r>
            <w:r w:rsidRPr="00E402C4">
              <w:rPr>
                <w:sz w:val="20"/>
                <w:szCs w:val="20"/>
              </w:rPr>
              <w:t>ITU-R S.1503</w:t>
            </w:r>
            <w:r w:rsidRPr="00E402C4">
              <w:rPr>
                <w:sz w:val="20"/>
                <w:szCs w:val="20"/>
                <w:rtl/>
              </w:rPr>
              <w:t>، الأمر الذي يستتبع تغييرات في المعالجة والتفحص. وتتطلب كل هذه الجوانب تطوير برمجية محددة وتحديثها بشكل متواتر.</w:t>
            </w:r>
          </w:p>
        </w:tc>
        <w:tc>
          <w:tcPr>
            <w:tcW w:w="4945" w:type="dxa"/>
          </w:tcPr>
          <w:p w14:paraId="73459C30" w14:textId="57C0167E" w:rsidR="00486DD1" w:rsidRPr="00E402C4" w:rsidRDefault="00B36BFF" w:rsidP="00CE559E">
            <w:pPr>
              <w:spacing w:before="60" w:after="60" w:line="280" w:lineRule="exact"/>
              <w:rPr>
                <w:sz w:val="20"/>
                <w:szCs w:val="20"/>
                <w:rtl/>
              </w:rPr>
            </w:pPr>
            <w:r w:rsidRPr="00E402C4">
              <w:rPr>
                <w:sz w:val="20"/>
                <w:szCs w:val="20"/>
                <w:rtl/>
              </w:rPr>
              <w:t>ترى كندا والولايات المتحدة الأمريكية أن من المنطقي استنتاج أن عبء</w:t>
            </w:r>
            <w:r w:rsidR="005644F7" w:rsidRPr="00E402C4">
              <w:rPr>
                <w:sz w:val="20"/>
                <w:szCs w:val="20"/>
                <w:rtl/>
              </w:rPr>
              <w:t xml:space="preserve"> </w:t>
            </w:r>
            <w:r w:rsidRPr="00E402C4">
              <w:rPr>
                <w:sz w:val="20"/>
                <w:szCs w:val="20"/>
                <w:rtl/>
              </w:rPr>
              <w:t xml:space="preserve">تحديث/تنقيح البرمجية ينبغي </w:t>
            </w:r>
            <w:r w:rsidR="005644F7" w:rsidRPr="00E402C4">
              <w:rPr>
                <w:sz w:val="20"/>
                <w:szCs w:val="20"/>
                <w:rtl/>
              </w:rPr>
              <w:t>أن يكون مشمولاً</w:t>
            </w:r>
            <w:r w:rsidRPr="00E402C4">
              <w:rPr>
                <w:sz w:val="20"/>
                <w:szCs w:val="20"/>
                <w:rtl/>
              </w:rPr>
              <w:t xml:space="preserve"> بالرسم الإضافي </w:t>
            </w:r>
            <w:r w:rsidR="005644F7" w:rsidRPr="00E402C4">
              <w:rPr>
                <w:sz w:val="20"/>
                <w:szCs w:val="20"/>
                <w:rtl/>
              </w:rPr>
              <w:t>المتعلق</w:t>
            </w:r>
            <w:r w:rsidRPr="00E402C4">
              <w:rPr>
                <w:sz w:val="20"/>
                <w:szCs w:val="20"/>
                <w:rtl/>
              </w:rPr>
              <w:t xml:space="preserve"> </w:t>
            </w:r>
            <w:r w:rsidR="005644F7" w:rsidRPr="00E402C4">
              <w:rPr>
                <w:sz w:val="20"/>
                <w:szCs w:val="20"/>
                <w:rtl/>
              </w:rPr>
              <w:t>ب</w:t>
            </w:r>
            <w:r w:rsidRPr="00E402C4">
              <w:rPr>
                <w:sz w:val="20"/>
                <w:szCs w:val="20"/>
                <w:rtl/>
              </w:rPr>
              <w:t>تفحص كثافة تدفق القدرة المكافئة.</w:t>
            </w:r>
          </w:p>
          <w:p w14:paraId="7BC80C7C" w14:textId="126D6938" w:rsidR="00C95195" w:rsidRPr="00E402C4" w:rsidRDefault="005644F7" w:rsidP="00CE559E">
            <w:pPr>
              <w:spacing w:before="60" w:after="60" w:line="280" w:lineRule="exact"/>
              <w:rPr>
                <w:sz w:val="20"/>
                <w:szCs w:val="20"/>
              </w:rPr>
            </w:pPr>
            <w:r w:rsidRPr="00E402C4">
              <w:rPr>
                <w:sz w:val="20"/>
                <w:szCs w:val="20"/>
                <w:rtl/>
              </w:rPr>
              <w:t xml:space="preserve">انظر القسم </w:t>
            </w:r>
            <w:r w:rsidRPr="00E402C4">
              <w:rPr>
                <w:sz w:val="20"/>
                <w:szCs w:val="20"/>
              </w:rPr>
              <w:t>1.9</w:t>
            </w:r>
            <w:r w:rsidRPr="00E402C4">
              <w:rPr>
                <w:sz w:val="20"/>
                <w:szCs w:val="20"/>
                <w:rtl/>
              </w:rPr>
              <w:t>.</w:t>
            </w:r>
          </w:p>
        </w:tc>
      </w:tr>
      <w:tr w:rsidR="00C95195" w:rsidRPr="00E402C4" w14:paraId="1F600734" w14:textId="77777777" w:rsidTr="00792684">
        <w:trPr>
          <w:cantSplit/>
        </w:trPr>
        <w:tc>
          <w:tcPr>
            <w:tcW w:w="1165" w:type="dxa"/>
          </w:tcPr>
          <w:p w14:paraId="7B1F300B" w14:textId="11D97A0E" w:rsidR="00C95195" w:rsidRPr="00E402C4" w:rsidRDefault="000549B1" w:rsidP="00CE559E">
            <w:pPr>
              <w:spacing w:before="60" w:after="60" w:line="280" w:lineRule="exact"/>
              <w:rPr>
                <w:sz w:val="20"/>
                <w:szCs w:val="20"/>
              </w:rPr>
            </w:pPr>
            <w:r w:rsidRPr="00E402C4">
              <w:rPr>
                <w:sz w:val="20"/>
                <w:szCs w:val="20"/>
              </w:rPr>
              <w:lastRenderedPageBreak/>
              <w:t>4.6</w:t>
            </w:r>
          </w:p>
        </w:tc>
        <w:tc>
          <w:tcPr>
            <w:tcW w:w="6840" w:type="dxa"/>
          </w:tcPr>
          <w:p w14:paraId="76831EF6" w14:textId="7723808C" w:rsidR="00C95195" w:rsidRPr="00E402C4" w:rsidRDefault="001918C9" w:rsidP="00CE559E">
            <w:pPr>
              <w:spacing w:before="60" w:after="60" w:line="280" w:lineRule="exact"/>
              <w:rPr>
                <w:sz w:val="20"/>
                <w:szCs w:val="20"/>
              </w:rPr>
            </w:pPr>
            <w:r w:rsidRPr="00E402C4">
              <w:rPr>
                <w:sz w:val="20"/>
                <w:szCs w:val="20"/>
                <w:rtl/>
              </w:rPr>
              <w:t xml:space="preserve">أدخلت المؤتمرات العالمية للاتصالات الراديوية أيضاً، منذ عام 2005، عدداً من التعديلات على الخطط الفضائية (مثلاً، إمكانية إجراء تفحص ثان لمعالجة تبليغات الجزء </w:t>
            </w:r>
            <w:r w:rsidRPr="00E402C4">
              <w:rPr>
                <w:sz w:val="20"/>
                <w:szCs w:val="20"/>
              </w:rPr>
              <w:t>B</w:t>
            </w:r>
            <w:r w:rsidRPr="00E402C4">
              <w:rPr>
                <w:sz w:val="20"/>
                <w:szCs w:val="20"/>
                <w:rtl/>
              </w:rPr>
              <w:t xml:space="preserve"> أو الأنشطة الإضافية المتعلقة بالاحتفاظ بتخصيصات التردد المخططة بطريقة مماثلة لتلك الوارد وصفها في القسم 2.6). وينبغي أيضاً دراسة آثار هذه التعديلات على جدول الرسوم.</w:t>
            </w:r>
          </w:p>
        </w:tc>
        <w:tc>
          <w:tcPr>
            <w:tcW w:w="4945" w:type="dxa"/>
          </w:tcPr>
          <w:p w14:paraId="1F47C512" w14:textId="2B8ED4BA" w:rsidR="00C95195" w:rsidRPr="00E402C4" w:rsidRDefault="00F02E64" w:rsidP="00CE559E">
            <w:pPr>
              <w:spacing w:before="60" w:after="60" w:line="280" w:lineRule="exact"/>
              <w:rPr>
                <w:sz w:val="20"/>
                <w:szCs w:val="20"/>
              </w:rPr>
            </w:pPr>
            <w:r w:rsidRPr="00E402C4">
              <w:rPr>
                <w:sz w:val="20"/>
                <w:szCs w:val="20"/>
                <w:rtl/>
                <w:lang w:bidi="ar-EG"/>
              </w:rPr>
              <w:t xml:space="preserve">تتفق كندا والولايات المتحدة الأمريكية على أن </w:t>
            </w:r>
            <w:r w:rsidRPr="00E402C4">
              <w:rPr>
                <w:sz w:val="20"/>
                <w:szCs w:val="20"/>
                <w:rtl/>
              </w:rPr>
              <w:t xml:space="preserve">آثار هذه التعديلات المدخلة على خطط </w:t>
            </w:r>
            <w:r w:rsidR="002D6DFF" w:rsidRPr="00E402C4">
              <w:rPr>
                <w:sz w:val="20"/>
                <w:szCs w:val="20"/>
                <w:rtl/>
              </w:rPr>
              <w:t xml:space="preserve">الخدمات </w:t>
            </w:r>
            <w:r w:rsidRPr="00E402C4">
              <w:rPr>
                <w:sz w:val="20"/>
                <w:szCs w:val="20"/>
                <w:rtl/>
              </w:rPr>
              <w:t xml:space="preserve">الفضائية </w:t>
            </w:r>
            <w:r w:rsidRPr="00E402C4">
              <w:rPr>
                <w:sz w:val="20"/>
                <w:szCs w:val="20"/>
                <w:rtl/>
                <w:lang w:bidi="ar-EG"/>
              </w:rPr>
              <w:t>ينبغي دراستها</w:t>
            </w:r>
            <w:r w:rsidRPr="00E402C4">
              <w:rPr>
                <w:sz w:val="20"/>
                <w:szCs w:val="20"/>
                <w:rtl/>
              </w:rPr>
              <w:t>.</w:t>
            </w:r>
          </w:p>
        </w:tc>
      </w:tr>
      <w:tr w:rsidR="00C95195" w:rsidRPr="00E402C4" w14:paraId="34454CAB" w14:textId="77777777" w:rsidTr="00792684">
        <w:trPr>
          <w:cantSplit/>
        </w:trPr>
        <w:tc>
          <w:tcPr>
            <w:tcW w:w="1165" w:type="dxa"/>
          </w:tcPr>
          <w:p w14:paraId="42010A31" w14:textId="5F2C368A" w:rsidR="00C95195" w:rsidRPr="00E402C4" w:rsidRDefault="000549B1" w:rsidP="00CE559E">
            <w:pPr>
              <w:spacing w:before="60" w:after="60" w:line="280" w:lineRule="exact"/>
              <w:rPr>
                <w:sz w:val="20"/>
                <w:szCs w:val="20"/>
              </w:rPr>
            </w:pPr>
            <w:r w:rsidRPr="00E402C4">
              <w:rPr>
                <w:sz w:val="20"/>
                <w:szCs w:val="20"/>
              </w:rPr>
              <w:t>7</w:t>
            </w:r>
          </w:p>
        </w:tc>
        <w:tc>
          <w:tcPr>
            <w:tcW w:w="6840" w:type="dxa"/>
          </w:tcPr>
          <w:p w14:paraId="3CF0CB66" w14:textId="3AE8805C" w:rsidR="00C95195" w:rsidRPr="00E402C4" w:rsidRDefault="001918C9" w:rsidP="00CE559E">
            <w:pPr>
              <w:spacing w:before="60" w:after="60" w:line="280" w:lineRule="exact"/>
              <w:rPr>
                <w:sz w:val="20"/>
                <w:szCs w:val="20"/>
              </w:rPr>
            </w:pPr>
            <w:r w:rsidRPr="00E402C4">
              <w:rPr>
                <w:sz w:val="20"/>
                <w:szCs w:val="20"/>
                <w:rtl/>
              </w:rPr>
              <w:t xml:space="preserve">النقاط العملية الجيدة التي ترد في مقرر المجلس </w:t>
            </w:r>
            <w:r w:rsidRPr="00E402C4">
              <w:rPr>
                <w:sz w:val="20"/>
                <w:szCs w:val="20"/>
              </w:rPr>
              <w:t>482</w:t>
            </w:r>
            <w:r w:rsidRPr="00E402C4">
              <w:rPr>
                <w:sz w:val="20"/>
                <w:szCs w:val="20"/>
                <w:rtl/>
              </w:rPr>
              <w:t xml:space="preserve"> وينبغي عدم تغييرها</w:t>
            </w:r>
          </w:p>
        </w:tc>
        <w:tc>
          <w:tcPr>
            <w:tcW w:w="4945" w:type="dxa"/>
          </w:tcPr>
          <w:p w14:paraId="7CB7DA79" w14:textId="5DC5A65F" w:rsidR="00C95195" w:rsidRPr="00E402C4" w:rsidRDefault="00F02E64" w:rsidP="00CE559E">
            <w:pPr>
              <w:spacing w:before="60" w:after="60" w:line="280" w:lineRule="exact"/>
              <w:rPr>
                <w:sz w:val="20"/>
                <w:szCs w:val="20"/>
              </w:rPr>
            </w:pPr>
            <w:r w:rsidRPr="00E402C4">
              <w:rPr>
                <w:sz w:val="20"/>
                <w:szCs w:val="20"/>
                <w:rtl/>
                <w:lang w:bidi="ar-EG"/>
              </w:rPr>
              <w:t xml:space="preserve">تتفق كندا والولايات المتحدة الأمريكية على أن </w:t>
            </w:r>
            <w:r w:rsidR="002D6DFF" w:rsidRPr="00E402C4">
              <w:rPr>
                <w:sz w:val="20"/>
                <w:szCs w:val="20"/>
                <w:rtl/>
                <w:lang w:bidi="ar-EG"/>
              </w:rPr>
              <w:t>ال</w:t>
            </w:r>
            <w:r w:rsidRPr="00E402C4">
              <w:rPr>
                <w:sz w:val="20"/>
                <w:szCs w:val="20"/>
                <w:rtl/>
                <w:lang w:bidi="ar-EG"/>
              </w:rPr>
              <w:t xml:space="preserve">جوانب </w:t>
            </w:r>
            <w:r w:rsidR="002D6DFF" w:rsidRPr="00E402C4">
              <w:rPr>
                <w:sz w:val="20"/>
                <w:szCs w:val="20"/>
                <w:rtl/>
                <w:lang w:bidi="ar-EG"/>
              </w:rPr>
              <w:t>العملية الجيدة ل</w:t>
            </w:r>
            <w:r w:rsidRPr="00E402C4">
              <w:rPr>
                <w:sz w:val="20"/>
                <w:szCs w:val="20"/>
                <w:rtl/>
                <w:lang w:bidi="ar-EG"/>
              </w:rPr>
              <w:t>مقرر المجلس 482 ينبغي ألا تعدَّل أو تخضع للدراسة</w:t>
            </w:r>
            <w:r w:rsidR="00E71D7E">
              <w:rPr>
                <w:sz w:val="20"/>
                <w:szCs w:val="20"/>
                <w:lang w:bidi="ar-EG"/>
              </w:rPr>
              <w:t>.</w:t>
            </w:r>
          </w:p>
        </w:tc>
      </w:tr>
      <w:tr w:rsidR="00C95195" w:rsidRPr="00E402C4" w14:paraId="0FE2B27A" w14:textId="77777777" w:rsidTr="00792684">
        <w:trPr>
          <w:cantSplit/>
        </w:trPr>
        <w:tc>
          <w:tcPr>
            <w:tcW w:w="1165" w:type="dxa"/>
          </w:tcPr>
          <w:p w14:paraId="619B0792" w14:textId="39FE954C" w:rsidR="00C95195" w:rsidRPr="00E402C4" w:rsidRDefault="000549B1" w:rsidP="00CE559E">
            <w:pPr>
              <w:spacing w:before="60" w:after="60" w:line="280" w:lineRule="exact"/>
              <w:rPr>
                <w:sz w:val="20"/>
                <w:szCs w:val="20"/>
              </w:rPr>
            </w:pPr>
            <w:r w:rsidRPr="00E402C4">
              <w:rPr>
                <w:sz w:val="20"/>
                <w:szCs w:val="20"/>
              </w:rPr>
              <w:t>1.8</w:t>
            </w:r>
          </w:p>
        </w:tc>
        <w:tc>
          <w:tcPr>
            <w:tcW w:w="6840" w:type="dxa"/>
          </w:tcPr>
          <w:p w14:paraId="137E68DF" w14:textId="536C35FE" w:rsidR="00C95195" w:rsidRPr="00E402C4" w:rsidRDefault="001918C9" w:rsidP="00CE559E">
            <w:pPr>
              <w:spacing w:before="60" w:after="60" w:line="280" w:lineRule="exact"/>
              <w:rPr>
                <w:sz w:val="20"/>
                <w:szCs w:val="20"/>
              </w:rPr>
            </w:pPr>
            <w:r w:rsidRPr="00E402C4">
              <w:rPr>
                <w:sz w:val="20"/>
                <w:szCs w:val="20"/>
                <w:rtl/>
              </w:rPr>
              <w:t>يمكن لفريق خبراء تابع للمجلس دراسة ما إذا كان يمكن أيضاً استخدام رسوم معالجة بطاقات التبليغ عن الشبكات الساتلية لتعويض التكاليف التي يتحملها الاتحاد لمساعدة جميع البلدان، ولا سيما البلدان النامية، على استخدام السواتل في تعزيز التوصيلية الشاملة والتحول الرقمي المستدام، بما في ذلك تطوير أدوات رقمية أو برمجيات لهذا الغرض.</w:t>
            </w:r>
          </w:p>
        </w:tc>
        <w:tc>
          <w:tcPr>
            <w:tcW w:w="4945" w:type="dxa"/>
            <w:shd w:val="clear" w:color="auto" w:fill="auto"/>
          </w:tcPr>
          <w:p w14:paraId="7389FE03" w14:textId="1D7910A1" w:rsidR="00C95195" w:rsidRPr="00E71D7E" w:rsidRDefault="00033B69" w:rsidP="00CE559E">
            <w:pPr>
              <w:spacing w:before="60" w:after="60" w:line="280" w:lineRule="exact"/>
              <w:rPr>
                <w:spacing w:val="-2"/>
                <w:sz w:val="20"/>
                <w:szCs w:val="20"/>
              </w:rPr>
            </w:pPr>
            <w:r w:rsidRPr="00E71D7E">
              <w:rPr>
                <w:spacing w:val="-2"/>
                <w:sz w:val="20"/>
                <w:szCs w:val="20"/>
                <w:rtl/>
              </w:rPr>
              <w:t>لطالما أكدت كندا والولايات المتحدة الأمريكية أن استرداد تكاليف معالجة بطاقات التبليغ عن الشبكات الساتلية ينبغي أن يركز على استرداد التكاليف الفعلية لمعالجة موظفي مكتب الاتصالات الراديوية لبطاقات التبليغ هذه. وينبغي أن يكون الدعم الذي يقدمه المكتب للبلدان جزءاً من السير الطبيعي لأعمال المكتب وينبغي أن تشمله الميزانية الإجمالية لقطاع الاتصالات الراديوية، وألا يكون جزءاً من استرداد التكاليف. ينبغي أ</w:t>
            </w:r>
            <w:r w:rsidR="00690BE1" w:rsidRPr="00E71D7E">
              <w:rPr>
                <w:spacing w:val="-2"/>
                <w:sz w:val="20"/>
                <w:szCs w:val="20"/>
                <w:rtl/>
              </w:rPr>
              <w:t>لا</w:t>
            </w:r>
            <w:r w:rsidRPr="00E71D7E">
              <w:rPr>
                <w:spacing w:val="-2"/>
                <w:sz w:val="20"/>
                <w:szCs w:val="20"/>
                <w:rtl/>
              </w:rPr>
              <w:t xml:space="preserve"> </w:t>
            </w:r>
            <w:r w:rsidR="00690BE1" w:rsidRPr="00E71D7E">
              <w:rPr>
                <w:spacing w:val="-2"/>
                <w:sz w:val="20"/>
                <w:szCs w:val="20"/>
                <w:rtl/>
              </w:rPr>
              <w:t>ي</w:t>
            </w:r>
            <w:r w:rsidRPr="00E71D7E">
              <w:rPr>
                <w:spacing w:val="-2"/>
                <w:sz w:val="20"/>
                <w:szCs w:val="20"/>
                <w:rtl/>
              </w:rPr>
              <w:t>كون هذ</w:t>
            </w:r>
            <w:r w:rsidR="00690BE1" w:rsidRPr="00E71D7E">
              <w:rPr>
                <w:spacing w:val="-2"/>
                <w:sz w:val="20"/>
                <w:szCs w:val="20"/>
                <w:rtl/>
              </w:rPr>
              <w:t>ا</w:t>
            </w:r>
            <w:r w:rsidRPr="00E71D7E">
              <w:rPr>
                <w:spacing w:val="-2"/>
                <w:sz w:val="20"/>
                <w:szCs w:val="20"/>
                <w:rtl/>
              </w:rPr>
              <w:t xml:space="preserve"> </w:t>
            </w:r>
            <w:r w:rsidR="00690BE1" w:rsidRPr="00E71D7E">
              <w:rPr>
                <w:spacing w:val="-2"/>
                <w:sz w:val="20"/>
                <w:szCs w:val="20"/>
                <w:rtl/>
              </w:rPr>
              <w:t>الموضوع</w:t>
            </w:r>
            <w:r w:rsidRPr="00E71D7E">
              <w:rPr>
                <w:spacing w:val="-2"/>
                <w:sz w:val="20"/>
                <w:szCs w:val="20"/>
                <w:rtl/>
              </w:rPr>
              <w:t xml:space="preserve"> جزء</w:t>
            </w:r>
            <w:r w:rsidR="00690BE1" w:rsidRPr="00E71D7E">
              <w:rPr>
                <w:spacing w:val="-2"/>
                <w:sz w:val="20"/>
                <w:szCs w:val="20"/>
                <w:rtl/>
              </w:rPr>
              <w:t>اً</w:t>
            </w:r>
            <w:r w:rsidRPr="00E71D7E">
              <w:rPr>
                <w:spacing w:val="-2"/>
                <w:sz w:val="20"/>
                <w:szCs w:val="20"/>
                <w:rtl/>
              </w:rPr>
              <w:t xml:space="preserve"> من الدراسة</w:t>
            </w:r>
            <w:r w:rsidR="00486DD1" w:rsidRPr="00E71D7E">
              <w:rPr>
                <w:spacing w:val="-2"/>
                <w:sz w:val="20"/>
                <w:szCs w:val="20"/>
                <w:rtl/>
              </w:rPr>
              <w:t>.</w:t>
            </w:r>
          </w:p>
        </w:tc>
      </w:tr>
      <w:tr w:rsidR="00C95195" w:rsidRPr="00E402C4" w14:paraId="51F4CAF4" w14:textId="77777777" w:rsidTr="00792684">
        <w:trPr>
          <w:cantSplit/>
        </w:trPr>
        <w:tc>
          <w:tcPr>
            <w:tcW w:w="1165" w:type="dxa"/>
          </w:tcPr>
          <w:p w14:paraId="06E5AFB1" w14:textId="4AB735E2" w:rsidR="00C95195" w:rsidRPr="00E402C4" w:rsidRDefault="000549B1" w:rsidP="00CE559E">
            <w:pPr>
              <w:spacing w:before="60" w:after="60" w:line="280" w:lineRule="exact"/>
              <w:rPr>
                <w:sz w:val="20"/>
                <w:szCs w:val="20"/>
              </w:rPr>
            </w:pPr>
            <w:r w:rsidRPr="00E402C4">
              <w:rPr>
                <w:sz w:val="20"/>
                <w:szCs w:val="20"/>
              </w:rPr>
              <w:t>1.9</w:t>
            </w:r>
          </w:p>
        </w:tc>
        <w:tc>
          <w:tcPr>
            <w:tcW w:w="6840" w:type="dxa"/>
          </w:tcPr>
          <w:p w14:paraId="3491C3B6" w14:textId="0EBC7751" w:rsidR="00C95195" w:rsidRPr="00E402C4" w:rsidRDefault="00BD31F2" w:rsidP="00CE559E">
            <w:pPr>
              <w:spacing w:before="60" w:after="60" w:line="280" w:lineRule="exact"/>
              <w:rPr>
                <w:sz w:val="20"/>
                <w:szCs w:val="20"/>
              </w:rPr>
            </w:pPr>
            <w:r w:rsidRPr="00E402C4">
              <w:rPr>
                <w:sz w:val="20"/>
                <w:szCs w:val="20"/>
                <w:rtl/>
              </w:rPr>
              <w:t xml:space="preserve">خلص الفريق الاستشاري للاتصالات الراديوية في اجتماعه لعام 2023 إلى أن مكتب الاتصالات الراديوية يفتقر إلى الموارد المخصصة الكافية اللازمة لتحديث وعصرنة تطبيقات برمجيات المكتب المستخدمة في معالجة بطاقات التبليغ عن الأنظمة الساتلية وأنظمة الأرض. </w:t>
            </w:r>
            <w:r w:rsidR="00DC3DF9" w:rsidRPr="00E402C4">
              <w:rPr>
                <w:sz w:val="20"/>
                <w:szCs w:val="20"/>
                <w:rtl/>
              </w:rPr>
              <w:t>....</w:t>
            </w:r>
            <w:r w:rsidRPr="00E402C4">
              <w:rPr>
                <w:sz w:val="20"/>
                <w:szCs w:val="20"/>
                <w:rtl/>
              </w:rPr>
              <w:t xml:space="preserve"> ويمكن أيضاً تكليف فريق خبراء تابع للمجلس بدراسة الآليات الممكنة لمعالجة هذا الافتقار للموارد.</w:t>
            </w:r>
          </w:p>
        </w:tc>
        <w:tc>
          <w:tcPr>
            <w:tcW w:w="4945" w:type="dxa"/>
          </w:tcPr>
          <w:p w14:paraId="16369804" w14:textId="6BE88FCF" w:rsidR="00486DD1" w:rsidRPr="00E402C4" w:rsidRDefault="00690BE1" w:rsidP="00CE559E">
            <w:pPr>
              <w:spacing w:before="60" w:after="60" w:line="280" w:lineRule="exact"/>
              <w:rPr>
                <w:sz w:val="20"/>
                <w:szCs w:val="20"/>
                <w:rtl/>
                <w:lang w:bidi="ar-EG"/>
              </w:rPr>
            </w:pPr>
            <w:r w:rsidRPr="00E402C4">
              <w:rPr>
                <w:sz w:val="20"/>
                <w:szCs w:val="20"/>
                <w:rtl/>
                <w:lang w:bidi="ar-EG"/>
              </w:rPr>
              <w:t>تتفق كندا والولايات المتحدة الأمريكية على أن بإمكان فريق خبراء تابع للمجلس ومعني باسترداد تكاليف معالجة بطاقات التبليغ عن الشبكات الساتلية أن ينظر في الموارد المخصصة اللازمة ل</w:t>
            </w:r>
            <w:r w:rsidR="00EC3EE3" w:rsidRPr="00E402C4">
              <w:rPr>
                <w:sz w:val="20"/>
                <w:szCs w:val="20"/>
                <w:rtl/>
                <w:lang w:bidi="ar-EG"/>
              </w:rPr>
              <w:t>لقيام باستمرار ب</w:t>
            </w:r>
            <w:r w:rsidRPr="00E402C4">
              <w:rPr>
                <w:sz w:val="20"/>
                <w:szCs w:val="20"/>
                <w:rtl/>
                <w:lang w:bidi="ar-EG"/>
              </w:rPr>
              <w:t xml:space="preserve">تحديث وعصرنة تطبيقات برمجيات المكتب المستخدمة في </w:t>
            </w:r>
            <w:r w:rsidR="00EC3EE3" w:rsidRPr="00E402C4">
              <w:rPr>
                <w:sz w:val="20"/>
                <w:szCs w:val="20"/>
                <w:rtl/>
                <w:lang w:bidi="ar-EG"/>
              </w:rPr>
              <w:t xml:space="preserve">معالجة </w:t>
            </w:r>
            <w:r w:rsidRPr="00E402C4">
              <w:rPr>
                <w:sz w:val="20"/>
                <w:szCs w:val="20"/>
                <w:rtl/>
                <w:lang w:bidi="ar-EG"/>
              </w:rPr>
              <w:t xml:space="preserve">بطاقات التبليغ </w:t>
            </w:r>
            <w:r w:rsidR="00EC3EE3" w:rsidRPr="00E402C4">
              <w:rPr>
                <w:sz w:val="20"/>
                <w:szCs w:val="20"/>
                <w:rtl/>
                <w:lang w:bidi="ar-EG"/>
              </w:rPr>
              <w:t>عن الشبكات الساتلية</w:t>
            </w:r>
            <w:r w:rsidRPr="00E402C4">
              <w:rPr>
                <w:sz w:val="20"/>
                <w:szCs w:val="20"/>
                <w:rtl/>
                <w:lang w:bidi="ar-EG"/>
              </w:rPr>
              <w:t xml:space="preserve">. ومع ذلك، </w:t>
            </w:r>
            <w:r w:rsidR="00EC3EE3" w:rsidRPr="00E402C4">
              <w:rPr>
                <w:sz w:val="20"/>
                <w:szCs w:val="20"/>
                <w:rtl/>
                <w:lang w:bidi="ar-EG"/>
              </w:rPr>
              <w:t>و</w:t>
            </w:r>
            <w:r w:rsidRPr="00E402C4">
              <w:rPr>
                <w:sz w:val="20"/>
                <w:szCs w:val="20"/>
                <w:rtl/>
                <w:lang w:bidi="ar-EG"/>
              </w:rPr>
              <w:t>كما ذ</w:t>
            </w:r>
            <w:r w:rsidR="00EC3EE3" w:rsidRPr="00E402C4">
              <w:rPr>
                <w:sz w:val="20"/>
                <w:szCs w:val="20"/>
                <w:rtl/>
                <w:lang w:bidi="ar-EG"/>
              </w:rPr>
              <w:t>ُ</w:t>
            </w:r>
            <w:r w:rsidRPr="00E402C4">
              <w:rPr>
                <w:sz w:val="20"/>
                <w:szCs w:val="20"/>
                <w:rtl/>
                <w:lang w:bidi="ar-EG"/>
              </w:rPr>
              <w:t xml:space="preserve">كر أعلاه، </w:t>
            </w:r>
            <w:r w:rsidR="00EC3EE3" w:rsidRPr="00E402C4">
              <w:rPr>
                <w:sz w:val="20"/>
                <w:szCs w:val="20"/>
                <w:rtl/>
                <w:lang w:bidi="ar-EG"/>
              </w:rPr>
              <w:t>فإن</w:t>
            </w:r>
            <w:r w:rsidRPr="00E402C4">
              <w:rPr>
                <w:sz w:val="20"/>
                <w:szCs w:val="20"/>
                <w:rtl/>
                <w:lang w:bidi="ar-EG"/>
              </w:rPr>
              <w:t xml:space="preserve"> استرداد </w:t>
            </w:r>
            <w:r w:rsidR="00EC3EE3" w:rsidRPr="00E402C4">
              <w:rPr>
                <w:sz w:val="20"/>
                <w:szCs w:val="20"/>
                <w:rtl/>
                <w:lang w:bidi="ar-EG"/>
              </w:rPr>
              <w:t xml:space="preserve">تكاليف معالجة بطاقات التبليغ عن الشبكات الساتلية يقتصر </w:t>
            </w:r>
            <w:r w:rsidRPr="00E402C4">
              <w:rPr>
                <w:sz w:val="20"/>
                <w:szCs w:val="20"/>
                <w:rtl/>
                <w:lang w:bidi="ar-EG"/>
              </w:rPr>
              <w:t xml:space="preserve">على استرداد التكاليف </w:t>
            </w:r>
            <w:r w:rsidR="00EC3EE3" w:rsidRPr="00E402C4">
              <w:rPr>
                <w:sz w:val="20"/>
                <w:szCs w:val="20"/>
                <w:rtl/>
                <w:lang w:bidi="ar-EG"/>
              </w:rPr>
              <w:t>المتعلقة</w:t>
            </w:r>
            <w:r w:rsidRPr="00E402C4">
              <w:rPr>
                <w:sz w:val="20"/>
                <w:szCs w:val="20"/>
                <w:rtl/>
                <w:lang w:bidi="ar-EG"/>
              </w:rPr>
              <w:t xml:space="preserve"> بمعالجة </w:t>
            </w:r>
            <w:r w:rsidR="00EC3EE3" w:rsidRPr="00E402C4">
              <w:rPr>
                <w:sz w:val="20"/>
                <w:szCs w:val="20"/>
                <w:rtl/>
                <w:lang w:bidi="ar-EG"/>
              </w:rPr>
              <w:t>المكتب ل</w:t>
            </w:r>
            <w:r w:rsidRPr="00E402C4">
              <w:rPr>
                <w:sz w:val="20"/>
                <w:szCs w:val="20"/>
                <w:rtl/>
                <w:lang w:bidi="ar-EG"/>
              </w:rPr>
              <w:t xml:space="preserve">بطاقات التبليغ </w:t>
            </w:r>
            <w:r w:rsidR="00EC3EE3" w:rsidRPr="00E402C4">
              <w:rPr>
                <w:sz w:val="20"/>
                <w:szCs w:val="20"/>
                <w:rtl/>
                <w:lang w:bidi="ar-EG"/>
              </w:rPr>
              <w:t>عن الشبكات الساتلية</w:t>
            </w:r>
            <w:r w:rsidRPr="00E402C4">
              <w:rPr>
                <w:sz w:val="20"/>
                <w:szCs w:val="20"/>
                <w:rtl/>
                <w:lang w:bidi="ar-EG"/>
              </w:rPr>
              <w:t xml:space="preserve">. </w:t>
            </w:r>
            <w:r w:rsidR="00EC3EE3" w:rsidRPr="00E402C4">
              <w:rPr>
                <w:sz w:val="20"/>
                <w:szCs w:val="20"/>
                <w:rtl/>
                <w:lang w:bidi="ar-EG"/>
              </w:rPr>
              <w:t>و</w:t>
            </w:r>
            <w:r w:rsidRPr="00E402C4">
              <w:rPr>
                <w:sz w:val="20"/>
                <w:szCs w:val="20"/>
                <w:rtl/>
                <w:lang w:bidi="ar-EG"/>
              </w:rPr>
              <w:t xml:space="preserve">لذلك، ينبغي </w:t>
            </w:r>
            <w:r w:rsidR="00EC3EE3" w:rsidRPr="00E402C4">
              <w:rPr>
                <w:sz w:val="20"/>
                <w:szCs w:val="20"/>
                <w:rtl/>
                <w:lang w:bidi="ar-EG"/>
              </w:rPr>
              <w:t>ألا تُستخدم هذه الموارد</w:t>
            </w:r>
            <w:r w:rsidRPr="00E402C4">
              <w:rPr>
                <w:sz w:val="20"/>
                <w:szCs w:val="20"/>
                <w:rtl/>
                <w:lang w:bidi="ar-EG"/>
              </w:rPr>
              <w:t xml:space="preserve"> لتمويل تطوير أدوات برمجية لمعالجة </w:t>
            </w:r>
            <w:r w:rsidR="00EC3EE3" w:rsidRPr="00E402C4">
              <w:rPr>
                <w:sz w:val="20"/>
                <w:szCs w:val="20"/>
                <w:rtl/>
                <w:lang w:bidi="ar-EG"/>
              </w:rPr>
              <w:t xml:space="preserve">بطاقات التبليغ عن أنظمة الأرض </w:t>
            </w:r>
            <w:r w:rsidRPr="00E402C4">
              <w:rPr>
                <w:sz w:val="20"/>
                <w:szCs w:val="20"/>
                <w:rtl/>
                <w:lang w:bidi="ar-EG"/>
              </w:rPr>
              <w:t xml:space="preserve">وينبغي </w:t>
            </w:r>
            <w:r w:rsidR="00EC3EE3" w:rsidRPr="00E402C4">
              <w:rPr>
                <w:sz w:val="20"/>
                <w:szCs w:val="20"/>
                <w:rtl/>
                <w:lang w:bidi="ar-EG"/>
              </w:rPr>
              <w:t>ألا يخضع هذا الموضوع</w:t>
            </w:r>
            <w:r w:rsidRPr="00E402C4">
              <w:rPr>
                <w:sz w:val="20"/>
                <w:szCs w:val="20"/>
                <w:rtl/>
                <w:lang w:bidi="ar-EG"/>
              </w:rPr>
              <w:t xml:space="preserve"> لمزيد من الدراسة</w:t>
            </w:r>
            <w:r w:rsidRPr="00E402C4">
              <w:rPr>
                <w:rFonts w:ascii="Arial" w:hAnsi="Arial" w:cs="Arial" w:hint="cs"/>
                <w:sz w:val="20"/>
                <w:szCs w:val="20"/>
                <w:rtl/>
                <w:lang w:bidi="ar-EG"/>
              </w:rPr>
              <w:t>‬</w:t>
            </w:r>
            <w:r w:rsidR="00361908" w:rsidRPr="00E402C4">
              <w:rPr>
                <w:sz w:val="20"/>
                <w:szCs w:val="20"/>
                <w:rtl/>
                <w:lang w:bidi="ar-EG"/>
              </w:rPr>
              <w:t>.</w:t>
            </w:r>
          </w:p>
          <w:p w14:paraId="4CAE3359" w14:textId="7051EA41" w:rsidR="00C95195" w:rsidRPr="00E402C4" w:rsidRDefault="00361908" w:rsidP="00CE559E">
            <w:pPr>
              <w:spacing w:before="60" w:after="60" w:line="280" w:lineRule="exact"/>
              <w:rPr>
                <w:sz w:val="20"/>
                <w:szCs w:val="20"/>
                <w:lang w:bidi="ar-EG"/>
              </w:rPr>
            </w:pPr>
            <w:r w:rsidRPr="00E402C4">
              <w:rPr>
                <w:sz w:val="20"/>
                <w:szCs w:val="20"/>
                <w:rtl/>
                <w:lang w:bidi="ar-EG"/>
              </w:rPr>
              <w:t xml:space="preserve">انظر القسمين </w:t>
            </w:r>
            <w:r w:rsidRPr="00E402C4">
              <w:rPr>
                <w:sz w:val="20"/>
                <w:szCs w:val="20"/>
                <w:lang w:bidi="ar-EG"/>
              </w:rPr>
              <w:t>1.6</w:t>
            </w:r>
            <w:r w:rsidRPr="00E402C4">
              <w:rPr>
                <w:sz w:val="20"/>
                <w:szCs w:val="20"/>
                <w:rtl/>
                <w:lang w:bidi="ar-EG"/>
              </w:rPr>
              <w:t xml:space="preserve"> و</w:t>
            </w:r>
            <w:r w:rsidRPr="00E402C4">
              <w:rPr>
                <w:sz w:val="20"/>
                <w:szCs w:val="20"/>
                <w:lang w:bidi="ar-EG"/>
              </w:rPr>
              <w:t>3.6</w:t>
            </w:r>
            <w:r w:rsidRPr="00E402C4">
              <w:rPr>
                <w:sz w:val="20"/>
                <w:szCs w:val="20"/>
                <w:rtl/>
                <w:lang w:bidi="ar-EG"/>
              </w:rPr>
              <w:t>.</w:t>
            </w:r>
          </w:p>
        </w:tc>
      </w:tr>
    </w:tbl>
    <w:p w14:paraId="033FA027" w14:textId="0852DFE9" w:rsidR="004D1B73" w:rsidRDefault="004D1B73" w:rsidP="00E61BE8">
      <w:pPr>
        <w:rPr>
          <w:rtl/>
          <w:lang w:bidi="ar-EG"/>
        </w:rPr>
      </w:pPr>
    </w:p>
    <w:p w14:paraId="6E64A6AA" w14:textId="77777777" w:rsidR="004D1B73" w:rsidRDefault="004D1B73">
      <w:pPr>
        <w:tabs>
          <w:tab w:val="clear" w:pos="794"/>
        </w:tabs>
        <w:bidi w:val="0"/>
        <w:spacing w:before="0" w:after="160" w:line="259" w:lineRule="auto"/>
        <w:jc w:val="left"/>
        <w:rPr>
          <w:rtl/>
          <w:lang w:bidi="ar-EG"/>
        </w:rPr>
      </w:pPr>
      <w:r>
        <w:rPr>
          <w:rtl/>
          <w:lang w:bidi="ar-EG"/>
        </w:rPr>
        <w:br w:type="page"/>
      </w:r>
    </w:p>
    <w:p w14:paraId="022CB61B" w14:textId="77777777" w:rsidR="00586063" w:rsidRDefault="00586063" w:rsidP="00E61BE8">
      <w:pPr>
        <w:rPr>
          <w:rtl/>
          <w:lang w:bidi="ar-EG"/>
        </w:rPr>
      </w:pPr>
    </w:p>
    <w:tbl>
      <w:tblPr>
        <w:tblStyle w:val="TableGrid"/>
        <w:bidiVisual/>
        <w:tblW w:w="5000" w:type="pct"/>
        <w:tblLook w:val="04A0" w:firstRow="1" w:lastRow="0" w:firstColumn="1" w:lastColumn="0" w:noHBand="0" w:noVBand="1"/>
      </w:tblPr>
      <w:tblGrid>
        <w:gridCol w:w="1362"/>
        <w:gridCol w:w="7252"/>
        <w:gridCol w:w="6514"/>
      </w:tblGrid>
      <w:tr w:rsidR="00586063" w14:paraId="3DD5DE0A" w14:textId="77777777" w:rsidTr="00586063">
        <w:trPr>
          <w:cantSplit/>
        </w:trPr>
        <w:tc>
          <w:tcPr>
            <w:tcW w:w="5000" w:type="pct"/>
            <w:gridSpan w:val="3"/>
          </w:tcPr>
          <w:p w14:paraId="5186DCEA" w14:textId="1F80C138" w:rsidR="00586063" w:rsidRDefault="00586063" w:rsidP="0062094B">
            <w:pPr>
              <w:rPr>
                <w:rtl/>
                <w:lang w:bidi="ar-EG"/>
              </w:rPr>
            </w:pPr>
            <w:r>
              <w:rPr>
                <w:rFonts w:hint="cs"/>
                <w:rtl/>
              </w:rPr>
              <w:t xml:space="preserve">الملحق </w:t>
            </w:r>
            <w:r>
              <w:t>2</w:t>
            </w:r>
          </w:p>
        </w:tc>
      </w:tr>
      <w:tr w:rsidR="00586063" w14:paraId="414AC848" w14:textId="77777777" w:rsidTr="004D1B73">
        <w:trPr>
          <w:cantSplit/>
        </w:trPr>
        <w:tc>
          <w:tcPr>
            <w:tcW w:w="450" w:type="pct"/>
          </w:tcPr>
          <w:p w14:paraId="50B40817" w14:textId="77777777" w:rsidR="00586063" w:rsidRDefault="00586063" w:rsidP="004D1B73">
            <w:pPr>
              <w:spacing w:after="120"/>
            </w:pPr>
          </w:p>
        </w:tc>
        <w:tc>
          <w:tcPr>
            <w:tcW w:w="2397" w:type="pct"/>
          </w:tcPr>
          <w:p w14:paraId="25A727C2" w14:textId="0C5953F8" w:rsidR="00586063" w:rsidRPr="006A67B6" w:rsidRDefault="00361908" w:rsidP="004D1B73">
            <w:pPr>
              <w:spacing w:after="120"/>
            </w:pPr>
            <w:r>
              <w:rPr>
                <w:rFonts w:hint="cs"/>
                <w:rtl/>
              </w:rPr>
              <w:t>مشروع الاختصاصات</w:t>
            </w:r>
          </w:p>
        </w:tc>
        <w:tc>
          <w:tcPr>
            <w:tcW w:w="2153" w:type="pct"/>
          </w:tcPr>
          <w:p w14:paraId="18AD094F" w14:textId="186DAEFE" w:rsidR="00586063" w:rsidRDefault="00361908" w:rsidP="004D1B73">
            <w:pPr>
              <w:spacing w:after="120"/>
            </w:pPr>
            <w:r>
              <w:rPr>
                <w:rFonts w:hint="cs"/>
                <w:rtl/>
              </w:rPr>
              <w:t xml:space="preserve">استناداً إلى الوثيقتين </w:t>
            </w:r>
            <w:r>
              <w:t>C23/19</w:t>
            </w:r>
            <w:r>
              <w:rPr>
                <w:rFonts w:hint="cs"/>
                <w:rtl/>
              </w:rPr>
              <w:t xml:space="preserve"> و</w:t>
            </w:r>
            <w:r>
              <w:t>C23/16</w:t>
            </w:r>
            <w:r>
              <w:rPr>
                <w:rFonts w:hint="cs"/>
                <w:rtl/>
              </w:rPr>
              <w:t xml:space="preserve"> والمساهمات المقدمة إلى المجلس ومناقشات المجلس، ينبغي أن تتضمن الاختصاصات الصادرة/النهائية قائمة بقضايا محددة ليدرسها فريق الخبراء التابع للمجلس.</w:t>
            </w:r>
          </w:p>
        </w:tc>
      </w:tr>
    </w:tbl>
    <w:p w14:paraId="3360A26C" w14:textId="77777777" w:rsidR="00486117" w:rsidRPr="00586063" w:rsidRDefault="00486117" w:rsidP="00E61BE8">
      <w:pPr>
        <w:rPr>
          <w:lang w:bidi="ar-EG"/>
        </w:rPr>
      </w:pPr>
    </w:p>
    <w:p w14:paraId="75657865" w14:textId="77777777" w:rsidR="006401D2" w:rsidRDefault="006401D2" w:rsidP="00E61BE8">
      <w:pPr>
        <w:rPr>
          <w:rtl/>
          <w:lang w:bidi="ar-EG"/>
        </w:rPr>
        <w:sectPr w:rsidR="006401D2" w:rsidSect="00766264">
          <w:headerReference w:type="first" r:id="rId15"/>
          <w:pgSz w:w="16840" w:h="11907" w:orient="landscape" w:code="9"/>
          <w:pgMar w:top="1134" w:right="851" w:bottom="851" w:left="851" w:header="709" w:footer="709" w:gutter="0"/>
          <w:cols w:space="708"/>
          <w:docGrid w:linePitch="360"/>
        </w:sectPr>
      </w:pPr>
    </w:p>
    <w:p w14:paraId="18E61B9E" w14:textId="5E79D6A8" w:rsidR="00486117" w:rsidRDefault="006401D2" w:rsidP="009616DF">
      <w:pPr>
        <w:pStyle w:val="AnnexNo"/>
        <w:rPr>
          <w:rtl/>
        </w:rPr>
      </w:pPr>
      <w:bookmarkStart w:id="1" w:name="الملحق2"/>
      <w:r>
        <w:rPr>
          <w:rFonts w:hint="cs"/>
          <w:rtl/>
        </w:rPr>
        <w:lastRenderedPageBreak/>
        <w:t xml:space="preserve">الملحق </w:t>
      </w:r>
      <w:r>
        <w:t>2</w:t>
      </w:r>
    </w:p>
    <w:bookmarkEnd w:id="1"/>
    <w:p w14:paraId="71FA4DA3" w14:textId="007B4B2D" w:rsidR="00486117" w:rsidRPr="00011F71" w:rsidRDefault="009616DF" w:rsidP="00011F71">
      <w:pPr>
        <w:pStyle w:val="Annextitle"/>
      </w:pPr>
      <w:r w:rsidRPr="00011F71">
        <w:rPr>
          <w:rFonts w:hint="cs"/>
          <w:rtl/>
        </w:rPr>
        <w:t>مشروع</w:t>
      </w:r>
      <w:r w:rsidRPr="00011F71">
        <w:rPr>
          <w:rtl/>
        </w:rPr>
        <w:t xml:space="preserve"> اختصاصات فريق الخبراء التابع للمجلس والمعني بالمقرر </w:t>
      </w:r>
      <w:r w:rsidRPr="00011F71">
        <w:t>482</w:t>
      </w:r>
    </w:p>
    <w:p w14:paraId="12512759" w14:textId="77777777" w:rsidR="000541C8" w:rsidRPr="000541C8" w:rsidRDefault="000541C8" w:rsidP="009F5365">
      <w:pPr>
        <w:rPr>
          <w:rtl/>
        </w:rPr>
      </w:pPr>
      <w:r w:rsidRPr="000541C8">
        <w:rPr>
          <w:rFonts w:hint="cs"/>
          <w:rtl/>
        </w:rPr>
        <w:t>فيما يلي اختصاصات فريق الخبراء التابع للمجلس والمعني بالمقرر 482:</w:t>
      </w:r>
    </w:p>
    <w:p w14:paraId="4E5F3BED" w14:textId="1CB49933" w:rsidR="000541C8" w:rsidRPr="000541C8" w:rsidRDefault="000541C8" w:rsidP="000541C8">
      <w:pPr>
        <w:rPr>
          <w:rtl/>
        </w:rPr>
      </w:pPr>
      <w:r w:rsidRPr="000541C8">
        <w:rPr>
          <w:rFonts w:hint="cs"/>
          <w:rtl/>
        </w:rPr>
        <w:t>1</w:t>
      </w:r>
      <w:r w:rsidRPr="000541C8">
        <w:rPr>
          <w:rtl/>
        </w:rPr>
        <w:tab/>
      </w:r>
      <w:r w:rsidR="00A32170">
        <w:rPr>
          <w:rFonts w:hint="cs"/>
          <w:rtl/>
        </w:rPr>
        <w:t>يدرس</w:t>
      </w:r>
      <w:r w:rsidRPr="000541C8">
        <w:rPr>
          <w:rFonts w:hint="cs"/>
          <w:rtl/>
        </w:rPr>
        <w:t xml:space="preserve"> فريق الخبراء التابع للمجلس والمعني </w:t>
      </w:r>
      <w:r w:rsidR="00A32170">
        <w:rPr>
          <w:rFonts w:hint="cs"/>
          <w:rtl/>
        </w:rPr>
        <w:t>بالمقرر</w:t>
      </w:r>
      <w:r w:rsidRPr="000541C8">
        <w:rPr>
          <w:rFonts w:hint="cs"/>
          <w:rtl/>
        </w:rPr>
        <w:t xml:space="preserve"> 482 </w:t>
      </w:r>
      <w:r w:rsidR="00A32170">
        <w:rPr>
          <w:rFonts w:hint="cs"/>
          <w:rtl/>
        </w:rPr>
        <w:t>البنود</w:t>
      </w:r>
      <w:r w:rsidRPr="000541C8">
        <w:rPr>
          <w:rFonts w:hint="cs"/>
          <w:rtl/>
        </w:rPr>
        <w:t xml:space="preserve"> الواردة </w:t>
      </w:r>
      <w:r w:rsidR="00A32170">
        <w:rPr>
          <w:rFonts w:hint="cs"/>
          <w:rtl/>
        </w:rPr>
        <w:t>أدناه (</w:t>
      </w:r>
      <w:r w:rsidR="001A7B44">
        <w:rPr>
          <w:rFonts w:hint="cs"/>
          <w:rtl/>
        </w:rPr>
        <w:t>المنبثقة عن</w:t>
      </w:r>
      <w:r w:rsidRPr="000541C8">
        <w:rPr>
          <w:rFonts w:hint="cs"/>
          <w:rtl/>
        </w:rPr>
        <w:t xml:space="preserve"> الملحق 1 بالوثيقة</w:t>
      </w:r>
      <w:r w:rsidR="009F5365">
        <w:rPr>
          <w:rFonts w:hint="eastAsia"/>
          <w:rtl/>
        </w:rPr>
        <w:t> </w:t>
      </w:r>
      <w:r w:rsidRPr="000541C8">
        <w:rPr>
          <w:lang w:bidi="ar-EG"/>
        </w:rPr>
        <w:t>C23/19</w:t>
      </w:r>
      <w:r w:rsidR="00A32170">
        <w:rPr>
          <w:rFonts w:hint="cs"/>
          <w:rtl/>
        </w:rPr>
        <w:t>)،</w:t>
      </w:r>
      <w:r w:rsidRPr="000541C8">
        <w:rPr>
          <w:rFonts w:hint="cs"/>
          <w:rtl/>
        </w:rPr>
        <w:t xml:space="preserve"> مع مراعاة المساهمات المقدمة إلى اجتماعاته.</w:t>
      </w:r>
    </w:p>
    <w:p w14:paraId="368ACE96" w14:textId="4C1D2F20" w:rsidR="000541C8" w:rsidRPr="009F5365" w:rsidRDefault="009B42B4" w:rsidP="009F5365">
      <w:pPr>
        <w:pStyle w:val="enumlev1"/>
        <w:rPr>
          <w:rtl/>
        </w:rPr>
      </w:pPr>
      <w:r w:rsidRPr="009F5365">
        <w:rPr>
          <w:rFonts w:hint="cs"/>
          <w:rtl/>
        </w:rPr>
        <w:t>أ )</w:t>
      </w:r>
      <w:r w:rsidRPr="009F5365">
        <w:rPr>
          <w:rtl/>
        </w:rPr>
        <w:tab/>
      </w:r>
      <w:r w:rsidR="001A7B44" w:rsidRPr="009F5365">
        <w:rPr>
          <w:rFonts w:hint="cs"/>
          <w:rtl/>
        </w:rPr>
        <w:t>في حالة بطاقات التبليغ غير المقبولة، دراسة إمكانية فرض جزء من رسوم معالجة بطاقة تبليغ مقبولة مكافئة</w:t>
      </w:r>
      <w:r w:rsidR="001F0DAC" w:rsidRPr="009F5365">
        <w:rPr>
          <w:rFonts w:hint="cs"/>
          <w:rtl/>
        </w:rPr>
        <w:t xml:space="preserve"> في</w:t>
      </w:r>
      <w:r w:rsidR="009F5365">
        <w:rPr>
          <w:rFonts w:hint="eastAsia"/>
          <w:rtl/>
        </w:rPr>
        <w:t> </w:t>
      </w:r>
      <w:r w:rsidR="001F0DAC" w:rsidRPr="009F5365">
        <w:rPr>
          <w:rFonts w:hint="cs"/>
          <w:rtl/>
        </w:rPr>
        <w:t>هذه</w:t>
      </w:r>
      <w:r w:rsidR="009F5365">
        <w:rPr>
          <w:rFonts w:hint="eastAsia"/>
          <w:rtl/>
        </w:rPr>
        <w:t> </w:t>
      </w:r>
      <w:r w:rsidR="001F0DAC" w:rsidRPr="009F5365">
        <w:rPr>
          <w:rFonts w:hint="cs"/>
          <w:rtl/>
        </w:rPr>
        <w:t>الحالات.</w:t>
      </w:r>
    </w:p>
    <w:p w14:paraId="5B87488B" w14:textId="29BA1D0E" w:rsidR="000541C8" w:rsidRPr="009F5365" w:rsidRDefault="009B42B4" w:rsidP="009F5365">
      <w:pPr>
        <w:pStyle w:val="enumlev1"/>
        <w:rPr>
          <w:rtl/>
        </w:rPr>
      </w:pPr>
      <w:r w:rsidRPr="009F5365">
        <w:rPr>
          <w:rFonts w:hint="cs"/>
          <w:rtl/>
        </w:rPr>
        <w:t>ب)</w:t>
      </w:r>
      <w:r w:rsidRPr="009F5365">
        <w:rPr>
          <w:rtl/>
        </w:rPr>
        <w:tab/>
      </w:r>
      <w:r w:rsidR="001F0DAC" w:rsidRPr="009F5365">
        <w:rPr>
          <w:rFonts w:hint="cs"/>
          <w:rtl/>
        </w:rPr>
        <w:t xml:space="preserve">دراسة ما إذا كان يمكن تنفيذ الأفكار المحددة الواردة في الوثيقة </w:t>
      </w:r>
      <w:r w:rsidR="001F0DAC" w:rsidRPr="009F5365">
        <w:t>C23/19</w:t>
      </w:r>
      <w:r w:rsidR="001F0DAC" w:rsidRPr="009F5365">
        <w:rPr>
          <w:rFonts w:hint="cs"/>
          <w:rtl/>
        </w:rPr>
        <w:t xml:space="preserve"> كقيود على بطاقات التبليغ المؤهلة للاستفادة من الإعفاء من الرسوم</w:t>
      </w:r>
      <w:r w:rsidR="000541C8" w:rsidRPr="009F5365">
        <w:rPr>
          <w:rFonts w:hint="cs"/>
          <w:rtl/>
        </w:rPr>
        <w:t>.</w:t>
      </w:r>
    </w:p>
    <w:p w14:paraId="6FF6DB21" w14:textId="38DD0FE1" w:rsidR="000541C8" w:rsidRPr="009F5365" w:rsidRDefault="009B42B4" w:rsidP="009F5365">
      <w:pPr>
        <w:pStyle w:val="enumlev1"/>
        <w:rPr>
          <w:rtl/>
        </w:rPr>
      </w:pPr>
      <w:r w:rsidRPr="009F5365">
        <w:rPr>
          <w:rFonts w:hint="cs"/>
          <w:rtl/>
        </w:rPr>
        <w:t>ج)</w:t>
      </w:r>
      <w:r w:rsidRPr="009F5365">
        <w:rPr>
          <w:rtl/>
        </w:rPr>
        <w:tab/>
      </w:r>
      <w:r w:rsidR="001F0DAC" w:rsidRPr="009F5365">
        <w:rPr>
          <w:rFonts w:hint="cs"/>
          <w:rtl/>
        </w:rPr>
        <w:t>دراسة ما إذا</w:t>
      </w:r>
      <w:r w:rsidRPr="009F5365">
        <w:rPr>
          <w:rtl/>
        </w:rPr>
        <w:t xml:space="preserve"> كان ينبغي دفع رسوم </w:t>
      </w:r>
      <w:r w:rsidRPr="009F5365">
        <w:rPr>
          <w:rFonts w:hint="cs"/>
          <w:rtl/>
        </w:rPr>
        <w:t>محددة</w:t>
      </w:r>
      <w:r w:rsidRPr="009F5365">
        <w:rPr>
          <w:rtl/>
        </w:rPr>
        <w:t xml:space="preserve"> عندما </w:t>
      </w:r>
      <w:r w:rsidRPr="009F5365">
        <w:rPr>
          <w:rFonts w:hint="cs"/>
          <w:rtl/>
        </w:rPr>
        <w:t>تقدم نفس الإدارة</w:t>
      </w:r>
      <w:r w:rsidRPr="009F5365">
        <w:rPr>
          <w:rtl/>
        </w:rPr>
        <w:t xml:space="preserve"> أكثر من </w:t>
      </w:r>
      <w:r w:rsidRPr="009F5365">
        <w:rPr>
          <w:rFonts w:hint="cs"/>
          <w:rtl/>
        </w:rPr>
        <w:t>عدد</w:t>
      </w:r>
      <w:r w:rsidRPr="009F5365">
        <w:rPr>
          <w:rtl/>
        </w:rPr>
        <w:t xml:space="preserve"> معين (يتم تحديده</w:t>
      </w:r>
      <w:r w:rsidRPr="009F5365">
        <w:rPr>
          <w:rFonts w:hint="cs"/>
          <w:rtl/>
        </w:rPr>
        <w:t xml:space="preserve"> لاحقاً</w:t>
      </w:r>
      <w:r w:rsidRPr="009F5365">
        <w:rPr>
          <w:rtl/>
        </w:rPr>
        <w:t xml:space="preserve">) من </w:t>
      </w:r>
      <w:r w:rsidRPr="009F5365">
        <w:rPr>
          <w:rFonts w:hint="cs"/>
          <w:rtl/>
        </w:rPr>
        <w:t>بطاقات التبليغ</w:t>
      </w:r>
      <w:r w:rsidRPr="009F5365">
        <w:rPr>
          <w:rtl/>
        </w:rPr>
        <w:t xml:space="preserve"> </w:t>
      </w:r>
      <w:r w:rsidRPr="009F5365">
        <w:rPr>
          <w:rFonts w:hint="cs"/>
          <w:rtl/>
        </w:rPr>
        <w:t xml:space="preserve">عن </w:t>
      </w:r>
      <w:r w:rsidRPr="009F5365">
        <w:rPr>
          <w:rtl/>
        </w:rPr>
        <w:t>محطات أرضية</w:t>
      </w:r>
      <w:r w:rsidRPr="009F5365">
        <w:rPr>
          <w:rFonts w:hint="cs"/>
          <w:rtl/>
        </w:rPr>
        <w:t xml:space="preserve">. </w:t>
      </w:r>
      <w:r w:rsidR="001F0DAC" w:rsidRPr="009F5365">
        <w:rPr>
          <w:rFonts w:hint="cs"/>
          <w:rtl/>
        </w:rPr>
        <w:t>ستسترشد هذه الدراسة بالمعلومات المقدمة من المكتب.</w:t>
      </w:r>
    </w:p>
    <w:p w14:paraId="6C416AA3" w14:textId="6AC574FE" w:rsidR="000541C8" w:rsidRPr="009F5365" w:rsidRDefault="009B42B4" w:rsidP="009F5365">
      <w:pPr>
        <w:pStyle w:val="enumlev1"/>
        <w:rPr>
          <w:rtl/>
        </w:rPr>
      </w:pPr>
      <w:r w:rsidRPr="009F5365">
        <w:rPr>
          <w:rFonts w:hint="cs"/>
          <w:rtl/>
        </w:rPr>
        <w:t>د )</w:t>
      </w:r>
      <w:r w:rsidRPr="009F5365">
        <w:rPr>
          <w:rtl/>
        </w:rPr>
        <w:tab/>
      </w:r>
      <w:r w:rsidR="001F0DAC" w:rsidRPr="009F5365">
        <w:rPr>
          <w:rFonts w:hint="cs"/>
          <w:rtl/>
        </w:rPr>
        <w:t xml:space="preserve">دراسة تكاليف معالجة طلبات </w:t>
      </w:r>
      <w:r w:rsidR="00FA4628" w:rsidRPr="009F5365">
        <w:rPr>
          <w:rFonts w:hint="cs"/>
          <w:rtl/>
        </w:rPr>
        <w:t>التبليغ المعاد تقديمها.</w:t>
      </w:r>
    </w:p>
    <w:p w14:paraId="71B6A651" w14:textId="214395F8" w:rsidR="009B42B4" w:rsidRPr="009F5365" w:rsidRDefault="009B42B4" w:rsidP="009F5365">
      <w:pPr>
        <w:pStyle w:val="enumlev1"/>
        <w:rPr>
          <w:rtl/>
        </w:rPr>
      </w:pPr>
      <w:r w:rsidRPr="009F5365">
        <w:rPr>
          <w:rFonts w:hint="cs"/>
          <w:rtl/>
        </w:rPr>
        <w:t>هـ )</w:t>
      </w:r>
      <w:r w:rsidRPr="009F5365">
        <w:rPr>
          <w:rtl/>
        </w:rPr>
        <w:tab/>
      </w:r>
      <w:r w:rsidR="00FA4628" w:rsidRPr="009F5365">
        <w:rPr>
          <w:rFonts w:hint="cs"/>
          <w:rtl/>
        </w:rPr>
        <w:t xml:space="preserve">دراسة التكاليف المرتبطة بتنفيذ مكتب الاتصالات الراديوية لأحكام إضافية: القراران 4 و49 والأرقام </w:t>
      </w:r>
      <w:r w:rsidR="00FA4628" w:rsidRPr="009F5365">
        <w:t>32A.11</w:t>
      </w:r>
      <w:r w:rsidR="00FA4628" w:rsidRPr="009F5365">
        <w:rPr>
          <w:rFonts w:hint="cs"/>
          <w:rtl/>
        </w:rPr>
        <w:t xml:space="preserve"> (انظر الحاشية أ)) و</w:t>
      </w:r>
      <w:r w:rsidR="00FA4628" w:rsidRPr="009F5365">
        <w:t>41.11</w:t>
      </w:r>
      <w:r w:rsidR="00FA4628" w:rsidRPr="009F5365">
        <w:rPr>
          <w:rFonts w:hint="cs"/>
          <w:rtl/>
        </w:rPr>
        <w:t xml:space="preserve"> و</w:t>
      </w:r>
      <w:r w:rsidR="00FA4628" w:rsidRPr="009F5365">
        <w:t>47.11</w:t>
      </w:r>
      <w:r w:rsidR="00FA4628" w:rsidRPr="009F5365">
        <w:rPr>
          <w:rFonts w:hint="cs"/>
          <w:rtl/>
        </w:rPr>
        <w:t xml:space="preserve"> و</w:t>
      </w:r>
      <w:r w:rsidR="00FA4628" w:rsidRPr="009F5365">
        <w:t>49.11</w:t>
      </w:r>
      <w:r w:rsidR="00FA4628" w:rsidRPr="009F5365">
        <w:rPr>
          <w:rFonts w:hint="cs"/>
          <w:rtl/>
        </w:rPr>
        <w:t xml:space="preserve"> والقسم الفرعي </w:t>
      </w:r>
      <w:r w:rsidR="00FA4628" w:rsidRPr="009F5365">
        <w:t>IID</w:t>
      </w:r>
      <w:r w:rsidR="00FA4628" w:rsidRPr="009F5365">
        <w:rPr>
          <w:rFonts w:hint="cs"/>
          <w:rtl/>
        </w:rPr>
        <w:t xml:space="preserve"> من المادة 9 والقسمان 1 و2 من المادة 13 والمادة 14. ستسترشد هذه الدراسة بالمعلومات المقدمة من المكتب.</w:t>
      </w:r>
    </w:p>
    <w:p w14:paraId="07176B7D" w14:textId="57C49E4A" w:rsidR="009B42B4" w:rsidRPr="009F5365" w:rsidRDefault="009B42B4" w:rsidP="009F5365">
      <w:pPr>
        <w:pStyle w:val="enumlev1"/>
        <w:rPr>
          <w:rtl/>
        </w:rPr>
      </w:pPr>
      <w:r w:rsidRPr="009F5365">
        <w:rPr>
          <w:rFonts w:hint="cs"/>
          <w:rtl/>
        </w:rPr>
        <w:t>و )</w:t>
      </w:r>
      <w:r w:rsidRPr="009F5365">
        <w:rPr>
          <w:rtl/>
        </w:rPr>
        <w:tab/>
      </w:r>
      <w:r w:rsidR="00FA4628" w:rsidRPr="009F5365">
        <w:rPr>
          <w:rFonts w:hint="cs"/>
          <w:rtl/>
        </w:rPr>
        <w:t xml:space="preserve">دراسة بطاقات التبليغ عن الأنظمة الساتلية غير المستقرة بالنسبة إلى الأرض التي تتضمن أكثر من </w:t>
      </w:r>
      <w:r w:rsidR="00FA4628" w:rsidRPr="009F5365">
        <w:t>75 000</w:t>
      </w:r>
      <w:r w:rsidR="00FA4628" w:rsidRPr="009F5365">
        <w:rPr>
          <w:rFonts w:hint="cs"/>
          <w:rtl/>
        </w:rPr>
        <w:t xml:space="preserve"> وحدة</w:t>
      </w:r>
      <w:r w:rsidRPr="009F5365">
        <w:rPr>
          <w:rFonts w:hint="cs"/>
          <w:rtl/>
        </w:rPr>
        <w:t>.</w:t>
      </w:r>
      <w:r w:rsidR="00FA4628" w:rsidRPr="009F5365">
        <w:rPr>
          <w:rFonts w:hint="cs"/>
          <w:rtl/>
        </w:rPr>
        <w:t xml:space="preserve"> ستسترشد هذه الدراسة بالمعلومات المقدمة من المكتب.</w:t>
      </w:r>
    </w:p>
    <w:p w14:paraId="7BA60420" w14:textId="2C0A207F" w:rsidR="009B42B4" w:rsidRPr="009F5365" w:rsidRDefault="009B42B4" w:rsidP="009F5365">
      <w:pPr>
        <w:pStyle w:val="enumlev1"/>
        <w:rPr>
          <w:rtl/>
        </w:rPr>
      </w:pPr>
      <w:r w:rsidRPr="009F5365">
        <w:rPr>
          <w:rFonts w:hint="cs"/>
          <w:rtl/>
        </w:rPr>
        <w:t>ز )</w:t>
      </w:r>
      <w:r w:rsidRPr="009F5365">
        <w:rPr>
          <w:rtl/>
        </w:rPr>
        <w:tab/>
      </w:r>
      <w:r w:rsidR="00FA4628" w:rsidRPr="009F5365">
        <w:rPr>
          <w:rFonts w:hint="cs"/>
          <w:rtl/>
        </w:rPr>
        <w:t xml:space="preserve">النظر في </w:t>
      </w:r>
      <w:r w:rsidR="00FA4628" w:rsidRPr="009F5365">
        <w:rPr>
          <w:rtl/>
        </w:rPr>
        <w:t xml:space="preserve">إدخال وحدات في الفئتين </w:t>
      </w:r>
      <w:r w:rsidR="00FA4628" w:rsidRPr="009F5365">
        <w:t>A1</w:t>
      </w:r>
      <w:r w:rsidR="00FA4628" w:rsidRPr="009F5365">
        <w:rPr>
          <w:rtl/>
        </w:rPr>
        <w:t xml:space="preserve"> و</w:t>
      </w:r>
      <w:r w:rsidR="00FA4628" w:rsidRPr="009F5365">
        <w:t>N4</w:t>
      </w:r>
      <w:r w:rsidR="00FA4628" w:rsidRPr="009F5365">
        <w:rPr>
          <w:rtl/>
        </w:rPr>
        <w:t>، مع فرض رسم مختلف</w:t>
      </w:r>
      <w:r w:rsidR="00FA4628" w:rsidRPr="009F5365">
        <w:rPr>
          <w:rFonts w:hint="cs"/>
          <w:rtl/>
        </w:rPr>
        <w:t xml:space="preserve"> على الأنظمة </w:t>
      </w:r>
      <w:r w:rsidR="00653666" w:rsidRPr="009F5365">
        <w:rPr>
          <w:rFonts w:hint="cs"/>
          <w:rtl/>
        </w:rPr>
        <w:t xml:space="preserve">الأكثر تعقيداً أو الأكبر حجماً، </w:t>
      </w:r>
      <w:r w:rsidR="00FA4628" w:rsidRPr="009F5365">
        <w:rPr>
          <w:rtl/>
        </w:rPr>
        <w:t>حسب عدد الوحدات</w:t>
      </w:r>
      <w:r w:rsidRPr="009F5365">
        <w:rPr>
          <w:rFonts w:hint="cs"/>
          <w:rtl/>
        </w:rPr>
        <w:t>.</w:t>
      </w:r>
    </w:p>
    <w:p w14:paraId="2AF929E0" w14:textId="7D1928FA" w:rsidR="009B42B4" w:rsidRPr="009F5365" w:rsidRDefault="009B42B4" w:rsidP="009F5365">
      <w:pPr>
        <w:pStyle w:val="enumlev1"/>
        <w:rPr>
          <w:rtl/>
        </w:rPr>
      </w:pPr>
      <w:r w:rsidRPr="009F5365">
        <w:rPr>
          <w:rFonts w:hint="cs"/>
          <w:rtl/>
        </w:rPr>
        <w:t>ح)</w:t>
      </w:r>
      <w:r w:rsidRPr="009F5365">
        <w:rPr>
          <w:rtl/>
        </w:rPr>
        <w:tab/>
      </w:r>
      <w:r w:rsidR="00653666" w:rsidRPr="009F5365">
        <w:rPr>
          <w:rFonts w:hint="cs"/>
          <w:rtl/>
        </w:rPr>
        <w:t xml:space="preserve">دراسة إمكانية فرض رسم إضافي </w:t>
      </w:r>
      <w:r w:rsidR="00653666" w:rsidRPr="009F5365">
        <w:rPr>
          <w:rtl/>
        </w:rPr>
        <w:t>لاسترداد تكاليف تفحص طلبات التنسيق والتبليغات الخاضعة لكثافة تدفق القدرة المكافئة</w:t>
      </w:r>
      <w:r w:rsidR="00653666" w:rsidRPr="009F5365">
        <w:rPr>
          <w:rFonts w:hint="cs"/>
          <w:rtl/>
        </w:rPr>
        <w:t>. ستسترشد هذه الدراسة بالمعلومات المقدمة من المكتب.</w:t>
      </w:r>
    </w:p>
    <w:p w14:paraId="33C83FBB" w14:textId="0796DC0F" w:rsidR="009B42B4" w:rsidRPr="009F5365" w:rsidRDefault="008977C5" w:rsidP="009F5365">
      <w:pPr>
        <w:pStyle w:val="enumlev1"/>
        <w:rPr>
          <w:rtl/>
        </w:rPr>
      </w:pPr>
      <w:r w:rsidRPr="009F5365">
        <w:rPr>
          <w:rFonts w:hint="cs"/>
          <w:rtl/>
        </w:rPr>
        <w:t>ط</w:t>
      </w:r>
      <w:r w:rsidR="009B42B4" w:rsidRPr="009F5365">
        <w:rPr>
          <w:rFonts w:hint="cs"/>
          <w:rtl/>
        </w:rPr>
        <w:t>)</w:t>
      </w:r>
      <w:r w:rsidR="009B42B4" w:rsidRPr="009F5365">
        <w:rPr>
          <w:rtl/>
        </w:rPr>
        <w:tab/>
      </w:r>
      <w:r w:rsidR="00653666" w:rsidRPr="009F5365">
        <w:rPr>
          <w:rFonts w:hint="cs"/>
          <w:rtl/>
        </w:rPr>
        <w:t xml:space="preserve">دراسة آثار التعديلات التي أدخلها المؤتمر العالمي للاتصالات الراديوية لعام 2007 والمؤتمرات التي تلته على اللوائح التي تنظم خطط الخدمات الفضائية. </w:t>
      </w:r>
    </w:p>
    <w:p w14:paraId="4A7B0578" w14:textId="2879D21F" w:rsidR="008977C5" w:rsidRPr="009F5365" w:rsidRDefault="000C7E62" w:rsidP="009F5365">
      <w:pPr>
        <w:pStyle w:val="enumlev1"/>
        <w:rPr>
          <w:spacing w:val="-2"/>
          <w:rtl/>
        </w:rPr>
      </w:pPr>
      <w:r w:rsidRPr="009F5365">
        <w:rPr>
          <w:rFonts w:hint="cs"/>
          <w:spacing w:val="-2"/>
          <w:rtl/>
        </w:rPr>
        <w:t>ي)</w:t>
      </w:r>
      <w:r w:rsidR="008977C5" w:rsidRPr="009F5365">
        <w:rPr>
          <w:spacing w:val="-2"/>
          <w:rtl/>
        </w:rPr>
        <w:tab/>
      </w:r>
      <w:r w:rsidR="00653666" w:rsidRPr="009F5365">
        <w:rPr>
          <w:rFonts w:hint="cs"/>
          <w:spacing w:val="-2"/>
          <w:rtl/>
        </w:rPr>
        <w:t xml:space="preserve">دراسة تكاليف الموارد المخصصة اللازمة </w:t>
      </w:r>
      <w:r w:rsidRPr="009F5365">
        <w:rPr>
          <w:spacing w:val="-2"/>
          <w:rtl/>
        </w:rPr>
        <w:t>للقيام باستمرار بتحديث وعصرنة تطبيقات برمجيات المكتب المستخدمة في معالجة بطاقات التبليغ عن الشبكات الساتلية</w:t>
      </w:r>
      <w:r w:rsidR="008977C5" w:rsidRPr="009F5365">
        <w:rPr>
          <w:rFonts w:hint="cs"/>
          <w:spacing w:val="-2"/>
          <w:rtl/>
        </w:rPr>
        <w:t>.</w:t>
      </w:r>
      <w:r w:rsidRPr="009F5365">
        <w:rPr>
          <w:rFonts w:hint="cs"/>
          <w:spacing w:val="-2"/>
          <w:rtl/>
        </w:rPr>
        <w:t xml:space="preserve"> ومع ذلك، فإن رسوم استرداد التكاليف المتعلقة بمعالجة بطاقات التبليغ عن الشبكات الساتلية</w:t>
      </w:r>
      <w:r w:rsidRPr="009F5365">
        <w:rPr>
          <w:spacing w:val="-2"/>
          <w:rtl/>
        </w:rPr>
        <w:t xml:space="preserve"> ينبغي ألا تُستخدم لتمويل تطوير أدوات برمجية لمعالجة بطاقات التبليغ عن أنظمة الأرض</w:t>
      </w:r>
      <w:r w:rsidRPr="009F5365">
        <w:rPr>
          <w:rFonts w:hint="cs"/>
          <w:spacing w:val="-2"/>
          <w:rtl/>
        </w:rPr>
        <w:t>.</w:t>
      </w:r>
    </w:p>
    <w:p w14:paraId="486B579A" w14:textId="77777777" w:rsidR="008977C5" w:rsidRPr="008977C5" w:rsidRDefault="008977C5" w:rsidP="008977C5">
      <w:pPr>
        <w:rPr>
          <w:rtl/>
        </w:rPr>
      </w:pPr>
      <w:r w:rsidRPr="008977C5">
        <w:rPr>
          <w:rFonts w:hint="cs"/>
          <w:rtl/>
        </w:rPr>
        <w:t>2</w:t>
      </w:r>
      <w:r w:rsidRPr="008977C5">
        <w:rPr>
          <w:rtl/>
        </w:rPr>
        <w:tab/>
      </w:r>
      <w:r w:rsidRPr="008977C5">
        <w:rPr>
          <w:rFonts w:hint="cs"/>
          <w:rtl/>
        </w:rPr>
        <w:t>يقوم الفريق بإعداد تقرير يتضمن توصيات بشأن المراجعة المحتملة للمقرر 482 لتقديمه إلى مجلس الاتحاد في دورته لعام 2024 من أجل اتخاذ الإجراء المناسب.</w:t>
      </w:r>
    </w:p>
    <w:p w14:paraId="590C99CB" w14:textId="77777777" w:rsidR="008977C5" w:rsidRPr="008977C5" w:rsidRDefault="008977C5" w:rsidP="008977C5">
      <w:pPr>
        <w:rPr>
          <w:rtl/>
          <w:lang w:bidi="ar-EG"/>
        </w:rPr>
      </w:pPr>
      <w:r w:rsidRPr="008977C5">
        <w:rPr>
          <w:rFonts w:hint="cs"/>
          <w:rtl/>
        </w:rPr>
        <w:t>3</w:t>
      </w:r>
      <w:r w:rsidRPr="008977C5">
        <w:rPr>
          <w:rtl/>
        </w:rPr>
        <w:tab/>
      </w:r>
      <w:r w:rsidRPr="008977C5">
        <w:rPr>
          <w:rFonts w:hint="cs"/>
          <w:rtl/>
        </w:rPr>
        <w:t>المشاركة في الفريق مفتوحة أمام جميع الدول الأعضاء في الاتحاد وأعضاء القطاعات، ويعمل الفريق باللغة الإنكليزية. وينبغي أن يعقد الفريق اجتماعات حضورية بالاقتران مع اجتماعات فرقة العمل </w:t>
      </w:r>
      <w:r w:rsidRPr="008977C5">
        <w:t>4A</w:t>
      </w:r>
      <w:r w:rsidRPr="008977C5">
        <w:rPr>
          <w:rFonts w:hint="cs"/>
          <w:rtl/>
        </w:rPr>
        <w:t xml:space="preserve"> التابعة لقطاع الاتصالات الراديوية أو اجتماعات أفرقة العمل التابعة للمجلس، كلما أمكن ذلك.</w:t>
      </w:r>
    </w:p>
    <w:p w14:paraId="32E0EC31" w14:textId="77777777" w:rsidR="00F50E3F" w:rsidRDefault="00D63735" w:rsidP="00D63735">
      <w:pPr>
        <w:spacing w:before="600"/>
        <w:jc w:val="center"/>
        <w:rPr>
          <w:rtl/>
          <w:lang w:bidi="ar-EG"/>
        </w:rPr>
      </w:pPr>
      <w:r>
        <w:rPr>
          <w:rFonts w:hint="cs"/>
          <w:rtl/>
          <w:lang w:bidi="ar-EG"/>
        </w:rPr>
        <w:t>ــــــــــــــــــــــــــــــــــــــــــــــــــــــــــــــــــــــــــــــــــــــــــــــــ</w:t>
      </w:r>
    </w:p>
    <w:sectPr w:rsidR="00F50E3F" w:rsidSect="006401D2">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DAAB8" w14:textId="77777777" w:rsidR="00893D1B" w:rsidRDefault="00893D1B" w:rsidP="006C3242">
      <w:pPr>
        <w:spacing w:before="0" w:line="240" w:lineRule="auto"/>
      </w:pPr>
      <w:r>
        <w:separator/>
      </w:r>
    </w:p>
  </w:endnote>
  <w:endnote w:type="continuationSeparator" w:id="0">
    <w:p w14:paraId="7D45BE32" w14:textId="77777777" w:rsidR="00893D1B" w:rsidRDefault="00893D1B"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ubai">
    <w:panose1 w:val="020B0503030403030204"/>
    <w:charset w:val="00"/>
    <w:family w:val="swiss"/>
    <w:pitch w:val="variable"/>
    <w:sig w:usb0="80002067" w:usb1="80000000" w:usb2="00000008" w:usb3="00000000" w:csb0="00000041" w:csb1="00000000"/>
  </w:font>
  <w:font w:name="Traditional Arabic">
    <w:altName w:val="Times New Roman"/>
    <w:charset w:val="B2"/>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F4592" w14:textId="77777777" w:rsidR="004541E7" w:rsidRDefault="004541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3"/>
      <w:gridCol w:w="7542"/>
      <w:gridCol w:w="424"/>
    </w:tblGrid>
    <w:tr w:rsidR="00F50E3F" w:rsidRPr="007B0AA0" w14:paraId="7927A205" w14:textId="77777777" w:rsidTr="00CE559E">
      <w:trPr>
        <w:jc w:val="center"/>
      </w:trPr>
      <w:tc>
        <w:tcPr>
          <w:tcW w:w="868" w:type="pct"/>
          <w:vAlign w:val="center"/>
        </w:tcPr>
        <w:p w14:paraId="677EECAF" w14:textId="19E3D4A0" w:rsidR="00F50E3F" w:rsidRPr="007B0AA0" w:rsidRDefault="00F50E3F" w:rsidP="00750D58">
          <w:pPr>
            <w:tabs>
              <w:tab w:val="clear" w:pos="794"/>
            </w:tabs>
            <w:overflowPunct w:val="0"/>
            <w:autoSpaceDE w:val="0"/>
            <w:autoSpaceDN w:val="0"/>
            <w:bidi w:val="0"/>
            <w:adjustRightInd w:val="0"/>
            <w:spacing w:after="120" w:line="240" w:lineRule="auto"/>
            <w:jc w:val="right"/>
            <w:textAlignment w:val="baseline"/>
            <w:rPr>
              <w:rFonts w:ascii="Calibri" w:hAnsi="Calibri" w:cs="Arial"/>
              <w:noProof/>
              <w:sz w:val="18"/>
            </w:rPr>
          </w:pPr>
          <w:r w:rsidRPr="00F50E3F">
            <w:rPr>
              <w:rFonts w:ascii="Calibri" w:hAnsi="Calibri" w:cs="Arial"/>
              <w:sz w:val="18"/>
              <w:szCs w:val="14"/>
            </w:rPr>
            <w:t xml:space="preserve">DPS </w:t>
          </w:r>
          <w:r w:rsidR="002C5511">
            <w:rPr>
              <w:rFonts w:ascii="Calibri" w:hAnsi="Calibri" w:cs="Arial"/>
              <w:sz w:val="18"/>
              <w:szCs w:val="14"/>
            </w:rPr>
            <w:t>525353</w:t>
          </w:r>
        </w:p>
      </w:tc>
      <w:tc>
        <w:tcPr>
          <w:tcW w:w="3912" w:type="pct"/>
        </w:tcPr>
        <w:p w14:paraId="0B4AECF0" w14:textId="618A4AF1"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3C7662">
            <w:rPr>
              <w:rFonts w:ascii="Calibri" w:hAnsi="Calibri" w:cs="Arial"/>
              <w:bCs/>
              <w:color w:val="7F7F7F"/>
              <w:sz w:val="18"/>
            </w:rPr>
            <w:t>82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54707439" w14:textId="77777777" w:rsidR="00F50E3F"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007F8891" w14:textId="1F776F81" w:rsidR="006C3242" w:rsidRPr="0026373E" w:rsidRDefault="006C3242" w:rsidP="00FE5872">
    <w:pPr>
      <w:pStyle w:val="Footer"/>
      <w:tabs>
        <w:tab w:val="clear" w:pos="4153"/>
        <w:tab w:val="clear" w:pos="8306"/>
        <w:tab w:val="center" w:pos="5103"/>
        <w:tab w:val="right" w:pos="9639"/>
      </w:tabs>
      <w:spacing w:before="120"/>
      <w:rPr>
        <w:sz w:val="16"/>
        <w:szCs w:val="16"/>
        <w:lang w:val="fr-FR"/>
      </w:rPr>
    </w:pPr>
    <w:r w:rsidRPr="0052395D">
      <w:rPr>
        <w:color w:val="F2F2F2" w:themeColor="background1" w:themeShade="F2"/>
        <w:sz w:val="16"/>
        <w:szCs w:val="16"/>
        <w:lang w:val="fr-FR"/>
      </w:rPr>
      <w:fldChar w:fldCharType="begin"/>
    </w:r>
    <w:r w:rsidRPr="0052395D">
      <w:rPr>
        <w:color w:val="F2F2F2" w:themeColor="background1" w:themeShade="F2"/>
        <w:sz w:val="16"/>
        <w:szCs w:val="16"/>
        <w:lang w:val="fr-FR"/>
      </w:rPr>
      <w:instrText xml:space="preserve"> FILENAME \p \* MERGEFORMAT </w:instrText>
    </w:r>
    <w:r w:rsidRPr="0052395D">
      <w:rPr>
        <w:color w:val="F2F2F2" w:themeColor="background1" w:themeShade="F2"/>
        <w:sz w:val="16"/>
        <w:szCs w:val="16"/>
        <w:lang w:val="fr-FR"/>
      </w:rPr>
      <w:fldChar w:fldCharType="separate"/>
    </w:r>
    <w:r w:rsidR="00792684" w:rsidRPr="0052395D">
      <w:rPr>
        <w:noProof/>
        <w:color w:val="F2F2F2" w:themeColor="background1" w:themeShade="F2"/>
        <w:sz w:val="16"/>
        <w:szCs w:val="16"/>
        <w:lang w:val="fr-FR"/>
      </w:rPr>
      <w:t>P:\ARA\SG\CONSEIL\C23\000\082A .docx</w:t>
    </w:r>
    <w:r w:rsidRPr="0052395D">
      <w:rPr>
        <w:color w:val="F2F2F2" w:themeColor="background1" w:themeShade="F2"/>
        <w:sz w:val="16"/>
        <w:szCs w:val="16"/>
      </w:rPr>
      <w:fldChar w:fldCharType="end"/>
    </w:r>
    <w:r w:rsidRPr="0052395D">
      <w:rPr>
        <w:color w:val="F2F2F2" w:themeColor="background1" w:themeShade="F2"/>
        <w:sz w:val="16"/>
        <w:szCs w:val="16"/>
        <w:lang w:val="fr-FR"/>
      </w:rPr>
      <w:t xml:space="preserve">   (</w:t>
    </w:r>
    <w:r w:rsidR="002C5511" w:rsidRPr="0052395D">
      <w:rPr>
        <w:rFonts w:hint="cs"/>
        <w:color w:val="F2F2F2" w:themeColor="background1" w:themeShade="F2"/>
        <w:sz w:val="16"/>
        <w:szCs w:val="16"/>
        <w:rtl/>
        <w:lang w:val="fr-FR"/>
      </w:rPr>
      <w:t>525353</w:t>
    </w:r>
    <w:r w:rsidRPr="0052395D">
      <w:rPr>
        <w:color w:val="F2F2F2" w:themeColor="background1" w:themeShade="F2"/>
        <w:sz w:val="16"/>
        <w:szCs w:val="16"/>
        <w:lang w:val="fr-FR"/>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74"/>
      <w:gridCol w:w="7541"/>
      <w:gridCol w:w="424"/>
    </w:tblGrid>
    <w:tr w:rsidR="007B0AA0" w:rsidRPr="007B0AA0" w14:paraId="2F752F80" w14:textId="77777777" w:rsidTr="00F50E3F">
      <w:trPr>
        <w:jc w:val="center"/>
      </w:trPr>
      <w:tc>
        <w:tcPr>
          <w:tcW w:w="868" w:type="pct"/>
          <w:vAlign w:val="center"/>
        </w:tcPr>
        <w:p w14:paraId="1A85776D" w14:textId="77777777" w:rsidR="007B0AA0" w:rsidRPr="007B0AA0" w:rsidRDefault="004F0724" w:rsidP="00750D58">
          <w:pPr>
            <w:tabs>
              <w:tab w:val="clear" w:pos="794"/>
            </w:tabs>
            <w:overflowPunct w:val="0"/>
            <w:autoSpaceDE w:val="0"/>
            <w:autoSpaceDN w:val="0"/>
            <w:bidi w:val="0"/>
            <w:adjustRightInd w:val="0"/>
            <w:spacing w:after="120" w:line="240" w:lineRule="auto"/>
            <w:jc w:val="left"/>
            <w:textAlignment w:val="baseline"/>
            <w:rPr>
              <w:rFonts w:ascii="Calibri" w:hAnsi="Calibri" w:cs="Arial"/>
              <w:noProof/>
              <w:color w:val="7F7F7F"/>
              <w:sz w:val="18"/>
            </w:rPr>
          </w:pPr>
          <w:hyperlink r:id="rId1" w:history="1">
            <w:r w:rsidR="007B0AA0" w:rsidRPr="007B0AA0">
              <w:rPr>
                <w:rFonts w:ascii="Calibri" w:hAnsi="Calibri" w:cs="Arial"/>
                <w:color w:val="0563C1"/>
                <w:sz w:val="18"/>
                <w:szCs w:val="14"/>
              </w:rPr>
              <w:t>www.itu.int/council</w:t>
            </w:r>
          </w:hyperlink>
        </w:p>
      </w:tc>
      <w:tc>
        <w:tcPr>
          <w:tcW w:w="3912" w:type="pct"/>
        </w:tcPr>
        <w:p w14:paraId="0D434A72" w14:textId="18C58687" w:rsidR="007B0AA0" w:rsidRPr="007B0AA0" w:rsidRDefault="007B0AA0"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Arial" w:hAnsi="Arial" w:cs="Arial"/>
              <w:b/>
              <w:bCs/>
              <w:color w:val="7F7F7F"/>
              <w:sz w:val="18"/>
              <w:szCs w:val="18"/>
            </w:rPr>
          </w:pPr>
          <w:r w:rsidRPr="007B0AA0">
            <w:rPr>
              <w:rFonts w:ascii="Calibri" w:hAnsi="Calibri" w:cs="Arial"/>
              <w:bCs/>
              <w:color w:val="7F7F7F"/>
              <w:sz w:val="18"/>
            </w:rPr>
            <w:t>C23/</w:t>
          </w:r>
          <w:r w:rsidR="002C5511">
            <w:rPr>
              <w:rFonts w:ascii="Calibri" w:hAnsi="Calibri" w:cs="Arial"/>
              <w:bCs/>
              <w:color w:val="7F7F7F"/>
              <w:sz w:val="18"/>
            </w:rPr>
            <w:t>82</w:t>
          </w:r>
          <w:r w:rsidRPr="007B0AA0">
            <w:rPr>
              <w:rFonts w:ascii="Calibri" w:hAnsi="Calibri" w:cs="Arial"/>
              <w:bCs/>
              <w:color w:val="7F7F7F"/>
              <w:sz w:val="18"/>
            </w:rPr>
            <w:t>-</w:t>
          </w:r>
          <w:r>
            <w:rPr>
              <w:rFonts w:ascii="Calibri" w:hAnsi="Calibri" w:cs="Arial"/>
              <w:bCs/>
              <w:color w:val="7F7F7F"/>
              <w:sz w:val="18"/>
            </w:rPr>
            <w:t>A</w:t>
          </w:r>
        </w:p>
      </w:tc>
      <w:tc>
        <w:tcPr>
          <w:tcW w:w="220" w:type="pct"/>
        </w:tcPr>
        <w:p w14:paraId="698BB394" w14:textId="77777777" w:rsidR="007B0AA0" w:rsidRPr="007B0AA0" w:rsidRDefault="00F50E3F" w:rsidP="00750D58">
          <w:pPr>
            <w:tabs>
              <w:tab w:val="clear" w:pos="794"/>
              <w:tab w:val="left" w:pos="862"/>
              <w:tab w:val="right" w:pos="8505"/>
              <w:tab w:val="right" w:pos="9639"/>
            </w:tabs>
            <w:overflowPunct w:val="0"/>
            <w:autoSpaceDE w:val="0"/>
            <w:autoSpaceDN w:val="0"/>
            <w:adjustRightInd w:val="0"/>
            <w:spacing w:after="120" w:line="240" w:lineRule="auto"/>
            <w:jc w:val="right"/>
            <w:textAlignment w:val="baseline"/>
            <w:rPr>
              <w:rFonts w:ascii="Calibri" w:hAnsi="Calibri" w:cs="Arial"/>
              <w:bCs/>
              <w:color w:val="7F7F7F"/>
              <w:sz w:val="18"/>
            </w:rPr>
          </w:pPr>
          <w:r w:rsidRPr="007B0AA0">
            <w:rPr>
              <w:rFonts w:ascii="Calibri" w:hAnsi="Calibri" w:cs="Arial"/>
              <w:color w:val="7F7F7F"/>
              <w:sz w:val="18"/>
            </w:rPr>
            <w:fldChar w:fldCharType="begin"/>
          </w:r>
          <w:r w:rsidRPr="007B0AA0">
            <w:rPr>
              <w:rFonts w:ascii="Calibri" w:hAnsi="Calibri" w:cs="Arial"/>
              <w:color w:val="7F7F7F"/>
              <w:sz w:val="18"/>
            </w:rPr>
            <w:instrText>PAGE</w:instrText>
          </w:r>
          <w:r w:rsidRPr="007B0AA0">
            <w:rPr>
              <w:rFonts w:ascii="Calibri" w:hAnsi="Calibri" w:cs="Arial"/>
              <w:color w:val="7F7F7F"/>
              <w:sz w:val="18"/>
            </w:rPr>
            <w:fldChar w:fldCharType="separate"/>
          </w:r>
          <w:r>
            <w:rPr>
              <w:rFonts w:cs="Arial"/>
              <w:color w:val="7F7F7F"/>
              <w:sz w:val="18"/>
            </w:rPr>
            <w:t>1</w:t>
          </w:r>
          <w:r w:rsidRPr="007B0AA0">
            <w:rPr>
              <w:rFonts w:ascii="Calibri" w:hAnsi="Calibri" w:cs="Arial"/>
              <w:noProof/>
              <w:color w:val="7F7F7F"/>
              <w:sz w:val="18"/>
            </w:rPr>
            <w:fldChar w:fldCharType="end"/>
          </w:r>
        </w:p>
      </w:tc>
    </w:tr>
  </w:tbl>
  <w:p w14:paraId="3DAC0935" w14:textId="3EF09C56" w:rsidR="0006468A" w:rsidRPr="00CE5300" w:rsidRDefault="0006468A" w:rsidP="0006468A">
    <w:pPr>
      <w:pStyle w:val="Footer"/>
      <w:tabs>
        <w:tab w:val="clear" w:pos="4153"/>
        <w:tab w:val="clear" w:pos="8306"/>
        <w:tab w:val="center" w:pos="5103"/>
        <w:tab w:val="right" w:pos="9639"/>
      </w:tabs>
      <w:spacing w:before="120"/>
      <w:rPr>
        <w:sz w:val="16"/>
        <w:szCs w:val="16"/>
        <w:lang w:val="fr-FR"/>
      </w:rPr>
    </w:pPr>
    <w:r w:rsidRPr="0052395D">
      <w:rPr>
        <w:color w:val="F2F2F2" w:themeColor="background1" w:themeShade="F2"/>
        <w:sz w:val="16"/>
        <w:szCs w:val="16"/>
        <w:lang w:val="fr-FR"/>
      </w:rPr>
      <w:fldChar w:fldCharType="begin"/>
    </w:r>
    <w:r w:rsidRPr="0052395D">
      <w:rPr>
        <w:color w:val="F2F2F2" w:themeColor="background1" w:themeShade="F2"/>
        <w:sz w:val="16"/>
        <w:szCs w:val="16"/>
        <w:lang w:val="fr-FR"/>
      </w:rPr>
      <w:instrText xml:space="preserve"> FILENAME \p \* MERGEFORMAT </w:instrText>
    </w:r>
    <w:r w:rsidRPr="0052395D">
      <w:rPr>
        <w:color w:val="F2F2F2" w:themeColor="background1" w:themeShade="F2"/>
        <w:sz w:val="16"/>
        <w:szCs w:val="16"/>
        <w:lang w:val="fr-FR"/>
      </w:rPr>
      <w:fldChar w:fldCharType="separate"/>
    </w:r>
    <w:r w:rsidR="00792684" w:rsidRPr="0052395D">
      <w:rPr>
        <w:noProof/>
        <w:color w:val="F2F2F2" w:themeColor="background1" w:themeShade="F2"/>
        <w:sz w:val="16"/>
        <w:szCs w:val="16"/>
        <w:lang w:val="fr-FR"/>
      </w:rPr>
      <w:t>P:\ARA\SG\CONSEIL\C23\000\082A .docx</w:t>
    </w:r>
    <w:r w:rsidRPr="0052395D">
      <w:rPr>
        <w:color w:val="F2F2F2" w:themeColor="background1" w:themeShade="F2"/>
        <w:sz w:val="16"/>
        <w:szCs w:val="16"/>
      </w:rPr>
      <w:fldChar w:fldCharType="end"/>
    </w:r>
    <w:r w:rsidRPr="0052395D">
      <w:rPr>
        <w:color w:val="F2F2F2" w:themeColor="background1" w:themeShade="F2"/>
        <w:sz w:val="16"/>
        <w:szCs w:val="16"/>
        <w:lang w:val="fr-FR"/>
      </w:rPr>
      <w:t xml:space="preserve">   (</w:t>
    </w:r>
    <w:r w:rsidR="002C5511" w:rsidRPr="0052395D">
      <w:rPr>
        <w:rFonts w:hint="cs"/>
        <w:color w:val="F2F2F2" w:themeColor="background1" w:themeShade="F2"/>
        <w:sz w:val="16"/>
        <w:szCs w:val="16"/>
        <w:rtl/>
        <w:lang w:val="fr-FR"/>
      </w:rPr>
      <w:t>525353</w:t>
    </w:r>
    <w:r w:rsidRPr="0052395D">
      <w:rPr>
        <w:color w:val="F2F2F2" w:themeColor="background1" w:themeShade="F2"/>
        <w:sz w:val="16"/>
        <w:szCs w:val="16"/>
        <w:lang w:val="fr-FR"/>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D1E47F" w14:textId="77777777" w:rsidR="00893D1B" w:rsidRDefault="00893D1B" w:rsidP="006C3242">
      <w:pPr>
        <w:spacing w:before="0" w:line="240" w:lineRule="auto"/>
      </w:pPr>
      <w:r>
        <w:separator/>
      </w:r>
    </w:p>
  </w:footnote>
  <w:footnote w:type="continuationSeparator" w:id="0">
    <w:p w14:paraId="6BE7BFFA" w14:textId="77777777" w:rsidR="00893D1B" w:rsidRDefault="00893D1B" w:rsidP="006C3242">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41D65" w14:textId="77777777" w:rsidR="004541E7" w:rsidRDefault="004541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B0C36" w14:textId="77777777" w:rsidR="004541E7" w:rsidRDefault="004541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48B05" w14:textId="77777777" w:rsidR="007B0AA0" w:rsidRDefault="00D13941" w:rsidP="007B0AA0">
    <w:pPr>
      <w:pStyle w:val="Header"/>
      <w:spacing w:before="120" w:after="240"/>
    </w:pPr>
    <w:r>
      <w:rPr>
        <w:noProof/>
      </w:rPr>
      <w:drawing>
        <wp:inline distT="0" distB="0" distL="0" distR="0" wp14:anchorId="7E76EB3A" wp14:editId="332B0A6E">
          <wp:extent cx="1908000" cy="536400"/>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02EFC" w14:textId="77777777" w:rsidR="00F77626" w:rsidRDefault="00F77626" w:rsidP="007B0AA0">
    <w:pPr>
      <w:pStyle w:val="Header"/>
      <w:spacing w:before="120" w:after="240"/>
    </w:pPr>
    <w:r>
      <w:rPr>
        <w:noProof/>
      </w:rPr>
      <w:drawing>
        <wp:inline distT="0" distB="0" distL="0" distR="0" wp14:anchorId="660756D5" wp14:editId="429B08B0">
          <wp:extent cx="1908000" cy="53640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8000" cy="536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38E15519"/>
    <w:multiLevelType w:val="hybridMultilevel"/>
    <w:tmpl w:val="6BE8432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8345589">
    <w:abstractNumId w:val="9"/>
  </w:num>
  <w:num w:numId="2" w16cid:durableId="1774472849">
    <w:abstractNumId w:val="7"/>
  </w:num>
  <w:num w:numId="3" w16cid:durableId="923494626">
    <w:abstractNumId w:val="6"/>
  </w:num>
  <w:num w:numId="4" w16cid:durableId="442574474">
    <w:abstractNumId w:val="5"/>
  </w:num>
  <w:num w:numId="5" w16cid:durableId="1628318554">
    <w:abstractNumId w:val="4"/>
  </w:num>
  <w:num w:numId="6" w16cid:durableId="2075542342">
    <w:abstractNumId w:val="8"/>
  </w:num>
  <w:num w:numId="7" w16cid:durableId="1174762821">
    <w:abstractNumId w:val="3"/>
  </w:num>
  <w:num w:numId="8" w16cid:durableId="201795547">
    <w:abstractNumId w:val="2"/>
  </w:num>
  <w:num w:numId="9" w16cid:durableId="355010693">
    <w:abstractNumId w:val="1"/>
  </w:num>
  <w:num w:numId="10" w16cid:durableId="844200481">
    <w:abstractNumId w:val="0"/>
  </w:num>
  <w:num w:numId="11" w16cid:durableId="1104838316">
    <w:abstractNumId w:val="10"/>
  </w:num>
  <w:num w:numId="12" w16cid:durableId="20713450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D1B"/>
    <w:rsid w:val="00002B35"/>
    <w:rsid w:val="00010B88"/>
    <w:rsid w:val="00011F71"/>
    <w:rsid w:val="00033B69"/>
    <w:rsid w:val="000541C8"/>
    <w:rsid w:val="000549B1"/>
    <w:rsid w:val="000562D6"/>
    <w:rsid w:val="0006468A"/>
    <w:rsid w:val="00067D28"/>
    <w:rsid w:val="000743E3"/>
    <w:rsid w:val="00090574"/>
    <w:rsid w:val="00092F0D"/>
    <w:rsid w:val="000933EF"/>
    <w:rsid w:val="000C1C0E"/>
    <w:rsid w:val="000C3364"/>
    <w:rsid w:val="000C548A"/>
    <w:rsid w:val="000C7E62"/>
    <w:rsid w:val="0016446F"/>
    <w:rsid w:val="00174E1C"/>
    <w:rsid w:val="00183F7D"/>
    <w:rsid w:val="001918C9"/>
    <w:rsid w:val="00192C72"/>
    <w:rsid w:val="001944FC"/>
    <w:rsid w:val="001A7B44"/>
    <w:rsid w:val="001C0169"/>
    <w:rsid w:val="001D1D50"/>
    <w:rsid w:val="001D6745"/>
    <w:rsid w:val="001E446E"/>
    <w:rsid w:val="001F0DAC"/>
    <w:rsid w:val="002154EE"/>
    <w:rsid w:val="002276D2"/>
    <w:rsid w:val="0023283D"/>
    <w:rsid w:val="002378E3"/>
    <w:rsid w:val="002430D6"/>
    <w:rsid w:val="0026373E"/>
    <w:rsid w:val="00267A89"/>
    <w:rsid w:val="00271C43"/>
    <w:rsid w:val="00274622"/>
    <w:rsid w:val="00290728"/>
    <w:rsid w:val="002921DA"/>
    <w:rsid w:val="002978F4"/>
    <w:rsid w:val="002A4839"/>
    <w:rsid w:val="002B028D"/>
    <w:rsid w:val="002C228C"/>
    <w:rsid w:val="002C5511"/>
    <w:rsid w:val="002D6DFF"/>
    <w:rsid w:val="002E6541"/>
    <w:rsid w:val="002F1314"/>
    <w:rsid w:val="0031750E"/>
    <w:rsid w:val="00334924"/>
    <w:rsid w:val="003409BC"/>
    <w:rsid w:val="00353151"/>
    <w:rsid w:val="00357185"/>
    <w:rsid w:val="00361908"/>
    <w:rsid w:val="00371C21"/>
    <w:rsid w:val="00383829"/>
    <w:rsid w:val="00385527"/>
    <w:rsid w:val="003C7662"/>
    <w:rsid w:val="003D4C42"/>
    <w:rsid w:val="003F4B29"/>
    <w:rsid w:val="004249B1"/>
    <w:rsid w:val="0042686F"/>
    <w:rsid w:val="004317D8"/>
    <w:rsid w:val="00434183"/>
    <w:rsid w:val="0043680B"/>
    <w:rsid w:val="00443869"/>
    <w:rsid w:val="00447F32"/>
    <w:rsid w:val="004541E7"/>
    <w:rsid w:val="00486117"/>
    <w:rsid w:val="00486DD1"/>
    <w:rsid w:val="00490B7F"/>
    <w:rsid w:val="004915E9"/>
    <w:rsid w:val="004B7334"/>
    <w:rsid w:val="004D1B73"/>
    <w:rsid w:val="004E11DC"/>
    <w:rsid w:val="004F0724"/>
    <w:rsid w:val="00504A07"/>
    <w:rsid w:val="0052395D"/>
    <w:rsid w:val="00525DDD"/>
    <w:rsid w:val="005378C5"/>
    <w:rsid w:val="005409AC"/>
    <w:rsid w:val="0055261E"/>
    <w:rsid w:val="0055516A"/>
    <w:rsid w:val="005644F7"/>
    <w:rsid w:val="00570423"/>
    <w:rsid w:val="0058491B"/>
    <w:rsid w:val="00586063"/>
    <w:rsid w:val="00592EA5"/>
    <w:rsid w:val="00594CA9"/>
    <w:rsid w:val="005A3170"/>
    <w:rsid w:val="00625064"/>
    <w:rsid w:val="00627253"/>
    <w:rsid w:val="006401D2"/>
    <w:rsid w:val="00653666"/>
    <w:rsid w:val="00677396"/>
    <w:rsid w:val="00690BE1"/>
    <w:rsid w:val="0069200F"/>
    <w:rsid w:val="006A65CB"/>
    <w:rsid w:val="006C3242"/>
    <w:rsid w:val="006C7CC0"/>
    <w:rsid w:val="006E3C8A"/>
    <w:rsid w:val="006F63F7"/>
    <w:rsid w:val="007025C7"/>
    <w:rsid w:val="00705AA7"/>
    <w:rsid w:val="00706D7A"/>
    <w:rsid w:val="00722F0D"/>
    <w:rsid w:val="0074420E"/>
    <w:rsid w:val="00750D58"/>
    <w:rsid w:val="00766264"/>
    <w:rsid w:val="00774681"/>
    <w:rsid w:val="00783E26"/>
    <w:rsid w:val="00792684"/>
    <w:rsid w:val="007B0AA0"/>
    <w:rsid w:val="007C3BC7"/>
    <w:rsid w:val="007C3BCD"/>
    <w:rsid w:val="007D4ACF"/>
    <w:rsid w:val="007F0787"/>
    <w:rsid w:val="00810B7B"/>
    <w:rsid w:val="0082358A"/>
    <w:rsid w:val="008235CD"/>
    <w:rsid w:val="008247DE"/>
    <w:rsid w:val="008339C0"/>
    <w:rsid w:val="00840B10"/>
    <w:rsid w:val="008513CB"/>
    <w:rsid w:val="00867DDC"/>
    <w:rsid w:val="00893D1B"/>
    <w:rsid w:val="008977C5"/>
    <w:rsid w:val="008A5072"/>
    <w:rsid w:val="008A7F84"/>
    <w:rsid w:val="008B6E70"/>
    <w:rsid w:val="0091702E"/>
    <w:rsid w:val="00923B0C"/>
    <w:rsid w:val="00930252"/>
    <w:rsid w:val="0094021C"/>
    <w:rsid w:val="00952F86"/>
    <w:rsid w:val="009616DF"/>
    <w:rsid w:val="00982B28"/>
    <w:rsid w:val="00994F7F"/>
    <w:rsid w:val="009954D1"/>
    <w:rsid w:val="009B42B4"/>
    <w:rsid w:val="009D313F"/>
    <w:rsid w:val="009F5365"/>
    <w:rsid w:val="00A12420"/>
    <w:rsid w:val="00A32170"/>
    <w:rsid w:val="00A47A5A"/>
    <w:rsid w:val="00A51437"/>
    <w:rsid w:val="00A6683B"/>
    <w:rsid w:val="00A73093"/>
    <w:rsid w:val="00A97F94"/>
    <w:rsid w:val="00AA7EA2"/>
    <w:rsid w:val="00AC4A02"/>
    <w:rsid w:val="00B03099"/>
    <w:rsid w:val="00B05BC8"/>
    <w:rsid w:val="00B269D3"/>
    <w:rsid w:val="00B324C3"/>
    <w:rsid w:val="00B36BFF"/>
    <w:rsid w:val="00B64B47"/>
    <w:rsid w:val="00B928B9"/>
    <w:rsid w:val="00B95654"/>
    <w:rsid w:val="00BD31F2"/>
    <w:rsid w:val="00BD7121"/>
    <w:rsid w:val="00C002DE"/>
    <w:rsid w:val="00C25F68"/>
    <w:rsid w:val="00C53BF8"/>
    <w:rsid w:val="00C66157"/>
    <w:rsid w:val="00C674FE"/>
    <w:rsid w:val="00C67501"/>
    <w:rsid w:val="00C75633"/>
    <w:rsid w:val="00C816A7"/>
    <w:rsid w:val="00C95195"/>
    <w:rsid w:val="00C964AB"/>
    <w:rsid w:val="00CA7153"/>
    <w:rsid w:val="00CE2EE1"/>
    <w:rsid w:val="00CE3349"/>
    <w:rsid w:val="00CE36E5"/>
    <w:rsid w:val="00CE5300"/>
    <w:rsid w:val="00CE559E"/>
    <w:rsid w:val="00CF27F5"/>
    <w:rsid w:val="00CF3FFD"/>
    <w:rsid w:val="00D10CCF"/>
    <w:rsid w:val="00D13941"/>
    <w:rsid w:val="00D21A19"/>
    <w:rsid w:val="00D562A2"/>
    <w:rsid w:val="00D63735"/>
    <w:rsid w:val="00D77D0F"/>
    <w:rsid w:val="00DA1CF0"/>
    <w:rsid w:val="00DB7B3B"/>
    <w:rsid w:val="00DC1E02"/>
    <w:rsid w:val="00DC24B4"/>
    <w:rsid w:val="00DC3DF9"/>
    <w:rsid w:val="00DC5FB0"/>
    <w:rsid w:val="00DF16DC"/>
    <w:rsid w:val="00E10F50"/>
    <w:rsid w:val="00E402C4"/>
    <w:rsid w:val="00E45211"/>
    <w:rsid w:val="00E473C5"/>
    <w:rsid w:val="00E61BE8"/>
    <w:rsid w:val="00E6654F"/>
    <w:rsid w:val="00E71647"/>
    <w:rsid w:val="00E71D7E"/>
    <w:rsid w:val="00E83921"/>
    <w:rsid w:val="00E92863"/>
    <w:rsid w:val="00EB796D"/>
    <w:rsid w:val="00EC3EE3"/>
    <w:rsid w:val="00F02E64"/>
    <w:rsid w:val="00F058DC"/>
    <w:rsid w:val="00F24FC4"/>
    <w:rsid w:val="00F2676C"/>
    <w:rsid w:val="00F363FE"/>
    <w:rsid w:val="00F50E3F"/>
    <w:rsid w:val="00F77626"/>
    <w:rsid w:val="00F84366"/>
    <w:rsid w:val="00F85089"/>
    <w:rsid w:val="00F974C5"/>
    <w:rsid w:val="00FA4628"/>
    <w:rsid w:val="00FA6F46"/>
    <w:rsid w:val="00FC4592"/>
    <w:rsid w:val="00FD527F"/>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709E3C"/>
  <w15:chartTrackingRefBased/>
  <w15:docId w15:val="{E629E6FB-C4A5-4E43-86FB-EB3ABDB86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74C5"/>
    <w:pPr>
      <w:tabs>
        <w:tab w:val="left" w:pos="794"/>
      </w:tabs>
      <w:bidi/>
      <w:spacing w:before="120" w:after="0" w:line="192" w:lineRule="auto"/>
      <w:jc w:val="both"/>
    </w:pPr>
    <w:rPr>
      <w:rFonts w:ascii="Dubai" w:hAnsi="Dubai" w:cs="Dubai"/>
    </w:rPr>
  </w:style>
  <w:style w:type="paragraph" w:styleId="Heading1">
    <w:name w:val="heading 1"/>
    <w:basedOn w:val="Normal"/>
    <w:next w:val="Normal"/>
    <w:link w:val="Heading1Char"/>
    <w:uiPriority w:val="9"/>
    <w:qFormat/>
    <w:rsid w:val="00F974C5"/>
    <w:pPr>
      <w:keepNext/>
      <w:keepLines/>
      <w:spacing w:before="360"/>
      <w:ind w:left="794" w:hanging="794"/>
      <w:outlineLvl w:val="0"/>
    </w:pPr>
    <w:rPr>
      <w:rFonts w:eastAsiaTheme="majorEastAsia"/>
      <w:b/>
      <w:bCs/>
      <w:sz w:val="26"/>
      <w:szCs w:val="26"/>
    </w:rPr>
  </w:style>
  <w:style w:type="paragraph" w:styleId="Heading2">
    <w:name w:val="heading 2"/>
    <w:basedOn w:val="Normal"/>
    <w:next w:val="Normal"/>
    <w:link w:val="Heading2Char"/>
    <w:uiPriority w:val="9"/>
    <w:unhideWhenUsed/>
    <w:qFormat/>
    <w:rsid w:val="00F974C5"/>
    <w:pPr>
      <w:keepNext/>
      <w:keepLines/>
      <w:spacing w:before="300"/>
      <w:ind w:left="794" w:hanging="794"/>
      <w:outlineLvl w:val="1"/>
    </w:pPr>
    <w:rPr>
      <w:rFonts w:eastAsiaTheme="majorEastAsia"/>
      <w:b/>
      <w:bCs/>
      <w:sz w:val="24"/>
      <w:szCs w:val="24"/>
    </w:rPr>
  </w:style>
  <w:style w:type="paragraph" w:styleId="Heading3">
    <w:name w:val="heading 3"/>
    <w:basedOn w:val="Normal"/>
    <w:next w:val="Normal"/>
    <w:link w:val="Heading3Char"/>
    <w:uiPriority w:val="9"/>
    <w:unhideWhenUsed/>
    <w:qFormat/>
    <w:rsid w:val="00F974C5"/>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F974C5"/>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974C5"/>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974C5"/>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974C5"/>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974C5"/>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974C5"/>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F974C5"/>
    <w:rPr>
      <w:rFonts w:ascii="Dubai" w:eastAsiaTheme="majorEastAsia" w:hAnsi="Dubai" w:cs="Dubai"/>
      <w:b/>
      <w:bCs/>
      <w:sz w:val="26"/>
      <w:szCs w:val="26"/>
    </w:rPr>
  </w:style>
  <w:style w:type="character" w:customStyle="1" w:styleId="Heading2Char">
    <w:name w:val="Heading 2 Char"/>
    <w:basedOn w:val="DefaultParagraphFont"/>
    <w:link w:val="Heading2"/>
    <w:uiPriority w:val="9"/>
    <w:rsid w:val="00F974C5"/>
    <w:rPr>
      <w:rFonts w:ascii="Dubai" w:eastAsiaTheme="majorEastAsia" w:hAnsi="Dubai" w:cs="Dubai"/>
      <w:b/>
      <w:bCs/>
      <w:sz w:val="24"/>
      <w:szCs w:val="24"/>
    </w:rPr>
  </w:style>
  <w:style w:type="character" w:customStyle="1" w:styleId="Heading3Char">
    <w:name w:val="Heading 3 Char"/>
    <w:basedOn w:val="DefaultParagraphFont"/>
    <w:link w:val="Heading3"/>
    <w:uiPriority w:val="9"/>
    <w:rsid w:val="00F974C5"/>
    <w:rPr>
      <w:rFonts w:ascii="Dubai" w:eastAsiaTheme="majorEastAsia" w:hAnsi="Dubai" w:cs="Dubai"/>
      <w:b/>
      <w:bCs/>
    </w:rPr>
  </w:style>
  <w:style w:type="character" w:customStyle="1" w:styleId="Heading4Char">
    <w:name w:val="Heading 4 Char"/>
    <w:basedOn w:val="DefaultParagraphFont"/>
    <w:link w:val="Heading4"/>
    <w:uiPriority w:val="9"/>
    <w:rsid w:val="00F974C5"/>
    <w:rPr>
      <w:rFonts w:ascii="Dubai" w:eastAsiaTheme="majorEastAsia" w:hAnsi="Dubai" w:cs="Dubai"/>
      <w:b/>
      <w:bCs/>
    </w:rPr>
  </w:style>
  <w:style w:type="character" w:customStyle="1" w:styleId="Heading5Char">
    <w:name w:val="Heading 5 Char"/>
    <w:basedOn w:val="DefaultParagraphFont"/>
    <w:link w:val="Heading5"/>
    <w:uiPriority w:val="9"/>
    <w:rsid w:val="00F974C5"/>
    <w:rPr>
      <w:rFonts w:ascii="Dubai" w:eastAsiaTheme="majorEastAsia" w:hAnsi="Dubai" w:cs="Dubai"/>
      <w:b/>
      <w:bCs/>
    </w:rPr>
  </w:style>
  <w:style w:type="character" w:customStyle="1" w:styleId="Heading6Char">
    <w:name w:val="Heading 6 Char"/>
    <w:basedOn w:val="DefaultParagraphFont"/>
    <w:link w:val="Heading6"/>
    <w:uiPriority w:val="9"/>
    <w:rsid w:val="00F974C5"/>
    <w:rPr>
      <w:rFonts w:ascii="Dubai" w:eastAsiaTheme="majorEastAsia" w:hAnsi="Dubai" w:cs="Dubai"/>
      <w:b/>
      <w:bCs/>
    </w:rPr>
  </w:style>
  <w:style w:type="character" w:customStyle="1" w:styleId="Heading7Char">
    <w:name w:val="Heading 7 Char"/>
    <w:basedOn w:val="DefaultParagraphFont"/>
    <w:link w:val="Heading7"/>
    <w:uiPriority w:val="9"/>
    <w:rsid w:val="00F974C5"/>
    <w:rPr>
      <w:rFonts w:ascii="Dubai" w:eastAsiaTheme="majorEastAsia" w:hAnsi="Dubai" w:cs="Dubai"/>
      <w:b/>
      <w:bCs/>
    </w:rPr>
  </w:style>
  <w:style w:type="character" w:customStyle="1" w:styleId="Heading8Char">
    <w:name w:val="Heading 8 Char"/>
    <w:basedOn w:val="DefaultParagraphFont"/>
    <w:link w:val="Heading8"/>
    <w:uiPriority w:val="9"/>
    <w:rsid w:val="00F974C5"/>
    <w:rPr>
      <w:rFonts w:ascii="Dubai" w:eastAsiaTheme="majorEastAsia" w:hAnsi="Dubai" w:cs="Dubai"/>
      <w:b/>
      <w:bCs/>
    </w:rPr>
  </w:style>
  <w:style w:type="character" w:customStyle="1" w:styleId="Heading9Char">
    <w:name w:val="Heading 9 Char"/>
    <w:basedOn w:val="DefaultParagraphFont"/>
    <w:link w:val="Heading9"/>
    <w:uiPriority w:val="9"/>
    <w:rsid w:val="00F974C5"/>
    <w:rPr>
      <w:rFonts w:ascii="Dubai" w:eastAsiaTheme="majorEastAsia" w:hAnsi="Dubai" w:cs="Dubai"/>
      <w:b/>
      <w:bCs/>
    </w:rPr>
  </w:style>
  <w:style w:type="paragraph" w:customStyle="1" w:styleId="HeadingI">
    <w:name w:val="Heading I"/>
    <w:basedOn w:val="Normal"/>
    <w:qFormat/>
    <w:rsid w:val="00F974C5"/>
    <w:pPr>
      <w:keepNext/>
      <w:keepLines/>
      <w:spacing w:before="160"/>
    </w:pPr>
    <w:rPr>
      <w:i/>
      <w:iCs/>
    </w:rPr>
  </w:style>
  <w:style w:type="paragraph" w:customStyle="1" w:styleId="AgendaItem">
    <w:name w:val="Agenda Item"/>
    <w:basedOn w:val="Normal"/>
    <w:qFormat/>
    <w:rsid w:val="00F974C5"/>
    <w:pPr>
      <w:spacing w:before="360" w:after="120"/>
      <w:jc w:val="center"/>
    </w:pPr>
    <w:rPr>
      <w:sz w:val="26"/>
      <w:szCs w:val="26"/>
      <w:lang w:bidi="ar-SY"/>
    </w:rPr>
  </w:style>
  <w:style w:type="paragraph" w:customStyle="1" w:styleId="AnnexNo">
    <w:name w:val="Annex No"/>
    <w:basedOn w:val="AgendaItem"/>
    <w:qFormat/>
    <w:rsid w:val="00F974C5"/>
  </w:style>
  <w:style w:type="paragraph" w:customStyle="1" w:styleId="Annextitle">
    <w:name w:val="Annex title"/>
    <w:basedOn w:val="AnnexNo"/>
    <w:qFormat/>
    <w:rsid w:val="00F974C5"/>
    <w:pPr>
      <w:keepNext/>
      <w:keepLines/>
      <w:spacing w:before="120" w:after="360"/>
    </w:pPr>
    <w:rPr>
      <w:b/>
      <w:bCs/>
      <w:sz w:val="28"/>
      <w:szCs w:val="28"/>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F974C5"/>
    <w:pPr>
      <w:tabs>
        <w:tab w:val="center" w:pos="4153"/>
        <w:tab w:val="right" w:pos="8306"/>
      </w:tabs>
      <w:bidi w:val="0"/>
      <w:spacing w:before="0" w:line="240" w:lineRule="auto"/>
      <w:jc w:val="left"/>
    </w:pPr>
    <w:rPr>
      <w:rFonts w:eastAsia="Times New Roman"/>
      <w:sz w:val="20"/>
      <w:szCs w:val="20"/>
      <w:lang w:eastAsia="en-US"/>
    </w:rPr>
  </w:style>
  <w:style w:type="character" w:customStyle="1" w:styleId="FooterChar">
    <w:name w:val="Footer Char"/>
    <w:basedOn w:val="DefaultParagraphFont"/>
    <w:link w:val="Footer"/>
    <w:rsid w:val="00F974C5"/>
    <w:rPr>
      <w:rFonts w:ascii="Dubai" w:eastAsia="Times New Roman" w:hAnsi="Dubai" w:cs="Dubai"/>
      <w:sz w:val="20"/>
      <w:szCs w:val="20"/>
      <w:lang w:eastAsia="en-US"/>
    </w:rPr>
  </w:style>
  <w:style w:type="paragraph" w:customStyle="1" w:styleId="Referencetitle">
    <w:name w:val="Reference title"/>
    <w:basedOn w:val="Normal"/>
    <w:qFormat/>
    <w:rsid w:val="00F974C5"/>
    <w:pPr>
      <w:keepNext/>
      <w:spacing w:after="360"/>
      <w:jc w:val="center"/>
    </w:pPr>
    <w:rPr>
      <w:lang w:bidi="ar-SY"/>
    </w:rPr>
  </w:style>
  <w:style w:type="paragraph" w:customStyle="1" w:styleId="AppendixNo">
    <w:name w:val="Appendix No"/>
    <w:basedOn w:val="Normal"/>
    <w:qFormat/>
    <w:rsid w:val="00F974C5"/>
    <w:pPr>
      <w:keepNext/>
      <w:keepLines/>
      <w:spacing w:before="360" w:after="120"/>
      <w:jc w:val="center"/>
    </w:pPr>
    <w:rPr>
      <w:sz w:val="26"/>
      <w:szCs w:val="26"/>
      <w:lang w:bidi="ar-SY"/>
    </w:rPr>
  </w:style>
  <w:style w:type="paragraph" w:customStyle="1" w:styleId="Appendixtitle">
    <w:name w:val="Appendix title"/>
    <w:basedOn w:val="Normal"/>
    <w:qFormat/>
    <w:rsid w:val="00F974C5"/>
    <w:pPr>
      <w:keepNext/>
      <w:keepLines/>
      <w:spacing w:after="360"/>
      <w:jc w:val="center"/>
    </w:pPr>
    <w:rPr>
      <w:b/>
      <w:bCs/>
      <w:sz w:val="28"/>
      <w:szCs w:val="28"/>
    </w:rPr>
  </w:style>
  <w:style w:type="paragraph" w:customStyle="1" w:styleId="ArticleNo">
    <w:name w:val="Article No"/>
    <w:basedOn w:val="Normal"/>
    <w:qFormat/>
    <w:rsid w:val="00F974C5"/>
    <w:pPr>
      <w:keepNext/>
      <w:keepLines/>
      <w:spacing w:after="360"/>
      <w:jc w:val="center"/>
    </w:pPr>
    <w:rPr>
      <w:sz w:val="26"/>
      <w:szCs w:val="26"/>
      <w:lang w:bidi="ar-SY"/>
    </w:rPr>
  </w:style>
  <w:style w:type="paragraph" w:customStyle="1" w:styleId="Articletitle">
    <w:name w:val="Article title"/>
    <w:basedOn w:val="ArticleNo"/>
    <w:qFormat/>
    <w:rsid w:val="00F974C5"/>
    <w:rPr>
      <w:b/>
      <w:bCs/>
      <w:sz w:val="28"/>
      <w:szCs w:val="28"/>
    </w:rPr>
  </w:style>
  <w:style w:type="paragraph" w:customStyle="1" w:styleId="Call">
    <w:name w:val="Call"/>
    <w:basedOn w:val="Normal"/>
    <w:qFormat/>
    <w:rsid w:val="00F974C5"/>
    <w:pPr>
      <w:keepNext/>
      <w:spacing w:before="160"/>
      <w:ind w:left="1588" w:hanging="794"/>
    </w:pPr>
    <w:rPr>
      <w:i/>
      <w:iCs/>
    </w:rPr>
  </w:style>
  <w:style w:type="paragraph" w:customStyle="1" w:styleId="ChapterNo">
    <w:name w:val="Chapter No"/>
    <w:basedOn w:val="Normal"/>
    <w:qFormat/>
    <w:rsid w:val="00F974C5"/>
    <w:pPr>
      <w:keepNext/>
      <w:keepLines/>
      <w:spacing w:before="600" w:after="120"/>
      <w:jc w:val="center"/>
    </w:pPr>
    <w:rPr>
      <w:sz w:val="28"/>
      <w:szCs w:val="28"/>
      <w:lang w:bidi="ar-SY"/>
    </w:rPr>
  </w:style>
  <w:style w:type="paragraph" w:customStyle="1" w:styleId="Chaptertitle">
    <w:name w:val="Chapter title"/>
    <w:basedOn w:val="ChapterNo"/>
    <w:qFormat/>
    <w:rsid w:val="00F974C5"/>
    <w:pPr>
      <w:spacing w:before="120" w:after="600"/>
    </w:pPr>
    <w:rPr>
      <w:b/>
      <w:bCs/>
      <w:sz w:val="32"/>
      <w:szCs w:val="32"/>
    </w:rPr>
  </w:style>
  <w:style w:type="paragraph" w:styleId="Date">
    <w:name w:val="Date"/>
    <w:basedOn w:val="Normal"/>
    <w:next w:val="Normal"/>
    <w:link w:val="DateChar"/>
    <w:uiPriority w:val="99"/>
    <w:unhideWhenUsed/>
    <w:rsid w:val="00F974C5"/>
    <w:pPr>
      <w:keepNext/>
      <w:spacing w:after="120"/>
      <w:jc w:val="right"/>
    </w:pPr>
  </w:style>
  <w:style w:type="character" w:customStyle="1" w:styleId="DateChar">
    <w:name w:val="Date Char"/>
    <w:basedOn w:val="DefaultParagraphFont"/>
    <w:link w:val="Date"/>
    <w:uiPriority w:val="99"/>
    <w:rsid w:val="00F974C5"/>
    <w:rPr>
      <w:rFonts w:ascii="Dubai" w:hAnsi="Dubai" w:cs="Dubai"/>
    </w:rPr>
  </w:style>
  <w:style w:type="paragraph" w:customStyle="1" w:styleId="DecNo">
    <w:name w:val="Dec_No"/>
    <w:basedOn w:val="Normal"/>
    <w:qFormat/>
    <w:rsid w:val="00F974C5"/>
    <w:pPr>
      <w:keepNext/>
      <w:keepLines/>
      <w:spacing w:before="360"/>
      <w:jc w:val="center"/>
    </w:pPr>
    <w:rPr>
      <w:sz w:val="26"/>
      <w:szCs w:val="26"/>
    </w:rPr>
  </w:style>
  <w:style w:type="paragraph" w:customStyle="1" w:styleId="Dectitle">
    <w:name w:val="Dec_title"/>
    <w:basedOn w:val="DecNo"/>
    <w:qFormat/>
    <w:rsid w:val="00F974C5"/>
    <w:pPr>
      <w:spacing w:before="120" w:after="360"/>
    </w:pPr>
    <w:rPr>
      <w:b/>
      <w:bCs/>
      <w:sz w:val="28"/>
      <w:szCs w:val="28"/>
    </w:rPr>
  </w:style>
  <w:style w:type="paragraph" w:customStyle="1" w:styleId="enumlev1">
    <w:name w:val="enumlev 1"/>
    <w:basedOn w:val="Normal"/>
    <w:qFormat/>
    <w:rsid w:val="00F974C5"/>
    <w:pPr>
      <w:spacing w:before="80"/>
      <w:ind w:left="794" w:hanging="794"/>
      <w:outlineLvl w:val="0"/>
    </w:pPr>
    <w:rPr>
      <w:lang w:bidi="ar-SY"/>
    </w:rPr>
  </w:style>
  <w:style w:type="paragraph" w:customStyle="1" w:styleId="enumlev2">
    <w:name w:val="enumlev 2"/>
    <w:basedOn w:val="Normal"/>
    <w:next w:val="enumlev1"/>
    <w:qFormat/>
    <w:rsid w:val="00F974C5"/>
    <w:pPr>
      <w:spacing w:before="80"/>
      <w:ind w:left="1588" w:hanging="794"/>
      <w:outlineLvl w:val="1"/>
    </w:pPr>
  </w:style>
  <w:style w:type="paragraph" w:customStyle="1" w:styleId="enumlev3">
    <w:name w:val="enumlev 3"/>
    <w:basedOn w:val="Normal"/>
    <w:qFormat/>
    <w:rsid w:val="008A7F84"/>
    <w:pPr>
      <w:spacing w:before="80"/>
      <w:ind w:left="2382" w:hanging="794"/>
      <w:outlineLvl w:val="2"/>
    </w:pPr>
    <w:rPr>
      <w:lang w:bidi="ar-SY"/>
    </w:rPr>
  </w:style>
  <w:style w:type="paragraph" w:customStyle="1" w:styleId="Figurelegend">
    <w:name w:val="Figure legend"/>
    <w:basedOn w:val="Normal"/>
    <w:qFormat/>
    <w:rsid w:val="00F974C5"/>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F974C5"/>
    <w:rPr>
      <w:rFonts w:ascii="Dubai" w:hAnsi="Dubai" w:cs="Duba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qFormat/>
    <w:rsid w:val="00F974C5"/>
    <w:pPr>
      <w:keepNext/>
      <w:spacing w:before="360"/>
    </w:pPr>
    <w:rPr>
      <w:lang w:bidi="ar-SY"/>
    </w:rPr>
  </w:style>
  <w:style w:type="paragraph" w:customStyle="1" w:styleId="Note">
    <w:name w:val="Note"/>
    <w:basedOn w:val="Normal"/>
    <w:qFormat/>
    <w:rsid w:val="00F974C5"/>
    <w:pPr>
      <w:spacing w:before="80"/>
    </w:pPr>
    <w:rPr>
      <w:sz w:val="20"/>
      <w:szCs w:val="20"/>
    </w:rPr>
  </w:style>
  <w:style w:type="paragraph" w:customStyle="1" w:styleId="Proposal">
    <w:name w:val="Proposal"/>
    <w:basedOn w:val="Note"/>
    <w:qFormat/>
    <w:rsid w:val="00F974C5"/>
    <w:pPr>
      <w:keepNext/>
      <w:spacing w:before="240"/>
    </w:pPr>
    <w:rPr>
      <w:b/>
      <w:bCs/>
      <w:sz w:val="22"/>
      <w:szCs w:val="22"/>
    </w:rPr>
  </w:style>
  <w:style w:type="paragraph" w:customStyle="1" w:styleId="Reasons">
    <w:name w:val="Reasons"/>
    <w:basedOn w:val="Normal"/>
    <w:qFormat/>
    <w:rsid w:val="00F974C5"/>
    <w:rPr>
      <w:b/>
      <w:bCs/>
    </w:rPr>
  </w:style>
  <w:style w:type="paragraph" w:customStyle="1" w:styleId="RecNo">
    <w:name w:val="Rec_No"/>
    <w:basedOn w:val="Normal"/>
    <w:qFormat/>
    <w:rsid w:val="00F974C5"/>
    <w:pPr>
      <w:keepNext/>
      <w:keepLines/>
      <w:spacing w:before="360" w:after="120"/>
      <w:jc w:val="center"/>
    </w:pPr>
    <w:rPr>
      <w:sz w:val="26"/>
      <w:szCs w:val="26"/>
    </w:rPr>
  </w:style>
  <w:style w:type="paragraph" w:customStyle="1" w:styleId="Rectitle">
    <w:name w:val="Rec_title"/>
    <w:basedOn w:val="Normal"/>
    <w:qFormat/>
    <w:rsid w:val="00F974C5"/>
    <w:pPr>
      <w:keepNext/>
      <w:keepLines/>
      <w:spacing w:after="360"/>
      <w:jc w:val="center"/>
    </w:pPr>
    <w:rPr>
      <w:b/>
      <w:bCs/>
      <w:sz w:val="28"/>
      <w:szCs w:val="28"/>
    </w:rPr>
  </w:style>
  <w:style w:type="paragraph" w:customStyle="1" w:styleId="Referencetexte">
    <w:name w:val="Reference texte"/>
    <w:basedOn w:val="Normal"/>
    <w:qFormat/>
    <w:rsid w:val="00F974C5"/>
  </w:style>
  <w:style w:type="paragraph" w:customStyle="1" w:styleId="PartNo">
    <w:name w:val="Part No"/>
    <w:basedOn w:val="Normal"/>
    <w:qFormat/>
    <w:rsid w:val="00F974C5"/>
    <w:pPr>
      <w:keepNext/>
      <w:keepLines/>
      <w:spacing w:before="360" w:after="120"/>
      <w:jc w:val="center"/>
    </w:pPr>
    <w:rPr>
      <w:sz w:val="26"/>
      <w:szCs w:val="26"/>
    </w:rPr>
  </w:style>
  <w:style w:type="paragraph" w:customStyle="1" w:styleId="Parttitle">
    <w:name w:val="Part title"/>
    <w:basedOn w:val="PartNo"/>
    <w:qFormat/>
    <w:rsid w:val="00F974C5"/>
    <w:pPr>
      <w:spacing w:before="120" w:after="360"/>
    </w:pPr>
    <w:rPr>
      <w:b/>
      <w:bCs/>
      <w:sz w:val="28"/>
      <w:szCs w:val="28"/>
    </w:rPr>
  </w:style>
  <w:style w:type="paragraph" w:customStyle="1" w:styleId="Reftitle">
    <w:name w:val="Ref_title"/>
    <w:basedOn w:val="Normal"/>
    <w:qFormat/>
    <w:rsid w:val="00F974C5"/>
    <w:pPr>
      <w:keepNext/>
      <w:keepLines/>
      <w:spacing w:before="480" w:after="240"/>
      <w:jc w:val="center"/>
    </w:pPr>
    <w:rPr>
      <w:b/>
      <w:bCs/>
      <w:sz w:val="28"/>
      <w:szCs w:val="28"/>
    </w:rPr>
  </w:style>
  <w:style w:type="paragraph" w:customStyle="1" w:styleId="Section1">
    <w:name w:val="Section 1"/>
    <w:basedOn w:val="Normal"/>
    <w:qFormat/>
    <w:rsid w:val="00F974C5"/>
    <w:pPr>
      <w:keepNext/>
      <w:spacing w:before="360" w:after="240"/>
      <w:jc w:val="center"/>
    </w:pPr>
    <w:rPr>
      <w:b/>
      <w:bCs/>
      <w:sz w:val="26"/>
      <w:szCs w:val="26"/>
      <w:lang w:bidi="ar-SY"/>
    </w:rPr>
  </w:style>
  <w:style w:type="paragraph" w:customStyle="1" w:styleId="Section2">
    <w:name w:val="Section 2"/>
    <w:basedOn w:val="Section1"/>
    <w:qFormat/>
    <w:rsid w:val="00F974C5"/>
    <w:pPr>
      <w:spacing w:before="240"/>
    </w:pPr>
    <w:rPr>
      <w:b w:val="0"/>
      <w:bCs w:val="0"/>
    </w:rPr>
  </w:style>
  <w:style w:type="paragraph" w:customStyle="1" w:styleId="SectionNo">
    <w:name w:val="Section No"/>
    <w:basedOn w:val="Normal"/>
    <w:qFormat/>
    <w:rsid w:val="00F974C5"/>
    <w:pPr>
      <w:keepNext/>
      <w:keepLines/>
      <w:spacing w:before="360" w:after="120"/>
      <w:jc w:val="center"/>
    </w:pPr>
    <w:rPr>
      <w:sz w:val="26"/>
      <w:szCs w:val="26"/>
    </w:rPr>
  </w:style>
  <w:style w:type="paragraph" w:customStyle="1" w:styleId="Sectiontitle">
    <w:name w:val="Section title"/>
    <w:basedOn w:val="Normal"/>
    <w:qFormat/>
    <w:rsid w:val="00F974C5"/>
    <w:pPr>
      <w:keepNext/>
      <w:keepLines/>
      <w:spacing w:after="360"/>
      <w:jc w:val="center"/>
    </w:pPr>
    <w:rPr>
      <w:b/>
      <w:bCs/>
      <w:sz w:val="28"/>
      <w:szCs w:val="28"/>
      <w:lang w:bidi="ar-SY"/>
    </w:rPr>
  </w:style>
  <w:style w:type="paragraph" w:customStyle="1" w:styleId="Source">
    <w:name w:val="Source"/>
    <w:basedOn w:val="Normal"/>
    <w:qFormat/>
    <w:rsid w:val="007C3BCD"/>
    <w:pPr>
      <w:keepNext/>
      <w:keepLines/>
      <w:spacing w:before="840" w:after="120"/>
      <w:jc w:val="center"/>
    </w:pPr>
    <w:rPr>
      <w:b/>
      <w:bCs/>
      <w:sz w:val="32"/>
      <w:szCs w:val="32"/>
    </w:rPr>
  </w:style>
  <w:style w:type="paragraph" w:customStyle="1" w:styleId="FigureNo">
    <w:name w:val="Figure No"/>
    <w:basedOn w:val="Normal"/>
    <w:qFormat/>
    <w:rsid w:val="00F974C5"/>
    <w:pPr>
      <w:keepNext/>
      <w:spacing w:before="240" w:after="120"/>
      <w:jc w:val="center"/>
    </w:pPr>
    <w:rPr>
      <w:lang w:bidi="ar-SY"/>
    </w:rPr>
  </w:style>
  <w:style w:type="paragraph" w:customStyle="1" w:styleId="Figuretitle">
    <w:name w:val="Figure title"/>
    <w:basedOn w:val="Normal"/>
    <w:qFormat/>
    <w:rsid w:val="00F974C5"/>
    <w:pPr>
      <w:keepNext/>
      <w:spacing w:after="240"/>
      <w:jc w:val="center"/>
    </w:pPr>
    <w:rPr>
      <w:b/>
      <w:bCs/>
    </w:rPr>
  </w:style>
  <w:style w:type="paragraph" w:customStyle="1" w:styleId="TableNo">
    <w:name w:val="Table No"/>
    <w:basedOn w:val="Normal"/>
    <w:qFormat/>
    <w:rsid w:val="00F974C5"/>
    <w:pPr>
      <w:keepNext/>
      <w:spacing w:before="240" w:after="120"/>
      <w:jc w:val="center"/>
    </w:pPr>
    <w:rPr>
      <w:lang w:bidi="ar-SY"/>
    </w:rPr>
  </w:style>
  <w:style w:type="paragraph" w:customStyle="1" w:styleId="Tabletitle">
    <w:name w:val="Table title"/>
    <w:basedOn w:val="TableNo"/>
    <w:qFormat/>
    <w:rsid w:val="00F974C5"/>
    <w:pPr>
      <w:spacing w:before="120" w:after="240"/>
    </w:pPr>
    <w:rPr>
      <w:b/>
      <w:bCs/>
    </w:rPr>
  </w:style>
  <w:style w:type="paragraph" w:customStyle="1" w:styleId="TableHead">
    <w:name w:val="Table Head"/>
    <w:basedOn w:val="Normal"/>
    <w:qFormat/>
    <w:rsid w:val="00F974C5"/>
    <w:pPr>
      <w:keepNext/>
      <w:spacing w:before="60" w:after="60" w:line="260" w:lineRule="exact"/>
      <w:jc w:val="center"/>
    </w:pPr>
    <w:rPr>
      <w:b/>
      <w:bCs/>
      <w:sz w:val="20"/>
      <w:szCs w:val="20"/>
    </w:rPr>
  </w:style>
  <w:style w:type="paragraph" w:customStyle="1" w:styleId="Tabletexte">
    <w:name w:val="Table texte"/>
    <w:basedOn w:val="Normal"/>
    <w:qFormat/>
    <w:rsid w:val="00F974C5"/>
    <w:pPr>
      <w:spacing w:before="60" w:after="60" w:line="260" w:lineRule="exact"/>
    </w:pPr>
    <w:rPr>
      <w:sz w:val="20"/>
      <w:szCs w:val="20"/>
      <w:lang w:bidi="ar-SY"/>
    </w:rPr>
  </w:style>
  <w:style w:type="paragraph" w:customStyle="1" w:styleId="Title1">
    <w:name w:val="Title 1"/>
    <w:basedOn w:val="Normal"/>
    <w:qFormat/>
    <w:rsid w:val="007C3BCD"/>
    <w:pPr>
      <w:keepNext/>
      <w:spacing w:before="360" w:after="120"/>
      <w:jc w:val="center"/>
    </w:pPr>
    <w:rPr>
      <w:w w:val="120"/>
      <w:sz w:val="28"/>
      <w:szCs w:val="28"/>
    </w:rPr>
  </w:style>
  <w:style w:type="paragraph" w:customStyle="1" w:styleId="Title2">
    <w:name w:val="Title 2"/>
    <w:basedOn w:val="Normal"/>
    <w:qFormat/>
    <w:rsid w:val="00F974C5"/>
    <w:pPr>
      <w:keepNext/>
      <w:spacing w:before="240"/>
      <w:jc w:val="center"/>
    </w:pPr>
    <w:rPr>
      <w:w w:val="120"/>
      <w:sz w:val="26"/>
      <w:szCs w:val="26"/>
    </w:rPr>
  </w:style>
  <w:style w:type="paragraph" w:customStyle="1" w:styleId="Title3">
    <w:name w:val="Title 3"/>
    <w:basedOn w:val="Normal"/>
    <w:qFormat/>
    <w:rsid w:val="00F974C5"/>
    <w:pPr>
      <w:keepNext/>
      <w:spacing w:before="240"/>
      <w:jc w:val="center"/>
    </w:pPr>
    <w:rPr>
      <w:sz w:val="26"/>
      <w:szCs w:val="26"/>
    </w:rPr>
  </w:style>
  <w:style w:type="paragraph" w:styleId="TOC1">
    <w:name w:val="toc 1"/>
    <w:basedOn w:val="Normal"/>
    <w:next w:val="Normal"/>
    <w:autoRedefine/>
    <w:uiPriority w:val="39"/>
    <w:unhideWhenUsed/>
    <w:rsid w:val="00F974C5"/>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F974C5"/>
    <w:pPr>
      <w:keepNext/>
      <w:spacing w:before="360" w:after="120"/>
      <w:jc w:val="center"/>
    </w:pPr>
    <w:rPr>
      <w:sz w:val="26"/>
      <w:szCs w:val="26"/>
      <w:lang w:bidi="ar-SY"/>
    </w:rPr>
  </w:style>
  <w:style w:type="paragraph" w:customStyle="1" w:styleId="Volumetitle">
    <w:name w:val="Volume title"/>
    <w:basedOn w:val="VolumeNo"/>
    <w:qFormat/>
    <w:rsid w:val="00F974C5"/>
    <w:pPr>
      <w:spacing w:before="120" w:after="360"/>
    </w:pPr>
    <w:rPr>
      <w:b/>
      <w:bCs/>
      <w:sz w:val="28"/>
      <w:szCs w:val="28"/>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F974C5"/>
    <w:pPr>
      <w:keepNext/>
      <w:keepLines/>
      <w:spacing w:before="360"/>
      <w:jc w:val="center"/>
    </w:pPr>
    <w:rPr>
      <w:sz w:val="26"/>
      <w:szCs w:val="26"/>
    </w:rPr>
  </w:style>
  <w:style w:type="paragraph" w:customStyle="1" w:styleId="Restitle">
    <w:name w:val="Res_title"/>
    <w:basedOn w:val="Normal"/>
    <w:qFormat/>
    <w:rsid w:val="00F974C5"/>
    <w:pPr>
      <w:keepNext/>
      <w:keepLines/>
      <w:spacing w:before="240"/>
      <w:jc w:val="center"/>
    </w:pPr>
    <w:rPr>
      <w:b/>
      <w:bCs/>
      <w:sz w:val="28"/>
      <w:szCs w:val="28"/>
      <w:lang w:bidi="ar-SY"/>
    </w:rPr>
  </w:style>
  <w:style w:type="paragraph" w:customStyle="1" w:styleId="OpinionNo">
    <w:name w:val="Opinion No"/>
    <w:basedOn w:val="Normal"/>
    <w:qFormat/>
    <w:rsid w:val="00F974C5"/>
    <w:pPr>
      <w:keepNext/>
      <w:keepLines/>
      <w:spacing w:before="360" w:after="120"/>
      <w:jc w:val="center"/>
    </w:pPr>
    <w:rPr>
      <w:sz w:val="26"/>
      <w:szCs w:val="26"/>
    </w:rPr>
  </w:style>
  <w:style w:type="paragraph" w:customStyle="1" w:styleId="Opiniontitle">
    <w:name w:val="Opinion title"/>
    <w:basedOn w:val="Normal"/>
    <w:qFormat/>
    <w:rsid w:val="00F974C5"/>
    <w:pPr>
      <w:keepNext/>
      <w:keepLines/>
      <w:spacing w:after="360"/>
      <w:jc w:val="center"/>
    </w:pPr>
    <w:rPr>
      <w:b/>
      <w:bCs/>
      <w:sz w:val="28"/>
      <w:szCs w:val="28"/>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74C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974C5"/>
    <w:rPr>
      <w:rFonts w:ascii="Dubai" w:hAnsi="Dubai" w:cs="Dubai"/>
    </w:rPr>
  </w:style>
  <w:style w:type="character" w:styleId="Hyperlink">
    <w:name w:val="Hyperlink"/>
    <w:basedOn w:val="DefaultParagraphFont"/>
    <w:uiPriority w:val="99"/>
    <w:unhideWhenUsed/>
    <w:rsid w:val="00F974C5"/>
    <w:rPr>
      <w:rFonts w:ascii="Dubai" w:hAnsi="Dubai" w:cs="Dubai"/>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F974C5"/>
    <w:pPr>
      <w:tabs>
        <w:tab w:val="clear" w:pos="794"/>
        <w:tab w:val="left" w:pos="397"/>
      </w:tabs>
      <w:spacing w:before="60" w:line="168" w:lineRule="auto"/>
      <w:ind w:left="397" w:hanging="397"/>
    </w:pPr>
    <w:rPr>
      <w:sz w:val="20"/>
      <w:szCs w:val="20"/>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qFormat/>
    <w:rsid w:val="00F974C5"/>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F974C5"/>
    <w:pPr>
      <w:spacing w:before="80"/>
    </w:pPr>
    <w:rPr>
      <w:lang w:bidi="ar-SY"/>
    </w:rPr>
  </w:style>
  <w:style w:type="paragraph" w:customStyle="1" w:styleId="Headingb">
    <w:name w:val="Heading b"/>
    <w:basedOn w:val="Normal"/>
    <w:qFormat/>
    <w:rsid w:val="008339C0"/>
    <w:pPr>
      <w:keepNext/>
      <w:spacing w:before="240"/>
      <w:ind w:left="1134" w:hanging="1134"/>
    </w:pPr>
    <w:rPr>
      <w:b/>
      <w:bCs/>
      <w:sz w:val="24"/>
      <w:szCs w:val="24"/>
    </w:rPr>
  </w:style>
  <w:style w:type="table" w:styleId="GridTable5Dark-Accent1">
    <w:name w:val="Grid Table 5 Dark Accent 1"/>
    <w:basedOn w:val="TableNormal"/>
    <w:uiPriority w:val="50"/>
    <w:rsid w:val="00E61BE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customStyle="1" w:styleId="Subtitle0">
    <w:name w:val="Sub_title"/>
    <w:basedOn w:val="Normal"/>
    <w:qFormat/>
    <w:rsid w:val="007B0AA0"/>
    <w:pPr>
      <w:spacing w:after="120"/>
    </w:pPr>
    <w:rPr>
      <w:sz w:val="30"/>
      <w:szCs w:val="30"/>
      <w:lang w:bidi="ar-EG"/>
    </w:rPr>
  </w:style>
  <w:style w:type="table" w:customStyle="1" w:styleId="TableGrid1">
    <w:name w:val="Table Grid1"/>
    <w:basedOn w:val="TableNormal"/>
    <w:next w:val="TableGrid"/>
    <w:uiPriority w:val="39"/>
    <w:rsid w:val="007B0AA0"/>
    <w:pPr>
      <w:spacing w:after="0" w:line="240" w:lineRule="auto"/>
    </w:pPr>
    <w:rPr>
      <w:rFonts w:eastAsia="Calibr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730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641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S23-CL-C-0019/en"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28108-4966-4581-8805-B68FC0355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2258</Words>
  <Characters>12874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International Telecommunication Union</Company>
  <LinksUpToDate>false</LinksUpToDate>
  <CharactersWithSpaces>15102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Canada and the United States of America - Support for the study on the appropriateness of Council Decision 482 to recover costs associated with the processing of Satellite Network Filings</dc:title>
  <dc:subject>Council 2023</dc:subject>
  <dc:creator>Arabic-AA</dc:creator>
  <cp:keywords>C2023, C23, Council-23</cp:keywords>
  <dc:description/>
  <cp:lastModifiedBy>Xue, Kun</cp:lastModifiedBy>
  <cp:revision>4</cp:revision>
  <dcterms:created xsi:type="dcterms:W3CDTF">2023-07-07T18:11:00Z</dcterms:created>
  <dcterms:modified xsi:type="dcterms:W3CDTF">2023-07-07T18:12:00Z</dcterms:modified>
  <cp:category>Conference document</cp:category>
</cp:coreProperties>
</file>