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F305E" w14:paraId="2592CC74" w14:textId="77777777" w:rsidTr="00D72F49">
        <w:trPr>
          <w:cantSplit/>
          <w:trHeight w:val="23"/>
        </w:trPr>
        <w:tc>
          <w:tcPr>
            <w:tcW w:w="3969" w:type="dxa"/>
            <w:vMerge w:val="restart"/>
            <w:tcMar>
              <w:left w:w="0" w:type="dxa"/>
            </w:tcMar>
          </w:tcPr>
          <w:p w14:paraId="27E56DEB" w14:textId="6CBAECC7" w:rsidR="00D72F49" w:rsidRPr="00EF305E" w:rsidRDefault="00D72F49" w:rsidP="00DC0B8D">
            <w:pPr>
              <w:tabs>
                <w:tab w:val="left" w:pos="851"/>
              </w:tabs>
              <w:spacing w:before="0"/>
              <w:rPr>
                <w:b/>
              </w:rPr>
            </w:pPr>
            <w:r w:rsidRPr="00EF305E">
              <w:rPr>
                <w:b/>
              </w:rPr>
              <w:t>Point de l</w:t>
            </w:r>
            <w:r w:rsidR="00DC0B8D" w:rsidRPr="00EF305E">
              <w:rPr>
                <w:b/>
              </w:rPr>
              <w:t>'</w:t>
            </w:r>
            <w:r w:rsidRPr="00EF305E">
              <w:rPr>
                <w:b/>
              </w:rPr>
              <w:t xml:space="preserve">ordre du </w:t>
            </w:r>
            <w:proofErr w:type="gramStart"/>
            <w:r w:rsidRPr="00EF305E">
              <w:rPr>
                <w:b/>
              </w:rPr>
              <w:t>jour:</w:t>
            </w:r>
            <w:proofErr w:type="gramEnd"/>
            <w:r w:rsidRPr="00EF305E">
              <w:rPr>
                <w:b/>
              </w:rPr>
              <w:t xml:space="preserve"> </w:t>
            </w:r>
            <w:r w:rsidR="001D5B56" w:rsidRPr="00EF305E">
              <w:rPr>
                <w:b/>
              </w:rPr>
              <w:t>ADM 1</w:t>
            </w:r>
          </w:p>
        </w:tc>
        <w:tc>
          <w:tcPr>
            <w:tcW w:w="5245" w:type="dxa"/>
          </w:tcPr>
          <w:p w14:paraId="27B6A98A" w14:textId="3BC5B63F" w:rsidR="00D72F49" w:rsidRPr="00EF305E" w:rsidRDefault="00D72F49" w:rsidP="00DC0B8D">
            <w:pPr>
              <w:tabs>
                <w:tab w:val="left" w:pos="851"/>
              </w:tabs>
              <w:spacing w:before="0"/>
              <w:jc w:val="right"/>
              <w:rPr>
                <w:b/>
              </w:rPr>
            </w:pPr>
            <w:r w:rsidRPr="00EF305E">
              <w:rPr>
                <w:b/>
              </w:rPr>
              <w:t>Document C23/</w:t>
            </w:r>
            <w:r w:rsidR="001D5B56" w:rsidRPr="00EF305E">
              <w:rPr>
                <w:b/>
              </w:rPr>
              <w:t>82</w:t>
            </w:r>
            <w:r w:rsidRPr="00EF305E">
              <w:rPr>
                <w:b/>
              </w:rPr>
              <w:t>-F</w:t>
            </w:r>
          </w:p>
        </w:tc>
      </w:tr>
      <w:tr w:rsidR="00D72F49" w:rsidRPr="00EF305E" w14:paraId="41096C77" w14:textId="77777777" w:rsidTr="00D72F49">
        <w:trPr>
          <w:cantSplit/>
        </w:trPr>
        <w:tc>
          <w:tcPr>
            <w:tcW w:w="3969" w:type="dxa"/>
            <w:vMerge/>
          </w:tcPr>
          <w:p w14:paraId="0BBA5643" w14:textId="77777777" w:rsidR="00D72F49" w:rsidRPr="00EF305E" w:rsidRDefault="00D72F49" w:rsidP="00DC0B8D">
            <w:pPr>
              <w:tabs>
                <w:tab w:val="left" w:pos="851"/>
              </w:tabs>
              <w:rPr>
                <w:b/>
              </w:rPr>
            </w:pPr>
          </w:p>
        </w:tc>
        <w:tc>
          <w:tcPr>
            <w:tcW w:w="5245" w:type="dxa"/>
          </w:tcPr>
          <w:p w14:paraId="068BECD5" w14:textId="68CD48AB" w:rsidR="00D72F49" w:rsidRPr="00EF305E" w:rsidRDefault="001D5B56" w:rsidP="00DC0B8D">
            <w:pPr>
              <w:tabs>
                <w:tab w:val="left" w:pos="851"/>
              </w:tabs>
              <w:spacing w:before="0"/>
              <w:jc w:val="right"/>
              <w:rPr>
                <w:b/>
              </w:rPr>
            </w:pPr>
            <w:r w:rsidRPr="00EF305E">
              <w:rPr>
                <w:b/>
              </w:rPr>
              <w:t>27 juin</w:t>
            </w:r>
            <w:r w:rsidR="00D72F49" w:rsidRPr="00EF305E">
              <w:rPr>
                <w:b/>
              </w:rPr>
              <w:t xml:space="preserve"> 2023</w:t>
            </w:r>
          </w:p>
        </w:tc>
      </w:tr>
      <w:tr w:rsidR="00D72F49" w:rsidRPr="00EF305E" w14:paraId="17E5B988" w14:textId="77777777" w:rsidTr="00D72F49">
        <w:trPr>
          <w:cantSplit/>
          <w:trHeight w:val="23"/>
        </w:trPr>
        <w:tc>
          <w:tcPr>
            <w:tcW w:w="3969" w:type="dxa"/>
            <w:vMerge/>
          </w:tcPr>
          <w:p w14:paraId="2192D6D7" w14:textId="77777777" w:rsidR="00D72F49" w:rsidRPr="00EF305E" w:rsidRDefault="00D72F49" w:rsidP="00DC0B8D">
            <w:pPr>
              <w:tabs>
                <w:tab w:val="left" w:pos="851"/>
              </w:tabs>
              <w:rPr>
                <w:b/>
              </w:rPr>
            </w:pPr>
          </w:p>
        </w:tc>
        <w:tc>
          <w:tcPr>
            <w:tcW w:w="5245" w:type="dxa"/>
          </w:tcPr>
          <w:p w14:paraId="1948C622" w14:textId="77777777" w:rsidR="00D72F49" w:rsidRPr="00EF305E" w:rsidRDefault="00D72F49" w:rsidP="00DC0B8D">
            <w:pPr>
              <w:tabs>
                <w:tab w:val="left" w:pos="851"/>
              </w:tabs>
              <w:spacing w:before="0"/>
              <w:jc w:val="right"/>
              <w:rPr>
                <w:b/>
              </w:rPr>
            </w:pPr>
            <w:r w:rsidRPr="00EF305E">
              <w:rPr>
                <w:b/>
              </w:rPr>
              <w:t>Original: anglais</w:t>
            </w:r>
          </w:p>
        </w:tc>
      </w:tr>
      <w:tr w:rsidR="00D72F49" w:rsidRPr="00EF305E" w14:paraId="53623BEE" w14:textId="77777777" w:rsidTr="00D72F49">
        <w:trPr>
          <w:cantSplit/>
          <w:trHeight w:val="23"/>
        </w:trPr>
        <w:tc>
          <w:tcPr>
            <w:tcW w:w="3969" w:type="dxa"/>
          </w:tcPr>
          <w:p w14:paraId="630B4C34" w14:textId="77777777" w:rsidR="00D72F49" w:rsidRPr="00EF305E" w:rsidRDefault="00D72F49" w:rsidP="00DC0B8D">
            <w:pPr>
              <w:tabs>
                <w:tab w:val="left" w:pos="851"/>
              </w:tabs>
              <w:rPr>
                <w:b/>
              </w:rPr>
            </w:pPr>
          </w:p>
        </w:tc>
        <w:tc>
          <w:tcPr>
            <w:tcW w:w="5245" w:type="dxa"/>
          </w:tcPr>
          <w:p w14:paraId="437750C4" w14:textId="77777777" w:rsidR="00D72F49" w:rsidRPr="00EF305E" w:rsidRDefault="00D72F49" w:rsidP="00DC0B8D">
            <w:pPr>
              <w:tabs>
                <w:tab w:val="left" w:pos="851"/>
              </w:tabs>
              <w:spacing w:before="0"/>
              <w:jc w:val="right"/>
              <w:rPr>
                <w:b/>
              </w:rPr>
            </w:pPr>
          </w:p>
        </w:tc>
      </w:tr>
      <w:tr w:rsidR="00D72F49" w:rsidRPr="00EF305E" w14:paraId="31FFA2A5" w14:textId="77777777" w:rsidTr="00D72F49">
        <w:trPr>
          <w:cantSplit/>
        </w:trPr>
        <w:tc>
          <w:tcPr>
            <w:tcW w:w="9214" w:type="dxa"/>
            <w:gridSpan w:val="2"/>
            <w:tcMar>
              <w:left w:w="0" w:type="dxa"/>
            </w:tcMar>
          </w:tcPr>
          <w:p w14:paraId="7AA1F34C" w14:textId="45EB0621" w:rsidR="00D72F49" w:rsidRPr="00EF305E" w:rsidRDefault="00396EAE" w:rsidP="00DC0B8D">
            <w:pPr>
              <w:pStyle w:val="Source"/>
              <w:jc w:val="left"/>
              <w:rPr>
                <w:sz w:val="34"/>
                <w:szCs w:val="34"/>
              </w:rPr>
            </w:pPr>
            <w:r w:rsidRPr="00EF305E">
              <w:rPr>
                <w:rFonts w:cstheme="minorHAnsi"/>
                <w:color w:val="000000"/>
                <w:sz w:val="34"/>
                <w:szCs w:val="34"/>
              </w:rPr>
              <w:t>Contribution du Canada et des États-Unis d</w:t>
            </w:r>
            <w:r w:rsidR="00DC0B8D" w:rsidRPr="00EF305E">
              <w:rPr>
                <w:rFonts w:cstheme="minorHAnsi"/>
                <w:color w:val="000000"/>
                <w:sz w:val="34"/>
                <w:szCs w:val="34"/>
              </w:rPr>
              <w:t>'</w:t>
            </w:r>
            <w:r w:rsidRPr="00EF305E">
              <w:rPr>
                <w:rFonts w:cstheme="minorHAnsi"/>
                <w:color w:val="000000"/>
                <w:sz w:val="34"/>
                <w:szCs w:val="34"/>
              </w:rPr>
              <w:t>Amérique</w:t>
            </w:r>
          </w:p>
        </w:tc>
      </w:tr>
      <w:tr w:rsidR="00D72F49" w:rsidRPr="00EF305E" w14:paraId="65E7E3D8" w14:textId="77777777" w:rsidTr="00D72F49">
        <w:trPr>
          <w:cantSplit/>
        </w:trPr>
        <w:tc>
          <w:tcPr>
            <w:tcW w:w="9214" w:type="dxa"/>
            <w:gridSpan w:val="2"/>
            <w:tcMar>
              <w:left w:w="0" w:type="dxa"/>
            </w:tcMar>
          </w:tcPr>
          <w:p w14:paraId="370F6D7B" w14:textId="788385EC" w:rsidR="00D72F49" w:rsidRPr="00EF305E" w:rsidRDefault="00B660F4" w:rsidP="00DC0B8D">
            <w:pPr>
              <w:pStyle w:val="Subtitle"/>
              <w:framePr w:hSpace="0" w:wrap="auto" w:hAnchor="text" w:xAlign="left" w:yAlign="inline"/>
              <w:rPr>
                <w:lang w:val="fr-FR"/>
              </w:rPr>
            </w:pPr>
            <w:r w:rsidRPr="00EF305E">
              <w:rPr>
                <w:rFonts w:cstheme="minorHAnsi"/>
                <w:lang w:val="fr-FR"/>
              </w:rPr>
              <w:t>ÉLÉMENTS À L</w:t>
            </w:r>
            <w:r w:rsidR="00DC0B8D" w:rsidRPr="00EF305E">
              <w:rPr>
                <w:rFonts w:cstheme="minorHAnsi"/>
                <w:lang w:val="fr-FR"/>
              </w:rPr>
              <w:t>'</w:t>
            </w:r>
            <w:r w:rsidRPr="00EF305E">
              <w:rPr>
                <w:rFonts w:cstheme="minorHAnsi"/>
                <w:lang w:val="fr-FR"/>
              </w:rPr>
              <w:t xml:space="preserve">APPUI DE </w:t>
            </w:r>
            <w:r w:rsidR="00DD1A1B" w:rsidRPr="00EF305E">
              <w:rPr>
                <w:rFonts w:cstheme="minorHAnsi"/>
                <w:lang w:val="fr-FR"/>
              </w:rPr>
              <w:t>L</w:t>
            </w:r>
            <w:r w:rsidR="00DC0B8D" w:rsidRPr="00EF305E">
              <w:rPr>
                <w:rFonts w:cstheme="minorHAnsi"/>
                <w:lang w:val="fr-FR"/>
              </w:rPr>
              <w:t>'</w:t>
            </w:r>
            <w:r w:rsidR="001D5B56" w:rsidRPr="00EF305E">
              <w:rPr>
                <w:rFonts w:cstheme="minorHAnsi"/>
                <w:lang w:val="fr-FR"/>
              </w:rPr>
              <w:t>ÉTUDE SUR LA PERTINENCE DE</w:t>
            </w:r>
            <w:r w:rsidR="00DC0B8D" w:rsidRPr="00EF305E">
              <w:rPr>
                <w:rFonts w:cstheme="minorHAnsi"/>
                <w:lang w:val="fr-FR"/>
              </w:rPr>
              <w:t xml:space="preserve"> </w:t>
            </w:r>
            <w:r w:rsidR="001D5B56" w:rsidRPr="00EF305E">
              <w:rPr>
                <w:rFonts w:cstheme="minorHAnsi"/>
                <w:lang w:val="fr-FR"/>
              </w:rPr>
              <w:t>LA</w:t>
            </w:r>
            <w:r w:rsidR="00DC0B8D" w:rsidRPr="00EF305E">
              <w:rPr>
                <w:rFonts w:cstheme="minorHAnsi"/>
                <w:lang w:val="fr-FR"/>
              </w:rPr>
              <w:br/>
            </w:r>
            <w:r w:rsidR="001D5B56" w:rsidRPr="00EF305E">
              <w:rPr>
                <w:rFonts w:cstheme="minorHAnsi"/>
                <w:lang w:val="fr-FR"/>
              </w:rPr>
              <w:t>DÉCISION 482 DU CONSEIL POUR LE RECOUVREMENT</w:t>
            </w:r>
            <w:r w:rsidR="00DC0B8D" w:rsidRPr="00EF305E">
              <w:rPr>
                <w:rFonts w:cstheme="minorHAnsi"/>
                <w:lang w:val="fr-FR"/>
              </w:rPr>
              <w:br/>
            </w:r>
            <w:r w:rsidR="001D5B56" w:rsidRPr="00EF305E">
              <w:rPr>
                <w:rFonts w:cstheme="minorHAnsi"/>
                <w:lang w:val="fr-FR"/>
              </w:rPr>
              <w:t>DES</w:t>
            </w:r>
            <w:r w:rsidR="00DC0B8D" w:rsidRPr="00EF305E">
              <w:rPr>
                <w:rFonts w:cstheme="minorHAnsi"/>
                <w:lang w:val="fr-FR"/>
              </w:rPr>
              <w:t xml:space="preserve"> </w:t>
            </w:r>
            <w:r w:rsidR="001D5B56" w:rsidRPr="00EF305E">
              <w:rPr>
                <w:rFonts w:cstheme="minorHAnsi"/>
                <w:lang w:val="fr-FR"/>
              </w:rPr>
              <w:t>COÛTS ASSOCIÉS AU TRAITEMENT DES FICHES</w:t>
            </w:r>
            <w:r w:rsidR="00DC0B8D" w:rsidRPr="00EF305E">
              <w:rPr>
                <w:rFonts w:cstheme="minorHAnsi"/>
                <w:lang w:val="fr-FR"/>
              </w:rPr>
              <w:br/>
            </w:r>
            <w:r w:rsidR="001D5B56" w:rsidRPr="00EF305E">
              <w:rPr>
                <w:rFonts w:cstheme="minorHAnsi"/>
                <w:lang w:val="fr-FR"/>
              </w:rPr>
              <w:t>DE</w:t>
            </w:r>
            <w:r w:rsidR="00DC0B8D" w:rsidRPr="00EF305E">
              <w:rPr>
                <w:rFonts w:cstheme="minorHAnsi"/>
                <w:lang w:val="fr-FR"/>
              </w:rPr>
              <w:t xml:space="preserve"> </w:t>
            </w:r>
            <w:r w:rsidR="001D5B56" w:rsidRPr="00EF305E">
              <w:rPr>
                <w:rFonts w:cstheme="minorHAnsi"/>
                <w:lang w:val="fr-FR"/>
              </w:rPr>
              <w:t>NOTIFICATION DES RÉSEAUX À SATELLITE</w:t>
            </w:r>
          </w:p>
        </w:tc>
      </w:tr>
      <w:tr w:rsidR="00D72F49" w:rsidRPr="00EF305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68B59FE0" w:rsidR="00D72F49" w:rsidRPr="00EF305E" w:rsidRDefault="00F37FE5" w:rsidP="00DC0B8D">
            <w:pPr>
              <w:spacing w:before="160"/>
              <w:rPr>
                <w:b/>
                <w:bCs/>
                <w:sz w:val="26"/>
                <w:szCs w:val="26"/>
              </w:rPr>
            </w:pPr>
            <w:r w:rsidRPr="00EF305E">
              <w:rPr>
                <w:b/>
                <w:bCs/>
                <w:sz w:val="26"/>
                <w:szCs w:val="26"/>
              </w:rPr>
              <w:t>Objet</w:t>
            </w:r>
          </w:p>
          <w:p w14:paraId="45E55FB2" w14:textId="4E6EB307" w:rsidR="00D72F49" w:rsidRPr="00EF305E" w:rsidRDefault="006C7540" w:rsidP="00DC0B8D">
            <w:r w:rsidRPr="00EF305E">
              <w:t>La présente contribution fait suite au</w:t>
            </w:r>
            <w:r w:rsidR="001D5B56" w:rsidRPr="00EF305E">
              <w:t xml:space="preserve"> Document C23/19</w:t>
            </w:r>
            <w:r w:rsidR="00BB7DC3" w:rsidRPr="00EF305E">
              <w:t xml:space="preserve">, qui </w:t>
            </w:r>
            <w:r w:rsidR="002868A1" w:rsidRPr="00EF305E">
              <w:t>contient un</w:t>
            </w:r>
            <w:r w:rsidR="00BB7DC3" w:rsidRPr="00EF305E">
              <w:t xml:space="preserve"> rapport</w:t>
            </w:r>
            <w:r w:rsidR="001D5B56" w:rsidRPr="00EF305E">
              <w:t xml:space="preserve"> </w:t>
            </w:r>
            <w:r w:rsidR="000E5FB6" w:rsidRPr="00EF305E">
              <w:t>de la Secrétaire générale intitulé</w:t>
            </w:r>
            <w:r w:rsidR="001D5B56" w:rsidRPr="00EF305E">
              <w:t xml:space="preserve"> "Étude sur la pertinence de la </w:t>
            </w:r>
            <w:r w:rsidR="00026E2F" w:rsidRPr="00EF305E">
              <w:t>D</w:t>
            </w:r>
            <w:r w:rsidR="001D5B56" w:rsidRPr="00EF305E">
              <w:t xml:space="preserve">écision 482 du </w:t>
            </w:r>
            <w:r w:rsidR="00F0393C" w:rsidRPr="00EF305E">
              <w:t>C</w:t>
            </w:r>
            <w:r w:rsidR="001D5B56" w:rsidRPr="00EF305E">
              <w:t>onseil pour le recouvrement des coûts associés au traitement des fiches de notification des réseaux à satellite"</w:t>
            </w:r>
            <w:r w:rsidR="001A4A10" w:rsidRPr="00EF305E">
              <w:t>. Le</w:t>
            </w:r>
            <w:r w:rsidR="001D5B56" w:rsidRPr="00EF305E">
              <w:t xml:space="preserve"> Canada </w:t>
            </w:r>
            <w:r w:rsidR="001A4A10" w:rsidRPr="00EF305E">
              <w:t>et les États-Unis d</w:t>
            </w:r>
            <w:r w:rsidR="00DC0B8D" w:rsidRPr="00EF305E">
              <w:t>'</w:t>
            </w:r>
            <w:r w:rsidR="001A4A10" w:rsidRPr="00EF305E">
              <w:t xml:space="preserve">Amérique appuient la </w:t>
            </w:r>
            <w:r w:rsidR="004572C7" w:rsidRPr="00EF305E">
              <w:t>création</w:t>
            </w:r>
            <w:r w:rsidR="001A4A10" w:rsidRPr="00EF305E">
              <w:t xml:space="preserve"> d</w:t>
            </w:r>
            <w:r w:rsidR="00DC0B8D" w:rsidRPr="00EF305E">
              <w:t>'</w:t>
            </w:r>
            <w:r w:rsidR="001A4A10" w:rsidRPr="00EF305E">
              <w:t>un Groupe d</w:t>
            </w:r>
            <w:r w:rsidR="00DC0B8D" w:rsidRPr="00EF305E">
              <w:t>'</w:t>
            </w:r>
            <w:r w:rsidR="001A4A10" w:rsidRPr="00EF305E">
              <w:t xml:space="preserve">experts du Conseil sur la Décision 482 </w:t>
            </w:r>
            <w:r w:rsidR="00DE0A98" w:rsidRPr="00EF305E">
              <w:t xml:space="preserve">ainsi que </w:t>
            </w:r>
            <w:r w:rsidR="004572C7" w:rsidRPr="00EF305E">
              <w:t>l</w:t>
            </w:r>
            <w:r w:rsidR="00DC0B8D" w:rsidRPr="00EF305E">
              <w:t>'</w:t>
            </w:r>
            <w:r w:rsidR="004572C7" w:rsidRPr="00EF305E">
              <w:t xml:space="preserve">adoption du mandat </w:t>
            </w:r>
            <w:r w:rsidR="00C91FAA" w:rsidRPr="00EF305E">
              <w:t>découlant du</w:t>
            </w:r>
            <w:r w:rsidR="007B1ABC" w:rsidRPr="00EF305E">
              <w:t xml:space="preserve"> rapport sur </w:t>
            </w:r>
            <w:r w:rsidR="00306459" w:rsidRPr="00EF305E">
              <w:t>l</w:t>
            </w:r>
            <w:r w:rsidR="00DC0B8D" w:rsidRPr="00EF305E">
              <w:t>'</w:t>
            </w:r>
            <w:r w:rsidR="00306459" w:rsidRPr="00EF305E">
              <w:t>étendue du recouvrement des</w:t>
            </w:r>
            <w:r w:rsidR="007B1ABC" w:rsidRPr="00EF305E">
              <w:t xml:space="preserve"> coûts </w:t>
            </w:r>
            <w:r w:rsidR="00306459" w:rsidRPr="00EF305E">
              <w:t>associés au</w:t>
            </w:r>
            <w:r w:rsidR="007B1ABC" w:rsidRPr="00EF305E">
              <w:t xml:space="preserve"> traitement des fiches de notification des réseaux à satellite.</w:t>
            </w:r>
          </w:p>
          <w:p w14:paraId="0B950982" w14:textId="77777777" w:rsidR="00D72F49" w:rsidRPr="00EF305E" w:rsidRDefault="00D72F49" w:rsidP="00DC0B8D">
            <w:pPr>
              <w:spacing w:before="160"/>
              <w:rPr>
                <w:b/>
                <w:bCs/>
                <w:sz w:val="26"/>
                <w:szCs w:val="26"/>
              </w:rPr>
            </w:pPr>
            <w:r w:rsidRPr="00EF305E">
              <w:rPr>
                <w:b/>
                <w:bCs/>
                <w:sz w:val="26"/>
                <w:szCs w:val="26"/>
              </w:rPr>
              <w:t>Suite à donner par le Conseil</w:t>
            </w:r>
          </w:p>
          <w:p w14:paraId="6F9A6B88" w14:textId="70AE51DB" w:rsidR="00D72F49" w:rsidRPr="00EF305E" w:rsidRDefault="0054669E" w:rsidP="00DC0B8D">
            <w:r w:rsidRPr="00EF305E">
              <w:t>Le Conseil est invit</w:t>
            </w:r>
            <w:r w:rsidR="0048757C" w:rsidRPr="00EF305E">
              <w:t>é</w:t>
            </w:r>
            <w:r w:rsidRPr="00EF305E">
              <w:t xml:space="preserve"> à </w:t>
            </w:r>
            <w:r w:rsidRPr="00EF305E">
              <w:rPr>
                <w:b/>
                <w:bCs/>
              </w:rPr>
              <w:t>créer un Groupe d</w:t>
            </w:r>
            <w:r w:rsidR="00DC0B8D" w:rsidRPr="00EF305E">
              <w:rPr>
                <w:b/>
                <w:bCs/>
              </w:rPr>
              <w:t>'</w:t>
            </w:r>
            <w:r w:rsidRPr="00EF305E">
              <w:rPr>
                <w:b/>
                <w:bCs/>
              </w:rPr>
              <w:t xml:space="preserve">experts du Conseil </w:t>
            </w:r>
            <w:r w:rsidRPr="00EF305E">
              <w:t xml:space="preserve">sur la </w:t>
            </w:r>
            <w:r w:rsidRPr="00EF305E">
              <w:rPr>
                <w:b/>
                <w:bCs/>
              </w:rPr>
              <w:t>Décision 482</w:t>
            </w:r>
            <w:r w:rsidR="0048757C" w:rsidRPr="00EF305E">
              <w:rPr>
                <w:b/>
                <w:bCs/>
              </w:rPr>
              <w:t xml:space="preserve"> </w:t>
            </w:r>
            <w:r w:rsidRPr="00EF305E">
              <w:t xml:space="preserve">et à </w:t>
            </w:r>
            <w:r w:rsidRPr="00EF305E">
              <w:rPr>
                <w:b/>
                <w:bCs/>
              </w:rPr>
              <w:t>définir son mandat</w:t>
            </w:r>
            <w:r w:rsidRPr="00EF305E">
              <w:t>.</w:t>
            </w:r>
          </w:p>
          <w:p w14:paraId="2E44E753" w14:textId="77777777" w:rsidR="00D72F49" w:rsidRPr="00EF305E" w:rsidRDefault="00D72F49" w:rsidP="00DC0B8D">
            <w:pPr>
              <w:spacing w:before="160"/>
              <w:rPr>
                <w:caps/>
                <w:sz w:val="22"/>
              </w:rPr>
            </w:pPr>
            <w:r w:rsidRPr="00EF305E">
              <w:rPr>
                <w:sz w:val="22"/>
              </w:rPr>
              <w:t>__________________</w:t>
            </w:r>
          </w:p>
          <w:p w14:paraId="246B160C" w14:textId="77777777" w:rsidR="00D72F49" w:rsidRPr="00EF305E" w:rsidRDefault="00D72F49" w:rsidP="00DC0B8D">
            <w:pPr>
              <w:spacing w:before="160"/>
              <w:rPr>
                <w:b/>
                <w:bCs/>
                <w:sz w:val="26"/>
                <w:szCs w:val="26"/>
              </w:rPr>
            </w:pPr>
            <w:r w:rsidRPr="00EF305E">
              <w:rPr>
                <w:b/>
                <w:bCs/>
                <w:sz w:val="26"/>
                <w:szCs w:val="26"/>
              </w:rPr>
              <w:t>Références</w:t>
            </w:r>
          </w:p>
          <w:p w14:paraId="3B399B5C" w14:textId="072D0586" w:rsidR="00D72F49" w:rsidRPr="00EF305E" w:rsidRDefault="005B5F46" w:rsidP="00DC0B8D">
            <w:pPr>
              <w:spacing w:after="160"/>
            </w:pPr>
            <w:hyperlink r:id="rId8" w:history="1">
              <w:r w:rsidR="0054669E" w:rsidRPr="00EF305E">
                <w:rPr>
                  <w:rStyle w:val="Hyperlink"/>
                </w:rPr>
                <w:t xml:space="preserve">Document </w:t>
              </w:r>
              <w:r w:rsidR="001D5B56" w:rsidRPr="00EF305E">
                <w:rPr>
                  <w:rStyle w:val="Hyperlink"/>
                </w:rPr>
                <w:t>C23/19</w:t>
              </w:r>
              <w:r w:rsidR="0054669E" w:rsidRPr="00EF305E">
                <w:rPr>
                  <w:rStyle w:val="Hyperlink"/>
                </w:rPr>
                <w:t xml:space="preserve"> – </w:t>
              </w:r>
              <w:r w:rsidR="001D5B56" w:rsidRPr="00EF305E">
                <w:rPr>
                  <w:rStyle w:val="Hyperlink"/>
                </w:rPr>
                <w:t xml:space="preserve">Étude sur la pertinence de la </w:t>
              </w:r>
              <w:r w:rsidR="0054669E" w:rsidRPr="00EF305E">
                <w:rPr>
                  <w:rStyle w:val="Hyperlink"/>
                </w:rPr>
                <w:t>D</w:t>
              </w:r>
              <w:r w:rsidR="001D5B56" w:rsidRPr="00EF305E">
                <w:rPr>
                  <w:rStyle w:val="Hyperlink"/>
                </w:rPr>
                <w:t xml:space="preserve">écision 482 du </w:t>
              </w:r>
              <w:r w:rsidR="00CF3C02" w:rsidRPr="00EF305E">
                <w:rPr>
                  <w:rStyle w:val="Hyperlink"/>
                </w:rPr>
                <w:t>C</w:t>
              </w:r>
              <w:r w:rsidR="001D5B56" w:rsidRPr="00EF305E">
                <w:rPr>
                  <w:rStyle w:val="Hyperlink"/>
                </w:rPr>
                <w:t>onseil pour le recouvrement des coûts associés au traitement des fiches de notification des réseaux à satellite</w:t>
              </w:r>
            </w:hyperlink>
          </w:p>
        </w:tc>
      </w:tr>
    </w:tbl>
    <w:p w14:paraId="3B7150AC" w14:textId="77777777" w:rsidR="00A51849" w:rsidRPr="00EF305E" w:rsidRDefault="00A51849" w:rsidP="00DC0B8D">
      <w:pPr>
        <w:tabs>
          <w:tab w:val="clear" w:pos="567"/>
          <w:tab w:val="clear" w:pos="1134"/>
          <w:tab w:val="clear" w:pos="1701"/>
          <w:tab w:val="clear" w:pos="2268"/>
          <w:tab w:val="clear" w:pos="2835"/>
        </w:tabs>
        <w:overflowPunct/>
        <w:autoSpaceDE/>
        <w:autoSpaceDN/>
        <w:adjustRightInd/>
        <w:spacing w:before="0"/>
        <w:textAlignment w:val="auto"/>
      </w:pPr>
      <w:r w:rsidRPr="00EF305E">
        <w:br w:type="page"/>
      </w:r>
    </w:p>
    <w:p w14:paraId="0785DB98" w14:textId="77777777" w:rsidR="001D5B56" w:rsidRPr="00EF305E" w:rsidRDefault="001D5B56" w:rsidP="00DC0B8D">
      <w:pPr>
        <w:pStyle w:val="Headingb"/>
      </w:pPr>
      <w:r w:rsidRPr="00EF305E">
        <w:lastRenderedPageBreak/>
        <w:t>Introduction</w:t>
      </w:r>
    </w:p>
    <w:p w14:paraId="3545FE9B" w14:textId="1C11EF7A" w:rsidR="001D5B56" w:rsidRPr="00EF305E" w:rsidRDefault="00BB7DC3" w:rsidP="00DC0B8D">
      <w:r w:rsidRPr="00EF305E">
        <w:t xml:space="preserve">Le </w:t>
      </w:r>
      <w:r w:rsidR="001D5B56" w:rsidRPr="00EF305E">
        <w:t xml:space="preserve">Canada </w:t>
      </w:r>
      <w:r w:rsidRPr="00EF305E">
        <w:t xml:space="preserve">et les États-Unis </w:t>
      </w:r>
      <w:r w:rsidR="00DD1A1B" w:rsidRPr="00EF305E">
        <w:t xml:space="preserve">remercient </w:t>
      </w:r>
      <w:r w:rsidR="00612EB5" w:rsidRPr="00EF305E">
        <w:t xml:space="preserve">la Secrétaire générale </w:t>
      </w:r>
      <w:r w:rsidR="00DD1A1B" w:rsidRPr="00EF305E">
        <w:t xml:space="preserve">pour son rapport </w:t>
      </w:r>
      <w:r w:rsidR="00612EB5" w:rsidRPr="00EF305E">
        <w:t xml:space="preserve">intitulé </w:t>
      </w:r>
      <w:r w:rsidR="001D5B56" w:rsidRPr="00EF305E">
        <w:t xml:space="preserve">"Étude sur la pertinence de la </w:t>
      </w:r>
      <w:r w:rsidR="0001596D" w:rsidRPr="00EF305E">
        <w:t>D</w:t>
      </w:r>
      <w:r w:rsidR="001D5B56" w:rsidRPr="00EF305E">
        <w:t xml:space="preserve">écision 482 du </w:t>
      </w:r>
      <w:r w:rsidR="0001596D" w:rsidRPr="00EF305E">
        <w:t>C</w:t>
      </w:r>
      <w:r w:rsidR="001D5B56" w:rsidRPr="00EF305E">
        <w:t>onseil pour le recouvrement des coûts associés au traitement des fiches de notification des réseaux à satellite" (Document C23/19)</w:t>
      </w:r>
      <w:r w:rsidR="00DD1A1B" w:rsidRPr="00EF305E">
        <w:t>, auquel ils adhèrent largement</w:t>
      </w:r>
      <w:r w:rsidR="001D5B56" w:rsidRPr="00EF305E">
        <w:t xml:space="preserve">. </w:t>
      </w:r>
      <w:r w:rsidR="00852DEB" w:rsidRPr="00EF305E">
        <w:t xml:space="preserve">Compte tenu de cette étude, le Canada et les États-Unis </w:t>
      </w:r>
      <w:r w:rsidR="00F54A36" w:rsidRPr="00EF305E">
        <w:t>sont favorables à</w:t>
      </w:r>
      <w:r w:rsidR="00852DEB" w:rsidRPr="00EF305E">
        <w:t xml:space="preserve"> la création d</w:t>
      </w:r>
      <w:r w:rsidR="00DC0B8D" w:rsidRPr="00EF305E">
        <w:t>'</w:t>
      </w:r>
      <w:r w:rsidR="00852DEB" w:rsidRPr="00EF305E">
        <w:t>un Groupe d</w:t>
      </w:r>
      <w:r w:rsidR="00DC0B8D" w:rsidRPr="00EF305E">
        <w:t>'</w:t>
      </w:r>
      <w:r w:rsidR="00852DEB" w:rsidRPr="00EF305E">
        <w:t xml:space="preserve">experts du Conseil sur la Décision 482, dont le mandat serait limité aux questions </w:t>
      </w:r>
      <w:r w:rsidR="006D2983" w:rsidRPr="00EF305E">
        <w:t>spécifiques</w:t>
      </w:r>
      <w:r w:rsidR="00852DEB" w:rsidRPr="00EF305E">
        <w:t xml:space="preserve"> </w:t>
      </w:r>
      <w:r w:rsidR="00D24E61" w:rsidRPr="00EF305E">
        <w:t>découlant</w:t>
      </w:r>
      <w:r w:rsidR="00852DEB" w:rsidRPr="00EF305E">
        <w:t xml:space="preserve"> de cette étude, comme indiqué ci-après</w:t>
      </w:r>
      <w:r w:rsidR="00D24E61" w:rsidRPr="00EF305E">
        <w:t>.</w:t>
      </w:r>
    </w:p>
    <w:p w14:paraId="5945567A" w14:textId="771CD397" w:rsidR="001D5B56" w:rsidRPr="00EF305E" w:rsidRDefault="0035636A" w:rsidP="00DC0B8D">
      <w:r w:rsidRPr="00EF305E">
        <w:t>Nous soulignons également notre appui à la conclusion formulée au § 7 de l</w:t>
      </w:r>
      <w:r w:rsidR="00DC0B8D" w:rsidRPr="00EF305E">
        <w:t>'</w:t>
      </w:r>
      <w:r w:rsidRPr="00EF305E">
        <w:t xml:space="preserve">Annexe 1 </w:t>
      </w:r>
      <w:r w:rsidR="00EC14B7" w:rsidRPr="00EF305E">
        <w:t>selon</w:t>
      </w:r>
      <w:r w:rsidRPr="00EF305E">
        <w:t xml:space="preserve"> laquelle ce qui fonctionne dans la Décision 482 du Conseil devrait rester inchangé.</w:t>
      </w:r>
    </w:p>
    <w:p w14:paraId="54135BD0" w14:textId="2383F80E" w:rsidR="001D5B56" w:rsidRPr="00EF305E" w:rsidRDefault="009272D1" w:rsidP="00DC0B8D">
      <w:r w:rsidRPr="00EF305E">
        <w:t>On trouvera dans l</w:t>
      </w:r>
      <w:r w:rsidR="00DC0B8D" w:rsidRPr="00EF305E">
        <w:t>'</w:t>
      </w:r>
      <w:hyperlink w:anchor="ANNEXE" w:history="1">
        <w:r w:rsidRPr="00EF305E">
          <w:rPr>
            <w:rStyle w:val="Hyperlink"/>
          </w:rPr>
          <w:t>Annexe 1</w:t>
        </w:r>
      </w:hyperlink>
      <w:r w:rsidRPr="00EF305E">
        <w:t xml:space="preserve"> de la présente contribution notre analyse détaillée des conclusions de l</w:t>
      </w:r>
      <w:r w:rsidR="00DC0B8D" w:rsidRPr="00EF305E">
        <w:t>'</w:t>
      </w:r>
      <w:r w:rsidRPr="00EF305E">
        <w:t xml:space="preserve">étude. </w:t>
      </w:r>
      <w:r w:rsidR="00473E28" w:rsidRPr="00EF305E">
        <w:t>L</w:t>
      </w:r>
      <w:r w:rsidR="00DC0B8D" w:rsidRPr="00EF305E">
        <w:t>'</w:t>
      </w:r>
      <w:hyperlink w:anchor="ANNEXEBIS" w:history="1">
        <w:r w:rsidR="00473E28" w:rsidRPr="00EF305E">
          <w:rPr>
            <w:rStyle w:val="Hyperlink"/>
          </w:rPr>
          <w:t>Annexe 2</w:t>
        </w:r>
      </w:hyperlink>
      <w:r w:rsidR="00473E28" w:rsidRPr="00EF305E">
        <w:t xml:space="preserve"> contient le projet de mandat du Groupe d</w:t>
      </w:r>
      <w:r w:rsidR="00DC0B8D" w:rsidRPr="00EF305E">
        <w:t>'</w:t>
      </w:r>
      <w:r w:rsidR="00473E28" w:rsidRPr="00EF305E">
        <w:t>experts du</w:t>
      </w:r>
      <w:r w:rsidR="00DC0B8D" w:rsidRPr="00EF305E">
        <w:t> </w:t>
      </w:r>
      <w:r w:rsidR="00473E28" w:rsidRPr="00EF305E">
        <w:t>Conseil.</w:t>
      </w:r>
    </w:p>
    <w:p w14:paraId="05B61E12" w14:textId="6FFDBCFC" w:rsidR="001D5B56" w:rsidRPr="00EF305E" w:rsidRDefault="001D5B56" w:rsidP="00DC0B8D">
      <w:pPr>
        <w:pStyle w:val="Headingb"/>
      </w:pPr>
      <w:r w:rsidRPr="00EF305E">
        <w:t>Propos</w:t>
      </w:r>
      <w:r w:rsidR="008D2E58" w:rsidRPr="00EF305E">
        <w:t>ition</w:t>
      </w:r>
    </w:p>
    <w:p w14:paraId="36AC5468" w14:textId="41760F5D" w:rsidR="001D5B56" w:rsidRPr="00EF305E" w:rsidRDefault="00C31041" w:rsidP="00DC0B8D">
      <w:r w:rsidRPr="00EF305E">
        <w:t xml:space="preserve">Le </w:t>
      </w:r>
      <w:r w:rsidR="001D5B56" w:rsidRPr="00EF305E">
        <w:t xml:space="preserve">Canada </w:t>
      </w:r>
      <w:r w:rsidRPr="00EF305E">
        <w:t>et les États-Unis seraient reconnaissants au Conseil de bien vouloir examiner les observations formulées dans l</w:t>
      </w:r>
      <w:r w:rsidR="00DC0B8D" w:rsidRPr="00EF305E">
        <w:t>'</w:t>
      </w:r>
      <w:r w:rsidRPr="00EF305E">
        <w:t xml:space="preserve">Annexe 1, </w:t>
      </w:r>
      <w:r w:rsidR="00FA4970" w:rsidRPr="00EF305E">
        <w:t xml:space="preserve">lesquelles pourront servir </w:t>
      </w:r>
      <w:r w:rsidRPr="00EF305E">
        <w:t>de base à la création d</w:t>
      </w:r>
      <w:r w:rsidR="00DC0B8D" w:rsidRPr="00EF305E">
        <w:t>'</w:t>
      </w:r>
      <w:r w:rsidRPr="00EF305E">
        <w:t>un Groupe d</w:t>
      </w:r>
      <w:r w:rsidR="00DC0B8D" w:rsidRPr="00EF305E">
        <w:t>'</w:t>
      </w:r>
      <w:r w:rsidRPr="00EF305E">
        <w:t>experts du Conseil sur la Décision 482.</w:t>
      </w:r>
    </w:p>
    <w:p w14:paraId="05309BCC" w14:textId="2CABA11C" w:rsidR="00897553" w:rsidRPr="00EF305E" w:rsidRDefault="00EA7F46" w:rsidP="00DC0B8D">
      <w:r w:rsidRPr="00EF305E">
        <w:t>Le Canada et les États-Unis proposent que le Conseil créé un Groupe d</w:t>
      </w:r>
      <w:r w:rsidR="00DC0B8D" w:rsidRPr="00EF305E">
        <w:t>'</w:t>
      </w:r>
      <w:r w:rsidRPr="00EF305E">
        <w:t xml:space="preserve">experts du Conseil sur la Décision 482, dont le mandat </w:t>
      </w:r>
      <w:r w:rsidR="008555BC" w:rsidRPr="00EF305E">
        <w:t>figure</w:t>
      </w:r>
      <w:r w:rsidRPr="00EF305E">
        <w:t xml:space="preserve"> dans l</w:t>
      </w:r>
      <w:r w:rsidR="00DC0B8D" w:rsidRPr="00EF305E">
        <w:t>'</w:t>
      </w:r>
      <w:r w:rsidRPr="00EF305E">
        <w:t>Annexe 2.</w:t>
      </w:r>
    </w:p>
    <w:p w14:paraId="016ADFEA" w14:textId="77777777" w:rsidR="001D5B56" w:rsidRPr="00EF305E" w:rsidRDefault="001D5B56" w:rsidP="00DC0B8D"/>
    <w:p w14:paraId="3B752581" w14:textId="77777777" w:rsidR="001D5B56" w:rsidRPr="00EF305E" w:rsidRDefault="001D5B56" w:rsidP="00DC0B8D">
      <w:pPr>
        <w:sectPr w:rsidR="001D5B56" w:rsidRPr="00EF305E"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pPr>
    </w:p>
    <w:p w14:paraId="4E3C8BD1" w14:textId="60320A9B" w:rsidR="001D5B56" w:rsidRPr="00EF305E" w:rsidRDefault="001D5B56" w:rsidP="00DC0B8D">
      <w:pPr>
        <w:pStyle w:val="AnnexNo"/>
      </w:pPr>
      <w:bookmarkStart w:id="1" w:name="ANNEXE"/>
      <w:r w:rsidRPr="00EF305E">
        <w:lastRenderedPageBreak/>
        <w:t>ANNEXE 1</w:t>
      </w:r>
      <w:bookmarkEnd w:id="1"/>
    </w:p>
    <w:p w14:paraId="03CCBFE6" w14:textId="3DFBB468" w:rsidR="001D5B56" w:rsidRPr="00EF305E" w:rsidRDefault="00256FF0" w:rsidP="00DC0B8D">
      <w:pPr>
        <w:pStyle w:val="Annextitle"/>
      </w:pPr>
      <w:r w:rsidRPr="00EF305E">
        <w:t xml:space="preserve">Examen des </w:t>
      </w:r>
      <w:r w:rsidR="006658A3" w:rsidRPr="00EF305E">
        <w:t>thèmes de</w:t>
      </w:r>
      <w:r w:rsidRPr="00EF305E">
        <w:t xml:space="preserve"> l</w:t>
      </w:r>
      <w:r w:rsidR="00DC0B8D" w:rsidRPr="00EF305E">
        <w:t>'</w:t>
      </w:r>
      <w:r w:rsidRPr="00EF305E">
        <w:t>étude</w:t>
      </w:r>
    </w:p>
    <w:p w14:paraId="5B92F4F2" w14:textId="4B8B6703" w:rsidR="001D5B56" w:rsidRPr="00EF305E" w:rsidRDefault="0034403D" w:rsidP="00DC0B8D">
      <w:r w:rsidRPr="00EF305E">
        <w:t xml:space="preserve">Dans la présente Annexe, le Canada et les États-Unis procèdent à un examen détaillé des thèmes </w:t>
      </w:r>
      <w:r w:rsidR="00B61A29" w:rsidRPr="00EF305E">
        <w:t>spécifiques</w:t>
      </w:r>
      <w:r w:rsidR="00346016" w:rsidRPr="00EF305E">
        <w:t xml:space="preserve"> traités dans le</w:t>
      </w:r>
      <w:r w:rsidR="001D5B56" w:rsidRPr="00EF305E">
        <w:t xml:space="preserve"> Document C23/19 </w:t>
      </w:r>
      <w:r w:rsidR="00125DD1" w:rsidRPr="00EF305E">
        <w:t>et formulent des recommandations sur l</w:t>
      </w:r>
      <w:r w:rsidR="00DC0B8D" w:rsidRPr="00EF305E">
        <w:t>'</w:t>
      </w:r>
      <w:r w:rsidR="00125DD1" w:rsidRPr="00EF305E">
        <w:t>opportunité d</w:t>
      </w:r>
      <w:r w:rsidR="00DC0B8D" w:rsidRPr="00EF305E">
        <w:t>'</w:t>
      </w:r>
      <w:r w:rsidR="00125DD1" w:rsidRPr="00EF305E">
        <w:t xml:space="preserve">inclure </w:t>
      </w:r>
      <w:r w:rsidR="00A27AF9" w:rsidRPr="00EF305E">
        <w:t>tel ou tel</w:t>
      </w:r>
      <w:r w:rsidR="00125DD1" w:rsidRPr="00EF305E">
        <w:t xml:space="preserve"> thème dans le mandat du Groupe d</w:t>
      </w:r>
      <w:r w:rsidR="00DC0B8D" w:rsidRPr="00EF305E">
        <w:t>'</w:t>
      </w:r>
      <w:r w:rsidR="00125DD1" w:rsidRPr="00EF305E">
        <w:t>experts du Conseil sur la</w:t>
      </w:r>
      <w:r w:rsidR="00DC0B8D" w:rsidRPr="00EF305E">
        <w:t> </w:t>
      </w:r>
      <w:r w:rsidR="00125DD1" w:rsidRPr="00EF305E">
        <w:t>Décision</w:t>
      </w:r>
      <w:r w:rsidR="00DC0B8D" w:rsidRPr="00EF305E">
        <w:t> </w:t>
      </w:r>
      <w:r w:rsidR="00125DD1" w:rsidRPr="00EF305E">
        <w:t>482</w:t>
      </w:r>
      <w:r w:rsidR="00386E74" w:rsidRPr="00EF305E">
        <w:t xml:space="preserve"> </w:t>
      </w:r>
      <w:r w:rsidR="001D5B56" w:rsidRPr="00EF305E">
        <w:t>(</w:t>
      </w:r>
      <w:r w:rsidR="00125DD1" w:rsidRPr="00EF305E">
        <w:t>voir Annexe</w:t>
      </w:r>
      <w:r w:rsidR="001D5B56" w:rsidRPr="00EF305E">
        <w:t xml:space="preserve"> 2).</w:t>
      </w:r>
    </w:p>
    <w:tbl>
      <w:tblPr>
        <w:tblStyle w:val="TableGrid"/>
        <w:tblW w:w="0" w:type="auto"/>
        <w:tblInd w:w="-176" w:type="dxa"/>
        <w:tblLook w:val="04A0" w:firstRow="1" w:lastRow="0" w:firstColumn="1" w:lastColumn="0" w:noHBand="0" w:noVBand="1"/>
      </w:tblPr>
      <w:tblGrid>
        <w:gridCol w:w="2014"/>
        <w:gridCol w:w="6048"/>
        <w:gridCol w:w="5300"/>
      </w:tblGrid>
      <w:tr w:rsidR="001D5B56" w:rsidRPr="00EF305E" w14:paraId="6288FDEE" w14:textId="77777777" w:rsidTr="00295B76">
        <w:trPr>
          <w:cantSplit/>
          <w:tblHeader/>
        </w:trPr>
        <w:tc>
          <w:tcPr>
            <w:tcW w:w="2014" w:type="dxa"/>
            <w:shd w:val="clear" w:color="auto" w:fill="D9D9D9" w:themeFill="background1" w:themeFillShade="D9"/>
          </w:tcPr>
          <w:p w14:paraId="612E37BD" w14:textId="406AA1F8" w:rsidR="001D5B56" w:rsidRPr="00EF305E" w:rsidRDefault="004926D1" w:rsidP="00DC0B8D">
            <w:pPr>
              <w:pStyle w:val="Tablehead"/>
              <w:jc w:val="left"/>
              <w:rPr>
                <w:b w:val="0"/>
                <w:bCs/>
              </w:rPr>
            </w:pPr>
            <w:r w:rsidRPr="00EF305E">
              <w:rPr>
                <w:b w:val="0"/>
                <w:bCs/>
              </w:rPr>
              <w:lastRenderedPageBreak/>
              <w:t>§ de l</w:t>
            </w:r>
            <w:r w:rsidR="00DC0B8D" w:rsidRPr="00EF305E">
              <w:rPr>
                <w:b w:val="0"/>
                <w:bCs/>
              </w:rPr>
              <w:t>'</w:t>
            </w:r>
            <w:r w:rsidRPr="00EF305E">
              <w:rPr>
                <w:b w:val="0"/>
                <w:bCs/>
              </w:rPr>
              <w:t>ANNEXE 1 du Document</w:t>
            </w:r>
            <w:r w:rsidR="00295B76" w:rsidRPr="00EF305E">
              <w:rPr>
                <w:b w:val="0"/>
                <w:bCs/>
              </w:rPr>
              <w:t> </w:t>
            </w:r>
            <w:r w:rsidR="001D5B56" w:rsidRPr="00EF305E">
              <w:rPr>
                <w:b w:val="0"/>
                <w:bCs/>
              </w:rPr>
              <w:t>C23/19</w:t>
            </w:r>
          </w:p>
        </w:tc>
        <w:tc>
          <w:tcPr>
            <w:tcW w:w="6048" w:type="dxa"/>
            <w:shd w:val="clear" w:color="auto" w:fill="D9D9D9" w:themeFill="background1" w:themeFillShade="D9"/>
          </w:tcPr>
          <w:p w14:paraId="0DDF8461" w14:textId="2104D56D" w:rsidR="001D5B56" w:rsidRPr="00EF305E" w:rsidRDefault="00F21767" w:rsidP="00235B71">
            <w:pPr>
              <w:pStyle w:val="Tablehead"/>
              <w:jc w:val="left"/>
              <w:rPr>
                <w:b w:val="0"/>
                <w:bCs/>
              </w:rPr>
            </w:pPr>
            <w:r w:rsidRPr="00EF305E">
              <w:rPr>
                <w:b w:val="0"/>
                <w:bCs/>
              </w:rPr>
              <w:t>Libellé</w:t>
            </w:r>
            <w:r w:rsidR="001D5B56" w:rsidRPr="00EF305E">
              <w:rPr>
                <w:b w:val="0"/>
                <w:bCs/>
              </w:rPr>
              <w:t xml:space="preserve"> </w:t>
            </w:r>
            <w:r w:rsidR="004926D1" w:rsidRPr="00EF305E">
              <w:rPr>
                <w:b w:val="0"/>
                <w:bCs/>
              </w:rPr>
              <w:t>du</w:t>
            </w:r>
            <w:r w:rsidR="00235B71">
              <w:rPr>
                <w:b w:val="0"/>
                <w:bCs/>
              </w:rPr>
              <w:br/>
            </w:r>
            <w:r w:rsidR="004926D1" w:rsidRPr="00EF305E">
              <w:rPr>
                <w:b w:val="0"/>
                <w:bCs/>
              </w:rPr>
              <w:t xml:space="preserve">Document </w:t>
            </w:r>
            <w:r w:rsidR="001D5B56" w:rsidRPr="00EF305E">
              <w:rPr>
                <w:b w:val="0"/>
                <w:bCs/>
              </w:rPr>
              <w:t>C23/19</w:t>
            </w:r>
          </w:p>
        </w:tc>
        <w:tc>
          <w:tcPr>
            <w:tcW w:w="5300" w:type="dxa"/>
            <w:shd w:val="clear" w:color="auto" w:fill="D9D9D9" w:themeFill="background1" w:themeFillShade="D9"/>
          </w:tcPr>
          <w:p w14:paraId="52E62792" w14:textId="2AEDB5EE" w:rsidR="001D5B56" w:rsidRPr="00EF305E" w:rsidRDefault="00F21767" w:rsidP="00DC0B8D">
            <w:pPr>
              <w:pStyle w:val="Tablehead"/>
              <w:jc w:val="left"/>
              <w:rPr>
                <w:b w:val="0"/>
                <w:bCs/>
              </w:rPr>
            </w:pPr>
            <w:r w:rsidRPr="00EF305E">
              <w:rPr>
                <w:b w:val="0"/>
                <w:bCs/>
              </w:rPr>
              <w:t>Observations du Canada/des États-Unis</w:t>
            </w:r>
          </w:p>
        </w:tc>
      </w:tr>
      <w:tr w:rsidR="001D5B56" w:rsidRPr="00EF305E" w14:paraId="6495B7DC" w14:textId="77777777" w:rsidTr="00295B76">
        <w:trPr>
          <w:cantSplit/>
        </w:trPr>
        <w:tc>
          <w:tcPr>
            <w:tcW w:w="2014" w:type="dxa"/>
          </w:tcPr>
          <w:p w14:paraId="3C8270E6" w14:textId="77777777" w:rsidR="001D5B56" w:rsidRPr="00EF305E" w:rsidRDefault="001D5B56" w:rsidP="00DC0B8D">
            <w:pPr>
              <w:pStyle w:val="Tabletext"/>
            </w:pPr>
            <w:r w:rsidRPr="00EF305E">
              <w:t>2.1</w:t>
            </w:r>
          </w:p>
        </w:tc>
        <w:tc>
          <w:tcPr>
            <w:tcW w:w="6048" w:type="dxa"/>
          </w:tcPr>
          <w:p w14:paraId="7331EE6F" w14:textId="34CBB527" w:rsidR="001D5B56" w:rsidRPr="00EF305E" w:rsidRDefault="00345482" w:rsidP="00DC0B8D">
            <w:pPr>
              <w:pStyle w:val="Tabletext"/>
            </w:pPr>
            <w:r w:rsidRPr="00EF305E">
              <w:t>Il existe cinq cas dans lesquels une fiche de notification devrait être considérée comme "non recevable":</w:t>
            </w:r>
          </w:p>
          <w:p w14:paraId="4BE0DEFB" w14:textId="0AB29FC4" w:rsidR="00A931FB" w:rsidRPr="00EF305E" w:rsidRDefault="00A931FB" w:rsidP="00DC0B8D">
            <w:pPr>
              <w:pStyle w:val="Tabletext"/>
              <w:ind w:left="427" w:hanging="427"/>
            </w:pPr>
            <w:r w:rsidRPr="00EF305E">
              <w:t>1)</w:t>
            </w:r>
            <w:r w:rsidRPr="00EF305E">
              <w:tab/>
              <w:t>Conformément au § 3.2 de la Règle, si l</w:t>
            </w:r>
            <w:r w:rsidR="00DC0B8D" w:rsidRPr="00EF305E">
              <w:t>'</w:t>
            </w:r>
            <w:r w:rsidRPr="00EF305E">
              <w:t>administration notificatrice soumet des renseignements incorrects.</w:t>
            </w:r>
          </w:p>
          <w:p w14:paraId="0CD72857" w14:textId="282B7210" w:rsidR="00A931FB" w:rsidRPr="00EF305E" w:rsidRDefault="00A931FB" w:rsidP="00DC0B8D">
            <w:pPr>
              <w:pStyle w:val="Tabletext"/>
              <w:ind w:left="427" w:hanging="427"/>
            </w:pPr>
            <w:r w:rsidRPr="00EF305E">
              <w:t>2)</w:t>
            </w:r>
            <w:r w:rsidRPr="00EF305E">
              <w:tab/>
              <w:t>Conformément au § 3.3 de la Règle, si les renseignements obligatoires requis au titre de l</w:t>
            </w:r>
            <w:r w:rsidR="00DC0B8D" w:rsidRPr="00EF305E">
              <w:t>'</w:t>
            </w:r>
            <w:r w:rsidRPr="00EF305E">
              <w:t>Appendice 4 du Règlement des radiocommunications n</w:t>
            </w:r>
            <w:r w:rsidR="00DC0B8D" w:rsidRPr="00EF305E">
              <w:t>'</w:t>
            </w:r>
            <w:r w:rsidRPr="00EF305E">
              <w:t>ont pas été fournis dans la soumission.</w:t>
            </w:r>
          </w:p>
          <w:p w14:paraId="35334D53" w14:textId="5DC9236B" w:rsidR="00A931FB" w:rsidRPr="00EF305E" w:rsidRDefault="00A931FB" w:rsidP="00DC0B8D">
            <w:pPr>
              <w:pStyle w:val="Tabletext"/>
              <w:ind w:left="427" w:hanging="427"/>
            </w:pPr>
            <w:r w:rsidRPr="00EF305E">
              <w:t>3)</w:t>
            </w:r>
            <w:r w:rsidRPr="00EF305E">
              <w:tab/>
              <w:t>Conformément au § 3.8 de la Règle, si aucune réponse n</w:t>
            </w:r>
            <w:r w:rsidR="00DC0B8D" w:rsidRPr="00EF305E">
              <w:t>'</w:t>
            </w:r>
            <w:r w:rsidRPr="00EF305E">
              <w:t>est reçue dans un délai de 30 jours à compter de la date à laquelle le Bureau demande des précisions.</w:t>
            </w:r>
          </w:p>
          <w:p w14:paraId="0C2A3A14" w14:textId="7D2C4A54" w:rsidR="00A931FB" w:rsidRPr="00EF305E" w:rsidRDefault="00A931FB" w:rsidP="00DC0B8D">
            <w:pPr>
              <w:pStyle w:val="Tabletext"/>
              <w:ind w:left="427" w:hanging="427"/>
            </w:pPr>
            <w:r w:rsidRPr="00EF305E">
              <w:t>4)</w:t>
            </w:r>
            <w:r w:rsidRPr="00EF305E">
              <w:tab/>
              <w:t>Conformément à la note de bas de page (*) relative au titre de la Règle, si les conditions applicables à l</w:t>
            </w:r>
            <w:r w:rsidR="00DC0B8D" w:rsidRPr="00EF305E">
              <w:t>'</w:t>
            </w:r>
            <w:r w:rsidRPr="00EF305E">
              <w:t>ensemble de caractéristiques orbitales figurant dans la demande de coordination concernant un réseau à satellite non géostationnaire (non OSG) ou un système à satellites non géostationnaires ne sont pas remplies.</w:t>
            </w:r>
          </w:p>
          <w:p w14:paraId="498F9C62" w14:textId="4B02CB56" w:rsidR="001D5B56" w:rsidRPr="00EF305E" w:rsidRDefault="00A931FB" w:rsidP="00DC0B8D">
            <w:pPr>
              <w:pStyle w:val="Tabletext"/>
              <w:ind w:left="427" w:hanging="427"/>
            </w:pPr>
            <w:r w:rsidRPr="00EF305E">
              <w:t>5)</w:t>
            </w:r>
            <w:r w:rsidRPr="00EF305E">
              <w:tab/>
              <w:t>Conformément au § 4 de la Règle de procédure, si plusieurs autres conditions ne sont pas remplies.</w:t>
            </w:r>
          </w:p>
          <w:p w14:paraId="256F2B68" w14:textId="1EF6E1DF" w:rsidR="001D5B56" w:rsidRPr="00EF305E" w:rsidRDefault="00A931FB" w:rsidP="00DC0B8D">
            <w:pPr>
              <w:pStyle w:val="Tabletext"/>
              <w:rPr>
                <w:i/>
                <w:iCs/>
              </w:rPr>
            </w:pPr>
            <w:r w:rsidRPr="00EF305E">
              <w:t>Dans le deuxième cas, l</w:t>
            </w:r>
            <w:r w:rsidR="00DC0B8D" w:rsidRPr="00EF305E">
              <w:t>'</w:t>
            </w:r>
            <w:r w:rsidRPr="00EF305E">
              <w:t>examen effectué par le Bureau pourrait se limiter à une validation initiale, mais dans tous les autres cas, le Bureau doit procéder à un examen visant à vérifier que l</w:t>
            </w:r>
            <w:r w:rsidR="00DC0B8D" w:rsidRPr="00EF305E">
              <w:t>'</w:t>
            </w:r>
            <w:r w:rsidRPr="00EF305E">
              <w:t>ensemble du réseau à satellite est complet, y compris parfois de la ou des fiches de notification reçues et publiées antérieurement, dans son intégralité.</w:t>
            </w:r>
          </w:p>
        </w:tc>
        <w:tc>
          <w:tcPr>
            <w:tcW w:w="5300" w:type="dxa"/>
          </w:tcPr>
          <w:p w14:paraId="34E0EA0E" w14:textId="5EC210A4" w:rsidR="001D5B56" w:rsidRPr="00EF305E" w:rsidRDefault="00F21CC6" w:rsidP="00DC0B8D">
            <w:pPr>
              <w:pStyle w:val="Tabletext"/>
            </w:pPr>
            <w:r w:rsidRPr="00EF305E">
              <w:t xml:space="preserve">Le Canada et les États-Unis </w:t>
            </w:r>
            <w:r w:rsidR="00DD1A1B" w:rsidRPr="00EF305E">
              <w:t xml:space="preserve">sont favorables à </w:t>
            </w:r>
            <w:r w:rsidRPr="00EF305E">
              <w:t>l</w:t>
            </w:r>
            <w:r w:rsidR="00DC0B8D" w:rsidRPr="00EF305E">
              <w:t>'</w:t>
            </w:r>
            <w:r w:rsidRPr="00EF305E">
              <w:t xml:space="preserve">étude </w:t>
            </w:r>
            <w:r w:rsidR="00DD1A1B" w:rsidRPr="00EF305E">
              <w:t xml:space="preserve">de </w:t>
            </w:r>
            <w:r w:rsidRPr="00EF305E">
              <w:t xml:space="preserve">lignes directrices </w:t>
            </w:r>
            <w:r w:rsidR="00DD1A1B" w:rsidRPr="00EF305E">
              <w:t xml:space="preserve">sur les </w:t>
            </w:r>
            <w:r w:rsidR="00331371" w:rsidRPr="00EF305E">
              <w:t xml:space="preserve">conditions </w:t>
            </w:r>
            <w:r w:rsidR="00DD1A1B" w:rsidRPr="00EF305E">
              <w:t xml:space="preserve">auxquelles </w:t>
            </w:r>
            <w:r w:rsidR="00331371" w:rsidRPr="00EF305E">
              <w:t xml:space="preserve">le BR </w:t>
            </w:r>
            <w:r w:rsidR="00DD1A1B" w:rsidRPr="00EF305E">
              <w:t xml:space="preserve">est tenu de </w:t>
            </w:r>
            <w:r w:rsidR="00331371" w:rsidRPr="00EF305E">
              <w:t xml:space="preserve">mener un examen complet de la fiche de notification, ce qui pourrait </w:t>
            </w:r>
            <w:r w:rsidR="00196C17" w:rsidRPr="00EF305E">
              <w:t>nécessite</w:t>
            </w:r>
            <w:r w:rsidR="00331371" w:rsidRPr="00EF305E">
              <w:t xml:space="preserve">r un </w:t>
            </w:r>
            <w:r w:rsidR="000F6C77" w:rsidRPr="00EF305E">
              <w:t>droit supplémentaire au titre du recouvrement des coûts</w:t>
            </w:r>
            <w:r w:rsidR="00331371" w:rsidRPr="00EF305E">
              <w:t>.</w:t>
            </w:r>
          </w:p>
          <w:p w14:paraId="4FBB9012" w14:textId="56054F2D" w:rsidR="001D5B56" w:rsidRPr="00EF305E" w:rsidRDefault="00196C17" w:rsidP="00DC0B8D">
            <w:pPr>
              <w:pStyle w:val="Tabletext"/>
              <w:spacing w:before="240"/>
            </w:pPr>
            <w:r w:rsidRPr="00EF305E">
              <w:t xml:space="preserve">Ces lignes directrices </w:t>
            </w:r>
            <w:r w:rsidR="00DD1A1B" w:rsidRPr="00EF305E">
              <w:t xml:space="preserve">orienteront </w:t>
            </w:r>
            <w:r w:rsidRPr="00EF305E">
              <w:t>la prise en compte des points à étudier.</w:t>
            </w:r>
          </w:p>
          <w:p w14:paraId="41B8AB70" w14:textId="27A027D5" w:rsidR="001D5B56" w:rsidRPr="00EF305E" w:rsidRDefault="00F21CC6" w:rsidP="00DC0B8D">
            <w:pPr>
              <w:pStyle w:val="Tabletext"/>
              <w:spacing w:before="240"/>
            </w:pPr>
            <w:r w:rsidRPr="00EF305E">
              <w:t>Voir également le §</w:t>
            </w:r>
            <w:r w:rsidR="001D5B56" w:rsidRPr="00EF305E">
              <w:t xml:space="preserve"> 5.1.</w:t>
            </w:r>
          </w:p>
        </w:tc>
      </w:tr>
      <w:tr w:rsidR="001D5B56" w:rsidRPr="00EF305E" w14:paraId="44C81850" w14:textId="77777777" w:rsidTr="00295B76">
        <w:trPr>
          <w:cantSplit/>
        </w:trPr>
        <w:tc>
          <w:tcPr>
            <w:tcW w:w="2014" w:type="dxa"/>
          </w:tcPr>
          <w:p w14:paraId="5EBB5A65" w14:textId="77777777" w:rsidR="001D5B56" w:rsidRPr="00EF305E" w:rsidRDefault="001D5B56" w:rsidP="00DC0B8D">
            <w:pPr>
              <w:pStyle w:val="Tabletext"/>
            </w:pPr>
            <w:r w:rsidRPr="00EF305E">
              <w:lastRenderedPageBreak/>
              <w:t>2.1</w:t>
            </w:r>
          </w:p>
        </w:tc>
        <w:tc>
          <w:tcPr>
            <w:tcW w:w="6048" w:type="dxa"/>
          </w:tcPr>
          <w:p w14:paraId="5487CEF9" w14:textId="43BDACE7" w:rsidR="001D5B56" w:rsidRPr="00EF305E" w:rsidRDefault="0076626E" w:rsidP="00DC0B8D">
            <w:pPr>
              <w:pStyle w:val="Tabletext"/>
            </w:pPr>
            <w:r w:rsidRPr="00EF305E">
              <w:t>[D]</w:t>
            </w:r>
            <w:r w:rsidR="00A931FB" w:rsidRPr="00EF305E">
              <w:t>es études devraient être entreprises afin que les fiches de notification de réseaux à satellite considérées comme "non recevables", en raison de l</w:t>
            </w:r>
            <w:r w:rsidR="00DC0B8D" w:rsidRPr="00EF305E">
              <w:t>'</w:t>
            </w:r>
            <w:r w:rsidR="00A931FB" w:rsidRPr="00EF305E">
              <w:t>absence de réponse à la demande de précisions du Bureau, soient également assujetties aux droits à acquitter au titre du recouvrement des coûts, calculés conformément au barème des droits sur la base des unités et de la catégorie de fiche de notification soumise.</w:t>
            </w:r>
          </w:p>
        </w:tc>
        <w:tc>
          <w:tcPr>
            <w:tcW w:w="5300" w:type="dxa"/>
          </w:tcPr>
          <w:p w14:paraId="791C1114" w14:textId="4A03473F" w:rsidR="001D5B56" w:rsidRPr="00EF305E" w:rsidRDefault="0073111E" w:rsidP="00DC0B8D">
            <w:pPr>
              <w:pStyle w:val="Tabletext"/>
            </w:pPr>
            <w:r w:rsidRPr="00EF305E">
              <w:t>Cette recommandation concerne précisément le cas</w:t>
            </w:r>
            <w:r w:rsidR="00D326F4" w:rsidRPr="00EF305E">
              <w:t> </w:t>
            </w:r>
            <w:r w:rsidR="00295B76" w:rsidRPr="00EF305E">
              <w:t>N°</w:t>
            </w:r>
            <w:r w:rsidR="00EF305E" w:rsidRPr="00EF305E">
              <w:t> </w:t>
            </w:r>
            <w:r w:rsidRPr="00EF305E">
              <w:t xml:space="preserve">3. </w:t>
            </w:r>
            <w:r w:rsidR="00033ED9" w:rsidRPr="00EF305E">
              <w:t>Le Canada et les États-Unis estiment</w:t>
            </w:r>
            <w:r w:rsidR="001D5B56" w:rsidRPr="00EF305E">
              <w:t xml:space="preserve"> </w:t>
            </w:r>
            <w:r w:rsidR="00033ED9" w:rsidRPr="00EF305E">
              <w:t>qu</w:t>
            </w:r>
            <w:r w:rsidR="00DC0B8D" w:rsidRPr="00EF305E">
              <w:t>'</w:t>
            </w:r>
            <w:r w:rsidR="00033ED9" w:rsidRPr="00EF305E">
              <w:t>il n</w:t>
            </w:r>
            <w:r w:rsidR="00DC0B8D" w:rsidRPr="00EF305E">
              <w:t>'</w:t>
            </w:r>
            <w:r w:rsidR="00033ED9" w:rsidRPr="00EF305E">
              <w:t xml:space="preserve">est pas opportun </w:t>
            </w:r>
            <w:r w:rsidR="00D64520" w:rsidRPr="00EF305E">
              <w:t>de facturer</w:t>
            </w:r>
            <w:r w:rsidR="00DD1A1B" w:rsidRPr="00EF305E">
              <w:t>,</w:t>
            </w:r>
            <w:r w:rsidR="00E731E5" w:rsidRPr="00EF305E">
              <w:t xml:space="preserve"> pour </w:t>
            </w:r>
            <w:r w:rsidR="00D565BC" w:rsidRPr="00EF305E">
              <w:t>le traitement d</w:t>
            </w:r>
            <w:r w:rsidR="00DC0B8D" w:rsidRPr="00EF305E">
              <w:t>'</w:t>
            </w:r>
            <w:r w:rsidR="00D565BC" w:rsidRPr="00EF305E">
              <w:t>une</w:t>
            </w:r>
            <w:r w:rsidR="00033ED9" w:rsidRPr="00EF305E">
              <w:t xml:space="preserve"> fiche de notification considérée comme "non recevable"</w:t>
            </w:r>
            <w:r w:rsidR="00E750D0" w:rsidRPr="00EF305E">
              <w:t>,</w:t>
            </w:r>
            <w:r w:rsidR="00033ED9" w:rsidRPr="00EF305E">
              <w:t xml:space="preserve"> </w:t>
            </w:r>
            <w:r w:rsidR="007123AA" w:rsidRPr="00EF305E">
              <w:t>les mêmes droits</w:t>
            </w:r>
            <w:r w:rsidR="00D326F4" w:rsidRPr="00EF305E">
              <w:t xml:space="preserve"> </w:t>
            </w:r>
            <w:r w:rsidR="007123AA" w:rsidRPr="00EF305E">
              <w:t xml:space="preserve">que </w:t>
            </w:r>
            <w:r w:rsidR="00D565BC" w:rsidRPr="00EF305E">
              <w:t xml:space="preserve">ceux </w:t>
            </w:r>
            <w:r w:rsidR="004F4EA9" w:rsidRPr="00EF305E">
              <w:t>à acquitter</w:t>
            </w:r>
            <w:r w:rsidR="00D565BC" w:rsidRPr="00EF305E">
              <w:t xml:space="preserve"> </w:t>
            </w:r>
            <w:r w:rsidR="007123AA" w:rsidRPr="00EF305E">
              <w:t xml:space="preserve">pour </w:t>
            </w:r>
            <w:r w:rsidR="00D565BC" w:rsidRPr="00EF305E">
              <w:t>le traitement d</w:t>
            </w:r>
            <w:r w:rsidR="00DC0B8D" w:rsidRPr="00EF305E">
              <w:t>'</w:t>
            </w:r>
            <w:r w:rsidR="00D326F4" w:rsidRPr="00EF305E">
              <w:t xml:space="preserve">une </w:t>
            </w:r>
            <w:r w:rsidR="00033ED9" w:rsidRPr="00EF305E">
              <w:t>fiche de notification recevable pour laquelle un examen complet (y</w:t>
            </w:r>
            <w:r w:rsidR="00295B76" w:rsidRPr="00EF305E">
              <w:t> </w:t>
            </w:r>
            <w:r w:rsidR="00033ED9" w:rsidRPr="00EF305E">
              <w:t xml:space="preserve">compris la détermination des besoins de coordination) a été effectué. </w:t>
            </w:r>
            <w:r w:rsidR="00A039F6" w:rsidRPr="00EF305E">
              <w:t>L</w:t>
            </w:r>
            <w:r w:rsidR="00033ED9" w:rsidRPr="00EF305E">
              <w:t>e Canada et les États-Unis sont disposés à</w:t>
            </w:r>
            <w:r w:rsidR="00D326F4" w:rsidRPr="00EF305E">
              <w:t xml:space="preserve"> accepter d</w:t>
            </w:r>
            <w:r w:rsidR="00DC0B8D" w:rsidRPr="00EF305E">
              <w:t>'</w:t>
            </w:r>
            <w:r w:rsidR="00D326F4" w:rsidRPr="00EF305E">
              <w:t>étudier la possibilité</w:t>
            </w:r>
            <w:r w:rsidR="00A039F6" w:rsidRPr="00EF305E">
              <w:t>, pour ces cas précis,</w:t>
            </w:r>
            <w:r w:rsidR="00D326F4" w:rsidRPr="00EF305E">
              <w:t xml:space="preserve"> </w:t>
            </w:r>
            <w:r w:rsidR="00D565BC" w:rsidRPr="00EF305E">
              <w:t>de facturer</w:t>
            </w:r>
            <w:r w:rsidR="00D326F4" w:rsidRPr="00EF305E">
              <w:t xml:space="preserve"> une partie </w:t>
            </w:r>
            <w:r w:rsidR="007123AA" w:rsidRPr="00EF305E">
              <w:t>des droits</w:t>
            </w:r>
            <w:r w:rsidR="00D326F4" w:rsidRPr="00EF305E">
              <w:t xml:space="preserve"> </w:t>
            </w:r>
            <w:r w:rsidR="00A02EF2" w:rsidRPr="00EF305E">
              <w:t>à acquitter pour le traitement d</w:t>
            </w:r>
            <w:r w:rsidR="00DC0B8D" w:rsidRPr="00EF305E">
              <w:t>'</w:t>
            </w:r>
            <w:r w:rsidR="00A02EF2" w:rsidRPr="00EF305E">
              <w:t>une</w:t>
            </w:r>
            <w:r w:rsidR="00D326F4" w:rsidRPr="00EF305E">
              <w:t xml:space="preserve"> fiche de notification recevable équivalente</w:t>
            </w:r>
            <w:r w:rsidR="004F4EA9" w:rsidRPr="00EF305E">
              <w:t>.</w:t>
            </w:r>
          </w:p>
        </w:tc>
      </w:tr>
      <w:tr w:rsidR="001D5B56" w:rsidRPr="00EF305E" w14:paraId="6C3B36CF" w14:textId="77777777" w:rsidTr="00295B76">
        <w:trPr>
          <w:cantSplit/>
        </w:trPr>
        <w:tc>
          <w:tcPr>
            <w:tcW w:w="2014" w:type="dxa"/>
          </w:tcPr>
          <w:p w14:paraId="4B598C34" w14:textId="77777777" w:rsidR="001D5B56" w:rsidRPr="00EF305E" w:rsidRDefault="001D5B56" w:rsidP="00DC0B8D">
            <w:pPr>
              <w:pStyle w:val="Tabletext"/>
            </w:pPr>
            <w:r w:rsidRPr="00EF305E">
              <w:t>3.1</w:t>
            </w:r>
          </w:p>
        </w:tc>
        <w:tc>
          <w:tcPr>
            <w:tcW w:w="6048" w:type="dxa"/>
          </w:tcPr>
          <w:p w14:paraId="45648A3F" w14:textId="73138B9A" w:rsidR="001D5B56" w:rsidRPr="00EF305E" w:rsidRDefault="00A931FB" w:rsidP="00DC0B8D">
            <w:pPr>
              <w:pStyle w:val="Tabletext"/>
            </w:pPr>
            <w:r w:rsidRPr="00EF305E">
              <w:t>"</w:t>
            </w:r>
            <w:r w:rsidR="00150DE8" w:rsidRPr="00EF305E">
              <w:t>[L]</w:t>
            </w:r>
            <w:r w:rsidRPr="00EF305E">
              <w:t>es modifications qui n</w:t>
            </w:r>
            <w:r w:rsidR="00DC0B8D" w:rsidRPr="00EF305E">
              <w:t>'</w:t>
            </w:r>
            <w:r w:rsidRPr="00EF305E">
              <w:t>appellent aucun nouvel examen technique ou réglementaire de la part du Bureau des radiocommunications seront exonérées de droits". La nature et l</w:t>
            </w:r>
            <w:r w:rsidR="00DC0B8D" w:rsidRPr="00EF305E">
              <w:t>'</w:t>
            </w:r>
            <w:r w:rsidRPr="00EF305E">
              <w:t>étendue des travaux que doit effectuer le Bureau n</w:t>
            </w:r>
            <w:r w:rsidR="00DC0B8D" w:rsidRPr="00EF305E">
              <w:t>'</w:t>
            </w:r>
            <w:r w:rsidRPr="00EF305E">
              <w:t>ont pas sensiblement évolué depuis 2005. Par conséquent, l</w:t>
            </w:r>
            <w:r w:rsidR="00DC0B8D" w:rsidRPr="00EF305E">
              <w:t>'</w:t>
            </w:r>
            <w:r w:rsidRPr="00EF305E">
              <w:t>exonération du paiement de droits devrait continuer de s</w:t>
            </w:r>
            <w:r w:rsidR="00DC0B8D" w:rsidRPr="00EF305E">
              <w:t>'</w:t>
            </w:r>
            <w:r w:rsidRPr="00EF305E">
              <w:t>appliquer.</w:t>
            </w:r>
          </w:p>
        </w:tc>
        <w:tc>
          <w:tcPr>
            <w:tcW w:w="5300" w:type="dxa"/>
            <w:tcBorders>
              <w:bottom w:val="single" w:sz="4" w:space="0" w:color="auto"/>
            </w:tcBorders>
          </w:tcPr>
          <w:p w14:paraId="3D18672E" w14:textId="755305B9" w:rsidR="001D5B56" w:rsidRPr="00EF305E" w:rsidRDefault="002A469F" w:rsidP="00DC0B8D">
            <w:pPr>
              <w:pStyle w:val="Tabletext"/>
            </w:pPr>
            <w:r w:rsidRPr="00EF305E">
              <w:t xml:space="preserve">Le Canada et les États-Unis </w:t>
            </w:r>
            <w:r w:rsidR="00DD1A1B" w:rsidRPr="00EF305E">
              <w:t>sont aussi d</w:t>
            </w:r>
            <w:r w:rsidR="00DC0B8D" w:rsidRPr="00EF305E">
              <w:t>'</w:t>
            </w:r>
            <w:r w:rsidR="00DD1A1B" w:rsidRPr="00EF305E">
              <w:t xml:space="preserve">avis </w:t>
            </w:r>
            <w:r w:rsidRPr="00EF305E">
              <w:t>que cette exonération</w:t>
            </w:r>
            <w:r w:rsidR="00F10794" w:rsidRPr="00EF305E">
              <w:t xml:space="preserve"> du paiement de droits</w:t>
            </w:r>
            <w:r w:rsidRPr="00EF305E">
              <w:t xml:space="preserve"> devrait continuer de s</w:t>
            </w:r>
            <w:r w:rsidR="00DC0B8D" w:rsidRPr="00EF305E">
              <w:t>'</w:t>
            </w:r>
            <w:r w:rsidRPr="00EF305E">
              <w:t>appliquer. Aucune étude n</w:t>
            </w:r>
            <w:r w:rsidR="00DC0B8D" w:rsidRPr="00EF305E">
              <w:t>'</w:t>
            </w:r>
            <w:r w:rsidRPr="00EF305E">
              <w:t>est n</w:t>
            </w:r>
            <w:r w:rsidR="00955BB2" w:rsidRPr="00EF305E">
              <w:t>é</w:t>
            </w:r>
            <w:r w:rsidRPr="00EF305E">
              <w:t>cessaire.</w:t>
            </w:r>
          </w:p>
        </w:tc>
      </w:tr>
      <w:tr w:rsidR="001D5B56" w:rsidRPr="00EF305E" w14:paraId="2C7202FE" w14:textId="77777777" w:rsidTr="00295B76">
        <w:trPr>
          <w:cantSplit/>
        </w:trPr>
        <w:tc>
          <w:tcPr>
            <w:tcW w:w="2014" w:type="dxa"/>
          </w:tcPr>
          <w:p w14:paraId="36B2A101" w14:textId="77777777" w:rsidR="001D5B56" w:rsidRPr="00EF305E" w:rsidRDefault="001D5B56" w:rsidP="00DC0B8D">
            <w:pPr>
              <w:pStyle w:val="Tabletext"/>
            </w:pPr>
            <w:r w:rsidRPr="00EF305E">
              <w:lastRenderedPageBreak/>
              <w:t>3.2</w:t>
            </w:r>
          </w:p>
        </w:tc>
        <w:tc>
          <w:tcPr>
            <w:tcW w:w="6048" w:type="dxa"/>
          </w:tcPr>
          <w:p w14:paraId="7DD77C4D" w14:textId="4EA5B04B" w:rsidR="001D5B56" w:rsidRPr="00EF305E" w:rsidRDefault="00A931FB" w:rsidP="00DC0B8D">
            <w:pPr>
              <w:pStyle w:val="Tabletext"/>
            </w:pPr>
            <w:r w:rsidRPr="00EF305E">
              <w:t>Il conviendrait de procéder à un examen pour déterminer si certaines limites ne devraient pas être imposées aux fiches de notification admises au bénéfice de la franchise de droits, par exemple en limitant la possibilité de bénéficier de cette franchise, dans les services planifiés, aux fiches de notification ayant une zone de service nationale, ou en excluant les fiches de notification de systèmes non OSG avec plusieurs configurations ou celles qui sont assujetties à des limites d</w:t>
            </w:r>
            <w:r w:rsidR="00DC0B8D" w:rsidRPr="00EF305E">
              <w:t>'</w:t>
            </w:r>
            <w:r w:rsidRPr="00EF305E">
              <w:t>epfd, qui mobilisent une quantité importante de ressources du Bureau des radiocommunications.</w:t>
            </w:r>
          </w:p>
        </w:tc>
        <w:tc>
          <w:tcPr>
            <w:tcW w:w="5300" w:type="dxa"/>
            <w:shd w:val="clear" w:color="auto" w:fill="auto"/>
          </w:tcPr>
          <w:p w14:paraId="4EC8871D" w14:textId="163320DC" w:rsidR="001D5B56" w:rsidRPr="00EF305E" w:rsidRDefault="00DD1A1B" w:rsidP="00DC0B8D">
            <w:pPr>
              <w:pStyle w:val="Tabletext"/>
            </w:pPr>
            <w:r w:rsidRPr="00EF305E">
              <w:t xml:space="preserve">Pour </w:t>
            </w:r>
            <w:r w:rsidR="00C0397A" w:rsidRPr="00EF305E">
              <w:t>référence</w:t>
            </w:r>
            <w:r w:rsidR="001D5B56" w:rsidRPr="00EF305E">
              <w:t xml:space="preserve">, </w:t>
            </w:r>
            <w:r w:rsidRPr="00EF305E">
              <w:t xml:space="preserve">le </w:t>
            </w:r>
            <w:r w:rsidR="001D5B56" w:rsidRPr="00EF305E">
              <w:t>Document C23/16</w:t>
            </w:r>
            <w:r w:rsidR="00C0397A" w:rsidRPr="00EF305E">
              <w:t xml:space="preserve"> </w:t>
            </w:r>
            <w:r w:rsidRPr="00EF305E">
              <w:t xml:space="preserve">indique </w:t>
            </w:r>
            <w:r w:rsidR="004B329D" w:rsidRPr="00EF305E">
              <w:t xml:space="preserve">que les franchises </w:t>
            </w:r>
            <w:r w:rsidR="007201EB" w:rsidRPr="00EF305E">
              <w:t xml:space="preserve">de droits </w:t>
            </w:r>
            <w:r w:rsidR="004B329D" w:rsidRPr="00EF305E">
              <w:t>ont été évaluées à</w:t>
            </w:r>
            <w:r w:rsidR="00295B76" w:rsidRPr="00EF305E">
              <w:t> </w:t>
            </w:r>
            <w:r w:rsidR="001D5B56" w:rsidRPr="00EF305E">
              <w:t>1 461 379</w:t>
            </w:r>
            <w:r w:rsidR="004B329D" w:rsidRPr="00EF305E">
              <w:t xml:space="preserve"> </w:t>
            </w:r>
            <w:r w:rsidR="001D5B56" w:rsidRPr="00EF305E">
              <w:t xml:space="preserve">CHF </w:t>
            </w:r>
            <w:r w:rsidR="004B329D" w:rsidRPr="00EF305E">
              <w:t>en</w:t>
            </w:r>
            <w:r w:rsidR="00EF305E" w:rsidRPr="00EF305E">
              <w:t> </w:t>
            </w:r>
            <w:r w:rsidR="001D5B56" w:rsidRPr="00EF305E">
              <w:t xml:space="preserve">2021 </w:t>
            </w:r>
            <w:r w:rsidR="004B329D" w:rsidRPr="00EF305E">
              <w:t>et à</w:t>
            </w:r>
            <w:r w:rsidR="001D5B56" w:rsidRPr="00EF305E">
              <w:t xml:space="preserve"> 1 301 909</w:t>
            </w:r>
            <w:r w:rsidR="007201EB" w:rsidRPr="00EF305E">
              <w:t xml:space="preserve"> </w:t>
            </w:r>
            <w:r w:rsidR="001D5B56" w:rsidRPr="00EF305E">
              <w:t xml:space="preserve">CHF </w:t>
            </w:r>
            <w:r w:rsidR="004B329D" w:rsidRPr="00EF305E">
              <w:t>en</w:t>
            </w:r>
            <w:r w:rsidR="00295B76" w:rsidRPr="00EF305E">
              <w:t> </w:t>
            </w:r>
            <w:r w:rsidR="001D5B56" w:rsidRPr="00EF305E">
              <w:t xml:space="preserve">2022. </w:t>
            </w:r>
            <w:r w:rsidR="004B329D" w:rsidRPr="00EF305E">
              <w:t>Le montant de</w:t>
            </w:r>
            <w:r w:rsidR="00EF305E" w:rsidRPr="00EF305E">
              <w:t> </w:t>
            </w:r>
            <w:r w:rsidR="004B329D" w:rsidRPr="00EF305E">
              <w:t>2022 est supérieur de</w:t>
            </w:r>
            <w:r w:rsidR="00295B76" w:rsidRPr="00EF305E">
              <w:t> </w:t>
            </w:r>
            <w:r w:rsidR="004B329D" w:rsidRPr="00EF305E">
              <w:t xml:space="preserve">10% au montant total </w:t>
            </w:r>
            <w:r w:rsidR="00EB38D9" w:rsidRPr="00EF305E">
              <w:t xml:space="preserve">du </w:t>
            </w:r>
            <w:r w:rsidR="004B329D" w:rsidRPr="00EF305E">
              <w:t>recouvrement des coûts.</w:t>
            </w:r>
          </w:p>
          <w:p w14:paraId="0CF84B6B" w14:textId="581BD7B0" w:rsidR="001D5B56" w:rsidRPr="00EF305E" w:rsidRDefault="006C0852" w:rsidP="00295B76">
            <w:pPr>
              <w:pStyle w:val="Tabletext"/>
              <w:spacing w:before="240" w:after="240"/>
            </w:pPr>
            <w:r w:rsidRPr="00EF305E">
              <w:t>Le Canada et les États-Unis notent que les propositions formulées sont intéressantes et que la possibilité</w:t>
            </w:r>
            <w:r w:rsidR="007201EB" w:rsidRPr="00EF305E">
              <w:t xml:space="preserve"> d</w:t>
            </w:r>
            <w:r w:rsidR="00DC0B8D" w:rsidRPr="00EF305E">
              <w:t>'</w:t>
            </w:r>
            <w:r w:rsidR="007201EB" w:rsidRPr="00EF305E">
              <w:t xml:space="preserve">imposer ces limites aux fiches de notification admises au </w:t>
            </w:r>
            <w:r w:rsidR="00C27675" w:rsidRPr="00EF305E">
              <w:t>bénéfice</w:t>
            </w:r>
            <w:r w:rsidR="007201EB" w:rsidRPr="00EF305E">
              <w:t xml:space="preserve"> de la franchise de droits mérite d</w:t>
            </w:r>
            <w:r w:rsidR="00DC0B8D" w:rsidRPr="00EF305E">
              <w:t>'</w:t>
            </w:r>
            <w:r w:rsidR="007201EB" w:rsidRPr="00EF305E">
              <w:t>être examinée plus avant.</w:t>
            </w:r>
          </w:p>
        </w:tc>
      </w:tr>
      <w:tr w:rsidR="001D5B56" w:rsidRPr="00EF305E" w14:paraId="593920FF" w14:textId="77777777" w:rsidTr="00295B76">
        <w:trPr>
          <w:cantSplit/>
        </w:trPr>
        <w:tc>
          <w:tcPr>
            <w:tcW w:w="2014" w:type="dxa"/>
          </w:tcPr>
          <w:p w14:paraId="2CE989D0" w14:textId="77777777" w:rsidR="001D5B56" w:rsidRPr="00EF305E" w:rsidRDefault="001D5B56" w:rsidP="00DC0B8D">
            <w:pPr>
              <w:pStyle w:val="Tabletext"/>
            </w:pPr>
            <w:r w:rsidRPr="00EF305E">
              <w:t>3.3.1</w:t>
            </w:r>
          </w:p>
        </w:tc>
        <w:tc>
          <w:tcPr>
            <w:tcW w:w="6048" w:type="dxa"/>
          </w:tcPr>
          <w:p w14:paraId="1658CB9A" w14:textId="71AD6E7C" w:rsidR="001D5B56" w:rsidRPr="00EF305E" w:rsidRDefault="00BB3B36" w:rsidP="00DC0B8D">
            <w:pPr>
              <w:pStyle w:val="Tabletext"/>
            </w:pPr>
            <w:r w:rsidRPr="00EF305E">
              <w:t>[</w:t>
            </w:r>
            <w:r w:rsidR="00A931FB" w:rsidRPr="00EF305E">
              <w:t>L</w:t>
            </w:r>
            <w:r w:rsidRPr="00EF305E">
              <w:t>]</w:t>
            </w:r>
            <w:r w:rsidR="00A931FB" w:rsidRPr="00EF305E">
              <w:t>e principe de l</w:t>
            </w:r>
            <w:r w:rsidR="00DC0B8D" w:rsidRPr="00EF305E">
              <w:t>'</w:t>
            </w:r>
            <w:r w:rsidR="00A931FB" w:rsidRPr="00EF305E">
              <w:t>exonération devrait certes continuer de s</w:t>
            </w:r>
            <w:r w:rsidR="00DC0B8D" w:rsidRPr="00EF305E">
              <w:t>'</w:t>
            </w:r>
            <w:r w:rsidR="00A931FB" w:rsidRPr="00EF305E">
              <w:t>appliquer aux fiches de notification du service d</w:t>
            </w:r>
            <w:r w:rsidR="00DC0B8D" w:rsidRPr="00EF305E">
              <w:t>'</w:t>
            </w:r>
            <w:r w:rsidR="00A931FB" w:rsidRPr="00EF305E">
              <w:t>amateur par satellite, mais il conviendrait de rappeler aux États Membres les conditions à remplir pour en bénéficier, telles qu</w:t>
            </w:r>
            <w:r w:rsidR="00DC0B8D" w:rsidRPr="00EF305E">
              <w:t>'</w:t>
            </w:r>
            <w:r w:rsidR="00A931FB" w:rsidRPr="00EF305E">
              <w:t>elles sont énoncées aux numéros 1.56 et</w:t>
            </w:r>
            <w:r w:rsidR="00295B76" w:rsidRPr="00EF305E">
              <w:t> </w:t>
            </w:r>
            <w:r w:rsidR="00A931FB" w:rsidRPr="00EF305E">
              <w:t>1.57 du Règlement des radiocommunications.</w:t>
            </w:r>
          </w:p>
        </w:tc>
        <w:tc>
          <w:tcPr>
            <w:tcW w:w="5300" w:type="dxa"/>
          </w:tcPr>
          <w:p w14:paraId="6787A105" w14:textId="25748495" w:rsidR="001D5B56" w:rsidRPr="00EF305E" w:rsidRDefault="00BB3B36" w:rsidP="00DC0B8D">
            <w:pPr>
              <w:pStyle w:val="Tabletext"/>
            </w:pPr>
            <w:r w:rsidRPr="00EF305E">
              <w:t xml:space="preserve">Le Canada et les États-Unis </w:t>
            </w:r>
            <w:r w:rsidR="00EB38D9" w:rsidRPr="00EF305E">
              <w:t>sont aussi d</w:t>
            </w:r>
            <w:r w:rsidR="00DC0B8D" w:rsidRPr="00EF305E">
              <w:t>'</w:t>
            </w:r>
            <w:r w:rsidR="00EB38D9" w:rsidRPr="00EF305E">
              <w:t xml:space="preserve">avis </w:t>
            </w:r>
            <w:r w:rsidRPr="00EF305E">
              <w:t>que cette exonération devrait continuer de s</w:t>
            </w:r>
            <w:r w:rsidR="00DC0B8D" w:rsidRPr="00EF305E">
              <w:t>'</w:t>
            </w:r>
            <w:r w:rsidRPr="00EF305E">
              <w:t xml:space="preserve">appliquer et </w:t>
            </w:r>
            <w:r w:rsidR="00EB38D9" w:rsidRPr="00EF305E">
              <w:t xml:space="preserve">jugent </w:t>
            </w:r>
            <w:r w:rsidRPr="00EF305E">
              <w:t>ce rappel bienvenu. Aucune étude n</w:t>
            </w:r>
            <w:r w:rsidR="00DC0B8D" w:rsidRPr="00EF305E">
              <w:t>'</w:t>
            </w:r>
            <w:r w:rsidRPr="00EF305E">
              <w:t>est n</w:t>
            </w:r>
            <w:r w:rsidR="00025651" w:rsidRPr="00EF305E">
              <w:t>é</w:t>
            </w:r>
            <w:r w:rsidRPr="00EF305E">
              <w:t>cessaire.</w:t>
            </w:r>
          </w:p>
        </w:tc>
      </w:tr>
      <w:tr w:rsidR="001D5B56" w:rsidRPr="00EF305E" w14:paraId="676FC984" w14:textId="77777777" w:rsidTr="00295B76">
        <w:trPr>
          <w:cantSplit/>
        </w:trPr>
        <w:tc>
          <w:tcPr>
            <w:tcW w:w="2014" w:type="dxa"/>
          </w:tcPr>
          <w:p w14:paraId="7FB3AADA" w14:textId="77777777" w:rsidR="001D5B56" w:rsidRPr="00EF305E" w:rsidRDefault="001D5B56" w:rsidP="00DC0B8D">
            <w:pPr>
              <w:pStyle w:val="Tabletext"/>
            </w:pPr>
            <w:r w:rsidRPr="00EF305E">
              <w:lastRenderedPageBreak/>
              <w:t>3.3.2</w:t>
            </w:r>
          </w:p>
        </w:tc>
        <w:tc>
          <w:tcPr>
            <w:tcW w:w="6048" w:type="dxa"/>
          </w:tcPr>
          <w:p w14:paraId="2AAE73B1" w14:textId="5BF46B2B" w:rsidR="001D5B56" w:rsidRPr="00EF305E" w:rsidRDefault="00851C6B" w:rsidP="00DC0B8D">
            <w:pPr>
              <w:pStyle w:val="Tabletext"/>
            </w:pPr>
            <w:r w:rsidRPr="00EF305E">
              <w:t xml:space="preserve">[…] </w:t>
            </w:r>
            <w:r w:rsidR="00594B19" w:rsidRPr="00EF305E">
              <w:t>[S]</w:t>
            </w:r>
            <w:r w:rsidR="00A931FB" w:rsidRPr="00EF305E">
              <w:t xml:space="preserve">eules 15 administrations au plus ont soumis chaque année des notifications de stations terriennes. </w:t>
            </w:r>
            <w:r w:rsidR="00594B19" w:rsidRPr="00EF305E">
              <w:t>[</w:t>
            </w:r>
            <w:r w:rsidR="00A931FB" w:rsidRPr="00EF305E">
              <w:t>...</w:t>
            </w:r>
            <w:r w:rsidR="00594B19" w:rsidRPr="00EF305E">
              <w:t>]</w:t>
            </w:r>
            <w:r w:rsidR="00A931FB" w:rsidRPr="00EF305E">
              <w:t xml:space="preserve"> </w:t>
            </w:r>
            <w:r w:rsidR="00FF4AD3" w:rsidRPr="00EF305E">
              <w:t>[C]</w:t>
            </w:r>
            <w:r w:rsidR="00A931FB" w:rsidRPr="00EF305E">
              <w:t>e qui signifie que le travail accompli par le Bureau des radiocommunications ne profite pour l</w:t>
            </w:r>
            <w:r w:rsidR="00DC0B8D" w:rsidRPr="00EF305E">
              <w:t>'</w:t>
            </w:r>
            <w:r w:rsidR="00A931FB" w:rsidRPr="00EF305E">
              <w:t>essentiel qu</w:t>
            </w:r>
            <w:r w:rsidR="00DC0B8D" w:rsidRPr="00EF305E">
              <w:t>'</w:t>
            </w:r>
            <w:r w:rsidR="00A931FB" w:rsidRPr="00EF305E">
              <w:t>à quelques administrations. En conséquence, des études devraient être menées pour déterminer si des droits spécifiques devraient être acquittés lorsque plus d</w:t>
            </w:r>
            <w:r w:rsidR="00DC0B8D" w:rsidRPr="00EF305E">
              <w:t>'</w:t>
            </w:r>
            <w:r w:rsidR="00A931FB" w:rsidRPr="00EF305E">
              <w:t>un certain nombre (à déterminer) de notifications de stations terriennes sont soumises par la même administration.</w:t>
            </w:r>
          </w:p>
        </w:tc>
        <w:tc>
          <w:tcPr>
            <w:tcW w:w="5300" w:type="dxa"/>
          </w:tcPr>
          <w:p w14:paraId="6BC45EA5" w14:textId="0328825D" w:rsidR="001D5B56" w:rsidRPr="00EF305E" w:rsidRDefault="00594B19" w:rsidP="00DC0B8D">
            <w:pPr>
              <w:pStyle w:val="Tabletext"/>
            </w:pPr>
            <w:r w:rsidRPr="00EF305E">
              <w:t xml:space="preserve">Le Canada et les États-Unis </w:t>
            </w:r>
            <w:r w:rsidR="00EB38D9" w:rsidRPr="00EF305E">
              <w:t xml:space="preserve">estiment aussi </w:t>
            </w:r>
            <w:r w:rsidRPr="00EF305E">
              <w:t>que cette question devrait faire l</w:t>
            </w:r>
            <w:r w:rsidR="00DC0B8D" w:rsidRPr="00EF305E">
              <w:t>'</w:t>
            </w:r>
            <w:r w:rsidRPr="00EF305E">
              <w:t>objet d</w:t>
            </w:r>
            <w:r w:rsidR="00DC0B8D" w:rsidRPr="00EF305E">
              <w:t>'</w:t>
            </w:r>
            <w:r w:rsidRPr="00EF305E">
              <w:t xml:space="preserve">une étude. </w:t>
            </w:r>
            <w:r w:rsidR="005C5E1B" w:rsidRPr="00EF305E">
              <w:t xml:space="preserve">Dans le cadre de cette étude, nous demandons </w:t>
            </w:r>
            <w:r w:rsidR="00024CC1" w:rsidRPr="00EF305E">
              <w:t>au</w:t>
            </w:r>
            <w:r w:rsidR="005C5E1B" w:rsidRPr="00EF305E">
              <w:t xml:space="preserve"> Bureau </w:t>
            </w:r>
            <w:r w:rsidR="00024CC1" w:rsidRPr="00EF305E">
              <w:t>de fournir</w:t>
            </w:r>
            <w:r w:rsidR="005C5E1B" w:rsidRPr="00EF305E">
              <w:t xml:space="preserve"> des renseignements détaillés concernant la charge de travail </w:t>
            </w:r>
            <w:r w:rsidR="00A97CB7" w:rsidRPr="00EF305E">
              <w:t>liée au</w:t>
            </w:r>
            <w:r w:rsidR="005C5E1B" w:rsidRPr="00EF305E">
              <w:t xml:space="preserve"> traitement d</w:t>
            </w:r>
            <w:r w:rsidR="00DC0B8D" w:rsidRPr="00EF305E">
              <w:t>'</w:t>
            </w:r>
            <w:r w:rsidR="005C5E1B" w:rsidRPr="00EF305E">
              <w:t>une fiche de notification d</w:t>
            </w:r>
            <w:r w:rsidR="00DC0B8D" w:rsidRPr="00EF305E">
              <w:t>'</w:t>
            </w:r>
            <w:r w:rsidR="005C5E1B" w:rsidRPr="00EF305E">
              <w:t xml:space="preserve">une station terrienne. </w:t>
            </w:r>
            <w:r w:rsidR="005B519A" w:rsidRPr="00EF305E">
              <w:t xml:space="preserve">Ces renseignements pourraient concerner les aspects suivants: </w:t>
            </w:r>
            <w:r w:rsidR="00160928" w:rsidRPr="00EF305E">
              <w:t xml:space="preserve">le </w:t>
            </w:r>
            <w:r w:rsidR="007B43E5" w:rsidRPr="00EF305E">
              <w:t xml:space="preserve">nombre de stations terriennes, </w:t>
            </w:r>
            <w:r w:rsidR="00160928" w:rsidRPr="00EF305E">
              <w:t>s</w:t>
            </w:r>
            <w:r w:rsidR="00DC0B8D" w:rsidRPr="00EF305E">
              <w:t>'</w:t>
            </w:r>
            <w:r w:rsidR="00160928" w:rsidRPr="00EF305E">
              <w:t>il s</w:t>
            </w:r>
            <w:r w:rsidR="00DC0B8D" w:rsidRPr="00EF305E">
              <w:t>'</w:t>
            </w:r>
            <w:r w:rsidR="00160928" w:rsidRPr="00EF305E">
              <w:t>agit d</w:t>
            </w:r>
            <w:r w:rsidR="00DC0B8D" w:rsidRPr="00EF305E">
              <w:t>'</w:t>
            </w:r>
            <w:r w:rsidR="00160928" w:rsidRPr="00EF305E">
              <w:t xml:space="preserve">une station </w:t>
            </w:r>
            <w:r w:rsidR="007B43E5" w:rsidRPr="00EF305E">
              <w:t>spécifique</w:t>
            </w:r>
            <w:r w:rsidR="00160928" w:rsidRPr="00EF305E">
              <w:t xml:space="preserve"> ou d</w:t>
            </w:r>
            <w:r w:rsidR="00DC0B8D" w:rsidRPr="00EF305E">
              <w:t>'</w:t>
            </w:r>
            <w:r w:rsidR="00160928" w:rsidRPr="00EF305E">
              <w:t>une station type</w:t>
            </w:r>
            <w:r w:rsidR="007B43E5" w:rsidRPr="00EF305E">
              <w:t xml:space="preserve">, </w:t>
            </w:r>
            <w:r w:rsidR="00160928" w:rsidRPr="00EF305E">
              <w:t xml:space="preserve">si la </w:t>
            </w:r>
            <w:r w:rsidR="007B43E5" w:rsidRPr="00EF305E">
              <w:t xml:space="preserve">station terrienne </w:t>
            </w:r>
            <w:r w:rsidR="00160928" w:rsidRPr="00EF305E">
              <w:t xml:space="preserve">est </w:t>
            </w:r>
            <w:r w:rsidR="007B43E5" w:rsidRPr="00EF305E">
              <w:t>associée à une fiche de notification</w:t>
            </w:r>
            <w:r w:rsidR="00D3128C" w:rsidRPr="00EF305E">
              <w:t xml:space="preserve"> d</w:t>
            </w:r>
            <w:r w:rsidR="00DC0B8D" w:rsidRPr="00EF305E">
              <w:t>'</w:t>
            </w:r>
            <w:r w:rsidR="00D3128C" w:rsidRPr="00EF305E">
              <w:t>un engin spatial ou</w:t>
            </w:r>
            <w:r w:rsidR="00160928" w:rsidRPr="00EF305E">
              <w:t xml:space="preserve"> </w:t>
            </w:r>
            <w:r w:rsidR="003F76E3" w:rsidRPr="00EF305E">
              <w:t>si elle est associée à une fiche</w:t>
            </w:r>
            <w:r w:rsidR="00D3128C" w:rsidRPr="00EF305E">
              <w:t xml:space="preserve"> de notification distincte, </w:t>
            </w:r>
            <w:r w:rsidR="00160928" w:rsidRPr="00EF305E">
              <w:t xml:space="preserve">si la </w:t>
            </w:r>
            <w:r w:rsidR="00D3128C" w:rsidRPr="00EF305E">
              <w:t xml:space="preserve">station terrienne </w:t>
            </w:r>
            <w:r w:rsidR="00160928" w:rsidRPr="00EF305E">
              <w:t xml:space="preserve">est </w:t>
            </w:r>
            <w:r w:rsidR="00D3128C" w:rsidRPr="00EF305E">
              <w:t>notifiée par une administration autre que l</w:t>
            </w:r>
            <w:r w:rsidR="00DC0B8D" w:rsidRPr="00EF305E">
              <w:t>'</w:t>
            </w:r>
            <w:r w:rsidR="00D3128C" w:rsidRPr="00EF305E">
              <w:t>administration notificatrice du système spatial, etc. Voir également le §</w:t>
            </w:r>
            <w:r w:rsidR="001D5B56" w:rsidRPr="00EF305E">
              <w:t xml:space="preserve"> 6.1.</w:t>
            </w:r>
          </w:p>
        </w:tc>
      </w:tr>
      <w:tr w:rsidR="001D5B56" w:rsidRPr="00EF305E" w14:paraId="526FADE5" w14:textId="77777777" w:rsidTr="00295B76">
        <w:trPr>
          <w:cantSplit/>
        </w:trPr>
        <w:tc>
          <w:tcPr>
            <w:tcW w:w="2014" w:type="dxa"/>
          </w:tcPr>
          <w:p w14:paraId="4692AFC9" w14:textId="77777777" w:rsidR="001D5B56" w:rsidRPr="00EF305E" w:rsidRDefault="001D5B56" w:rsidP="00DC0B8D">
            <w:pPr>
              <w:pStyle w:val="Tabletext"/>
            </w:pPr>
            <w:r w:rsidRPr="00EF305E">
              <w:t>3.3.3</w:t>
            </w:r>
          </w:p>
        </w:tc>
        <w:tc>
          <w:tcPr>
            <w:tcW w:w="6048" w:type="dxa"/>
          </w:tcPr>
          <w:p w14:paraId="046E7BE7" w14:textId="18B08924" w:rsidR="001D5B56" w:rsidRPr="00EF305E" w:rsidRDefault="002D5ECE" w:rsidP="00DC0B8D">
            <w:pPr>
              <w:pStyle w:val="Tabletext"/>
            </w:pPr>
            <w:r w:rsidRPr="00EF305E">
              <w:t>[L]a</w:t>
            </w:r>
            <w:r w:rsidR="00A931FB" w:rsidRPr="00EF305E">
              <w:t xml:space="preserve"> conversion devrait demeur</w:t>
            </w:r>
            <w:r w:rsidR="00C44DE8" w:rsidRPr="00EF305E">
              <w:t>er</w:t>
            </w:r>
            <w:r w:rsidR="00A931FB" w:rsidRPr="00EF305E">
              <w:t xml:space="preserve"> exonérée de droits, tant qu</w:t>
            </w:r>
            <w:r w:rsidR="00DC0B8D" w:rsidRPr="00EF305E">
              <w:t>'</w:t>
            </w:r>
            <w:r w:rsidR="00A931FB" w:rsidRPr="00EF305E">
              <w:t>elle reste dans les limites de l</w:t>
            </w:r>
            <w:r w:rsidR="00DC0B8D" w:rsidRPr="00EF305E">
              <w:t>'</w:t>
            </w:r>
            <w:r w:rsidR="00A931FB" w:rsidRPr="00EF305E">
              <w:t>enveloppe de l</w:t>
            </w:r>
            <w:r w:rsidR="00DC0B8D" w:rsidRPr="00EF305E">
              <w:t>'</w:t>
            </w:r>
            <w:r w:rsidR="00A931FB" w:rsidRPr="00EF305E">
              <w:t>allotissement national.</w:t>
            </w:r>
          </w:p>
        </w:tc>
        <w:tc>
          <w:tcPr>
            <w:tcW w:w="5300" w:type="dxa"/>
            <w:shd w:val="clear" w:color="auto" w:fill="auto"/>
          </w:tcPr>
          <w:p w14:paraId="1D940424" w14:textId="21AED701" w:rsidR="001D5B56" w:rsidRPr="00EF305E" w:rsidRDefault="00AC079C" w:rsidP="00DC0B8D">
            <w:pPr>
              <w:pStyle w:val="Tabletext"/>
            </w:pPr>
            <w:r w:rsidRPr="00EF305E">
              <w:t xml:space="preserve">Le Canada et les États-Unis </w:t>
            </w:r>
            <w:r w:rsidR="00EB38D9" w:rsidRPr="00EF305E">
              <w:t xml:space="preserve">estiment aussi </w:t>
            </w:r>
            <w:r w:rsidRPr="00EF305E">
              <w:t>que cette exonération de droits devrait continuer de s</w:t>
            </w:r>
            <w:r w:rsidR="00DC0B8D" w:rsidRPr="00EF305E">
              <w:t>'</w:t>
            </w:r>
            <w:r w:rsidRPr="00EF305E">
              <w:t>appliquer</w:t>
            </w:r>
            <w:r w:rsidR="00EB38D9" w:rsidRPr="00EF305E">
              <w:t xml:space="preserve">; </w:t>
            </w:r>
            <w:r w:rsidRPr="00EF305E">
              <w:t>aucune étude n</w:t>
            </w:r>
            <w:r w:rsidR="00DC0B8D" w:rsidRPr="00EF305E">
              <w:t>'</w:t>
            </w:r>
            <w:r w:rsidRPr="00EF305E">
              <w:t xml:space="preserve">est nécessaire. </w:t>
            </w:r>
          </w:p>
        </w:tc>
      </w:tr>
      <w:tr w:rsidR="001D5B56" w:rsidRPr="00EF305E" w14:paraId="7D498FD4" w14:textId="77777777" w:rsidTr="00295B76">
        <w:trPr>
          <w:cantSplit/>
        </w:trPr>
        <w:tc>
          <w:tcPr>
            <w:tcW w:w="2014" w:type="dxa"/>
          </w:tcPr>
          <w:p w14:paraId="216F1BB6" w14:textId="77777777" w:rsidR="001D5B56" w:rsidRPr="00EF305E" w:rsidRDefault="001D5B56" w:rsidP="00DC0B8D">
            <w:pPr>
              <w:pStyle w:val="Tabletext"/>
            </w:pPr>
            <w:r w:rsidRPr="00EF305E">
              <w:t>3.3.4</w:t>
            </w:r>
          </w:p>
        </w:tc>
        <w:tc>
          <w:tcPr>
            <w:tcW w:w="6048" w:type="dxa"/>
          </w:tcPr>
          <w:p w14:paraId="3E86CFB6" w14:textId="487A2F78" w:rsidR="001D5B56" w:rsidRPr="00EF305E" w:rsidRDefault="00A931FB" w:rsidP="00DC0B8D">
            <w:pPr>
              <w:pStyle w:val="Tabletext"/>
            </w:pPr>
            <w:r w:rsidRPr="00EF305E">
              <w:t>L</w:t>
            </w:r>
            <w:r w:rsidR="00DC0B8D" w:rsidRPr="00EF305E">
              <w:t>'</w:t>
            </w:r>
            <w:r w:rsidRPr="00EF305E">
              <w:t>exonération de droits est également liée au droit fondamental dont dispose chaque État Membre en vertu de l</w:t>
            </w:r>
            <w:r w:rsidR="00DC0B8D" w:rsidRPr="00EF305E">
              <w:t>'</w:t>
            </w:r>
            <w:r w:rsidRPr="00EF305E">
              <w:t>article 44 de la Constitution de l</w:t>
            </w:r>
            <w:r w:rsidR="00DC0B8D" w:rsidRPr="00EF305E">
              <w:t>'</w:t>
            </w:r>
            <w:r w:rsidRPr="00EF305E">
              <w:t>UIT. À ce titre, l</w:t>
            </w:r>
            <w:r w:rsidR="00DC0B8D" w:rsidRPr="00EF305E">
              <w:t>'</w:t>
            </w:r>
            <w:r w:rsidRPr="00EF305E">
              <w:t>adjonction d</w:t>
            </w:r>
            <w:r w:rsidR="00DC0B8D" w:rsidRPr="00EF305E">
              <w:t>'</w:t>
            </w:r>
            <w:r w:rsidRPr="00EF305E">
              <w:t>un nouvel allotissement devrait rester exonérée de droits.</w:t>
            </w:r>
          </w:p>
        </w:tc>
        <w:tc>
          <w:tcPr>
            <w:tcW w:w="5300" w:type="dxa"/>
          </w:tcPr>
          <w:p w14:paraId="54DB549B" w14:textId="4B7B095E" w:rsidR="001D5B56" w:rsidRPr="00EF305E" w:rsidRDefault="003C19C9" w:rsidP="00DC0B8D">
            <w:pPr>
              <w:pStyle w:val="Tabletext"/>
            </w:pPr>
            <w:r w:rsidRPr="00EF305E">
              <w:t xml:space="preserve">Le Canada et les États-Unis </w:t>
            </w:r>
            <w:r w:rsidR="00EB38D9" w:rsidRPr="00EF305E">
              <w:t xml:space="preserve">estiment aussi </w:t>
            </w:r>
            <w:r w:rsidRPr="00EF305E">
              <w:t>que cette exonération de droits devrait continuer de s</w:t>
            </w:r>
            <w:r w:rsidR="00DC0B8D" w:rsidRPr="00EF305E">
              <w:t>'</w:t>
            </w:r>
            <w:r w:rsidRPr="00EF305E">
              <w:t>appliquer</w:t>
            </w:r>
            <w:r w:rsidR="00EB38D9" w:rsidRPr="00EF305E">
              <w:t xml:space="preserve">; </w:t>
            </w:r>
            <w:r w:rsidRPr="00EF305E">
              <w:t>aucune étude n</w:t>
            </w:r>
            <w:r w:rsidR="00DC0B8D" w:rsidRPr="00EF305E">
              <w:t>'</w:t>
            </w:r>
            <w:r w:rsidRPr="00EF305E">
              <w:t>est nécessaire.</w:t>
            </w:r>
          </w:p>
        </w:tc>
      </w:tr>
      <w:tr w:rsidR="001D5B56" w:rsidRPr="00EF305E" w14:paraId="48F84FA8" w14:textId="77777777" w:rsidTr="00295B76">
        <w:trPr>
          <w:cantSplit/>
        </w:trPr>
        <w:tc>
          <w:tcPr>
            <w:tcW w:w="2014" w:type="dxa"/>
          </w:tcPr>
          <w:p w14:paraId="0A1FA9D6" w14:textId="77777777" w:rsidR="001D5B56" w:rsidRPr="00EF305E" w:rsidRDefault="001D5B56" w:rsidP="00DC0B8D">
            <w:pPr>
              <w:pStyle w:val="Tabletext"/>
            </w:pPr>
            <w:r w:rsidRPr="00EF305E">
              <w:lastRenderedPageBreak/>
              <w:t>5.1</w:t>
            </w:r>
          </w:p>
        </w:tc>
        <w:tc>
          <w:tcPr>
            <w:tcW w:w="6048" w:type="dxa"/>
          </w:tcPr>
          <w:p w14:paraId="7BC326EB" w14:textId="769F65CE" w:rsidR="001D5B56" w:rsidRPr="00EF305E" w:rsidRDefault="003C19C9" w:rsidP="00DC0B8D">
            <w:pPr>
              <w:pStyle w:val="Tabletext"/>
            </w:pPr>
            <w:r w:rsidRPr="00EF305E">
              <w:t>[L]</w:t>
            </w:r>
            <w:r w:rsidR="00333487" w:rsidRPr="00EF305E">
              <w:t>es nouvelles soumissions actuelles nécessitent généralement plus de travail que prévu initialement en 2005 en raison des renseignements additionnels figurant dans ces nouvelles soumissions, qui rendent nécessaires de nouveaux examens.</w:t>
            </w:r>
          </w:p>
          <w:p w14:paraId="08B8FDB6" w14:textId="3D828E83" w:rsidR="001D5B56" w:rsidRPr="00EF305E" w:rsidRDefault="004F2B87" w:rsidP="00DC0B8D">
            <w:pPr>
              <w:pStyle w:val="Tabletext"/>
            </w:pPr>
            <w:r w:rsidRPr="00EF305E">
              <w:t>[</w:t>
            </w:r>
            <w:r w:rsidR="001D5B56" w:rsidRPr="00EF305E">
              <w:t>…</w:t>
            </w:r>
            <w:r w:rsidRPr="00EF305E">
              <w:t>]</w:t>
            </w:r>
          </w:p>
          <w:p w14:paraId="3BE9D7CE" w14:textId="622CDB58" w:rsidR="001D5B56" w:rsidRPr="00EF305E" w:rsidRDefault="00333487" w:rsidP="00DC0B8D">
            <w:pPr>
              <w:pStyle w:val="Tabletext"/>
            </w:pPr>
            <w:r w:rsidRPr="00EF305E">
              <w:t>En conséquence, il serait utile de procéder à une étude plus approfondie du recouvrement des coûts pour les nouvelles soumissions, afin que les coûts réels correspondent aux coûts recouvrés.</w:t>
            </w:r>
          </w:p>
        </w:tc>
        <w:tc>
          <w:tcPr>
            <w:tcW w:w="5300" w:type="dxa"/>
          </w:tcPr>
          <w:p w14:paraId="1508C584" w14:textId="1BF9C939" w:rsidR="001D5B56" w:rsidRPr="00EF305E" w:rsidRDefault="00086093" w:rsidP="00DC0B8D">
            <w:pPr>
              <w:pStyle w:val="Tabletext"/>
            </w:pPr>
            <w:r w:rsidRPr="00EF305E">
              <w:t xml:space="preserve">Le Canada et les États-Unis </w:t>
            </w:r>
            <w:r w:rsidR="00EB38D9" w:rsidRPr="00EF305E">
              <w:t xml:space="preserve">estiment aussi </w:t>
            </w:r>
            <w:r w:rsidRPr="00EF305E">
              <w:t xml:space="preserve">que cette étude est nécessaire. </w:t>
            </w:r>
          </w:p>
          <w:p w14:paraId="43204B5F" w14:textId="65C18AD4" w:rsidR="001D5B56" w:rsidRPr="00EF305E" w:rsidRDefault="00BE137A" w:rsidP="00295B76">
            <w:pPr>
              <w:pStyle w:val="Tabletext"/>
              <w:spacing w:before="240"/>
            </w:pPr>
            <w:r w:rsidRPr="00EF305E">
              <w:t xml:space="preserve">Voir également les cas 1, 3, 4 et 5 au § </w:t>
            </w:r>
            <w:r w:rsidR="001D5B56" w:rsidRPr="00EF305E">
              <w:t>2.1</w:t>
            </w:r>
            <w:r w:rsidR="00280696" w:rsidRPr="00EF305E">
              <w:t>.</w:t>
            </w:r>
          </w:p>
        </w:tc>
      </w:tr>
      <w:tr w:rsidR="001D5B56" w:rsidRPr="00EF305E" w14:paraId="17079E54" w14:textId="77777777" w:rsidTr="00295B76">
        <w:trPr>
          <w:cantSplit/>
        </w:trPr>
        <w:tc>
          <w:tcPr>
            <w:tcW w:w="2014" w:type="dxa"/>
          </w:tcPr>
          <w:p w14:paraId="7914B931" w14:textId="77777777" w:rsidR="001D5B56" w:rsidRPr="00EF305E" w:rsidRDefault="001D5B56" w:rsidP="00DC0B8D">
            <w:pPr>
              <w:pStyle w:val="Tabletext"/>
            </w:pPr>
            <w:r w:rsidRPr="00EF305E">
              <w:t>5.2</w:t>
            </w:r>
          </w:p>
        </w:tc>
        <w:tc>
          <w:tcPr>
            <w:tcW w:w="6048" w:type="dxa"/>
          </w:tcPr>
          <w:p w14:paraId="2B1192D9" w14:textId="2B3DF962" w:rsidR="001D5B56" w:rsidRPr="00EF305E" w:rsidRDefault="00333487" w:rsidP="00DC0B8D">
            <w:pPr>
              <w:pStyle w:val="Tabletext"/>
            </w:pPr>
            <w:r w:rsidRPr="00EF305E">
              <w:t>Leur application pourrait certes continuer d</w:t>
            </w:r>
            <w:r w:rsidR="00DC0B8D" w:rsidRPr="00EF305E">
              <w:t>'</w:t>
            </w:r>
            <w:r w:rsidRPr="00EF305E">
              <w:t>être facturée conjointement avec la notification, mais il conviendrait de procéder à un examen des coûts afférents à ces dispositions additionnelles.</w:t>
            </w:r>
          </w:p>
        </w:tc>
        <w:tc>
          <w:tcPr>
            <w:tcW w:w="5300" w:type="dxa"/>
          </w:tcPr>
          <w:p w14:paraId="5C3B6705" w14:textId="263FCF9D" w:rsidR="001D5B56" w:rsidRPr="00EF305E" w:rsidRDefault="00FD2E3A" w:rsidP="00DC0B8D">
            <w:pPr>
              <w:pStyle w:val="Tabletext"/>
            </w:pPr>
            <w:r w:rsidRPr="00EF305E">
              <w:t>Cette question</w:t>
            </w:r>
            <w:r w:rsidR="00280696" w:rsidRPr="00EF305E">
              <w:t xml:space="preserve"> </w:t>
            </w:r>
            <w:r w:rsidR="00EB38D9" w:rsidRPr="00EF305E">
              <w:t xml:space="preserve">relève des </w:t>
            </w:r>
            <w:r w:rsidR="00280696" w:rsidRPr="00EF305E">
              <w:t>Résolutions 4 (Rév.CMR-03) et</w:t>
            </w:r>
            <w:r w:rsidR="00295B76" w:rsidRPr="00EF305E">
              <w:t> </w:t>
            </w:r>
            <w:r w:rsidR="00280696" w:rsidRPr="00EF305E">
              <w:t>49 (Rév.CMR-19) de la Conférence mondiale des radiocommunications</w:t>
            </w:r>
            <w:r w:rsidR="000376F5" w:rsidRPr="00EF305E">
              <w:t xml:space="preserve">, </w:t>
            </w:r>
            <w:r w:rsidR="00EB38D9" w:rsidRPr="00EF305E">
              <w:t xml:space="preserve">des </w:t>
            </w:r>
            <w:r w:rsidR="00280696" w:rsidRPr="00EF305E">
              <w:t xml:space="preserve">numéros </w:t>
            </w:r>
            <w:r w:rsidR="001D5B56" w:rsidRPr="00EF305E">
              <w:t>11.32A (</w:t>
            </w:r>
            <w:r w:rsidR="007C0F3B" w:rsidRPr="00EF305E">
              <w:t>voir la note</w:t>
            </w:r>
            <w:r w:rsidR="00295B76" w:rsidRPr="00EF305E">
              <w:t> </w:t>
            </w:r>
            <w:r w:rsidR="007C0F3B" w:rsidRPr="00EF305E">
              <w:rPr>
                <w:i/>
                <w:iCs/>
              </w:rPr>
              <w:t>a</w:t>
            </w:r>
            <w:r w:rsidR="00EF305E" w:rsidRPr="00EF305E">
              <w:rPr>
                <w:i/>
                <w:iCs/>
              </w:rPr>
              <w:t>)</w:t>
            </w:r>
            <w:r w:rsidR="001D5B56" w:rsidRPr="00EF305E">
              <w:t>), 11.41, 11.47</w:t>
            </w:r>
            <w:r w:rsidR="007C0F3B" w:rsidRPr="00EF305E">
              <w:t xml:space="preserve"> et</w:t>
            </w:r>
            <w:r w:rsidR="001D5B56" w:rsidRPr="00EF305E">
              <w:t xml:space="preserve"> 11.49</w:t>
            </w:r>
            <w:r w:rsidR="000376F5" w:rsidRPr="00EF305E">
              <w:t xml:space="preserve"> </w:t>
            </w:r>
            <w:r w:rsidR="007C0F3B" w:rsidRPr="00EF305E">
              <w:t>du Règlement des radiocommunications (RR)</w:t>
            </w:r>
            <w:r w:rsidR="001D5B56" w:rsidRPr="00EF305E">
              <w:t xml:space="preserve">, </w:t>
            </w:r>
            <w:r w:rsidR="00EB38D9" w:rsidRPr="00EF305E">
              <w:t xml:space="preserve">de </w:t>
            </w:r>
            <w:r w:rsidR="007C0F3B" w:rsidRPr="00EF305E">
              <w:t>la Sous-section</w:t>
            </w:r>
            <w:r w:rsidR="001D5B56" w:rsidRPr="00EF305E">
              <w:t xml:space="preserve"> IID </w:t>
            </w:r>
            <w:r w:rsidR="007C0F3B" w:rsidRPr="00EF305E">
              <w:t>de</w:t>
            </w:r>
            <w:r w:rsidR="001D5B56" w:rsidRPr="00EF305E">
              <w:t xml:space="preserve"> </w:t>
            </w:r>
            <w:r w:rsidR="007C0F3B" w:rsidRPr="00EF305E">
              <w:t>l</w:t>
            </w:r>
            <w:r w:rsidR="00DC0B8D" w:rsidRPr="00EF305E">
              <w:t>'</w:t>
            </w:r>
            <w:r w:rsidR="001D5B56" w:rsidRPr="00EF305E">
              <w:t xml:space="preserve">Article 9, </w:t>
            </w:r>
            <w:r w:rsidR="00EB38D9" w:rsidRPr="00EF305E">
              <w:t xml:space="preserve">des </w:t>
            </w:r>
            <w:r w:rsidR="001D5B56" w:rsidRPr="00EF305E">
              <w:t xml:space="preserve">Sections 1 </w:t>
            </w:r>
            <w:r w:rsidR="00612926" w:rsidRPr="00EF305E">
              <w:t>et</w:t>
            </w:r>
            <w:r w:rsidR="001D5B56" w:rsidRPr="00EF305E">
              <w:t xml:space="preserve"> 2 </w:t>
            </w:r>
            <w:r w:rsidR="00612926" w:rsidRPr="00EF305E">
              <w:t>de l</w:t>
            </w:r>
            <w:r w:rsidR="00DC0B8D" w:rsidRPr="00EF305E">
              <w:t>'</w:t>
            </w:r>
            <w:r w:rsidR="001D5B56" w:rsidRPr="00EF305E">
              <w:t>Article 13</w:t>
            </w:r>
            <w:r w:rsidR="00612926" w:rsidRPr="00EF305E">
              <w:t xml:space="preserve"> et </w:t>
            </w:r>
            <w:r w:rsidR="00EB38D9" w:rsidRPr="00EF305E">
              <w:t xml:space="preserve">de </w:t>
            </w:r>
            <w:r w:rsidR="00612926" w:rsidRPr="00EF305E">
              <w:t>l</w:t>
            </w:r>
            <w:r w:rsidR="00DC0B8D" w:rsidRPr="00EF305E">
              <w:t>'</w:t>
            </w:r>
            <w:r w:rsidR="001D5B56" w:rsidRPr="00EF305E">
              <w:t>Article 14</w:t>
            </w:r>
            <w:r w:rsidR="00612926" w:rsidRPr="00EF305E">
              <w:t xml:space="preserve"> du RR</w:t>
            </w:r>
            <w:r w:rsidR="001D5B56" w:rsidRPr="00EF305E">
              <w:t>.</w:t>
            </w:r>
          </w:p>
          <w:p w14:paraId="6DEC2300" w14:textId="6754E28C" w:rsidR="001D5B56" w:rsidRPr="00EF305E" w:rsidRDefault="006C7CCB" w:rsidP="00DC0B8D">
            <w:pPr>
              <w:pStyle w:val="Tabletext"/>
            </w:pPr>
            <w:r w:rsidRPr="00EF305E">
              <w:t xml:space="preserve">Le Canada et les États-Unis </w:t>
            </w:r>
            <w:r w:rsidR="00EB38D9" w:rsidRPr="00EF305E">
              <w:t xml:space="preserve">estiment aussi </w:t>
            </w:r>
            <w:r w:rsidRPr="00EF305E">
              <w:t>que cette question devrait faire l</w:t>
            </w:r>
            <w:r w:rsidR="00DC0B8D" w:rsidRPr="00EF305E">
              <w:t>'</w:t>
            </w:r>
            <w:r w:rsidRPr="00EF305E">
              <w:t>objet d</w:t>
            </w:r>
            <w:r w:rsidR="00DC0B8D" w:rsidRPr="00EF305E">
              <w:t>'</w:t>
            </w:r>
            <w:r w:rsidRPr="00EF305E">
              <w:t xml:space="preserve">une étude. </w:t>
            </w:r>
            <w:r w:rsidR="00E55D52" w:rsidRPr="00EF305E">
              <w:t>Dans le cadre de cette étude, le Canada et les États-Unis demandent au Bureau de fournir des renseignements détaillés concernant les coûts relatifs à l</w:t>
            </w:r>
            <w:r w:rsidR="00DC0B8D" w:rsidRPr="00EF305E">
              <w:t>'</w:t>
            </w:r>
            <w:r w:rsidR="00E55D52" w:rsidRPr="00EF305E">
              <w:t>application de ces dispositions.</w:t>
            </w:r>
          </w:p>
        </w:tc>
      </w:tr>
      <w:tr w:rsidR="001D5B56" w:rsidRPr="00EF305E" w14:paraId="77EF3BF3" w14:textId="77777777" w:rsidTr="00295B76">
        <w:trPr>
          <w:cantSplit/>
        </w:trPr>
        <w:tc>
          <w:tcPr>
            <w:tcW w:w="2014" w:type="dxa"/>
          </w:tcPr>
          <w:p w14:paraId="1A51C294" w14:textId="77777777" w:rsidR="001D5B56" w:rsidRPr="00EF305E" w:rsidRDefault="001D5B56" w:rsidP="00DC0B8D">
            <w:pPr>
              <w:pStyle w:val="Tabletext"/>
            </w:pPr>
            <w:r w:rsidRPr="00EF305E">
              <w:lastRenderedPageBreak/>
              <w:t>6.1</w:t>
            </w:r>
          </w:p>
        </w:tc>
        <w:tc>
          <w:tcPr>
            <w:tcW w:w="6048" w:type="dxa"/>
          </w:tcPr>
          <w:p w14:paraId="4DA254DF" w14:textId="660B0C05" w:rsidR="001D5B56" w:rsidRPr="00EF305E" w:rsidRDefault="00333487" w:rsidP="00DC0B8D">
            <w:pPr>
              <w:pStyle w:val="Tabletext"/>
            </w:pPr>
            <w:r w:rsidRPr="00EF305E">
              <w:t>Or, depuis le 1er juillet 2019, le Bureau des radiocommunications a reçu cinq fiches de notification de satellites non OSG comportant plus de 75 000 unités. De plus, la formule permettant de calculer le nombre d</w:t>
            </w:r>
            <w:r w:rsidR="00DC0B8D" w:rsidRPr="00EF305E">
              <w:t>'</w:t>
            </w:r>
            <w:r w:rsidRPr="00EF305E">
              <w:t>unités pour les systèmes non OSG ne tient pas compte du nombre d</w:t>
            </w:r>
            <w:r w:rsidR="00DC0B8D" w:rsidRPr="00EF305E">
              <w:t>'</w:t>
            </w:r>
            <w:r w:rsidRPr="00EF305E">
              <w:t>altitudes orbitales différentes, du nombre de satellites, du nombre de stations terriennes ou d</w:t>
            </w:r>
            <w:r w:rsidR="00DC0B8D" w:rsidRPr="00EF305E">
              <w:t>'</w:t>
            </w:r>
            <w:r w:rsidRPr="00EF305E">
              <w:t>autres caractéristiques influant sur la charge de travail liée à l</w:t>
            </w:r>
            <w:r w:rsidR="00DC0B8D" w:rsidRPr="00EF305E">
              <w:t>'</w:t>
            </w:r>
            <w:r w:rsidRPr="00EF305E">
              <w:t>examen. Ces aspects appellent donc une étude plus approfondie.</w:t>
            </w:r>
          </w:p>
        </w:tc>
        <w:tc>
          <w:tcPr>
            <w:tcW w:w="5300" w:type="dxa"/>
          </w:tcPr>
          <w:p w14:paraId="679ED630" w14:textId="4786B928" w:rsidR="001D5B56" w:rsidRPr="00EF305E" w:rsidRDefault="00EB38D9" w:rsidP="00DC0B8D">
            <w:pPr>
              <w:pStyle w:val="Tabletext"/>
            </w:pPr>
            <w:r w:rsidRPr="00EF305E">
              <w:t>S</w:t>
            </w:r>
            <w:r w:rsidR="006F2ED2" w:rsidRPr="00EF305E">
              <w:t>i le nombre de très grandes constellations de systèmes non OSG a été limité jusqu</w:t>
            </w:r>
            <w:r w:rsidR="00DC0B8D" w:rsidRPr="00EF305E">
              <w:t>'</w:t>
            </w:r>
            <w:r w:rsidR="006F2ED2" w:rsidRPr="00EF305E">
              <w:t xml:space="preserve">à présent, </w:t>
            </w:r>
            <w:r w:rsidR="00792864" w:rsidRPr="00EF305E">
              <w:t>le Canada et les</w:t>
            </w:r>
            <w:r w:rsidR="00295B76" w:rsidRPr="00EF305E">
              <w:t> </w:t>
            </w:r>
            <w:r w:rsidR="00792864" w:rsidRPr="00EF305E">
              <w:t xml:space="preserve">États-Unis </w:t>
            </w:r>
            <w:r w:rsidRPr="00EF305E">
              <w:t>partagent l</w:t>
            </w:r>
            <w:r w:rsidR="00DC0B8D" w:rsidRPr="00EF305E">
              <w:t>'</w:t>
            </w:r>
            <w:r w:rsidRPr="00EF305E">
              <w:t xml:space="preserve">avis selon lequel </w:t>
            </w:r>
            <w:r w:rsidR="00792864" w:rsidRPr="00EF305E">
              <w:t>cette question devrait faire l</w:t>
            </w:r>
            <w:r w:rsidR="00DC0B8D" w:rsidRPr="00EF305E">
              <w:t>'</w:t>
            </w:r>
            <w:r w:rsidR="00792864" w:rsidRPr="00EF305E">
              <w:t>objet d</w:t>
            </w:r>
            <w:r w:rsidR="00DC0B8D" w:rsidRPr="00EF305E">
              <w:t>'</w:t>
            </w:r>
            <w:r w:rsidR="00792864" w:rsidRPr="00EF305E">
              <w:t xml:space="preserve">une étude. </w:t>
            </w:r>
            <w:r w:rsidR="00024CC1" w:rsidRPr="00EF305E">
              <w:t xml:space="preserve">Dans le cadre de cette étude, nous demandons au Bureau </w:t>
            </w:r>
            <w:r w:rsidR="00AF32C5" w:rsidRPr="00EF305E">
              <w:t xml:space="preserve">de fournir des renseignements détaillés concernant </w:t>
            </w:r>
            <w:r w:rsidR="00BE0BB9" w:rsidRPr="00EF305E">
              <w:t>les incidences</w:t>
            </w:r>
            <w:r w:rsidR="00AF32C5" w:rsidRPr="00EF305E">
              <w:t xml:space="preserve"> du nombre d</w:t>
            </w:r>
            <w:r w:rsidR="00DC0B8D" w:rsidRPr="00EF305E">
              <w:t>'</w:t>
            </w:r>
            <w:r w:rsidR="00AF32C5" w:rsidRPr="00EF305E">
              <w:t>altitudes orbitales différentes, du nombre de satellites, du nombre de stations terriennes ou d</w:t>
            </w:r>
            <w:r w:rsidR="00DC0B8D" w:rsidRPr="00EF305E">
              <w:t>'</w:t>
            </w:r>
            <w:r w:rsidR="00AF32C5" w:rsidRPr="00EF305E">
              <w:t>autres caractéristiques influant sur la charge de travail liée à l</w:t>
            </w:r>
            <w:r w:rsidR="00DC0B8D" w:rsidRPr="00EF305E">
              <w:t>'</w:t>
            </w:r>
            <w:r w:rsidR="00AF32C5" w:rsidRPr="00EF305E">
              <w:t>examen.</w:t>
            </w:r>
          </w:p>
          <w:p w14:paraId="3564D294" w14:textId="0DCD20D4" w:rsidR="001D5B56" w:rsidRPr="00EF305E" w:rsidRDefault="0052356B" w:rsidP="00235B71">
            <w:pPr>
              <w:pStyle w:val="Tabletext"/>
              <w:spacing w:before="240"/>
            </w:pPr>
            <w:r w:rsidRPr="00EF305E">
              <w:t xml:space="preserve">Voir également les </w:t>
            </w:r>
            <w:r w:rsidR="00235B71">
              <w:t>§</w:t>
            </w:r>
            <w:r w:rsidR="001D5B56" w:rsidRPr="00EF305E">
              <w:t xml:space="preserve"> 3.3.2 </w:t>
            </w:r>
            <w:r w:rsidRPr="00EF305E">
              <w:t>et</w:t>
            </w:r>
            <w:r w:rsidR="001D5B56" w:rsidRPr="00EF305E">
              <w:t xml:space="preserve"> 9.1.</w:t>
            </w:r>
          </w:p>
        </w:tc>
      </w:tr>
      <w:tr w:rsidR="001D5B56" w:rsidRPr="00EF305E" w14:paraId="501E937E" w14:textId="77777777" w:rsidTr="00295B76">
        <w:trPr>
          <w:cantSplit/>
        </w:trPr>
        <w:tc>
          <w:tcPr>
            <w:tcW w:w="2014" w:type="dxa"/>
          </w:tcPr>
          <w:p w14:paraId="2FDBBE5B" w14:textId="77777777" w:rsidR="001D5B56" w:rsidRPr="00EF305E" w:rsidRDefault="001D5B56" w:rsidP="00DC0B8D">
            <w:pPr>
              <w:pStyle w:val="Tabletext"/>
            </w:pPr>
            <w:r w:rsidRPr="00EF305E">
              <w:t>6.2</w:t>
            </w:r>
          </w:p>
        </w:tc>
        <w:tc>
          <w:tcPr>
            <w:tcW w:w="6048" w:type="dxa"/>
          </w:tcPr>
          <w:p w14:paraId="1C228440" w14:textId="4E57D20A" w:rsidR="001D5B56" w:rsidRPr="00EF305E" w:rsidRDefault="0052356B" w:rsidP="00DC0B8D">
            <w:pPr>
              <w:pStyle w:val="Tabletext"/>
            </w:pPr>
            <w:r w:rsidRPr="00EF305E">
              <w:t>[L]</w:t>
            </w:r>
            <w:r w:rsidR="00333487" w:rsidRPr="00EF305E">
              <w:t>a qualité des fiches de notification reçues est moins bonne qu</w:t>
            </w:r>
            <w:r w:rsidR="00DC0B8D" w:rsidRPr="00EF305E">
              <w:t>'</w:t>
            </w:r>
            <w:r w:rsidR="00333487" w:rsidRPr="00EF305E">
              <w:t>elle ne l</w:t>
            </w:r>
            <w:r w:rsidR="00DC0B8D" w:rsidRPr="00EF305E">
              <w:t>'</w:t>
            </w:r>
            <w:r w:rsidR="00333487" w:rsidRPr="00EF305E">
              <w:t>était auparavant, lorsque les fiches étaient préparées principalement par des opérateurs de satellites expérimentés. Pour ces cas, il conviendrait de procéder à des études pour envisager de mettre en place des unités dans les catégories A1 et</w:t>
            </w:r>
            <w:r w:rsidR="00EF305E" w:rsidRPr="00EF305E">
              <w:t> </w:t>
            </w:r>
            <w:r w:rsidR="00333487" w:rsidRPr="00EF305E">
              <w:t>N4, en percevant un droit différent en fonction du nombre d</w:t>
            </w:r>
            <w:r w:rsidR="00DC0B8D" w:rsidRPr="00EF305E">
              <w:t>'</w:t>
            </w:r>
            <w:r w:rsidR="00333487" w:rsidRPr="00EF305E">
              <w:t>unités.</w:t>
            </w:r>
          </w:p>
        </w:tc>
        <w:tc>
          <w:tcPr>
            <w:tcW w:w="5300" w:type="dxa"/>
          </w:tcPr>
          <w:p w14:paraId="733840E5" w14:textId="0A4A49E3" w:rsidR="001D5B56" w:rsidRPr="00EF305E" w:rsidRDefault="0052356B" w:rsidP="00DC0B8D">
            <w:pPr>
              <w:pStyle w:val="Tabletext"/>
            </w:pPr>
            <w:r w:rsidRPr="00EF305E">
              <w:t xml:space="preserve">Le Canada et les États-Unis </w:t>
            </w:r>
            <w:r w:rsidR="00EB38D9" w:rsidRPr="00EF305E">
              <w:t xml:space="preserve">jugent également </w:t>
            </w:r>
            <w:r w:rsidRPr="00EF305E">
              <w:t>que cette étude est nécessaire.</w:t>
            </w:r>
          </w:p>
        </w:tc>
      </w:tr>
      <w:tr w:rsidR="001D5B56" w:rsidRPr="00EF305E" w14:paraId="19159258" w14:textId="77777777" w:rsidTr="00295B76">
        <w:trPr>
          <w:cantSplit/>
        </w:trPr>
        <w:tc>
          <w:tcPr>
            <w:tcW w:w="2014" w:type="dxa"/>
          </w:tcPr>
          <w:p w14:paraId="400D1DD1" w14:textId="77777777" w:rsidR="001D5B56" w:rsidRPr="00EF305E" w:rsidRDefault="001D5B56" w:rsidP="00DC0B8D">
            <w:pPr>
              <w:pStyle w:val="Tabletext"/>
            </w:pPr>
            <w:r w:rsidRPr="00EF305E">
              <w:t>6.3</w:t>
            </w:r>
          </w:p>
        </w:tc>
        <w:tc>
          <w:tcPr>
            <w:tcW w:w="6048" w:type="dxa"/>
          </w:tcPr>
          <w:p w14:paraId="523DBAFC" w14:textId="15996FD0" w:rsidR="001D5B56" w:rsidRPr="00EF305E" w:rsidRDefault="00333487" w:rsidP="00DC0B8D">
            <w:pPr>
              <w:pStyle w:val="Tabletext"/>
            </w:pPr>
            <w:r w:rsidRPr="00EF305E">
              <w:t>Les systèmes non OSG assujettis à des limites d</w:t>
            </w:r>
            <w:r w:rsidR="00DC0B8D" w:rsidRPr="00EF305E">
              <w:t>'</w:t>
            </w:r>
            <w:r w:rsidRPr="00EF305E">
              <w:t>epfd exigent toujours d</w:t>
            </w:r>
            <w:r w:rsidR="00DC0B8D" w:rsidRPr="00EF305E">
              <w:t>'</w:t>
            </w:r>
            <w:r w:rsidRPr="00EF305E">
              <w:t>importantes ressources additionnelles, non seulement pour calculer les courbes des limites d</w:t>
            </w:r>
            <w:r w:rsidR="00DC0B8D" w:rsidRPr="00EF305E">
              <w:t>'</w:t>
            </w:r>
            <w:r w:rsidRPr="00EF305E">
              <w:t>epfd, mais aussi pour préparer les données et analyser les résultats.</w:t>
            </w:r>
          </w:p>
          <w:p w14:paraId="253B2A25" w14:textId="2C6BD977" w:rsidR="001D5B56" w:rsidRPr="00EF305E" w:rsidRDefault="005977A4" w:rsidP="00DC0B8D">
            <w:pPr>
              <w:pStyle w:val="Tabletext"/>
            </w:pPr>
            <w:r w:rsidRPr="00EF305E">
              <w:t>[</w:t>
            </w:r>
            <w:r w:rsidR="001D5B56" w:rsidRPr="00EF305E">
              <w:t>…</w:t>
            </w:r>
            <w:r w:rsidRPr="00EF305E">
              <w:t>]</w:t>
            </w:r>
          </w:p>
          <w:p w14:paraId="69CC83B0" w14:textId="1FEA5FEE" w:rsidR="001D5B56" w:rsidRPr="00EF305E" w:rsidRDefault="00333487" w:rsidP="00DC0B8D">
            <w:pPr>
              <w:pStyle w:val="Tabletext"/>
            </w:pPr>
            <w:r w:rsidRPr="00EF305E">
              <w:t>Par conséquent, il conviendrait d</w:t>
            </w:r>
            <w:r w:rsidR="00DC0B8D" w:rsidRPr="00EF305E">
              <w:t>'</w:t>
            </w:r>
            <w:r w:rsidRPr="00EF305E">
              <w:t>étudier la possibilité d</w:t>
            </w:r>
            <w:r w:rsidR="00DC0B8D" w:rsidRPr="00EF305E">
              <w:t>'</w:t>
            </w:r>
            <w:r w:rsidRPr="00EF305E">
              <w:t>instaurer un droit additionnel spécial pour le recouvrement des coûts afférents à l</w:t>
            </w:r>
            <w:r w:rsidR="00DC0B8D" w:rsidRPr="00EF305E">
              <w:t>'</w:t>
            </w:r>
            <w:r w:rsidRPr="00EF305E">
              <w:t>examen des limites d</w:t>
            </w:r>
            <w:r w:rsidR="00DC0B8D" w:rsidRPr="00EF305E">
              <w:t>'</w:t>
            </w:r>
            <w:r w:rsidRPr="00EF305E">
              <w:t>epfd figurant dans les demandes de coordination et les notifications.</w:t>
            </w:r>
          </w:p>
        </w:tc>
        <w:tc>
          <w:tcPr>
            <w:tcW w:w="5300" w:type="dxa"/>
          </w:tcPr>
          <w:p w14:paraId="65E4E442" w14:textId="4A33CB6F" w:rsidR="001D5B56" w:rsidRPr="00EF305E" w:rsidRDefault="00116421" w:rsidP="00DC0B8D">
            <w:pPr>
              <w:pStyle w:val="Tabletext"/>
            </w:pPr>
            <w:r w:rsidRPr="00EF305E">
              <w:t xml:space="preserve">Le Canada et les États-Unis </w:t>
            </w:r>
            <w:r w:rsidR="00EB38D9" w:rsidRPr="00EF305E">
              <w:t xml:space="preserve">estiment aussi </w:t>
            </w:r>
            <w:r w:rsidRPr="00EF305E">
              <w:t xml:space="preserve">que ce droit additionnel pour le recouvrement des coûts </w:t>
            </w:r>
            <w:r w:rsidR="00142184" w:rsidRPr="00EF305E">
              <w:t>afférents à l</w:t>
            </w:r>
            <w:r w:rsidR="00DC0B8D" w:rsidRPr="00EF305E">
              <w:t>'</w:t>
            </w:r>
            <w:r w:rsidR="00142184" w:rsidRPr="00EF305E">
              <w:t>examen des limites d</w:t>
            </w:r>
            <w:r w:rsidR="00DC0B8D" w:rsidRPr="00EF305E">
              <w:t>'</w:t>
            </w:r>
            <w:r w:rsidR="00142184" w:rsidRPr="00EF305E">
              <w:t>epfd figurant dans les demandes de coordination et les notifications devrait faire l</w:t>
            </w:r>
            <w:r w:rsidR="00DC0B8D" w:rsidRPr="00EF305E">
              <w:t>'</w:t>
            </w:r>
            <w:r w:rsidR="00142184" w:rsidRPr="00EF305E">
              <w:t>objet d</w:t>
            </w:r>
            <w:r w:rsidR="00DC0B8D" w:rsidRPr="00EF305E">
              <w:t>'</w:t>
            </w:r>
            <w:r w:rsidR="00142184" w:rsidRPr="00EF305E">
              <w:t>une étude</w:t>
            </w:r>
            <w:r w:rsidR="001D5B56" w:rsidRPr="00EF305E">
              <w:t xml:space="preserve">. </w:t>
            </w:r>
            <w:r w:rsidR="008E31A7" w:rsidRPr="00EF305E">
              <w:t xml:space="preserve">Dans le cadre de cette étude, le Canada et les États-Unis demandent au Bureau de fournir des renseignements sur les coûts </w:t>
            </w:r>
            <w:r w:rsidR="00352903" w:rsidRPr="00EF305E">
              <w:t>associés</w:t>
            </w:r>
            <w:r w:rsidR="008E31A7" w:rsidRPr="00EF305E">
              <w:t xml:space="preserve"> à l</w:t>
            </w:r>
            <w:r w:rsidR="00DC0B8D" w:rsidRPr="00EF305E">
              <w:t>'</w:t>
            </w:r>
            <w:r w:rsidR="008E31A7" w:rsidRPr="00EF305E">
              <w:t>analyse des limites d</w:t>
            </w:r>
            <w:r w:rsidR="00DC0B8D" w:rsidRPr="00EF305E">
              <w:t>'</w:t>
            </w:r>
            <w:r w:rsidR="008E31A7" w:rsidRPr="00EF305E">
              <w:t>epfd</w:t>
            </w:r>
            <w:r w:rsidR="001D5B56" w:rsidRPr="00EF305E">
              <w:t xml:space="preserve"> (</w:t>
            </w:r>
            <w:r w:rsidR="007E5CB8" w:rsidRPr="00EF305E">
              <w:t>v</w:t>
            </w:r>
            <w:r w:rsidR="003C48D9" w:rsidRPr="00EF305E">
              <w:t>oir le §</w:t>
            </w:r>
            <w:r w:rsidR="001D5B56" w:rsidRPr="00EF305E">
              <w:t xml:space="preserve"> 3.2)</w:t>
            </w:r>
            <w:r w:rsidR="00FE567E" w:rsidRPr="00EF305E">
              <w:t>.</w:t>
            </w:r>
          </w:p>
        </w:tc>
      </w:tr>
      <w:tr w:rsidR="001D5B56" w:rsidRPr="00EF305E" w14:paraId="12D71974" w14:textId="77777777" w:rsidTr="00295B76">
        <w:trPr>
          <w:cantSplit/>
        </w:trPr>
        <w:tc>
          <w:tcPr>
            <w:tcW w:w="2014" w:type="dxa"/>
          </w:tcPr>
          <w:p w14:paraId="6B9BEFB1" w14:textId="77777777" w:rsidR="001D5B56" w:rsidRPr="00EF305E" w:rsidRDefault="001D5B56" w:rsidP="00DC0B8D">
            <w:pPr>
              <w:pStyle w:val="Tabletext"/>
            </w:pPr>
            <w:r w:rsidRPr="00EF305E">
              <w:lastRenderedPageBreak/>
              <w:t>6.3</w:t>
            </w:r>
          </w:p>
        </w:tc>
        <w:tc>
          <w:tcPr>
            <w:tcW w:w="6048" w:type="dxa"/>
          </w:tcPr>
          <w:p w14:paraId="58473C34" w14:textId="58701B03" w:rsidR="001D5B56" w:rsidRPr="00EF305E" w:rsidRDefault="00672570" w:rsidP="00DC0B8D">
            <w:pPr>
              <w:pStyle w:val="Tabletext"/>
            </w:pPr>
            <w:r w:rsidRPr="00EF305E">
              <w:t>[</w:t>
            </w:r>
            <w:r w:rsidR="001D5B56" w:rsidRPr="00EF305E">
              <w:t>…</w:t>
            </w:r>
            <w:r w:rsidRPr="00EF305E">
              <w:t>]</w:t>
            </w:r>
          </w:p>
          <w:p w14:paraId="3FDD8E1A" w14:textId="77E8F01C" w:rsidR="001D5B56" w:rsidRPr="00EF305E" w:rsidRDefault="00333487" w:rsidP="00DC0B8D">
            <w:pPr>
              <w:pStyle w:val="Tabletext"/>
            </w:pPr>
            <w:r w:rsidRPr="00EF305E">
              <w:t>En outre, étant donné que les systèmes non OSG soumis à des limites d</w:t>
            </w:r>
            <w:r w:rsidR="00DC0B8D" w:rsidRPr="00EF305E">
              <w:t>'</w:t>
            </w:r>
            <w:r w:rsidRPr="00EF305E">
              <w:t>epfd sont de plus en plus nombreux et complexes, il est nécessaire de mettre à jour pratiquement en permanence la méthodologie de validation des limites d</w:t>
            </w:r>
            <w:r w:rsidR="00DC0B8D" w:rsidRPr="00EF305E">
              <w:t>'</w:t>
            </w:r>
            <w:r w:rsidRPr="00EF305E">
              <w:t>epfd de l</w:t>
            </w:r>
            <w:r w:rsidR="00DC0B8D" w:rsidRPr="00EF305E">
              <w:t>'</w:t>
            </w:r>
            <w:r w:rsidRPr="00EF305E">
              <w:t>UIT-R, telle qu</w:t>
            </w:r>
            <w:r w:rsidR="00DC0B8D" w:rsidRPr="00EF305E">
              <w:t>'</w:t>
            </w:r>
            <w:r w:rsidRPr="00EF305E">
              <w:t>elle figure dans la Recommandation UIT R S.1503, ce qui suppose certains changements dans le traitement et l</w:t>
            </w:r>
            <w:r w:rsidR="00DC0B8D" w:rsidRPr="00EF305E">
              <w:t>'</w:t>
            </w:r>
            <w:r w:rsidRPr="00EF305E">
              <w:t>examen. Autant d</w:t>
            </w:r>
            <w:r w:rsidR="00DC0B8D" w:rsidRPr="00EF305E">
              <w:t>'</w:t>
            </w:r>
            <w:r w:rsidRPr="00EF305E">
              <w:t>aspects qui nécessitent l</w:t>
            </w:r>
            <w:r w:rsidR="00DC0B8D" w:rsidRPr="00EF305E">
              <w:t>'</w:t>
            </w:r>
            <w:r w:rsidRPr="00EF305E">
              <w:t>élaboration et la mise à jour fréquente de logiciels spécifiques.</w:t>
            </w:r>
          </w:p>
          <w:p w14:paraId="31A154E9" w14:textId="71430752" w:rsidR="001D5B56" w:rsidRPr="00EF305E" w:rsidRDefault="00D00656" w:rsidP="00DC0B8D">
            <w:pPr>
              <w:pStyle w:val="Tabletext"/>
            </w:pPr>
            <w:r w:rsidRPr="00EF305E">
              <w:t>[</w:t>
            </w:r>
            <w:r w:rsidR="001D5B56" w:rsidRPr="00EF305E">
              <w:t>…</w:t>
            </w:r>
            <w:r w:rsidRPr="00EF305E">
              <w:t>]</w:t>
            </w:r>
          </w:p>
        </w:tc>
        <w:tc>
          <w:tcPr>
            <w:tcW w:w="5300" w:type="dxa"/>
          </w:tcPr>
          <w:p w14:paraId="154343D7" w14:textId="61AADAD7" w:rsidR="001D5B56" w:rsidRPr="00EF305E" w:rsidRDefault="00672570" w:rsidP="00DC0B8D">
            <w:pPr>
              <w:pStyle w:val="Tabletext"/>
            </w:pPr>
            <w:r w:rsidRPr="00EF305E">
              <w:t>Le Canada et les États-Unis estiment raisonnable de conclure que</w:t>
            </w:r>
            <w:r w:rsidR="009C1730" w:rsidRPr="00EF305E">
              <w:t xml:space="preserve"> </w:t>
            </w:r>
            <w:r w:rsidR="009424FB" w:rsidRPr="00EF305E">
              <w:t>les ressources supplémentaires</w:t>
            </w:r>
            <w:r w:rsidR="009C1730" w:rsidRPr="00EF305E">
              <w:t xml:space="preserve"> </w:t>
            </w:r>
            <w:r w:rsidR="009424FB" w:rsidRPr="00EF305E">
              <w:t>liées</w:t>
            </w:r>
            <w:r w:rsidR="009C1730" w:rsidRPr="00EF305E">
              <w:t xml:space="preserve"> à la mise à jour/révision du logiciel devrai</w:t>
            </w:r>
            <w:r w:rsidR="00A35DF3" w:rsidRPr="00EF305E">
              <w:t>en</w:t>
            </w:r>
            <w:r w:rsidR="009C1730" w:rsidRPr="00EF305E">
              <w:t>t être couverte</w:t>
            </w:r>
            <w:r w:rsidR="00A35DF3" w:rsidRPr="00EF305E">
              <w:t>s</w:t>
            </w:r>
            <w:r w:rsidR="009C1730" w:rsidRPr="00EF305E">
              <w:t xml:space="preserve"> par </w:t>
            </w:r>
            <w:r w:rsidR="00D00656" w:rsidRPr="00EF305E">
              <w:t>l</w:t>
            </w:r>
            <w:r w:rsidR="00DC0B8D" w:rsidRPr="00EF305E">
              <w:t>'</w:t>
            </w:r>
            <w:r w:rsidR="00D00656" w:rsidRPr="00EF305E">
              <w:t>instauration d</w:t>
            </w:r>
            <w:r w:rsidR="00DC0B8D" w:rsidRPr="00EF305E">
              <w:t>'</w:t>
            </w:r>
            <w:r w:rsidR="00D00656" w:rsidRPr="00EF305E">
              <w:t>un droit additionnel pour le recouvrement des coûts afférents à l</w:t>
            </w:r>
            <w:r w:rsidR="00DC0B8D" w:rsidRPr="00EF305E">
              <w:t>'</w:t>
            </w:r>
            <w:r w:rsidR="00D00656" w:rsidRPr="00EF305E">
              <w:t>examen des limites d</w:t>
            </w:r>
            <w:r w:rsidR="00DC0B8D" w:rsidRPr="00EF305E">
              <w:t>'</w:t>
            </w:r>
            <w:r w:rsidR="00D00656" w:rsidRPr="00EF305E">
              <w:t>epfd</w:t>
            </w:r>
            <w:r w:rsidR="009C1730" w:rsidRPr="00EF305E">
              <w:t>.</w:t>
            </w:r>
          </w:p>
          <w:p w14:paraId="7FA25D02" w14:textId="6E19DBFD" w:rsidR="001D5B56" w:rsidRPr="00EF305E" w:rsidRDefault="00672570" w:rsidP="00295B76">
            <w:pPr>
              <w:pStyle w:val="Tabletext"/>
              <w:spacing w:before="240"/>
            </w:pPr>
            <w:r w:rsidRPr="00EF305E">
              <w:t>Voir le §</w:t>
            </w:r>
            <w:r w:rsidR="001D5B56" w:rsidRPr="00EF305E">
              <w:t xml:space="preserve"> 9.1</w:t>
            </w:r>
          </w:p>
        </w:tc>
      </w:tr>
      <w:tr w:rsidR="001D5B56" w:rsidRPr="00EF305E" w14:paraId="4EA022C0" w14:textId="77777777" w:rsidTr="00295B76">
        <w:trPr>
          <w:cantSplit/>
        </w:trPr>
        <w:tc>
          <w:tcPr>
            <w:tcW w:w="2014" w:type="dxa"/>
          </w:tcPr>
          <w:p w14:paraId="60F83734" w14:textId="77777777" w:rsidR="001D5B56" w:rsidRPr="00EF305E" w:rsidRDefault="001D5B56" w:rsidP="00DC0B8D">
            <w:pPr>
              <w:pStyle w:val="Tabletext"/>
            </w:pPr>
            <w:r w:rsidRPr="00EF305E">
              <w:t>6.4</w:t>
            </w:r>
          </w:p>
        </w:tc>
        <w:tc>
          <w:tcPr>
            <w:tcW w:w="6048" w:type="dxa"/>
          </w:tcPr>
          <w:p w14:paraId="2D6AAB58" w14:textId="6CC78E4B" w:rsidR="001D5B56" w:rsidRPr="00EF305E" w:rsidRDefault="00333487" w:rsidP="00DC0B8D">
            <w:pPr>
              <w:pStyle w:val="Tabletext"/>
            </w:pPr>
            <w:r w:rsidRPr="00EF305E">
              <w:t>Depuis 2005, les CMR ont également apporté un certain nombre de modifications aux Plans pour les services spatiaux (possibilité, par exemple, d</w:t>
            </w:r>
            <w:r w:rsidR="00DC0B8D" w:rsidRPr="00EF305E">
              <w:t>'</w:t>
            </w:r>
            <w:r w:rsidRPr="00EF305E">
              <w:t>effectuer un second examen pour le traitement des soumissions au titre de la Partie B ou autres activités liées à la tenue à jour des assignations de fréquence planifiées, selon les mêmes modalités que celles décrites au § 6.2). Les conséquences de ces modifications sur le barème des droits devraient également être étudiées.</w:t>
            </w:r>
          </w:p>
        </w:tc>
        <w:tc>
          <w:tcPr>
            <w:tcW w:w="5300" w:type="dxa"/>
          </w:tcPr>
          <w:p w14:paraId="703C268F" w14:textId="729A5015" w:rsidR="001D5B56" w:rsidRPr="00EF305E" w:rsidRDefault="000C4C21" w:rsidP="00DC0B8D">
            <w:pPr>
              <w:pStyle w:val="Tabletext"/>
            </w:pPr>
            <w:r w:rsidRPr="00EF305E">
              <w:t xml:space="preserve">Le Canada et les États-Unis </w:t>
            </w:r>
            <w:r w:rsidR="00EB38D9" w:rsidRPr="00EF305E">
              <w:t xml:space="preserve">estiment aussi </w:t>
            </w:r>
            <w:r w:rsidRPr="00EF305E">
              <w:t xml:space="preserve">que les conséquences de ces modifications sur les Plans pour les services spatiaux devraient </w:t>
            </w:r>
            <w:r w:rsidR="00CF77A2" w:rsidRPr="00EF305E">
              <w:t>faire l</w:t>
            </w:r>
            <w:r w:rsidR="00DC0B8D" w:rsidRPr="00EF305E">
              <w:t>'</w:t>
            </w:r>
            <w:r w:rsidR="00CF77A2" w:rsidRPr="00EF305E">
              <w:t>objet d</w:t>
            </w:r>
            <w:r w:rsidR="00DC0B8D" w:rsidRPr="00EF305E">
              <w:t>'</w:t>
            </w:r>
            <w:r w:rsidR="00CF77A2" w:rsidRPr="00EF305E">
              <w:t>une étude</w:t>
            </w:r>
            <w:r w:rsidRPr="00EF305E">
              <w:t>.</w:t>
            </w:r>
          </w:p>
        </w:tc>
      </w:tr>
      <w:tr w:rsidR="001D5B56" w:rsidRPr="00EF305E" w14:paraId="42C1A944" w14:textId="77777777" w:rsidTr="00295B76">
        <w:trPr>
          <w:cantSplit/>
        </w:trPr>
        <w:tc>
          <w:tcPr>
            <w:tcW w:w="2014" w:type="dxa"/>
          </w:tcPr>
          <w:p w14:paraId="706201AE" w14:textId="77777777" w:rsidR="001D5B56" w:rsidRPr="00EF305E" w:rsidRDefault="001D5B56" w:rsidP="00DC0B8D">
            <w:pPr>
              <w:pStyle w:val="Tabletext"/>
            </w:pPr>
            <w:r w:rsidRPr="00EF305E">
              <w:t>7</w:t>
            </w:r>
          </w:p>
        </w:tc>
        <w:tc>
          <w:tcPr>
            <w:tcW w:w="6048" w:type="dxa"/>
          </w:tcPr>
          <w:p w14:paraId="7AE7598F" w14:textId="3098C6F0" w:rsidR="001D5B56" w:rsidRPr="00EF305E" w:rsidRDefault="00333487" w:rsidP="00DC0B8D">
            <w:pPr>
              <w:pStyle w:val="Tabletext"/>
            </w:pPr>
            <w:r w:rsidRPr="00EF305E">
              <w:t>Décision 482 du Conseil: ce qui fonctionne bien et devrait rester inchangé</w:t>
            </w:r>
          </w:p>
        </w:tc>
        <w:tc>
          <w:tcPr>
            <w:tcW w:w="5300" w:type="dxa"/>
          </w:tcPr>
          <w:p w14:paraId="1863ABC7" w14:textId="24FF17A3" w:rsidR="001D5B56" w:rsidRPr="00EF305E" w:rsidRDefault="00422A84" w:rsidP="00DC0B8D">
            <w:pPr>
              <w:pStyle w:val="Tabletext"/>
            </w:pPr>
            <w:r w:rsidRPr="00EF305E">
              <w:t xml:space="preserve">Le Canada et les États-Unis </w:t>
            </w:r>
            <w:r w:rsidR="00EB38D9" w:rsidRPr="00EF305E">
              <w:t xml:space="preserve">estiment aussi </w:t>
            </w:r>
            <w:r w:rsidRPr="00EF305E">
              <w:t>que les aspects de la Décision 482 du Conseil qui fonctionnent bien devraient rester inchangés ou ne devraient pas faire l</w:t>
            </w:r>
            <w:r w:rsidR="00DC0B8D" w:rsidRPr="00EF305E">
              <w:t>'</w:t>
            </w:r>
            <w:r w:rsidRPr="00EF305E">
              <w:t>objet d</w:t>
            </w:r>
            <w:r w:rsidR="00DC0B8D" w:rsidRPr="00EF305E">
              <w:t>'</w:t>
            </w:r>
            <w:r w:rsidRPr="00EF305E">
              <w:t>un examen.</w:t>
            </w:r>
          </w:p>
        </w:tc>
      </w:tr>
      <w:tr w:rsidR="001D5B56" w:rsidRPr="00EF305E" w14:paraId="0A8990AC" w14:textId="77777777" w:rsidTr="00295B76">
        <w:trPr>
          <w:cantSplit/>
        </w:trPr>
        <w:tc>
          <w:tcPr>
            <w:tcW w:w="2014" w:type="dxa"/>
          </w:tcPr>
          <w:p w14:paraId="1A87637B" w14:textId="77777777" w:rsidR="001D5B56" w:rsidRPr="00EF305E" w:rsidRDefault="001D5B56" w:rsidP="00DC0B8D">
            <w:pPr>
              <w:pStyle w:val="Tabletext"/>
            </w:pPr>
            <w:r w:rsidRPr="00EF305E">
              <w:lastRenderedPageBreak/>
              <w:t>8.1</w:t>
            </w:r>
          </w:p>
        </w:tc>
        <w:tc>
          <w:tcPr>
            <w:tcW w:w="6048" w:type="dxa"/>
          </w:tcPr>
          <w:p w14:paraId="57002DFD" w14:textId="0BA740B5" w:rsidR="001D5B56" w:rsidRPr="00EF305E" w:rsidRDefault="00700F69" w:rsidP="00DC0B8D">
            <w:pPr>
              <w:pStyle w:val="Tabletext"/>
            </w:pPr>
            <w:r w:rsidRPr="00EF305E">
              <w:t>[U]</w:t>
            </w:r>
            <w:r w:rsidR="00333487" w:rsidRPr="00EF305E">
              <w:t>n groupe d</w:t>
            </w:r>
            <w:r w:rsidR="00DC0B8D" w:rsidRPr="00EF305E">
              <w:t>'</w:t>
            </w:r>
            <w:r w:rsidR="00333487" w:rsidRPr="00EF305E">
              <w:t>experts du Conseil pourrait étudier s</w:t>
            </w:r>
            <w:r w:rsidR="00DC0B8D" w:rsidRPr="00EF305E">
              <w:t>'</w:t>
            </w:r>
            <w:r w:rsidR="00333487" w:rsidRPr="00EF305E">
              <w:t>il est possible d</w:t>
            </w:r>
            <w:r w:rsidR="00DC0B8D" w:rsidRPr="00EF305E">
              <w:t>'</w:t>
            </w:r>
            <w:r w:rsidR="00333487" w:rsidRPr="00EF305E">
              <w:t>utiliser également les droits perçus pour le traitement des fiches de notification des réseaux à satellite pour compenser les coûts encourus par l</w:t>
            </w:r>
            <w:r w:rsidR="00DC0B8D" w:rsidRPr="00EF305E">
              <w:t>'</w:t>
            </w:r>
            <w:r w:rsidR="00333487" w:rsidRPr="00EF305E">
              <w:t>UIT afin d</w:t>
            </w:r>
            <w:r w:rsidR="00DC0B8D" w:rsidRPr="00EF305E">
              <w:t>'</w:t>
            </w:r>
            <w:r w:rsidR="00333487" w:rsidRPr="00EF305E">
              <w:t>aider tous les pays, en particulier les pays en développement, à utiliser les satellites pour promouvoir la connectivité universelle et la transformation numérique durable, y compris la mise au point d</w:t>
            </w:r>
            <w:r w:rsidR="00DC0B8D" w:rsidRPr="00EF305E">
              <w:t>'</w:t>
            </w:r>
            <w:r w:rsidR="00333487" w:rsidRPr="00EF305E">
              <w:t>outils numériques ou logiciels à cette fin.</w:t>
            </w:r>
          </w:p>
        </w:tc>
        <w:tc>
          <w:tcPr>
            <w:tcW w:w="5300" w:type="dxa"/>
            <w:shd w:val="clear" w:color="auto" w:fill="auto"/>
          </w:tcPr>
          <w:p w14:paraId="3CF1279D" w14:textId="01E34668" w:rsidR="001D5B56" w:rsidRPr="00EF305E" w:rsidRDefault="00761DAF" w:rsidP="00DC0B8D">
            <w:pPr>
              <w:pStyle w:val="Tabletext"/>
              <w:rPr>
                <w:i/>
                <w:iCs/>
              </w:rPr>
            </w:pPr>
            <w:r w:rsidRPr="00EF305E">
              <w:t xml:space="preserve">Le Canada et les États-Unis ont toujours soutenu que le recouvrement des coûts </w:t>
            </w:r>
            <w:r w:rsidR="00BC6AF1" w:rsidRPr="00EF305E">
              <w:t>associés au</w:t>
            </w:r>
            <w:r w:rsidRPr="00EF305E">
              <w:t xml:space="preserve"> traitement des fiches de notification des réseaux à satellite devrait </w:t>
            </w:r>
            <w:r w:rsidR="007F618E" w:rsidRPr="00EF305E">
              <w:t xml:space="preserve">viser avant </w:t>
            </w:r>
            <w:r w:rsidR="00E46A89" w:rsidRPr="00EF305E">
              <w:t xml:space="preserve">tout à </w:t>
            </w:r>
            <w:r w:rsidR="007F618E" w:rsidRPr="00EF305E">
              <w:t>couvrir</w:t>
            </w:r>
            <w:r w:rsidR="00E46A89" w:rsidRPr="00EF305E">
              <w:t xml:space="preserve"> le</w:t>
            </w:r>
            <w:r w:rsidRPr="00EF305E">
              <w:t xml:space="preserve">s coûts réels liés au traitement des fiches de notification des réseaux à satellite par les fonctionnaires du BR. </w:t>
            </w:r>
            <w:r w:rsidR="00F7682B" w:rsidRPr="00EF305E">
              <w:t>L</w:t>
            </w:r>
            <w:r w:rsidR="00DC0B8D" w:rsidRPr="00EF305E">
              <w:t>'</w:t>
            </w:r>
            <w:r w:rsidR="00F7682B" w:rsidRPr="00EF305E">
              <w:t xml:space="preserve">appui </w:t>
            </w:r>
            <w:r w:rsidR="00EB38D9" w:rsidRPr="00EF305E">
              <w:t xml:space="preserve">assuré aux pays par </w:t>
            </w:r>
            <w:r w:rsidR="00BF52D7" w:rsidRPr="00EF305E">
              <w:t xml:space="preserve">le BR </w:t>
            </w:r>
            <w:r w:rsidR="00F7682B" w:rsidRPr="00EF305E">
              <w:t xml:space="preserve">devrait faire partie </w:t>
            </w:r>
            <w:r w:rsidR="009A6188" w:rsidRPr="00EF305E">
              <w:t xml:space="preserve">intégrante </w:t>
            </w:r>
            <w:r w:rsidR="00235B71">
              <w:t>des activités courantes du </w:t>
            </w:r>
            <w:r w:rsidR="001D5B56" w:rsidRPr="00EF305E">
              <w:t xml:space="preserve">BR </w:t>
            </w:r>
            <w:r w:rsidR="00F7682B" w:rsidRPr="00EF305E">
              <w:t xml:space="preserve">et être </w:t>
            </w:r>
            <w:r w:rsidR="007F618E" w:rsidRPr="00EF305E">
              <w:t>financé</w:t>
            </w:r>
            <w:r w:rsidR="00F7682B" w:rsidRPr="00EF305E">
              <w:t xml:space="preserve"> </w:t>
            </w:r>
            <w:r w:rsidR="00EB38D9" w:rsidRPr="00EF305E">
              <w:t xml:space="preserve">au moyen du </w:t>
            </w:r>
            <w:r w:rsidR="00F7682B" w:rsidRPr="00EF305E">
              <w:t>budget g</w:t>
            </w:r>
            <w:r w:rsidR="00434411" w:rsidRPr="00EF305E">
              <w:t>énéral</w:t>
            </w:r>
            <w:r w:rsidR="00F7682B" w:rsidRPr="00EF305E">
              <w:t xml:space="preserve"> de l</w:t>
            </w:r>
            <w:r w:rsidR="00DC0B8D" w:rsidRPr="00EF305E">
              <w:t>'</w:t>
            </w:r>
            <w:r w:rsidR="00F7682B" w:rsidRPr="00EF305E">
              <w:t>UIT</w:t>
            </w:r>
            <w:r w:rsidR="00EF305E" w:rsidRPr="00EF305E">
              <w:noBreakHyphen/>
            </w:r>
            <w:r w:rsidR="00F7682B" w:rsidRPr="00EF305E">
              <w:t xml:space="preserve">R, et non au titre du recouvrement des coûts. </w:t>
            </w:r>
            <w:r w:rsidR="00F74320" w:rsidRPr="00EF305E">
              <w:t>Cet</w:t>
            </w:r>
            <w:r w:rsidR="00EB38D9" w:rsidRPr="00EF305E">
              <w:t xml:space="preserve"> aspect</w:t>
            </w:r>
            <w:r w:rsidR="00F74320" w:rsidRPr="00EF305E">
              <w:t xml:space="preserve"> ne devrait pas faire partie de l</w:t>
            </w:r>
            <w:r w:rsidR="00DC0B8D" w:rsidRPr="00EF305E">
              <w:t>'</w:t>
            </w:r>
            <w:r w:rsidR="00F74320" w:rsidRPr="00EF305E">
              <w:t>étude.</w:t>
            </w:r>
          </w:p>
        </w:tc>
      </w:tr>
      <w:tr w:rsidR="001D5B56" w:rsidRPr="00EF305E" w14:paraId="2D3BAD65" w14:textId="77777777" w:rsidTr="00295B76">
        <w:trPr>
          <w:cantSplit/>
        </w:trPr>
        <w:tc>
          <w:tcPr>
            <w:tcW w:w="2014" w:type="dxa"/>
          </w:tcPr>
          <w:p w14:paraId="5A7FD9C5" w14:textId="77777777" w:rsidR="001D5B56" w:rsidRPr="00EF305E" w:rsidRDefault="001D5B56" w:rsidP="00DC0B8D">
            <w:pPr>
              <w:pStyle w:val="Tabletext"/>
            </w:pPr>
            <w:r w:rsidRPr="00EF305E">
              <w:t>9.1</w:t>
            </w:r>
          </w:p>
        </w:tc>
        <w:tc>
          <w:tcPr>
            <w:tcW w:w="6048" w:type="dxa"/>
          </w:tcPr>
          <w:p w14:paraId="75D238C0" w14:textId="7A856599" w:rsidR="001D5B56" w:rsidRPr="00EF305E" w:rsidRDefault="00600FC9" w:rsidP="00DC0B8D">
            <w:pPr>
              <w:pStyle w:val="Tabletext"/>
            </w:pPr>
            <w:r w:rsidRPr="00EF305E">
              <w:t xml:space="preserve">À sa réunion de 2023, le GCR a conclu que le Bureau des radiocommunications ne disposait pas de suffisamment de ressources spécifiques pour mettre à jour et moderniser en permanence les applications logicielles du Bureau utilisées pour les fiches de notification des systèmes à satellites et des systèmes de Terre. </w:t>
            </w:r>
            <w:r w:rsidR="005904F4" w:rsidRPr="00EF305E">
              <w:t>[</w:t>
            </w:r>
            <w:r w:rsidRPr="00EF305E">
              <w:t>...</w:t>
            </w:r>
            <w:r w:rsidR="005904F4" w:rsidRPr="00EF305E">
              <w:t>]</w:t>
            </w:r>
            <w:r w:rsidRPr="00EF305E">
              <w:t xml:space="preserve"> Un groupe d</w:t>
            </w:r>
            <w:r w:rsidR="00DC0B8D" w:rsidRPr="00EF305E">
              <w:t>'</w:t>
            </w:r>
            <w:r w:rsidRPr="00EF305E">
              <w:t>experts du Conseil pourrait également être chargé d</w:t>
            </w:r>
            <w:r w:rsidR="00DC0B8D" w:rsidRPr="00EF305E">
              <w:t>'</w:t>
            </w:r>
            <w:r w:rsidRPr="00EF305E">
              <w:t>étudier les mécanismes qui pourraient être mis en place pour remédier à ce manque de ressources.</w:t>
            </w:r>
          </w:p>
        </w:tc>
        <w:tc>
          <w:tcPr>
            <w:tcW w:w="5300" w:type="dxa"/>
          </w:tcPr>
          <w:p w14:paraId="1CD803F4" w14:textId="35AC4B90" w:rsidR="001D5B56" w:rsidRPr="00EF305E" w:rsidRDefault="00DF638F" w:rsidP="00DC0B8D">
            <w:pPr>
              <w:pStyle w:val="Tabletext"/>
            </w:pPr>
            <w:r w:rsidRPr="00EF305E">
              <w:t xml:space="preserve">Le Canada et les États-Unis </w:t>
            </w:r>
            <w:r w:rsidR="00EB38D9" w:rsidRPr="00EF305E">
              <w:t>sont d</w:t>
            </w:r>
            <w:r w:rsidR="00DC0B8D" w:rsidRPr="00EF305E">
              <w:t>'</w:t>
            </w:r>
            <w:r w:rsidR="00EB38D9" w:rsidRPr="00EF305E">
              <w:t xml:space="preserve">avis également </w:t>
            </w:r>
            <w:r w:rsidRPr="00EF305E">
              <w:t>qu</w:t>
            </w:r>
            <w:r w:rsidR="00DC0B8D" w:rsidRPr="00EF305E">
              <w:t>'</w:t>
            </w:r>
            <w:r w:rsidRPr="00EF305E">
              <w:t>un groupe d</w:t>
            </w:r>
            <w:r w:rsidR="00DC0B8D" w:rsidRPr="00EF305E">
              <w:t>'</w:t>
            </w:r>
            <w:r w:rsidRPr="00EF305E">
              <w:t xml:space="preserve">experts du Conseil </w:t>
            </w:r>
            <w:r w:rsidR="002A01CF" w:rsidRPr="00EF305E">
              <w:t xml:space="preserve">sur le recouvrement des coûts </w:t>
            </w:r>
            <w:r w:rsidR="00917D71" w:rsidRPr="00EF305E">
              <w:t>associés au</w:t>
            </w:r>
            <w:r w:rsidR="002A01CF" w:rsidRPr="00EF305E">
              <w:t xml:space="preserve"> traitement des fiches </w:t>
            </w:r>
            <w:r w:rsidR="0012142F" w:rsidRPr="00EF305E">
              <w:t xml:space="preserve">de notification </w:t>
            </w:r>
            <w:r w:rsidR="002A01CF" w:rsidRPr="00EF305E">
              <w:t>de</w:t>
            </w:r>
            <w:r w:rsidR="00D90EB9" w:rsidRPr="00EF305E">
              <w:t>s</w:t>
            </w:r>
            <w:r w:rsidR="002A01CF" w:rsidRPr="00EF305E">
              <w:t xml:space="preserve"> réseaux à satellite pourrait examiner les ressources spécifiques nécessaires pour mettre à jour et moderniser en permanence les applications logicielles du Bureau utilisées pour les fiches de no</w:t>
            </w:r>
            <w:r w:rsidR="00AD6216" w:rsidRPr="00EF305E">
              <w:t>ti</w:t>
            </w:r>
            <w:r w:rsidR="002A01CF" w:rsidRPr="00EF305E">
              <w:t>fication des systèmes à satellites</w:t>
            </w:r>
            <w:r w:rsidR="00EA58D8" w:rsidRPr="00EF305E">
              <w:t>. Toutefois, comme indiqué ci</w:t>
            </w:r>
            <w:r w:rsidR="00EF305E" w:rsidRPr="00EF305E">
              <w:noBreakHyphen/>
            </w:r>
            <w:r w:rsidR="00EA58D8" w:rsidRPr="00EF305E">
              <w:t>dessus,</w:t>
            </w:r>
            <w:r w:rsidR="001D5B56" w:rsidRPr="00EF305E">
              <w:t xml:space="preserve"> </w:t>
            </w:r>
            <w:r w:rsidR="000536C1" w:rsidRPr="00EF305E">
              <w:t xml:space="preserve">le recouvrement des coûts </w:t>
            </w:r>
            <w:r w:rsidR="005904F4" w:rsidRPr="00EF305E">
              <w:t>associés au</w:t>
            </w:r>
            <w:r w:rsidR="000536C1" w:rsidRPr="00EF305E">
              <w:t xml:space="preserve"> traitement des fiches </w:t>
            </w:r>
            <w:r w:rsidR="00D90EB9" w:rsidRPr="00EF305E">
              <w:t xml:space="preserve">de notification </w:t>
            </w:r>
            <w:r w:rsidR="000536C1" w:rsidRPr="00EF305E">
              <w:t>de</w:t>
            </w:r>
            <w:r w:rsidR="00D90EB9" w:rsidRPr="00EF305E">
              <w:t>s</w:t>
            </w:r>
            <w:r w:rsidR="000536C1" w:rsidRPr="00EF305E">
              <w:t xml:space="preserve"> réseaux à satellite est limité aux recouvrement des coûts associés au traitement des fiches de notification</w:t>
            </w:r>
            <w:r w:rsidR="00AB5CD6" w:rsidRPr="00EF305E">
              <w:t xml:space="preserve"> par le BR</w:t>
            </w:r>
            <w:r w:rsidR="005D6B01" w:rsidRPr="00EF305E">
              <w:t xml:space="preserve">. </w:t>
            </w:r>
            <w:r w:rsidR="00EB38D9" w:rsidRPr="00EF305E">
              <w:t>Dès lors</w:t>
            </w:r>
            <w:r w:rsidR="00813473" w:rsidRPr="00EF305E">
              <w:t>,</w:t>
            </w:r>
            <w:r w:rsidR="001D5B56" w:rsidRPr="00EF305E">
              <w:t xml:space="preserve"> </w:t>
            </w:r>
            <w:r w:rsidR="0043446F" w:rsidRPr="00EF305E">
              <w:t>ces ressources ne devraient pas être utili</w:t>
            </w:r>
            <w:r w:rsidR="00055063" w:rsidRPr="00EF305E">
              <w:t>s</w:t>
            </w:r>
            <w:r w:rsidR="0043446F" w:rsidRPr="00EF305E">
              <w:t>ées pour financer la mise au point d</w:t>
            </w:r>
            <w:r w:rsidR="00DC0B8D" w:rsidRPr="00EF305E">
              <w:t>'</w:t>
            </w:r>
            <w:r w:rsidR="0043446F" w:rsidRPr="00EF305E">
              <w:t>outils logiciels pour le traitement des fiches de notification des systèmes de Terre et cette question ne devrait pas faire l</w:t>
            </w:r>
            <w:r w:rsidR="00DC0B8D" w:rsidRPr="00EF305E">
              <w:t>'</w:t>
            </w:r>
            <w:r w:rsidR="0043446F" w:rsidRPr="00EF305E">
              <w:t>objet d</w:t>
            </w:r>
            <w:r w:rsidR="00DC0B8D" w:rsidRPr="00EF305E">
              <w:t>'</w:t>
            </w:r>
            <w:r w:rsidR="0043446F" w:rsidRPr="00EF305E">
              <w:t>une étude plus approfondie.</w:t>
            </w:r>
          </w:p>
          <w:p w14:paraId="261C7831" w14:textId="07FF70D1" w:rsidR="001D5B56" w:rsidRPr="00EF305E" w:rsidRDefault="004D5283" w:rsidP="00DC0B8D">
            <w:pPr>
              <w:pStyle w:val="Tabletext"/>
            </w:pPr>
            <w:r w:rsidRPr="00EF305E">
              <w:t>Voir les §</w:t>
            </w:r>
            <w:r w:rsidR="001D5B56" w:rsidRPr="00EF305E">
              <w:t xml:space="preserve"> 6.1 </w:t>
            </w:r>
            <w:r w:rsidRPr="00EF305E">
              <w:t>et</w:t>
            </w:r>
            <w:r w:rsidR="001D5B56" w:rsidRPr="00EF305E">
              <w:t xml:space="preserve"> 6.3.</w:t>
            </w:r>
          </w:p>
        </w:tc>
      </w:tr>
    </w:tbl>
    <w:p w14:paraId="52E0E439" w14:textId="77777777" w:rsidR="00600FC9" w:rsidRPr="00EF305E" w:rsidRDefault="00600FC9" w:rsidP="00DC0B8D">
      <w:pPr>
        <w:tabs>
          <w:tab w:val="clear" w:pos="567"/>
          <w:tab w:val="clear" w:pos="1134"/>
          <w:tab w:val="clear" w:pos="1701"/>
          <w:tab w:val="clear" w:pos="2268"/>
          <w:tab w:val="clear" w:pos="2835"/>
        </w:tabs>
        <w:overflowPunct/>
        <w:autoSpaceDE/>
        <w:autoSpaceDN/>
        <w:adjustRightInd/>
        <w:spacing w:before="0"/>
        <w:textAlignment w:val="auto"/>
      </w:pPr>
      <w:r w:rsidRPr="00EF305E">
        <w:br w:type="page"/>
      </w:r>
    </w:p>
    <w:tbl>
      <w:tblPr>
        <w:tblStyle w:val="TableGrid"/>
        <w:tblW w:w="0" w:type="auto"/>
        <w:tblLook w:val="04A0" w:firstRow="1" w:lastRow="0" w:firstColumn="1" w:lastColumn="0" w:noHBand="0" w:noVBand="1"/>
      </w:tblPr>
      <w:tblGrid>
        <w:gridCol w:w="1129"/>
        <w:gridCol w:w="6663"/>
        <w:gridCol w:w="6202"/>
      </w:tblGrid>
      <w:tr w:rsidR="00600FC9" w:rsidRPr="00EF305E" w14:paraId="3CD6CE12" w14:textId="77777777" w:rsidTr="00600FC9">
        <w:tc>
          <w:tcPr>
            <w:tcW w:w="13994" w:type="dxa"/>
            <w:gridSpan w:val="3"/>
          </w:tcPr>
          <w:p w14:paraId="1344434E" w14:textId="0AB35843" w:rsidR="00600FC9" w:rsidRPr="00235B71" w:rsidRDefault="00600FC9" w:rsidP="00DC0B8D">
            <w:pPr>
              <w:pStyle w:val="Tablehead"/>
              <w:jc w:val="left"/>
              <w:rPr>
                <w:b w:val="0"/>
                <w:bCs/>
                <w:caps/>
              </w:rPr>
            </w:pPr>
            <w:r w:rsidRPr="00235B71">
              <w:rPr>
                <w:b w:val="0"/>
                <w:bCs/>
                <w:caps/>
              </w:rPr>
              <w:lastRenderedPageBreak/>
              <w:t>Annexe 2</w:t>
            </w:r>
          </w:p>
        </w:tc>
      </w:tr>
      <w:tr w:rsidR="00600FC9" w:rsidRPr="00EF305E" w14:paraId="1A44B858" w14:textId="77777777" w:rsidTr="00600FC9">
        <w:tc>
          <w:tcPr>
            <w:tcW w:w="1129" w:type="dxa"/>
          </w:tcPr>
          <w:p w14:paraId="17AC4E00" w14:textId="77777777" w:rsidR="00600FC9" w:rsidRPr="00EF305E" w:rsidRDefault="00600FC9" w:rsidP="00DC0B8D">
            <w:pPr>
              <w:pStyle w:val="Tabletext"/>
            </w:pPr>
          </w:p>
        </w:tc>
        <w:tc>
          <w:tcPr>
            <w:tcW w:w="6663" w:type="dxa"/>
          </w:tcPr>
          <w:p w14:paraId="48391816" w14:textId="24859874" w:rsidR="00600FC9" w:rsidRPr="00EF305E" w:rsidRDefault="00FE07C0" w:rsidP="00DC0B8D">
            <w:pPr>
              <w:pStyle w:val="Tabletext"/>
            </w:pPr>
            <w:r w:rsidRPr="00EF305E">
              <w:t>Projet de mandat</w:t>
            </w:r>
          </w:p>
        </w:tc>
        <w:tc>
          <w:tcPr>
            <w:tcW w:w="6202" w:type="dxa"/>
          </w:tcPr>
          <w:p w14:paraId="515DE5C6" w14:textId="693A922B" w:rsidR="00600FC9" w:rsidRPr="00EF305E" w:rsidRDefault="00B25010" w:rsidP="00DC0B8D">
            <w:pPr>
              <w:pStyle w:val="Tabletext"/>
            </w:pPr>
            <w:r w:rsidRPr="00EF305E">
              <w:t>Compte tenu des</w:t>
            </w:r>
            <w:r w:rsidR="00600FC9" w:rsidRPr="00EF305E">
              <w:t xml:space="preserve"> Documents C23/19</w:t>
            </w:r>
            <w:r w:rsidR="002109A8" w:rsidRPr="00EF305E">
              <w:t xml:space="preserve"> et</w:t>
            </w:r>
            <w:r w:rsidR="00600FC9" w:rsidRPr="00EF305E">
              <w:t xml:space="preserve"> C23/16, </w:t>
            </w:r>
            <w:r w:rsidR="002109A8" w:rsidRPr="00EF305E">
              <w:t xml:space="preserve">des </w:t>
            </w:r>
            <w:r w:rsidR="00600FC9" w:rsidRPr="00EF305E">
              <w:t xml:space="preserve">contributions </w:t>
            </w:r>
            <w:r w:rsidR="002109A8" w:rsidRPr="00EF305E">
              <w:t xml:space="preserve">soumises au Conseil et des débats lors du Conseil, le mandat définitif devrait contenir la liste des questions </w:t>
            </w:r>
            <w:r w:rsidR="00E04FE1" w:rsidRPr="00EF305E">
              <w:t xml:space="preserve">spécifiques </w:t>
            </w:r>
            <w:r w:rsidR="002109A8" w:rsidRPr="00EF305E">
              <w:t>qui seront étudiées par le Groupe d</w:t>
            </w:r>
            <w:r w:rsidR="00DC0B8D" w:rsidRPr="00EF305E">
              <w:t>'</w:t>
            </w:r>
            <w:r w:rsidR="002109A8" w:rsidRPr="00EF305E">
              <w:t>experts du Conseil.</w:t>
            </w:r>
          </w:p>
        </w:tc>
      </w:tr>
    </w:tbl>
    <w:p w14:paraId="1C3B2891" w14:textId="77777777" w:rsidR="00600FC9" w:rsidRPr="00EF305E" w:rsidRDefault="00600FC9" w:rsidP="00DC0B8D">
      <w:pPr>
        <w:sectPr w:rsidR="00600FC9" w:rsidRPr="00EF305E" w:rsidSect="001D5B56">
          <w:footerReference w:type="default" r:id="rId14"/>
          <w:headerReference w:type="first" r:id="rId15"/>
          <w:footerReference w:type="first" r:id="rId16"/>
          <w:pgSz w:w="16840" w:h="11907" w:orient="landscape" w:code="9"/>
          <w:pgMar w:top="1418" w:right="1418" w:bottom="1418" w:left="1418" w:header="720" w:footer="720" w:gutter="0"/>
          <w:paperSrc w:first="286" w:other="286"/>
          <w:cols w:space="720"/>
          <w:titlePg/>
          <w:docGrid w:linePitch="326"/>
        </w:sectPr>
      </w:pPr>
    </w:p>
    <w:p w14:paraId="3CB6DE80" w14:textId="22BE89AB" w:rsidR="00600FC9" w:rsidRPr="00EF305E" w:rsidRDefault="00600FC9" w:rsidP="00DC0B8D">
      <w:pPr>
        <w:pStyle w:val="AnnexNo"/>
      </w:pPr>
      <w:bookmarkStart w:id="2" w:name="ANNEXEBIS"/>
      <w:r w:rsidRPr="00EF305E">
        <w:lastRenderedPageBreak/>
        <w:t>ANNEXE 2</w:t>
      </w:r>
      <w:bookmarkEnd w:id="2"/>
    </w:p>
    <w:p w14:paraId="4E82B24F" w14:textId="095ABD65" w:rsidR="00600FC9" w:rsidRPr="00EF305E" w:rsidRDefault="00000C0E" w:rsidP="00DC0B8D">
      <w:pPr>
        <w:pStyle w:val="Annextitle"/>
      </w:pPr>
      <w:r w:rsidRPr="00EF305E">
        <w:t>M</w:t>
      </w:r>
      <w:r w:rsidR="00600FC9" w:rsidRPr="00EF305E">
        <w:t>andat du Groupe d</w:t>
      </w:r>
      <w:r w:rsidR="00DC0B8D" w:rsidRPr="00EF305E">
        <w:t>'</w:t>
      </w:r>
      <w:r w:rsidR="00600FC9" w:rsidRPr="00EF305E">
        <w:t>experts du Conseil sur la Décision 482 du Conseil</w:t>
      </w:r>
    </w:p>
    <w:p w14:paraId="06FF6A6D" w14:textId="6F148248" w:rsidR="00600FC9" w:rsidRPr="00EF305E" w:rsidRDefault="00600FC9" w:rsidP="00235B71">
      <w:pPr>
        <w:pStyle w:val="Normalaftertitle"/>
        <w:spacing w:before="480"/>
      </w:pPr>
      <w:r w:rsidRPr="00EF305E">
        <w:t>Le mandat du Groupe d</w:t>
      </w:r>
      <w:r w:rsidR="00DC0B8D" w:rsidRPr="00EF305E">
        <w:t>'</w:t>
      </w:r>
      <w:r w:rsidRPr="00EF305E">
        <w:t>experts du Conseil sur la Décision 482 est le suivant:</w:t>
      </w:r>
    </w:p>
    <w:p w14:paraId="6B70360B" w14:textId="1AA46F0C" w:rsidR="00600FC9" w:rsidRPr="00EF305E" w:rsidRDefault="00600FC9" w:rsidP="00DC0B8D">
      <w:r w:rsidRPr="00EF305E">
        <w:t>1</w:t>
      </w:r>
      <w:r w:rsidRPr="00EF305E">
        <w:tab/>
        <w:t>Le Groupe d</w:t>
      </w:r>
      <w:r w:rsidR="00DC0B8D" w:rsidRPr="00EF305E">
        <w:t>'</w:t>
      </w:r>
      <w:r w:rsidRPr="00EF305E">
        <w:t xml:space="preserve">experts du Conseil sur la Décision 482 </w:t>
      </w:r>
      <w:r w:rsidR="00000C0E" w:rsidRPr="00EF305E">
        <w:t>étudiera</w:t>
      </w:r>
      <w:r w:rsidRPr="00EF305E">
        <w:t xml:space="preserve"> les </w:t>
      </w:r>
      <w:r w:rsidR="00000C0E" w:rsidRPr="00EF305E">
        <w:t xml:space="preserve">points </w:t>
      </w:r>
      <w:r w:rsidRPr="00EF305E">
        <w:t xml:space="preserve">énumérés </w:t>
      </w:r>
      <w:r w:rsidR="00000C0E" w:rsidRPr="00EF305E">
        <w:t>ci</w:t>
      </w:r>
      <w:r w:rsidR="00295B76" w:rsidRPr="00EF305E">
        <w:noBreakHyphen/>
      </w:r>
      <w:r w:rsidR="00000C0E" w:rsidRPr="00EF305E">
        <w:t xml:space="preserve">dessous (découlant de </w:t>
      </w:r>
      <w:r w:rsidRPr="00EF305E">
        <w:t>l</w:t>
      </w:r>
      <w:r w:rsidR="00DC0B8D" w:rsidRPr="00EF305E">
        <w:t>'</w:t>
      </w:r>
      <w:r w:rsidRPr="00EF305E">
        <w:t>Annexe 1 du Document C23/19</w:t>
      </w:r>
      <w:r w:rsidR="00000C0E" w:rsidRPr="00EF305E">
        <w:t>)</w:t>
      </w:r>
      <w:r w:rsidRPr="00EF305E">
        <w:t>, compte tenu des contributions soumises à ses réunions.</w:t>
      </w:r>
    </w:p>
    <w:p w14:paraId="17AD1997" w14:textId="3144EAE3" w:rsidR="00600FC9" w:rsidRPr="00EF305E" w:rsidRDefault="00600FC9" w:rsidP="00DC0B8D">
      <w:pPr>
        <w:pStyle w:val="enumlev1"/>
      </w:pPr>
      <w:r w:rsidRPr="00EF305E">
        <w:t>a)</w:t>
      </w:r>
      <w:r w:rsidRPr="00EF305E">
        <w:tab/>
      </w:r>
      <w:r w:rsidR="00000C0E" w:rsidRPr="00EF305E">
        <w:t xml:space="preserve">Dans le cas des fiches de notification considérées comme "non recevables", </w:t>
      </w:r>
      <w:r w:rsidR="00C022EC" w:rsidRPr="00EF305E">
        <w:t xml:space="preserve">étudier </w:t>
      </w:r>
      <w:r w:rsidR="00CD46F5" w:rsidRPr="00EF305E">
        <w:t>la possibilité</w:t>
      </w:r>
      <w:r w:rsidR="00E532F4" w:rsidRPr="00EF305E">
        <w:t xml:space="preserve"> </w:t>
      </w:r>
      <w:r w:rsidR="00B53017" w:rsidRPr="00EF305E">
        <w:t>de facturer</w:t>
      </w:r>
      <w:r w:rsidR="00E532F4" w:rsidRPr="00EF305E">
        <w:t xml:space="preserve"> une partie d</w:t>
      </w:r>
      <w:r w:rsidR="00CD2A67" w:rsidRPr="00EF305E">
        <w:t>es</w:t>
      </w:r>
      <w:r w:rsidR="00E532F4" w:rsidRPr="00EF305E">
        <w:t xml:space="preserve"> droit</w:t>
      </w:r>
      <w:r w:rsidR="00CD2A67" w:rsidRPr="00EF305E">
        <w:t>s</w:t>
      </w:r>
      <w:r w:rsidR="00E532F4" w:rsidRPr="00EF305E">
        <w:t xml:space="preserve"> </w:t>
      </w:r>
      <w:r w:rsidR="00E50919" w:rsidRPr="00EF305E">
        <w:t>à acquitter</w:t>
      </w:r>
      <w:r w:rsidR="00E532F4" w:rsidRPr="00EF305E">
        <w:t xml:space="preserve"> pour </w:t>
      </w:r>
      <w:r w:rsidR="00845D53" w:rsidRPr="00EF305E">
        <w:t>le traitement d</w:t>
      </w:r>
      <w:r w:rsidR="00DC0B8D" w:rsidRPr="00EF305E">
        <w:t>'</w:t>
      </w:r>
      <w:r w:rsidR="00E532F4" w:rsidRPr="00EF305E">
        <w:t>une fiche de notification équivalente considérée comme "recevable".</w:t>
      </w:r>
    </w:p>
    <w:p w14:paraId="43342078" w14:textId="167ADBCE" w:rsidR="00600FC9" w:rsidRPr="00EF305E" w:rsidRDefault="00600FC9" w:rsidP="00DC0B8D">
      <w:pPr>
        <w:pStyle w:val="enumlev1"/>
      </w:pPr>
      <w:r w:rsidRPr="00EF305E">
        <w:t>b)</w:t>
      </w:r>
      <w:r w:rsidRPr="00EF305E">
        <w:tab/>
      </w:r>
      <w:r w:rsidR="00333296" w:rsidRPr="00EF305E">
        <w:t>Étudier la</w:t>
      </w:r>
      <w:r w:rsidR="00CD2A67" w:rsidRPr="00EF305E">
        <w:t xml:space="preserve"> possibilité</w:t>
      </w:r>
      <w:r w:rsidR="00055139" w:rsidRPr="00EF305E">
        <w:t xml:space="preserve"> </w:t>
      </w:r>
      <w:r w:rsidR="00CD46F5" w:rsidRPr="00EF305E">
        <w:t>de mettre en œuvre</w:t>
      </w:r>
      <w:r w:rsidR="00E532F4" w:rsidRPr="00EF305E">
        <w:t xml:space="preserve"> les propositions spécifiques formulées dans le </w:t>
      </w:r>
      <w:r w:rsidRPr="00EF305E">
        <w:t xml:space="preserve">Document C23/19 </w:t>
      </w:r>
      <w:r w:rsidR="00D31230" w:rsidRPr="00EF305E">
        <w:t xml:space="preserve">en tant que limites </w:t>
      </w:r>
      <w:r w:rsidR="00B537D8" w:rsidRPr="00EF305E">
        <w:t>imposées aux</w:t>
      </w:r>
      <w:r w:rsidR="00D31230" w:rsidRPr="00EF305E">
        <w:t xml:space="preserve"> fiches de notification </w:t>
      </w:r>
      <w:r w:rsidR="00EA28B5" w:rsidRPr="00EF305E">
        <w:t xml:space="preserve">admises au bénéfice </w:t>
      </w:r>
      <w:r w:rsidR="00D31230" w:rsidRPr="00EF305E">
        <w:t>de l</w:t>
      </w:r>
      <w:r w:rsidR="00DC0B8D" w:rsidRPr="00EF305E">
        <w:t>'</w:t>
      </w:r>
      <w:r w:rsidR="00D31230" w:rsidRPr="00EF305E">
        <w:t>exonération du paiement de droits.</w:t>
      </w:r>
    </w:p>
    <w:p w14:paraId="6E02CED8" w14:textId="024F1ADF" w:rsidR="00600FC9" w:rsidRPr="00EF305E" w:rsidRDefault="00600FC9" w:rsidP="00DC0B8D">
      <w:pPr>
        <w:pStyle w:val="enumlev1"/>
      </w:pPr>
      <w:r w:rsidRPr="00EF305E">
        <w:t>c)</w:t>
      </w:r>
      <w:r w:rsidRPr="00EF305E">
        <w:tab/>
      </w:r>
      <w:r w:rsidR="00B818E9" w:rsidRPr="00EF305E">
        <w:t>Déterminer</w:t>
      </w:r>
      <w:r w:rsidR="001F2D62" w:rsidRPr="00EF305E">
        <w:t xml:space="preserve"> si des droits spécifiques devraient être acquittés lorsque plus d</w:t>
      </w:r>
      <w:r w:rsidR="00DC0B8D" w:rsidRPr="00EF305E">
        <w:t>'</w:t>
      </w:r>
      <w:r w:rsidR="001F2D62" w:rsidRPr="00EF305E">
        <w:t>un certain nombre (à déterminer) de notifications de stations terriennes sont soumises par la même administration.</w:t>
      </w:r>
      <w:r w:rsidR="0089149A" w:rsidRPr="00EF305E">
        <w:t xml:space="preserve"> Les renseignements fournis par le Bureau viendront étayer cette étude.</w:t>
      </w:r>
    </w:p>
    <w:p w14:paraId="57E2DEA1" w14:textId="235992CE" w:rsidR="00600FC9" w:rsidRPr="00EF305E" w:rsidRDefault="00600FC9" w:rsidP="00DC0B8D">
      <w:pPr>
        <w:pStyle w:val="enumlev1"/>
      </w:pPr>
      <w:r w:rsidRPr="00EF305E">
        <w:t>d)</w:t>
      </w:r>
      <w:r w:rsidRPr="00EF305E">
        <w:tab/>
      </w:r>
      <w:r w:rsidR="009F7161" w:rsidRPr="00EF305E">
        <w:t>Étudier les</w:t>
      </w:r>
      <w:r w:rsidR="004A3B9A" w:rsidRPr="00EF305E">
        <w:t xml:space="preserve"> c</w:t>
      </w:r>
      <w:r w:rsidR="009353C9" w:rsidRPr="00EF305E">
        <w:t>oûts associés au traitement des fiches de notification soumises à nouveau</w:t>
      </w:r>
      <w:r w:rsidRPr="00EF305E">
        <w:t>.</w:t>
      </w:r>
    </w:p>
    <w:p w14:paraId="19F496CA" w14:textId="73F7DCEE" w:rsidR="00600FC9" w:rsidRPr="00EF305E" w:rsidRDefault="00600FC9" w:rsidP="00DC0B8D">
      <w:pPr>
        <w:pStyle w:val="enumlev1"/>
      </w:pPr>
      <w:r w:rsidRPr="00EF305E">
        <w:t>e)</w:t>
      </w:r>
      <w:r w:rsidRPr="00EF305E">
        <w:tab/>
      </w:r>
      <w:r w:rsidR="00131B9C" w:rsidRPr="00EF305E">
        <w:t>Étudier les</w:t>
      </w:r>
      <w:r w:rsidR="008E214E" w:rsidRPr="00EF305E">
        <w:t xml:space="preserve"> coûts associés à la mise en œuvre par le BR des dispositions supplémentaires des </w:t>
      </w:r>
      <w:r w:rsidR="008D2432" w:rsidRPr="00EF305E">
        <w:t>Résolutions 4 (Rév.CMR-03) et 49 (Rév.CMR-19) de la Conférence</w:t>
      </w:r>
      <w:r w:rsidR="00295B76" w:rsidRPr="00EF305E">
        <w:t> </w:t>
      </w:r>
      <w:r w:rsidR="008D2432" w:rsidRPr="00EF305E">
        <w:t>mondiale des radiocommunications</w:t>
      </w:r>
      <w:r w:rsidR="001561A0" w:rsidRPr="00EF305E">
        <w:t xml:space="preserve"> (CMR)</w:t>
      </w:r>
      <w:r w:rsidRPr="00EF305E">
        <w:t xml:space="preserve">, </w:t>
      </w:r>
      <w:r w:rsidR="003C77F5" w:rsidRPr="00EF305E">
        <w:t xml:space="preserve">des numéros </w:t>
      </w:r>
      <w:r w:rsidRPr="00EF305E">
        <w:t>11.32A (</w:t>
      </w:r>
      <w:r w:rsidR="003C77F5" w:rsidRPr="00EF305E">
        <w:t>voir note</w:t>
      </w:r>
      <w:r w:rsidR="00295B76" w:rsidRPr="00EF305E">
        <w:t> </w:t>
      </w:r>
      <w:r w:rsidRPr="00EF305E">
        <w:rPr>
          <w:i/>
        </w:rPr>
        <w:t>a</w:t>
      </w:r>
      <w:r w:rsidR="00EF305E" w:rsidRPr="00EF305E">
        <w:rPr>
          <w:i/>
        </w:rPr>
        <w:t>)</w:t>
      </w:r>
      <w:r w:rsidRPr="00EF305E">
        <w:t xml:space="preserve">), 11.41, 11.47, 11.49, </w:t>
      </w:r>
      <w:r w:rsidR="003C77F5" w:rsidRPr="00EF305E">
        <w:t xml:space="preserve">de la Sous-section </w:t>
      </w:r>
      <w:r w:rsidRPr="00EF305E">
        <w:t xml:space="preserve">IID </w:t>
      </w:r>
      <w:r w:rsidR="003C77F5" w:rsidRPr="00EF305E">
        <w:t>de l</w:t>
      </w:r>
      <w:r w:rsidR="00DC0B8D" w:rsidRPr="00EF305E">
        <w:t>'</w:t>
      </w:r>
      <w:r w:rsidRPr="00EF305E">
        <w:t xml:space="preserve">Article 9, </w:t>
      </w:r>
      <w:r w:rsidR="003C77F5" w:rsidRPr="00EF305E">
        <w:t>des S</w:t>
      </w:r>
      <w:r w:rsidRPr="00EF305E">
        <w:t xml:space="preserve">ections 1 </w:t>
      </w:r>
      <w:r w:rsidR="003C77F5" w:rsidRPr="00EF305E">
        <w:t>et</w:t>
      </w:r>
      <w:r w:rsidRPr="00EF305E">
        <w:t xml:space="preserve"> 2 </w:t>
      </w:r>
      <w:r w:rsidR="003C77F5" w:rsidRPr="00EF305E">
        <w:t>de l</w:t>
      </w:r>
      <w:r w:rsidR="00DC0B8D" w:rsidRPr="00EF305E">
        <w:t>'</w:t>
      </w:r>
      <w:r w:rsidRPr="00EF305E">
        <w:t>Article 13</w:t>
      </w:r>
      <w:r w:rsidR="003C77F5" w:rsidRPr="00EF305E">
        <w:t xml:space="preserve"> et de l</w:t>
      </w:r>
      <w:r w:rsidR="00DC0B8D" w:rsidRPr="00EF305E">
        <w:t>'</w:t>
      </w:r>
      <w:r w:rsidRPr="00EF305E">
        <w:t>Article 14</w:t>
      </w:r>
      <w:r w:rsidR="003C77F5" w:rsidRPr="00EF305E">
        <w:t xml:space="preserve"> du Règlement des radiocommunications</w:t>
      </w:r>
      <w:r w:rsidRPr="00EF305E">
        <w:t xml:space="preserve">. </w:t>
      </w:r>
      <w:r w:rsidR="003C77F5" w:rsidRPr="00EF305E">
        <w:t>Les renseignements fournis par le Bureau viendront étayer cette étude.</w:t>
      </w:r>
    </w:p>
    <w:p w14:paraId="381CAAB3" w14:textId="490053EA" w:rsidR="00600FC9" w:rsidRPr="00EF305E" w:rsidRDefault="00600FC9" w:rsidP="00DC0B8D">
      <w:pPr>
        <w:pStyle w:val="enumlev1"/>
      </w:pPr>
      <w:r w:rsidRPr="00EF305E">
        <w:t>f</w:t>
      </w:r>
      <w:r w:rsidR="001F2D62" w:rsidRPr="00EF305E">
        <w:t>)</w:t>
      </w:r>
      <w:r w:rsidR="001F2D62" w:rsidRPr="00EF305E">
        <w:tab/>
      </w:r>
      <w:r w:rsidR="00D7715A" w:rsidRPr="00EF305E">
        <w:t>Étudier les</w:t>
      </w:r>
      <w:r w:rsidR="00954FBF" w:rsidRPr="00EF305E">
        <w:t xml:space="preserve"> fiches de notification </w:t>
      </w:r>
      <w:r w:rsidR="00DB5F0C" w:rsidRPr="00EF305E">
        <w:t>de</w:t>
      </w:r>
      <w:r w:rsidR="00954FBF" w:rsidRPr="00EF305E">
        <w:t xml:space="preserve"> satellites non OSG </w:t>
      </w:r>
      <w:r w:rsidR="00DB5F0C" w:rsidRPr="00EF305E">
        <w:t>comportant</w:t>
      </w:r>
      <w:r w:rsidR="00954FBF" w:rsidRPr="00EF305E">
        <w:t xml:space="preserve"> plus de</w:t>
      </w:r>
      <w:r w:rsidR="00295B76" w:rsidRPr="00EF305E">
        <w:t> </w:t>
      </w:r>
      <w:r w:rsidR="00954FBF" w:rsidRPr="00EF305E">
        <w:t>75</w:t>
      </w:r>
      <w:r w:rsidR="00295B76" w:rsidRPr="00EF305E">
        <w:t> </w:t>
      </w:r>
      <w:r w:rsidR="00954FBF" w:rsidRPr="00EF305E">
        <w:t>000</w:t>
      </w:r>
      <w:r w:rsidR="00295B76" w:rsidRPr="00EF305E">
        <w:t> </w:t>
      </w:r>
      <w:r w:rsidR="00954FBF" w:rsidRPr="00EF305E">
        <w:t xml:space="preserve">unités. </w:t>
      </w:r>
      <w:r w:rsidR="00CD46F5" w:rsidRPr="00EF305E">
        <w:t>Les renseignements fournis par le Bureau viendront étayer cette étude.</w:t>
      </w:r>
    </w:p>
    <w:p w14:paraId="67A4E907" w14:textId="6738B34C" w:rsidR="00600FC9" w:rsidRPr="00EF305E" w:rsidRDefault="00600FC9" w:rsidP="00DC0B8D">
      <w:pPr>
        <w:pStyle w:val="enumlev1"/>
      </w:pPr>
      <w:r w:rsidRPr="00EF305E">
        <w:t>g</w:t>
      </w:r>
      <w:r w:rsidR="001F2D62" w:rsidRPr="00EF305E">
        <w:t>)</w:t>
      </w:r>
      <w:r w:rsidR="001F2D62" w:rsidRPr="00EF305E">
        <w:tab/>
      </w:r>
      <w:r w:rsidR="00D7715A" w:rsidRPr="00EF305E">
        <w:t xml:space="preserve">Envisager </w:t>
      </w:r>
      <w:r w:rsidR="009E1E3A" w:rsidRPr="00EF305E">
        <w:t xml:space="preserve">de mettre en place des unités dans les catégories A1 et N4, en percevant un droit différent pour des systèmes plus complexes ou plus </w:t>
      </w:r>
      <w:r w:rsidR="009A56F1" w:rsidRPr="00EF305E">
        <w:t>grands</w:t>
      </w:r>
      <w:r w:rsidR="009E1E3A" w:rsidRPr="00EF305E">
        <w:t>, en fonction du nombre d</w:t>
      </w:r>
      <w:r w:rsidR="00DC0B8D" w:rsidRPr="00EF305E">
        <w:t>'</w:t>
      </w:r>
      <w:r w:rsidR="009E1E3A" w:rsidRPr="00EF305E">
        <w:t>unités</w:t>
      </w:r>
      <w:r w:rsidRPr="00EF305E">
        <w:t>.</w:t>
      </w:r>
    </w:p>
    <w:p w14:paraId="7B9A48EB" w14:textId="0A9F420D" w:rsidR="00600FC9" w:rsidRPr="00EF305E" w:rsidRDefault="00600FC9" w:rsidP="00DC0B8D">
      <w:pPr>
        <w:pStyle w:val="enumlev1"/>
      </w:pPr>
      <w:r w:rsidRPr="00EF305E">
        <w:t>h</w:t>
      </w:r>
      <w:r w:rsidR="001F2D62" w:rsidRPr="00EF305E">
        <w:t>)</w:t>
      </w:r>
      <w:r w:rsidR="001F2D62" w:rsidRPr="00EF305E">
        <w:tab/>
      </w:r>
      <w:r w:rsidR="000D481C" w:rsidRPr="00EF305E">
        <w:t>Étudier la possibilité d</w:t>
      </w:r>
      <w:r w:rsidR="00DC0B8D" w:rsidRPr="00EF305E">
        <w:t>'</w:t>
      </w:r>
      <w:r w:rsidR="000D481C" w:rsidRPr="00EF305E">
        <w:t>instaurer un droit additionnel pour le recouvrement des coûts afférents à l</w:t>
      </w:r>
      <w:r w:rsidR="00DC0B8D" w:rsidRPr="00EF305E">
        <w:t>'</w:t>
      </w:r>
      <w:r w:rsidR="000D481C" w:rsidRPr="00EF305E">
        <w:t>examen des limites d</w:t>
      </w:r>
      <w:r w:rsidR="00DC0B8D" w:rsidRPr="00EF305E">
        <w:t>'</w:t>
      </w:r>
      <w:r w:rsidR="000D481C" w:rsidRPr="00EF305E">
        <w:t xml:space="preserve">epfd figurant dans les demandes de coordination et les notifications. </w:t>
      </w:r>
      <w:r w:rsidR="00CA24B6" w:rsidRPr="00EF305E">
        <w:t>Les renseignements fournis par le Bureau viendront étayer cette étude</w:t>
      </w:r>
      <w:r w:rsidRPr="00EF305E">
        <w:t>.</w:t>
      </w:r>
    </w:p>
    <w:p w14:paraId="4F2C9B5F" w14:textId="4120A586" w:rsidR="00600FC9" w:rsidRPr="00EF305E" w:rsidRDefault="00600FC9" w:rsidP="00DC0B8D">
      <w:pPr>
        <w:pStyle w:val="enumlev1"/>
      </w:pPr>
      <w:r w:rsidRPr="00EF305E">
        <w:t>i</w:t>
      </w:r>
      <w:r w:rsidR="001F2D62" w:rsidRPr="00EF305E">
        <w:t>)</w:t>
      </w:r>
      <w:r w:rsidR="001F2D62" w:rsidRPr="00EF305E">
        <w:tab/>
      </w:r>
      <w:r w:rsidR="00CA24B6" w:rsidRPr="00EF305E">
        <w:t>Étudier les conséquences des modifications apportées par la CMR-07 et les CMR suivantes aux règle</w:t>
      </w:r>
      <w:r w:rsidR="00AB7306" w:rsidRPr="00EF305E">
        <w:t>s</w:t>
      </w:r>
      <w:r w:rsidR="00CA24B6" w:rsidRPr="00EF305E">
        <w:t xml:space="preserve"> régissant les Plans </w:t>
      </w:r>
      <w:r w:rsidR="00FB6E80" w:rsidRPr="00EF305E">
        <w:t xml:space="preserve">pour les services </w:t>
      </w:r>
      <w:r w:rsidR="00CA24B6" w:rsidRPr="00EF305E">
        <w:t>spatiaux.</w:t>
      </w:r>
    </w:p>
    <w:p w14:paraId="39AF3C94" w14:textId="1C7ACFF0" w:rsidR="00600FC9" w:rsidRPr="00EF305E" w:rsidRDefault="00600FC9" w:rsidP="00295B76">
      <w:pPr>
        <w:pStyle w:val="enumlev1"/>
        <w:keepLines/>
      </w:pPr>
      <w:r w:rsidRPr="00EF305E">
        <w:lastRenderedPageBreak/>
        <w:t>j</w:t>
      </w:r>
      <w:r w:rsidR="001F2D62" w:rsidRPr="00EF305E">
        <w:t>)</w:t>
      </w:r>
      <w:r w:rsidR="001F2D62" w:rsidRPr="00EF305E">
        <w:tab/>
      </w:r>
      <w:r w:rsidR="00AB7306" w:rsidRPr="00EF305E">
        <w:t xml:space="preserve">Étudier les coûts relatifs aux ressources spécifiques nécessaires pour mettre à jour et moderniser en permanence les applications logicielles du Bureau utilisées pour les fiches de notification des systèmes à satellites. </w:t>
      </w:r>
      <w:r w:rsidR="00890B4A" w:rsidRPr="00EF305E">
        <w:t>Toutefois, le recouvrement des coûts</w:t>
      </w:r>
      <w:r w:rsidR="005551DC" w:rsidRPr="00EF305E">
        <w:t xml:space="preserve"> associés au</w:t>
      </w:r>
      <w:r w:rsidR="00890B4A" w:rsidRPr="00EF305E">
        <w:t xml:space="preserve"> traitement des fiches de notification des systèmes à satellites ne devrait pas servir à financer la mise au point d</w:t>
      </w:r>
      <w:r w:rsidR="00DC0B8D" w:rsidRPr="00EF305E">
        <w:t>'</w:t>
      </w:r>
      <w:r w:rsidR="00890B4A" w:rsidRPr="00EF305E">
        <w:t xml:space="preserve">outils logiciels </w:t>
      </w:r>
      <w:r w:rsidR="008A20CC" w:rsidRPr="00EF305E">
        <w:t xml:space="preserve">pour le traitement des </w:t>
      </w:r>
      <w:r w:rsidR="00B21586" w:rsidRPr="00EF305E">
        <w:t>fiches de notification des systèmes de Terre.</w:t>
      </w:r>
    </w:p>
    <w:p w14:paraId="1853ACC7" w14:textId="08565AC0" w:rsidR="00600FC9" w:rsidRPr="00EF305E" w:rsidRDefault="00600FC9" w:rsidP="00DC0B8D">
      <w:r w:rsidRPr="00EF305E">
        <w:t>2</w:t>
      </w:r>
      <w:r w:rsidRPr="00EF305E">
        <w:tab/>
      </w:r>
      <w:r w:rsidR="001F2D62" w:rsidRPr="00EF305E">
        <w:t>Le Groupe d</w:t>
      </w:r>
      <w:r w:rsidR="00DC0B8D" w:rsidRPr="00EF305E">
        <w:t>'</w:t>
      </w:r>
      <w:r w:rsidR="001F2D62" w:rsidRPr="00EF305E">
        <w:t>experts du Conseil sur la Décision 482 élaborera un rapport contenant des recommandations sur la révision éventuelle de la Décision 482, qui sera soumis au Conseil de l</w:t>
      </w:r>
      <w:r w:rsidR="00DC0B8D" w:rsidRPr="00EF305E">
        <w:t>'</w:t>
      </w:r>
      <w:r w:rsidR="001F2D62" w:rsidRPr="00EF305E">
        <w:t>UIT à sa session de 2024 pour suite à donner.</w:t>
      </w:r>
    </w:p>
    <w:p w14:paraId="47C859AA" w14:textId="19A79422" w:rsidR="001D5B56" w:rsidRDefault="00600FC9" w:rsidP="00DC0B8D">
      <w:r w:rsidRPr="00EF305E">
        <w:t>3</w:t>
      </w:r>
      <w:r w:rsidRPr="00EF305E">
        <w:tab/>
      </w:r>
      <w:r w:rsidR="001F2D62" w:rsidRPr="00EF305E">
        <w:t>Le Groupe d</w:t>
      </w:r>
      <w:r w:rsidR="00DC0B8D" w:rsidRPr="00EF305E">
        <w:t>'</w:t>
      </w:r>
      <w:r w:rsidR="001F2D62" w:rsidRPr="00EF305E">
        <w:t>experts du Conseil sur la Décision 482 est ouvert à la participation de tous les États Membres et Membres de Secteur de l</w:t>
      </w:r>
      <w:r w:rsidR="00DC0B8D" w:rsidRPr="00EF305E">
        <w:t>'</w:t>
      </w:r>
      <w:r w:rsidR="001F2D62" w:rsidRPr="00EF305E">
        <w:t>UIT et mènera ses travaux en anglais. Il devrait tenir des réunions physiques, en association avec les réunions du Groupe de travail</w:t>
      </w:r>
      <w:r w:rsidR="00EF305E" w:rsidRPr="00EF305E">
        <w:t> </w:t>
      </w:r>
      <w:r w:rsidR="001F2D62" w:rsidRPr="00EF305E">
        <w:t>4A de l</w:t>
      </w:r>
      <w:r w:rsidR="00DC0B8D" w:rsidRPr="00EF305E">
        <w:t>'</w:t>
      </w:r>
      <w:r w:rsidR="001F2D62" w:rsidRPr="00EF305E">
        <w:t xml:space="preserve">UIT-R ou des </w:t>
      </w:r>
      <w:r w:rsidR="005551DC" w:rsidRPr="00EF305E">
        <w:t>G</w:t>
      </w:r>
      <w:r w:rsidR="001F2D62" w:rsidRPr="00EF305E">
        <w:t>roupes de travail du Conseil, dans la mesure du possible.</w:t>
      </w:r>
    </w:p>
    <w:p w14:paraId="4CEAA688" w14:textId="77777777" w:rsidR="00767D04" w:rsidRPr="00EF305E" w:rsidRDefault="00767D04" w:rsidP="00DC0B8D"/>
    <w:p w14:paraId="7EAC7627" w14:textId="71E16B02" w:rsidR="001F2D62" w:rsidRPr="00EF305E" w:rsidRDefault="001F2D62" w:rsidP="00DC0B8D">
      <w:pPr>
        <w:jc w:val="center"/>
      </w:pPr>
      <w:r w:rsidRPr="00EF305E">
        <w:t>______________</w:t>
      </w:r>
    </w:p>
    <w:sectPr w:rsidR="001F2D62" w:rsidRPr="00EF305E" w:rsidSect="00600FC9">
      <w:headerReference w:type="first" r:id="rId17"/>
      <w:footerReference w:type="first" r:id="rId18"/>
      <w:pgSz w:w="11907" w:h="16840"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1C84942" w:rsidR="00732045" w:rsidRDefault="005B5F46">
    <w:pPr>
      <w:pStyle w:val="Footer"/>
    </w:pPr>
    <w:r>
      <w:fldChar w:fldCharType="begin"/>
    </w:r>
    <w:r>
      <w:instrText xml:space="preserve"> FILENAME \p \* MERGEFORMAT </w:instrText>
    </w:r>
    <w:r>
      <w:fldChar w:fldCharType="separate"/>
    </w:r>
    <w:r w:rsidR="00A475BD">
      <w:t>P:\FRA\SG\CONSEIL\C23\000\082F.docx</w:t>
    </w:r>
    <w:r>
      <w:fldChar w:fldCharType="end"/>
    </w:r>
    <w:r w:rsidR="00732045">
      <w:tab/>
    </w:r>
    <w:r w:rsidR="002F1B76">
      <w:fldChar w:fldCharType="begin"/>
    </w:r>
    <w:r w:rsidR="00732045">
      <w:instrText xml:space="preserve"> savedate \@ dd.MM.yy </w:instrText>
    </w:r>
    <w:r w:rsidR="002F1B76">
      <w:fldChar w:fldCharType="separate"/>
    </w:r>
    <w:r w:rsidR="00EF5CF9">
      <w:t>05.07.23</w:t>
    </w:r>
    <w:r w:rsidR="002F1B76">
      <w:fldChar w:fldCharType="end"/>
    </w:r>
    <w:r w:rsidR="00732045">
      <w:tab/>
    </w:r>
    <w:r w:rsidR="002F1B76">
      <w:fldChar w:fldCharType="begin"/>
    </w:r>
    <w:r w:rsidR="00732045">
      <w:instrText xml:space="preserve"> printdate \@ dd.MM.yy </w:instrText>
    </w:r>
    <w:r w:rsidR="002F1B76">
      <w:fldChar w:fldCharType="separate"/>
    </w:r>
    <w:r w:rsidR="00A475B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CC7D80">
      <w:trPr>
        <w:jc w:val="center"/>
      </w:trPr>
      <w:tc>
        <w:tcPr>
          <w:tcW w:w="1803" w:type="dxa"/>
          <w:vAlign w:val="center"/>
        </w:tcPr>
        <w:p w14:paraId="2C2E77A4" w14:textId="7C369DEA" w:rsidR="00A51849" w:rsidRDefault="00A51849" w:rsidP="00A51849">
          <w:pPr>
            <w:pStyle w:val="Header"/>
            <w:jc w:val="left"/>
            <w:rPr>
              <w:noProof/>
            </w:rPr>
          </w:pPr>
          <w:r>
            <w:rPr>
              <w:noProof/>
            </w:rPr>
            <w:t xml:space="preserve">DPS </w:t>
          </w:r>
          <w:r w:rsidR="001D5B56">
            <w:rPr>
              <w:noProof/>
            </w:rPr>
            <w:t>525353</w:t>
          </w:r>
        </w:p>
      </w:tc>
      <w:tc>
        <w:tcPr>
          <w:tcW w:w="8261" w:type="dxa"/>
        </w:tcPr>
        <w:p w14:paraId="0DB0A3C6" w14:textId="6373607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5B56">
            <w:rPr>
              <w:bCs/>
            </w:rPr>
            <w:t>82</w:t>
          </w:r>
          <w:r w:rsidRPr="00623AE3">
            <w:rPr>
              <w:bCs/>
            </w:rPr>
            <w:t>-</w:t>
          </w:r>
          <w:r w:rsidR="00973F53">
            <w:rPr>
              <w:bCs/>
            </w:rPr>
            <w:t>F</w:t>
          </w:r>
          <w:r>
            <w:rPr>
              <w:bCs/>
            </w:rPr>
            <w:tab/>
          </w:r>
          <w:r>
            <w:fldChar w:fldCharType="begin"/>
          </w:r>
          <w:r>
            <w:instrText>PAGE</w:instrText>
          </w:r>
          <w:r>
            <w:fldChar w:fldCharType="separate"/>
          </w:r>
          <w:r w:rsidR="00A475BD">
            <w:rPr>
              <w:noProof/>
            </w:rPr>
            <w:t>2</w:t>
          </w:r>
          <w:r>
            <w:rPr>
              <w:noProof/>
            </w:rPr>
            <w:fldChar w:fldCharType="end"/>
          </w:r>
        </w:p>
      </w:tc>
    </w:tr>
  </w:tbl>
  <w:p w14:paraId="0BA722AB" w14:textId="0D25F8F4" w:rsidR="00732045" w:rsidRPr="00A51849" w:rsidRDefault="005B5F46" w:rsidP="00235B71">
    <w:pPr>
      <w:pStyle w:val="Footer"/>
      <w:spacing w:before="120"/>
    </w:pPr>
    <w:r w:rsidRPr="00C21E64">
      <w:rPr>
        <w:color w:val="F2F2F2" w:themeColor="background1" w:themeShade="F2"/>
      </w:rPr>
      <w:fldChar w:fldCharType="begin"/>
    </w:r>
    <w:r w:rsidRPr="00C21E64">
      <w:rPr>
        <w:color w:val="F2F2F2" w:themeColor="background1" w:themeShade="F2"/>
      </w:rPr>
      <w:instrText xml:space="preserve"> FILENAME \p  \* MERGEFORMAT </w:instrText>
    </w:r>
    <w:r w:rsidRPr="00C21E64">
      <w:rPr>
        <w:color w:val="F2F2F2" w:themeColor="background1" w:themeShade="F2"/>
      </w:rPr>
      <w:fldChar w:fldCharType="separate"/>
    </w:r>
    <w:r w:rsidR="00A475BD" w:rsidRPr="00C21E64">
      <w:rPr>
        <w:color w:val="F2F2F2" w:themeColor="background1" w:themeShade="F2"/>
      </w:rPr>
      <w:t>P:\FRA\SG\CONSEIL\C23\000\082F.docx</w:t>
    </w:r>
    <w:r w:rsidRPr="00C21E64">
      <w:rPr>
        <w:color w:val="F2F2F2" w:themeColor="background1" w:themeShade="F2"/>
      </w:rPr>
      <w:fldChar w:fldCharType="end"/>
    </w:r>
    <w:r w:rsidR="001D5B56" w:rsidRPr="00C21E64">
      <w:rPr>
        <w:color w:val="F2F2F2" w:themeColor="background1" w:themeShade="F2"/>
      </w:rPr>
      <w:t xml:space="preserve"> (525353)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CC7D80">
      <w:trPr>
        <w:jc w:val="center"/>
      </w:trPr>
      <w:tc>
        <w:tcPr>
          <w:tcW w:w="1803" w:type="dxa"/>
          <w:vAlign w:val="center"/>
        </w:tcPr>
        <w:p w14:paraId="5151DAA0" w14:textId="77777777" w:rsidR="00A51849" w:rsidRDefault="005B5F46"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2FE3712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5B56">
            <w:rPr>
              <w:bCs/>
            </w:rPr>
            <w:t>82</w:t>
          </w:r>
          <w:r w:rsidRPr="00623AE3">
            <w:rPr>
              <w:bCs/>
            </w:rPr>
            <w:t>-</w:t>
          </w:r>
          <w:r w:rsidR="00D72F49">
            <w:rPr>
              <w:bCs/>
            </w:rPr>
            <w:t>F</w:t>
          </w:r>
          <w:r>
            <w:rPr>
              <w:bCs/>
            </w:rPr>
            <w:tab/>
          </w:r>
          <w:r>
            <w:fldChar w:fldCharType="begin"/>
          </w:r>
          <w:r>
            <w:instrText>PAGE</w:instrText>
          </w:r>
          <w:r>
            <w:fldChar w:fldCharType="separate"/>
          </w:r>
          <w:r w:rsidR="00A475BD">
            <w:rPr>
              <w:noProof/>
            </w:rPr>
            <w:t>1</w:t>
          </w:r>
          <w:r>
            <w:rPr>
              <w:noProof/>
            </w:rPr>
            <w:fldChar w:fldCharType="end"/>
          </w:r>
        </w:p>
      </w:tc>
    </w:tr>
  </w:tbl>
  <w:bookmarkStart w:id="0" w:name="_Hlk138919410"/>
  <w:p w14:paraId="67CF33E3" w14:textId="2D6FCE29" w:rsidR="00732045" w:rsidRPr="00A51849" w:rsidRDefault="001D5B56" w:rsidP="00235B71">
    <w:pPr>
      <w:pStyle w:val="Footer"/>
      <w:spacing w:before="120"/>
    </w:pPr>
    <w:r w:rsidRPr="00C21E64">
      <w:rPr>
        <w:color w:val="F2F2F2" w:themeColor="background1" w:themeShade="F2"/>
      </w:rPr>
      <w:fldChar w:fldCharType="begin"/>
    </w:r>
    <w:r w:rsidRPr="00C21E64">
      <w:rPr>
        <w:color w:val="F2F2F2" w:themeColor="background1" w:themeShade="F2"/>
      </w:rPr>
      <w:instrText xml:space="preserve"> FILENAME \p  \* MERGEFORMAT </w:instrText>
    </w:r>
    <w:r w:rsidRPr="00C21E64">
      <w:rPr>
        <w:color w:val="F2F2F2" w:themeColor="background1" w:themeShade="F2"/>
      </w:rPr>
      <w:fldChar w:fldCharType="separate"/>
    </w:r>
    <w:r w:rsidR="00A475BD" w:rsidRPr="00C21E64">
      <w:rPr>
        <w:color w:val="F2F2F2" w:themeColor="background1" w:themeShade="F2"/>
      </w:rPr>
      <w:t>P:\FRA\SG\CONSEIL\C23\000\082F.docx</w:t>
    </w:r>
    <w:r w:rsidRPr="00C21E64">
      <w:rPr>
        <w:color w:val="F2F2F2" w:themeColor="background1" w:themeShade="F2"/>
      </w:rPr>
      <w:fldChar w:fldCharType="end"/>
    </w:r>
    <w:r w:rsidRPr="00C21E64">
      <w:rPr>
        <w:color w:val="F2F2F2" w:themeColor="background1" w:themeShade="F2"/>
      </w:rPr>
      <w:t xml:space="preserve"> (525353)</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35B71" w:rsidRPr="00784011" w14:paraId="362EF83B" w14:textId="77777777" w:rsidTr="00CC7D80">
      <w:trPr>
        <w:jc w:val="center"/>
      </w:trPr>
      <w:tc>
        <w:tcPr>
          <w:tcW w:w="1803" w:type="dxa"/>
          <w:vAlign w:val="center"/>
        </w:tcPr>
        <w:p w14:paraId="4B8F9D6A" w14:textId="77777777" w:rsidR="00235B71" w:rsidRDefault="00235B71" w:rsidP="00A51849">
          <w:pPr>
            <w:pStyle w:val="Header"/>
            <w:jc w:val="left"/>
            <w:rPr>
              <w:noProof/>
            </w:rPr>
          </w:pPr>
          <w:r>
            <w:rPr>
              <w:noProof/>
            </w:rPr>
            <w:t>DPS 525353</w:t>
          </w:r>
        </w:p>
      </w:tc>
      <w:tc>
        <w:tcPr>
          <w:tcW w:w="8261" w:type="dxa"/>
        </w:tcPr>
        <w:p w14:paraId="5F96C5CB" w14:textId="6BD55046" w:rsidR="00235B71" w:rsidRPr="00E06FD5" w:rsidRDefault="00235B71"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F</w:t>
          </w:r>
          <w:r>
            <w:rPr>
              <w:bCs/>
            </w:rPr>
            <w:tab/>
          </w:r>
          <w:r>
            <w:fldChar w:fldCharType="begin"/>
          </w:r>
          <w:r>
            <w:instrText>PAGE</w:instrText>
          </w:r>
          <w:r>
            <w:fldChar w:fldCharType="separate"/>
          </w:r>
          <w:r w:rsidR="00A475BD">
            <w:rPr>
              <w:noProof/>
            </w:rPr>
            <w:t>14</w:t>
          </w:r>
          <w:r>
            <w:rPr>
              <w:noProof/>
            </w:rPr>
            <w:fldChar w:fldCharType="end"/>
          </w:r>
        </w:p>
      </w:tc>
    </w:tr>
  </w:tbl>
  <w:p w14:paraId="42F5B019" w14:textId="2A51DC9D" w:rsidR="00235B71" w:rsidRPr="00A51849" w:rsidRDefault="005B5F46" w:rsidP="00235B71">
    <w:pPr>
      <w:pStyle w:val="Footer"/>
      <w:spacing w:before="120"/>
    </w:pPr>
    <w:r w:rsidRPr="00C21E64">
      <w:rPr>
        <w:color w:val="F2F2F2" w:themeColor="background1" w:themeShade="F2"/>
      </w:rPr>
      <w:fldChar w:fldCharType="begin"/>
    </w:r>
    <w:r w:rsidRPr="00C21E64">
      <w:rPr>
        <w:color w:val="F2F2F2" w:themeColor="background1" w:themeShade="F2"/>
      </w:rPr>
      <w:instrText xml:space="preserve"> FILENAME \p  \* MERGEFORMAT </w:instrText>
    </w:r>
    <w:r w:rsidRPr="00C21E64">
      <w:rPr>
        <w:color w:val="F2F2F2" w:themeColor="background1" w:themeShade="F2"/>
      </w:rPr>
      <w:fldChar w:fldCharType="separate"/>
    </w:r>
    <w:r w:rsidR="00A475BD" w:rsidRPr="00C21E64">
      <w:rPr>
        <w:color w:val="F2F2F2" w:themeColor="background1" w:themeShade="F2"/>
      </w:rPr>
      <w:t>P:\FRA\SG\CONSEIL\C23\000\082F.docx</w:t>
    </w:r>
    <w:r w:rsidRPr="00C21E64">
      <w:rPr>
        <w:color w:val="F2F2F2" w:themeColor="background1" w:themeShade="F2"/>
      </w:rPr>
      <w:fldChar w:fldCharType="end"/>
    </w:r>
    <w:r w:rsidR="00235B71" w:rsidRPr="00C21E64">
      <w:rPr>
        <w:color w:val="F2F2F2" w:themeColor="background1" w:themeShade="F2"/>
      </w:rPr>
      <w:t xml:space="preserve"> (525353)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F305E" w:rsidRPr="00784011" w14:paraId="092A50B9" w14:textId="77777777" w:rsidTr="00B05F27">
      <w:trPr>
        <w:jc w:val="center"/>
      </w:trPr>
      <w:tc>
        <w:tcPr>
          <w:tcW w:w="1803" w:type="dxa"/>
          <w:vAlign w:val="center"/>
        </w:tcPr>
        <w:p w14:paraId="51A0D183" w14:textId="77777777" w:rsidR="00EF305E" w:rsidRDefault="00EF305E" w:rsidP="00EF305E">
          <w:pPr>
            <w:pStyle w:val="Header"/>
            <w:jc w:val="left"/>
            <w:rPr>
              <w:noProof/>
            </w:rPr>
          </w:pPr>
          <w:r>
            <w:rPr>
              <w:noProof/>
            </w:rPr>
            <w:t>DPS 525353</w:t>
          </w:r>
        </w:p>
      </w:tc>
      <w:tc>
        <w:tcPr>
          <w:tcW w:w="8261" w:type="dxa"/>
        </w:tcPr>
        <w:p w14:paraId="21926B47" w14:textId="79E179AC" w:rsidR="00EF305E" w:rsidRPr="00E06FD5" w:rsidRDefault="00EF305E" w:rsidP="00EF305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F</w:t>
          </w:r>
          <w:r>
            <w:rPr>
              <w:bCs/>
            </w:rPr>
            <w:tab/>
          </w:r>
          <w:r>
            <w:fldChar w:fldCharType="begin"/>
          </w:r>
          <w:r>
            <w:instrText>PAGE</w:instrText>
          </w:r>
          <w:r>
            <w:fldChar w:fldCharType="separate"/>
          </w:r>
          <w:r w:rsidR="00A475BD">
            <w:rPr>
              <w:noProof/>
            </w:rPr>
            <w:t>3</w:t>
          </w:r>
          <w:r>
            <w:rPr>
              <w:noProof/>
            </w:rPr>
            <w:fldChar w:fldCharType="end"/>
          </w:r>
        </w:p>
      </w:tc>
    </w:tr>
  </w:tbl>
  <w:p w14:paraId="3BD7E009" w14:textId="2643B981" w:rsidR="00EF305E" w:rsidRPr="00A51849" w:rsidRDefault="005B5F46" w:rsidP="001D5B56">
    <w:pPr>
      <w:pStyle w:val="Footer"/>
    </w:pPr>
    <w:r w:rsidRPr="00C21E64">
      <w:rPr>
        <w:color w:val="F2F2F2" w:themeColor="background1" w:themeShade="F2"/>
      </w:rPr>
      <w:fldChar w:fldCharType="begin"/>
    </w:r>
    <w:r w:rsidRPr="00C21E64">
      <w:rPr>
        <w:color w:val="F2F2F2" w:themeColor="background1" w:themeShade="F2"/>
      </w:rPr>
      <w:instrText xml:space="preserve"> FILENAME \p  \* MERGEFORMAT </w:instrText>
    </w:r>
    <w:r w:rsidRPr="00C21E64">
      <w:rPr>
        <w:color w:val="F2F2F2" w:themeColor="background1" w:themeShade="F2"/>
      </w:rPr>
      <w:fldChar w:fldCharType="separate"/>
    </w:r>
    <w:r w:rsidR="00A475BD" w:rsidRPr="00C21E64">
      <w:rPr>
        <w:color w:val="F2F2F2" w:themeColor="background1" w:themeShade="F2"/>
      </w:rPr>
      <w:t>P:\FRA\SG\CONSEIL\C23\000\082F.docx</w:t>
    </w:r>
    <w:r w:rsidRPr="00C21E64">
      <w:rPr>
        <w:color w:val="F2F2F2" w:themeColor="background1" w:themeShade="F2"/>
      </w:rPr>
      <w:fldChar w:fldCharType="end"/>
    </w:r>
    <w:r w:rsidR="00EF305E" w:rsidRPr="00C21E64">
      <w:rPr>
        <w:color w:val="F2F2F2" w:themeColor="background1" w:themeShade="F2"/>
      </w:rPr>
      <w:t xml:space="preserve"> (525353)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F305E" w:rsidRPr="00784011" w14:paraId="139D3FE4" w14:textId="77777777" w:rsidTr="00B05F27">
      <w:trPr>
        <w:jc w:val="center"/>
      </w:trPr>
      <w:tc>
        <w:tcPr>
          <w:tcW w:w="1803" w:type="dxa"/>
          <w:vAlign w:val="center"/>
        </w:tcPr>
        <w:p w14:paraId="0183546D" w14:textId="77777777" w:rsidR="00EF305E" w:rsidRDefault="00EF305E" w:rsidP="00EF305E">
          <w:pPr>
            <w:pStyle w:val="Header"/>
            <w:jc w:val="left"/>
            <w:rPr>
              <w:noProof/>
            </w:rPr>
          </w:pPr>
          <w:r>
            <w:rPr>
              <w:noProof/>
            </w:rPr>
            <w:t>DPS 525353</w:t>
          </w:r>
        </w:p>
      </w:tc>
      <w:tc>
        <w:tcPr>
          <w:tcW w:w="8261" w:type="dxa"/>
        </w:tcPr>
        <w:p w14:paraId="264A8356" w14:textId="44D8BC42" w:rsidR="00EF305E" w:rsidRPr="00E06FD5" w:rsidRDefault="00EF305E" w:rsidP="00EF305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F</w:t>
          </w:r>
          <w:r>
            <w:rPr>
              <w:bCs/>
            </w:rPr>
            <w:tab/>
          </w:r>
          <w:r>
            <w:fldChar w:fldCharType="begin"/>
          </w:r>
          <w:r>
            <w:instrText>PAGE</w:instrText>
          </w:r>
          <w:r>
            <w:fldChar w:fldCharType="separate"/>
          </w:r>
          <w:r w:rsidR="00A475BD">
            <w:rPr>
              <w:noProof/>
            </w:rPr>
            <w:t>13</w:t>
          </w:r>
          <w:r>
            <w:rPr>
              <w:noProof/>
            </w:rPr>
            <w:fldChar w:fldCharType="end"/>
          </w:r>
        </w:p>
      </w:tc>
    </w:tr>
  </w:tbl>
  <w:p w14:paraId="6FB5C907" w14:textId="4BCD2053" w:rsidR="00EF305E" w:rsidRPr="00A51849" w:rsidRDefault="005B5F46" w:rsidP="00767D04">
    <w:pPr>
      <w:pStyle w:val="Footer"/>
      <w:spacing w:before="120"/>
    </w:pPr>
    <w:r w:rsidRPr="00C21E64">
      <w:rPr>
        <w:color w:val="F2F2F2" w:themeColor="background1" w:themeShade="F2"/>
      </w:rPr>
      <w:fldChar w:fldCharType="begin"/>
    </w:r>
    <w:r w:rsidRPr="00C21E64">
      <w:rPr>
        <w:color w:val="F2F2F2" w:themeColor="background1" w:themeShade="F2"/>
      </w:rPr>
      <w:instrText xml:space="preserve"> FILENAME \p  \* MERGEFORMAT </w:instrText>
    </w:r>
    <w:r w:rsidRPr="00C21E64">
      <w:rPr>
        <w:color w:val="F2F2F2" w:themeColor="background1" w:themeShade="F2"/>
      </w:rPr>
      <w:fldChar w:fldCharType="separate"/>
    </w:r>
    <w:r w:rsidR="00A475BD" w:rsidRPr="00C21E64">
      <w:rPr>
        <w:color w:val="F2F2F2" w:themeColor="background1" w:themeShade="F2"/>
      </w:rPr>
      <w:t>P:\FRA\SG\CONSEIL\C23\000\082F.docx</w:t>
    </w:r>
    <w:r w:rsidRPr="00C21E64">
      <w:rPr>
        <w:color w:val="F2F2F2" w:themeColor="background1" w:themeShade="F2"/>
      </w:rPr>
      <w:fldChar w:fldCharType="end"/>
    </w:r>
    <w:r w:rsidR="00EF305E" w:rsidRPr="00C21E64">
      <w:rPr>
        <w:color w:val="F2F2F2" w:themeColor="background1" w:themeShade="F2"/>
      </w:rPr>
      <w:t xml:space="preserve"> (525353)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CC7D80">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6538D27E" w:rsidR="00A51849" w:rsidRDefault="00C6100C">
    <w:pPr>
      <w:pStyle w:val="Header"/>
    </w:pPr>
    <w:r>
      <w:rPr>
        <w:noProof/>
        <w:lang w:val="en-US"/>
      </w:rPr>
      <mc:AlternateContent>
        <mc:Choice Requires="wps">
          <w:drawing>
            <wp:anchor distT="0" distB="0" distL="114300" distR="114300" simplePos="0" relativeHeight="251659264" behindDoc="0" locked="0" layoutInCell="1" allowOverlap="1" wp14:anchorId="12641973" wp14:editId="23C55ACB">
              <wp:simplePos x="0" y="0"/>
              <wp:positionH relativeFrom="page">
                <wp:posOffset>12065</wp:posOffset>
              </wp:positionH>
              <wp:positionV relativeFrom="topMargin">
                <wp:posOffset>652145</wp:posOffset>
              </wp:positionV>
              <wp:extent cx="92075" cy="3606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BFFDB" id="Rectangle 4"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E70F" w14:textId="712FB84E" w:rsidR="001D5B56" w:rsidRDefault="001D5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FBC4" w14:textId="77777777" w:rsidR="00235B71" w:rsidRDefault="0023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61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0C0E"/>
    <w:rsid w:val="0001596D"/>
    <w:rsid w:val="00023F36"/>
    <w:rsid w:val="00024CC1"/>
    <w:rsid w:val="00025651"/>
    <w:rsid w:val="00026E2F"/>
    <w:rsid w:val="00033ED9"/>
    <w:rsid w:val="000376F5"/>
    <w:rsid w:val="00042C20"/>
    <w:rsid w:val="000441BE"/>
    <w:rsid w:val="000536C1"/>
    <w:rsid w:val="00055063"/>
    <w:rsid w:val="00055139"/>
    <w:rsid w:val="00067B08"/>
    <w:rsid w:val="00076A2C"/>
    <w:rsid w:val="00086093"/>
    <w:rsid w:val="000B7533"/>
    <w:rsid w:val="000C4C21"/>
    <w:rsid w:val="000D0D0A"/>
    <w:rsid w:val="000D481C"/>
    <w:rsid w:val="000D77F1"/>
    <w:rsid w:val="000E5FB6"/>
    <w:rsid w:val="000F6C77"/>
    <w:rsid w:val="00103163"/>
    <w:rsid w:val="00106B19"/>
    <w:rsid w:val="00115D93"/>
    <w:rsid w:val="00116421"/>
    <w:rsid w:val="0012142F"/>
    <w:rsid w:val="001247A8"/>
    <w:rsid w:val="00125D98"/>
    <w:rsid w:val="00125DD1"/>
    <w:rsid w:val="00131B9C"/>
    <w:rsid w:val="001378C0"/>
    <w:rsid w:val="00142184"/>
    <w:rsid w:val="00150DE8"/>
    <w:rsid w:val="001561A0"/>
    <w:rsid w:val="00160928"/>
    <w:rsid w:val="00161F05"/>
    <w:rsid w:val="0018694A"/>
    <w:rsid w:val="00196C17"/>
    <w:rsid w:val="001A3287"/>
    <w:rsid w:val="001A4A10"/>
    <w:rsid w:val="001A5F37"/>
    <w:rsid w:val="001A6508"/>
    <w:rsid w:val="001D4C31"/>
    <w:rsid w:val="001D5B56"/>
    <w:rsid w:val="001E4D21"/>
    <w:rsid w:val="001F2D62"/>
    <w:rsid w:val="002020E7"/>
    <w:rsid w:val="00207CD1"/>
    <w:rsid w:val="002109A8"/>
    <w:rsid w:val="00226657"/>
    <w:rsid w:val="00235B71"/>
    <w:rsid w:val="002477A2"/>
    <w:rsid w:val="00256FF0"/>
    <w:rsid w:val="00263A51"/>
    <w:rsid w:val="00267E02"/>
    <w:rsid w:val="00280696"/>
    <w:rsid w:val="002868A1"/>
    <w:rsid w:val="00295B76"/>
    <w:rsid w:val="002A01CF"/>
    <w:rsid w:val="002A469F"/>
    <w:rsid w:val="002A5D44"/>
    <w:rsid w:val="002D5ECE"/>
    <w:rsid w:val="002E0BC4"/>
    <w:rsid w:val="002F1040"/>
    <w:rsid w:val="002F1B76"/>
    <w:rsid w:val="00306459"/>
    <w:rsid w:val="00331371"/>
    <w:rsid w:val="00333296"/>
    <w:rsid w:val="00333487"/>
    <w:rsid w:val="0033568E"/>
    <w:rsid w:val="0034403D"/>
    <w:rsid w:val="00345482"/>
    <w:rsid w:val="00346016"/>
    <w:rsid w:val="00352903"/>
    <w:rsid w:val="00355FF5"/>
    <w:rsid w:val="0035636A"/>
    <w:rsid w:val="0036076D"/>
    <w:rsid w:val="00361350"/>
    <w:rsid w:val="0036165F"/>
    <w:rsid w:val="00386E74"/>
    <w:rsid w:val="00396EAE"/>
    <w:rsid w:val="003C19C9"/>
    <w:rsid w:val="003C3FAE"/>
    <w:rsid w:val="003C48D9"/>
    <w:rsid w:val="003C77F5"/>
    <w:rsid w:val="003F51D8"/>
    <w:rsid w:val="003F76E3"/>
    <w:rsid w:val="004038CB"/>
    <w:rsid w:val="0040546F"/>
    <w:rsid w:val="00422A84"/>
    <w:rsid w:val="0042404A"/>
    <w:rsid w:val="00434411"/>
    <w:rsid w:val="0043446F"/>
    <w:rsid w:val="0044618F"/>
    <w:rsid w:val="004572C7"/>
    <w:rsid w:val="0046769A"/>
    <w:rsid w:val="00472462"/>
    <w:rsid w:val="00473E28"/>
    <w:rsid w:val="00475FB3"/>
    <w:rsid w:val="0048757C"/>
    <w:rsid w:val="004926D1"/>
    <w:rsid w:val="004A3B9A"/>
    <w:rsid w:val="004B329D"/>
    <w:rsid w:val="004C37A9"/>
    <w:rsid w:val="004D1D50"/>
    <w:rsid w:val="004D5283"/>
    <w:rsid w:val="004F259E"/>
    <w:rsid w:val="004F2B87"/>
    <w:rsid w:val="004F4EA9"/>
    <w:rsid w:val="00511F1D"/>
    <w:rsid w:val="00520F36"/>
    <w:rsid w:val="0052356B"/>
    <w:rsid w:val="00525EBF"/>
    <w:rsid w:val="00534E13"/>
    <w:rsid w:val="00540615"/>
    <w:rsid w:val="00540A6D"/>
    <w:rsid w:val="0054669E"/>
    <w:rsid w:val="005551DC"/>
    <w:rsid w:val="00566679"/>
    <w:rsid w:val="00571EEA"/>
    <w:rsid w:val="00575417"/>
    <w:rsid w:val="005768E1"/>
    <w:rsid w:val="00580850"/>
    <w:rsid w:val="005904F4"/>
    <w:rsid w:val="00594B19"/>
    <w:rsid w:val="00594D33"/>
    <w:rsid w:val="005977A4"/>
    <w:rsid w:val="005B1938"/>
    <w:rsid w:val="005B519A"/>
    <w:rsid w:val="005B5F46"/>
    <w:rsid w:val="005C3890"/>
    <w:rsid w:val="005C5E1B"/>
    <w:rsid w:val="005D6B01"/>
    <w:rsid w:val="005F7BFE"/>
    <w:rsid w:val="00600017"/>
    <w:rsid w:val="00600FC9"/>
    <w:rsid w:val="00612926"/>
    <w:rsid w:val="00612EB5"/>
    <w:rsid w:val="006235CA"/>
    <w:rsid w:val="006575DF"/>
    <w:rsid w:val="006643AB"/>
    <w:rsid w:val="006658A3"/>
    <w:rsid w:val="00672570"/>
    <w:rsid w:val="006931BC"/>
    <w:rsid w:val="006B061E"/>
    <w:rsid w:val="006C0852"/>
    <w:rsid w:val="006C7540"/>
    <w:rsid w:val="006C7CCB"/>
    <w:rsid w:val="006D2983"/>
    <w:rsid w:val="006F0A53"/>
    <w:rsid w:val="006F2ED2"/>
    <w:rsid w:val="00700F69"/>
    <w:rsid w:val="007123AA"/>
    <w:rsid w:val="007201EB"/>
    <w:rsid w:val="007210CD"/>
    <w:rsid w:val="00726339"/>
    <w:rsid w:val="0073111E"/>
    <w:rsid w:val="00732045"/>
    <w:rsid w:val="007369DB"/>
    <w:rsid w:val="00750377"/>
    <w:rsid w:val="00761DAF"/>
    <w:rsid w:val="0076626E"/>
    <w:rsid w:val="00767D04"/>
    <w:rsid w:val="00773923"/>
    <w:rsid w:val="00792864"/>
    <w:rsid w:val="007956C2"/>
    <w:rsid w:val="007A187E"/>
    <w:rsid w:val="007B1ABC"/>
    <w:rsid w:val="007B43E5"/>
    <w:rsid w:val="007C0F3B"/>
    <w:rsid w:val="007C72C2"/>
    <w:rsid w:val="007D4436"/>
    <w:rsid w:val="007E5CB8"/>
    <w:rsid w:val="007F257A"/>
    <w:rsid w:val="007F3665"/>
    <w:rsid w:val="007F618E"/>
    <w:rsid w:val="00800037"/>
    <w:rsid w:val="00813473"/>
    <w:rsid w:val="0083391C"/>
    <w:rsid w:val="00845D53"/>
    <w:rsid w:val="0085152C"/>
    <w:rsid w:val="00851C6B"/>
    <w:rsid w:val="00852DEB"/>
    <w:rsid w:val="00854C26"/>
    <w:rsid w:val="008555BC"/>
    <w:rsid w:val="008573EB"/>
    <w:rsid w:val="00861D73"/>
    <w:rsid w:val="00890B4A"/>
    <w:rsid w:val="0089132C"/>
    <w:rsid w:val="0089149A"/>
    <w:rsid w:val="008972A9"/>
    <w:rsid w:val="00897553"/>
    <w:rsid w:val="008A20CC"/>
    <w:rsid w:val="008A4E87"/>
    <w:rsid w:val="008D2432"/>
    <w:rsid w:val="008D2E58"/>
    <w:rsid w:val="008D34F4"/>
    <w:rsid w:val="008D76E6"/>
    <w:rsid w:val="008E214E"/>
    <w:rsid w:val="008E31A7"/>
    <w:rsid w:val="00917D71"/>
    <w:rsid w:val="0092392D"/>
    <w:rsid w:val="009272D1"/>
    <w:rsid w:val="0093234A"/>
    <w:rsid w:val="009353C9"/>
    <w:rsid w:val="009424FB"/>
    <w:rsid w:val="00954FBF"/>
    <w:rsid w:val="00955BB2"/>
    <w:rsid w:val="00956A78"/>
    <w:rsid w:val="0097363B"/>
    <w:rsid w:val="00973F53"/>
    <w:rsid w:val="00987170"/>
    <w:rsid w:val="009A56F1"/>
    <w:rsid w:val="009A6188"/>
    <w:rsid w:val="009B59D9"/>
    <w:rsid w:val="009C1730"/>
    <w:rsid w:val="009C307F"/>
    <w:rsid w:val="009C353C"/>
    <w:rsid w:val="009C6F3B"/>
    <w:rsid w:val="009D0792"/>
    <w:rsid w:val="009E1E3A"/>
    <w:rsid w:val="009F7161"/>
    <w:rsid w:val="00A02EF2"/>
    <w:rsid w:val="00A039F6"/>
    <w:rsid w:val="00A10F83"/>
    <w:rsid w:val="00A2113E"/>
    <w:rsid w:val="00A23A51"/>
    <w:rsid w:val="00A24607"/>
    <w:rsid w:val="00A25CD3"/>
    <w:rsid w:val="00A27AF9"/>
    <w:rsid w:val="00A35DF3"/>
    <w:rsid w:val="00A37B55"/>
    <w:rsid w:val="00A475BD"/>
    <w:rsid w:val="00A51849"/>
    <w:rsid w:val="00A564F0"/>
    <w:rsid w:val="00A709FE"/>
    <w:rsid w:val="00A73C60"/>
    <w:rsid w:val="00A73EC5"/>
    <w:rsid w:val="00A82767"/>
    <w:rsid w:val="00A85E29"/>
    <w:rsid w:val="00A931FB"/>
    <w:rsid w:val="00A97CB7"/>
    <w:rsid w:val="00AA332F"/>
    <w:rsid w:val="00AA402A"/>
    <w:rsid w:val="00AA7BBB"/>
    <w:rsid w:val="00AB5CD6"/>
    <w:rsid w:val="00AB64A8"/>
    <w:rsid w:val="00AB7306"/>
    <w:rsid w:val="00AC0266"/>
    <w:rsid w:val="00AC079C"/>
    <w:rsid w:val="00AD24EC"/>
    <w:rsid w:val="00AD6216"/>
    <w:rsid w:val="00AD7B71"/>
    <w:rsid w:val="00AF32C5"/>
    <w:rsid w:val="00B21586"/>
    <w:rsid w:val="00B25010"/>
    <w:rsid w:val="00B309F9"/>
    <w:rsid w:val="00B32B60"/>
    <w:rsid w:val="00B33247"/>
    <w:rsid w:val="00B53017"/>
    <w:rsid w:val="00B537D8"/>
    <w:rsid w:val="00B61619"/>
    <w:rsid w:val="00B61A29"/>
    <w:rsid w:val="00B660F4"/>
    <w:rsid w:val="00B818E9"/>
    <w:rsid w:val="00BB3B36"/>
    <w:rsid w:val="00BB4545"/>
    <w:rsid w:val="00BB7DC3"/>
    <w:rsid w:val="00BC1218"/>
    <w:rsid w:val="00BC6AF1"/>
    <w:rsid w:val="00BD5873"/>
    <w:rsid w:val="00BE0BB9"/>
    <w:rsid w:val="00BE137A"/>
    <w:rsid w:val="00BF52D7"/>
    <w:rsid w:val="00C022EC"/>
    <w:rsid w:val="00C0397A"/>
    <w:rsid w:val="00C04BE3"/>
    <w:rsid w:val="00C115D4"/>
    <w:rsid w:val="00C21E64"/>
    <w:rsid w:val="00C25D29"/>
    <w:rsid w:val="00C27675"/>
    <w:rsid w:val="00C27A7C"/>
    <w:rsid w:val="00C31041"/>
    <w:rsid w:val="00C41571"/>
    <w:rsid w:val="00C42437"/>
    <w:rsid w:val="00C44DE8"/>
    <w:rsid w:val="00C6100C"/>
    <w:rsid w:val="00C677B2"/>
    <w:rsid w:val="00C91FAA"/>
    <w:rsid w:val="00CA08ED"/>
    <w:rsid w:val="00CA24B6"/>
    <w:rsid w:val="00CB3BC6"/>
    <w:rsid w:val="00CB6376"/>
    <w:rsid w:val="00CC7D80"/>
    <w:rsid w:val="00CD2A67"/>
    <w:rsid w:val="00CD3542"/>
    <w:rsid w:val="00CD46F5"/>
    <w:rsid w:val="00CF183B"/>
    <w:rsid w:val="00CF3C02"/>
    <w:rsid w:val="00CF77A2"/>
    <w:rsid w:val="00D00656"/>
    <w:rsid w:val="00D02120"/>
    <w:rsid w:val="00D24E61"/>
    <w:rsid w:val="00D31230"/>
    <w:rsid w:val="00D3128C"/>
    <w:rsid w:val="00D326F4"/>
    <w:rsid w:val="00D375CD"/>
    <w:rsid w:val="00D553A2"/>
    <w:rsid w:val="00D565BC"/>
    <w:rsid w:val="00D64520"/>
    <w:rsid w:val="00D72F49"/>
    <w:rsid w:val="00D7715A"/>
    <w:rsid w:val="00D774D3"/>
    <w:rsid w:val="00D7778B"/>
    <w:rsid w:val="00D904E8"/>
    <w:rsid w:val="00D90EB9"/>
    <w:rsid w:val="00DA08C3"/>
    <w:rsid w:val="00DB5A3E"/>
    <w:rsid w:val="00DB5F0C"/>
    <w:rsid w:val="00DC0B8D"/>
    <w:rsid w:val="00DC22AA"/>
    <w:rsid w:val="00DD1A1B"/>
    <w:rsid w:val="00DE0A98"/>
    <w:rsid w:val="00DE5728"/>
    <w:rsid w:val="00DF638F"/>
    <w:rsid w:val="00DF74DD"/>
    <w:rsid w:val="00E04FE1"/>
    <w:rsid w:val="00E10FBE"/>
    <w:rsid w:val="00E25AD0"/>
    <w:rsid w:val="00E4428F"/>
    <w:rsid w:val="00E46A89"/>
    <w:rsid w:val="00E50919"/>
    <w:rsid w:val="00E532F4"/>
    <w:rsid w:val="00E55D52"/>
    <w:rsid w:val="00E731E5"/>
    <w:rsid w:val="00E750D0"/>
    <w:rsid w:val="00E93668"/>
    <w:rsid w:val="00E95647"/>
    <w:rsid w:val="00EA28B5"/>
    <w:rsid w:val="00EA58D8"/>
    <w:rsid w:val="00EA7F46"/>
    <w:rsid w:val="00EB1E72"/>
    <w:rsid w:val="00EB38D9"/>
    <w:rsid w:val="00EB6350"/>
    <w:rsid w:val="00EC14B7"/>
    <w:rsid w:val="00EF305E"/>
    <w:rsid w:val="00EF5CF9"/>
    <w:rsid w:val="00F0393C"/>
    <w:rsid w:val="00F10794"/>
    <w:rsid w:val="00F1173C"/>
    <w:rsid w:val="00F15B57"/>
    <w:rsid w:val="00F21767"/>
    <w:rsid w:val="00F21CC6"/>
    <w:rsid w:val="00F2544D"/>
    <w:rsid w:val="00F35EF4"/>
    <w:rsid w:val="00F369FD"/>
    <w:rsid w:val="00F37FE5"/>
    <w:rsid w:val="00F427DB"/>
    <w:rsid w:val="00F54754"/>
    <w:rsid w:val="00F54A36"/>
    <w:rsid w:val="00F74320"/>
    <w:rsid w:val="00F7682B"/>
    <w:rsid w:val="00FA4970"/>
    <w:rsid w:val="00FA5EB1"/>
    <w:rsid w:val="00FA7439"/>
    <w:rsid w:val="00FB2410"/>
    <w:rsid w:val="00FB6E80"/>
    <w:rsid w:val="00FC4EC0"/>
    <w:rsid w:val="00FD2E3A"/>
    <w:rsid w:val="00FE07C0"/>
    <w:rsid w:val="00FE567E"/>
    <w:rsid w:val="00FF0181"/>
    <w:rsid w:val="00FF4A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AECB"/>
  <w15:docId w15:val="{F66CA7D6-1834-4A13-80B1-E0F99ED0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1D5B56"/>
    <w:rPr>
      <w:color w:val="605E5C"/>
      <w:shd w:val="clear" w:color="auto" w:fill="E1DFDD"/>
    </w:rPr>
  </w:style>
  <w:style w:type="paragraph" w:styleId="ListParagraph">
    <w:name w:val="List Paragraph"/>
    <w:basedOn w:val="Normal"/>
    <w:uiPriority w:val="34"/>
    <w:qFormat/>
    <w:rsid w:val="001D5B56"/>
    <w:pPr>
      <w:ind w:left="720"/>
      <w:contextualSpacing/>
    </w:pPr>
    <w:rPr>
      <w:lang w:val="en-GB"/>
    </w:rPr>
  </w:style>
  <w:style w:type="character" w:styleId="CommentReference">
    <w:name w:val="annotation reference"/>
    <w:basedOn w:val="DefaultParagraphFont"/>
    <w:semiHidden/>
    <w:unhideWhenUsed/>
    <w:rsid w:val="00C0397A"/>
    <w:rPr>
      <w:sz w:val="16"/>
      <w:szCs w:val="16"/>
    </w:rPr>
  </w:style>
  <w:style w:type="paragraph" w:styleId="CommentText">
    <w:name w:val="annotation text"/>
    <w:basedOn w:val="Normal"/>
    <w:link w:val="CommentTextChar"/>
    <w:unhideWhenUsed/>
    <w:rsid w:val="00C0397A"/>
    <w:rPr>
      <w:sz w:val="20"/>
    </w:rPr>
  </w:style>
  <w:style w:type="character" w:customStyle="1" w:styleId="CommentTextChar">
    <w:name w:val="Comment Text Char"/>
    <w:basedOn w:val="DefaultParagraphFont"/>
    <w:link w:val="CommentText"/>
    <w:rsid w:val="00C0397A"/>
    <w:rPr>
      <w:rFonts w:ascii="Calibri" w:hAnsi="Calibri"/>
      <w:lang w:val="fr-FR" w:eastAsia="en-US"/>
    </w:rPr>
  </w:style>
  <w:style w:type="paragraph" w:styleId="CommentSubject">
    <w:name w:val="annotation subject"/>
    <w:basedOn w:val="CommentText"/>
    <w:next w:val="CommentText"/>
    <w:link w:val="CommentSubjectChar"/>
    <w:semiHidden/>
    <w:unhideWhenUsed/>
    <w:rsid w:val="00C0397A"/>
    <w:rPr>
      <w:b/>
      <w:bCs/>
    </w:rPr>
  </w:style>
  <w:style w:type="character" w:customStyle="1" w:styleId="CommentSubjectChar">
    <w:name w:val="Comment Subject Char"/>
    <w:basedOn w:val="CommentTextChar"/>
    <w:link w:val="CommentSubject"/>
    <w:semiHidden/>
    <w:rsid w:val="00C0397A"/>
    <w:rPr>
      <w:rFonts w:ascii="Calibri" w:hAnsi="Calibri"/>
      <w:b/>
      <w:bCs/>
      <w:lang w:val="fr-FR" w:eastAsia="en-US"/>
    </w:rPr>
  </w:style>
  <w:style w:type="character" w:customStyle="1" w:styleId="UnresolvedMention2">
    <w:name w:val="Unresolved Mention2"/>
    <w:basedOn w:val="DefaultParagraphFont"/>
    <w:uiPriority w:val="99"/>
    <w:semiHidden/>
    <w:unhideWhenUsed/>
    <w:rsid w:val="00DC0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L-C-0019/fr"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6F24-09E9-4217-97C5-820BDE87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21384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Canada et des États-Unis d'Amérique  - Éléments à l'appui de l'étude sur la pertinence de la Décision 482 du Conseil pour le recouvrement des coûts associés au traitement des fiches de notification des réseaux à satellite</dc:title>
  <dc:subject>Conseil 2023</dc:subject>
  <dc:creator>Xue, Kun</dc:creator>
  <cp:keywords>C2023, C23, Council-23</cp:keywords>
  <dc:description/>
  <cp:lastModifiedBy>Xue, Kun</cp:lastModifiedBy>
  <cp:revision>4</cp:revision>
  <cp:lastPrinted>2000-07-18T08:55:00Z</cp:lastPrinted>
  <dcterms:created xsi:type="dcterms:W3CDTF">2023-07-06T18:26:00Z</dcterms:created>
  <dcterms:modified xsi:type="dcterms:W3CDTF">2023-07-06T18:29:00Z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