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2"/>
        <w:gridCol w:w="3117"/>
      </w:tblGrid>
      <w:tr w:rsidR="007B0AA0" w14:paraId="7CD3BEEB" w14:textId="77777777" w:rsidTr="00F363FE">
        <w:tc>
          <w:tcPr>
            <w:tcW w:w="6512" w:type="dxa"/>
          </w:tcPr>
          <w:p w14:paraId="12C14017" w14:textId="37C945EB" w:rsidR="007B0AA0" w:rsidRPr="007B0AA0" w:rsidRDefault="007B0AA0" w:rsidP="00F363FE">
            <w:pPr>
              <w:spacing w:before="60" w:after="60" w:line="260" w:lineRule="exact"/>
              <w:rPr>
                <w:b/>
                <w:bCs/>
                <w:rtl/>
                <w:lang w:bidi="ar-SY"/>
              </w:rPr>
            </w:pPr>
            <w:r w:rsidRPr="007B0AA0">
              <w:rPr>
                <w:rFonts w:hint="cs"/>
                <w:b/>
                <w:bCs/>
                <w:rtl/>
                <w:lang w:bidi="ar-EG"/>
              </w:rPr>
              <w:t>بند جدول الأعمال:</w:t>
            </w:r>
            <w:r w:rsidR="00250189">
              <w:rPr>
                <w:rFonts w:hint="cs"/>
                <w:b/>
                <w:bCs/>
                <w:rtl/>
                <w:lang w:bidi="ar-EG"/>
              </w:rPr>
              <w:t xml:space="preserve"> </w:t>
            </w:r>
            <w:r w:rsidR="00250189">
              <w:rPr>
                <w:b/>
                <w:bCs/>
                <w:lang w:bidi="ar-EG"/>
              </w:rPr>
              <w:t>PL 1</w:t>
            </w:r>
          </w:p>
        </w:tc>
        <w:tc>
          <w:tcPr>
            <w:tcW w:w="3117" w:type="dxa"/>
          </w:tcPr>
          <w:p w14:paraId="1AC46E9A" w14:textId="3AB8A24D"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r w:rsidRPr="007B0AA0">
              <w:rPr>
                <w:b/>
                <w:bCs/>
                <w:lang w:bidi="ar-EG"/>
              </w:rPr>
              <w:t>C23/</w:t>
            </w:r>
            <w:r w:rsidR="00930C95">
              <w:rPr>
                <w:b/>
                <w:bCs/>
                <w:lang w:bidi="ar-EG"/>
              </w:rPr>
              <w:t>90</w:t>
            </w:r>
            <w:r w:rsidRPr="007B0AA0">
              <w:rPr>
                <w:b/>
                <w:bCs/>
                <w:lang w:bidi="ar-EG"/>
              </w:rPr>
              <w:t>-A</w:t>
            </w:r>
          </w:p>
        </w:tc>
      </w:tr>
      <w:tr w:rsidR="007B0AA0" w14:paraId="244C5282" w14:textId="77777777" w:rsidTr="00F363FE">
        <w:tc>
          <w:tcPr>
            <w:tcW w:w="6512" w:type="dxa"/>
          </w:tcPr>
          <w:p w14:paraId="62502751" w14:textId="77777777" w:rsidR="007B0AA0" w:rsidRPr="007B0AA0" w:rsidRDefault="007B0AA0" w:rsidP="00F363FE">
            <w:pPr>
              <w:spacing w:before="60" w:after="60" w:line="260" w:lineRule="exact"/>
              <w:rPr>
                <w:b/>
                <w:bCs/>
                <w:rtl/>
                <w:lang w:bidi="ar-EG"/>
              </w:rPr>
            </w:pPr>
          </w:p>
        </w:tc>
        <w:tc>
          <w:tcPr>
            <w:tcW w:w="3117" w:type="dxa"/>
          </w:tcPr>
          <w:p w14:paraId="380148A2" w14:textId="5DD7AF6E" w:rsidR="007B0AA0" w:rsidRPr="007B0AA0" w:rsidRDefault="00250189" w:rsidP="00F363FE">
            <w:pPr>
              <w:spacing w:before="60" w:after="60" w:line="260" w:lineRule="exact"/>
              <w:rPr>
                <w:b/>
                <w:bCs/>
                <w:rtl/>
                <w:lang w:bidi="ar-EG"/>
              </w:rPr>
            </w:pPr>
            <w:r>
              <w:rPr>
                <w:b/>
                <w:bCs/>
                <w:lang w:bidi="ar-EG"/>
              </w:rPr>
              <w:t>27</w:t>
            </w:r>
            <w:r w:rsidR="007B0AA0" w:rsidRPr="007B0AA0">
              <w:rPr>
                <w:rFonts w:hint="cs"/>
                <w:b/>
                <w:bCs/>
                <w:rtl/>
                <w:lang w:bidi="ar-EG"/>
              </w:rPr>
              <w:t xml:space="preserve"> </w:t>
            </w:r>
            <w:r>
              <w:rPr>
                <w:rFonts w:hint="cs"/>
                <w:b/>
                <w:bCs/>
                <w:rtl/>
                <w:lang w:bidi="ar-EG"/>
              </w:rPr>
              <w:t>يونيو</w:t>
            </w:r>
            <w:r w:rsidR="007B0AA0" w:rsidRPr="007B0AA0">
              <w:rPr>
                <w:rFonts w:hint="cs"/>
                <w:b/>
                <w:bCs/>
                <w:rtl/>
                <w:lang w:bidi="ar-EG"/>
              </w:rPr>
              <w:t xml:space="preserve"> </w:t>
            </w:r>
            <w:r w:rsidR="007B0AA0" w:rsidRPr="007B0AA0">
              <w:rPr>
                <w:b/>
                <w:bCs/>
                <w:lang w:bidi="ar-EG"/>
              </w:rPr>
              <w:t>2023</w:t>
            </w:r>
          </w:p>
        </w:tc>
      </w:tr>
      <w:tr w:rsidR="007B0AA0" w14:paraId="0A64F9A0" w14:textId="77777777" w:rsidTr="00F363FE">
        <w:tc>
          <w:tcPr>
            <w:tcW w:w="6512" w:type="dxa"/>
          </w:tcPr>
          <w:p w14:paraId="1F060F09" w14:textId="77777777" w:rsidR="007B0AA0" w:rsidRPr="007B0AA0" w:rsidRDefault="007B0AA0" w:rsidP="00F363FE">
            <w:pPr>
              <w:spacing w:before="60" w:after="60" w:line="260" w:lineRule="exact"/>
              <w:rPr>
                <w:b/>
                <w:bCs/>
                <w:rtl/>
                <w:lang w:bidi="ar-EG"/>
              </w:rPr>
            </w:pPr>
          </w:p>
        </w:tc>
        <w:tc>
          <w:tcPr>
            <w:tcW w:w="3117" w:type="dxa"/>
          </w:tcPr>
          <w:p w14:paraId="467B7C86" w14:textId="1E860473" w:rsidR="007B0AA0" w:rsidRPr="007B0AA0" w:rsidRDefault="007B0AA0" w:rsidP="00F363FE">
            <w:pPr>
              <w:spacing w:before="60" w:after="60" w:line="260" w:lineRule="exact"/>
              <w:rPr>
                <w:b/>
                <w:bCs/>
                <w:rtl/>
                <w:lang w:bidi="ar-EG"/>
              </w:rPr>
            </w:pPr>
            <w:r w:rsidRPr="007B0AA0">
              <w:rPr>
                <w:rFonts w:hint="cs"/>
                <w:b/>
                <w:bCs/>
                <w:rtl/>
                <w:lang w:bidi="ar-EG"/>
              </w:rPr>
              <w:t xml:space="preserve">الأصل: </w:t>
            </w:r>
            <w:r w:rsidR="00250189">
              <w:rPr>
                <w:rFonts w:hint="cs"/>
                <w:b/>
                <w:bCs/>
                <w:rtl/>
                <w:lang w:bidi="ar-EG"/>
              </w:rPr>
              <w:t>بالروسية</w:t>
            </w:r>
          </w:p>
        </w:tc>
      </w:tr>
      <w:tr w:rsidR="007B0AA0" w14:paraId="7DE945C3" w14:textId="77777777" w:rsidTr="00F363FE">
        <w:tc>
          <w:tcPr>
            <w:tcW w:w="6512" w:type="dxa"/>
          </w:tcPr>
          <w:p w14:paraId="5EC9138A" w14:textId="77777777" w:rsidR="007B0AA0" w:rsidRDefault="007B0AA0" w:rsidP="00F363FE">
            <w:pPr>
              <w:spacing w:before="60" w:after="60" w:line="260" w:lineRule="exact"/>
              <w:rPr>
                <w:lang w:bidi="ar-EG"/>
              </w:rPr>
            </w:pPr>
          </w:p>
        </w:tc>
        <w:tc>
          <w:tcPr>
            <w:tcW w:w="3117" w:type="dxa"/>
          </w:tcPr>
          <w:p w14:paraId="62FF799C" w14:textId="77777777" w:rsidR="007B0AA0" w:rsidRDefault="007B0AA0" w:rsidP="00F363FE">
            <w:pPr>
              <w:spacing w:before="60" w:after="60" w:line="260" w:lineRule="exact"/>
              <w:rPr>
                <w:rtl/>
                <w:lang w:bidi="ar-EG"/>
              </w:rPr>
            </w:pPr>
          </w:p>
        </w:tc>
      </w:tr>
      <w:tr w:rsidR="007B0AA0" w14:paraId="4B6C6B55" w14:textId="77777777" w:rsidTr="00EE7446">
        <w:tc>
          <w:tcPr>
            <w:tcW w:w="9629" w:type="dxa"/>
            <w:gridSpan w:val="2"/>
          </w:tcPr>
          <w:p w14:paraId="79263FD9" w14:textId="5EF36730" w:rsidR="007B0AA0" w:rsidRDefault="00250189" w:rsidP="007B0AA0">
            <w:pPr>
              <w:pStyle w:val="Source"/>
              <w:jc w:val="left"/>
              <w:rPr>
                <w:rtl/>
                <w:lang w:bidi="ar-EG"/>
              </w:rPr>
            </w:pPr>
            <w:r>
              <w:rPr>
                <w:rFonts w:hint="cs"/>
                <w:rtl/>
                <w:lang w:bidi="ar-EG"/>
              </w:rPr>
              <w:t>مساهمة مقدمة من الاتحاد الروسي</w:t>
            </w:r>
          </w:p>
        </w:tc>
      </w:tr>
      <w:tr w:rsidR="007B0AA0" w14:paraId="5694F400" w14:textId="77777777" w:rsidTr="007B0AA0">
        <w:tc>
          <w:tcPr>
            <w:tcW w:w="9629" w:type="dxa"/>
            <w:gridSpan w:val="2"/>
            <w:tcBorders>
              <w:bottom w:val="single" w:sz="4" w:space="0" w:color="auto"/>
            </w:tcBorders>
          </w:tcPr>
          <w:p w14:paraId="195E6D54" w14:textId="22433FBD" w:rsidR="007B0AA0" w:rsidRDefault="001661B0" w:rsidP="007B0AA0">
            <w:pPr>
              <w:pStyle w:val="Subtitle0"/>
              <w:rPr>
                <w:rtl/>
                <w:lang w:bidi="ar-SY"/>
              </w:rPr>
            </w:pPr>
            <w:r>
              <w:rPr>
                <w:rFonts w:hint="cs"/>
                <w:rtl/>
              </w:rPr>
              <w:t xml:space="preserve">تعليقات على تقارير </w:t>
            </w:r>
            <w:r w:rsidR="00174610">
              <w:rPr>
                <w:rFonts w:hint="cs"/>
                <w:rtl/>
              </w:rPr>
              <w:t>الأمينة العامة المقدمة</w:t>
            </w:r>
            <w:r>
              <w:rPr>
                <w:rFonts w:hint="cs"/>
                <w:rtl/>
              </w:rPr>
              <w:t xml:space="preserve"> إلى المجلس في الوثائق</w:t>
            </w:r>
            <w:r w:rsidR="00250189">
              <w:rPr>
                <w:rFonts w:hint="cs"/>
                <w:rtl/>
              </w:rPr>
              <w:t xml:space="preserve"> </w:t>
            </w:r>
            <w:r w:rsidR="00250189">
              <w:t>C23/36</w:t>
            </w:r>
            <w:r w:rsidR="00250189">
              <w:rPr>
                <w:rFonts w:hint="cs"/>
                <w:rtl/>
                <w:lang w:bidi="ar-SY"/>
              </w:rPr>
              <w:t xml:space="preserve"> و</w:t>
            </w:r>
            <w:r w:rsidR="00250189">
              <w:rPr>
                <w:lang w:bidi="ar-SY"/>
              </w:rPr>
              <w:t>C23/52</w:t>
            </w:r>
            <w:r w:rsidR="00250189">
              <w:rPr>
                <w:rFonts w:hint="cs"/>
                <w:rtl/>
                <w:lang w:bidi="ar-SY"/>
              </w:rPr>
              <w:t xml:space="preserve"> و</w:t>
            </w:r>
            <w:r w:rsidR="00250189">
              <w:rPr>
                <w:lang w:bidi="ar-SY"/>
              </w:rPr>
              <w:t>C23/53</w:t>
            </w:r>
            <w:r w:rsidR="00250189">
              <w:rPr>
                <w:rFonts w:hint="cs"/>
                <w:rtl/>
                <w:lang w:bidi="ar-SY"/>
              </w:rPr>
              <w:t xml:space="preserve"> و</w:t>
            </w:r>
            <w:r w:rsidR="00250189">
              <w:rPr>
                <w:lang w:bidi="ar-SY"/>
              </w:rPr>
              <w:t>C23/62</w:t>
            </w:r>
          </w:p>
        </w:tc>
      </w:tr>
      <w:tr w:rsidR="007B0AA0" w14:paraId="33313599" w14:textId="77777777" w:rsidTr="007B0AA0">
        <w:tc>
          <w:tcPr>
            <w:tcW w:w="9629" w:type="dxa"/>
            <w:gridSpan w:val="2"/>
            <w:tcBorders>
              <w:top w:val="single" w:sz="4" w:space="0" w:color="auto"/>
              <w:bottom w:val="single" w:sz="4" w:space="0" w:color="auto"/>
            </w:tcBorders>
          </w:tcPr>
          <w:p w14:paraId="2B617E97" w14:textId="0E132056" w:rsidR="007B0AA0" w:rsidRPr="007B0AA0" w:rsidRDefault="007B0AA0" w:rsidP="007B0AA0">
            <w:pPr>
              <w:rPr>
                <w:b/>
                <w:bCs/>
                <w:rtl/>
                <w:lang w:bidi="ar-EG"/>
              </w:rPr>
            </w:pPr>
            <w:r w:rsidRPr="007B0AA0">
              <w:rPr>
                <w:rFonts w:hint="cs"/>
                <w:b/>
                <w:bCs/>
                <w:rtl/>
              </w:rPr>
              <w:t>الغرض</w:t>
            </w:r>
          </w:p>
          <w:p w14:paraId="5642317C" w14:textId="64393388" w:rsidR="007B0AA0" w:rsidRDefault="00D2046D" w:rsidP="007B0AA0">
            <w:pPr>
              <w:rPr>
                <w:rtl/>
              </w:rPr>
            </w:pPr>
            <w:r>
              <w:rPr>
                <w:rFonts w:hint="cs"/>
                <w:rtl/>
              </w:rPr>
              <w:t>تهدف هذه المساهمة إلى ما يلي:</w:t>
            </w:r>
          </w:p>
          <w:p w14:paraId="309165BC" w14:textId="31174361" w:rsidR="00250189" w:rsidRDefault="00250189" w:rsidP="00250189">
            <w:pPr>
              <w:pStyle w:val="enumlev1"/>
              <w:rPr>
                <w:rtl/>
                <w:lang w:bidi="ar-SA"/>
              </w:rPr>
            </w:pPr>
            <w:r>
              <w:rPr>
                <w:rFonts w:hint="cs"/>
                <w:rtl/>
              </w:rPr>
              <w:t>-</w:t>
            </w:r>
            <w:r>
              <w:rPr>
                <w:rtl/>
              </w:rPr>
              <w:tab/>
            </w:r>
            <w:r w:rsidR="00D2046D">
              <w:rPr>
                <w:rFonts w:hint="cs"/>
                <w:rtl/>
                <w:lang w:bidi="ar-SA"/>
              </w:rPr>
              <w:t>زيادة شفافية المقترحات الواردة في تقارير الأمين</w:t>
            </w:r>
            <w:r w:rsidR="0046610A">
              <w:rPr>
                <w:rFonts w:hint="cs"/>
                <w:rtl/>
                <w:lang w:bidi="ar-SA"/>
              </w:rPr>
              <w:t>ة</w:t>
            </w:r>
            <w:r w:rsidR="00D2046D">
              <w:rPr>
                <w:rFonts w:hint="cs"/>
                <w:rtl/>
                <w:lang w:bidi="ar-SA"/>
              </w:rPr>
              <w:t xml:space="preserve"> العام</w:t>
            </w:r>
            <w:r w:rsidR="0046610A">
              <w:rPr>
                <w:rFonts w:hint="cs"/>
                <w:rtl/>
                <w:lang w:bidi="ar-SA"/>
              </w:rPr>
              <w:t>ة</w:t>
            </w:r>
            <w:r w:rsidR="00D2046D">
              <w:rPr>
                <w:rFonts w:hint="cs"/>
                <w:rtl/>
                <w:lang w:bidi="ar-SA"/>
              </w:rPr>
              <w:t>؛</w:t>
            </w:r>
          </w:p>
          <w:p w14:paraId="43DB3B97" w14:textId="4CAE85A2" w:rsidR="00250189" w:rsidRDefault="00250189" w:rsidP="00250189">
            <w:pPr>
              <w:pStyle w:val="enumlev1"/>
              <w:rPr>
                <w:rtl/>
                <w:lang w:bidi="ar-EG"/>
              </w:rPr>
            </w:pPr>
            <w:r>
              <w:rPr>
                <w:rFonts w:hint="cs"/>
                <w:rtl/>
              </w:rPr>
              <w:t>-</w:t>
            </w:r>
            <w:r>
              <w:rPr>
                <w:rtl/>
              </w:rPr>
              <w:tab/>
            </w:r>
            <w:r w:rsidR="00D2046D">
              <w:rPr>
                <w:rFonts w:hint="cs"/>
                <w:rtl/>
              </w:rPr>
              <w:t>تقييم</w:t>
            </w:r>
            <w:r w:rsidR="00D2046D" w:rsidRPr="00D2046D">
              <w:rPr>
                <w:rtl/>
              </w:rPr>
              <w:t xml:space="preserve"> مدى استصواب المبادرة</w:t>
            </w:r>
            <w:r w:rsidR="00D46AD2">
              <w:rPr>
                <w:rFonts w:hint="cs"/>
                <w:rtl/>
              </w:rPr>
              <w:t xml:space="preserve"> إلى</w:t>
            </w:r>
            <w:r w:rsidR="00D2046D" w:rsidRPr="00D2046D">
              <w:rPr>
                <w:rtl/>
              </w:rPr>
              <w:t xml:space="preserve"> إنشاء مكتب التحول المقترح وتحديد المصدر الملموس </w:t>
            </w:r>
            <w:r w:rsidR="00D2046D">
              <w:rPr>
                <w:rFonts w:hint="cs"/>
                <w:rtl/>
              </w:rPr>
              <w:t>لتمويله؛</w:t>
            </w:r>
          </w:p>
          <w:p w14:paraId="014ECBDC" w14:textId="5E497DD4" w:rsidR="00250189" w:rsidRDefault="00250189" w:rsidP="00D2046D">
            <w:pPr>
              <w:pStyle w:val="enumlev1"/>
              <w:rPr>
                <w:rtl/>
              </w:rPr>
            </w:pPr>
            <w:r>
              <w:rPr>
                <w:rFonts w:hint="cs"/>
                <w:rtl/>
              </w:rPr>
              <w:t>-</w:t>
            </w:r>
            <w:r>
              <w:rPr>
                <w:rtl/>
              </w:rPr>
              <w:tab/>
            </w:r>
            <w:r w:rsidR="00D2046D">
              <w:rPr>
                <w:rFonts w:hint="cs"/>
                <w:rtl/>
              </w:rPr>
              <w:t>ت</w:t>
            </w:r>
            <w:r w:rsidR="00D2046D" w:rsidRPr="00D2046D">
              <w:rPr>
                <w:rtl/>
              </w:rPr>
              <w:t>حديد الهدف النهائي لعمل مكتب التحول وتقييم توافق الهدف النهائي (</w:t>
            </w:r>
            <w:r w:rsidR="00D2046D">
              <w:rPr>
                <w:rFonts w:hint="cs"/>
                <w:rtl/>
              </w:rPr>
              <w:t>ال</w:t>
            </w:r>
            <w:r w:rsidR="00D2046D" w:rsidRPr="00D2046D">
              <w:rPr>
                <w:rtl/>
              </w:rPr>
              <w:t xml:space="preserve">نتيجة </w:t>
            </w:r>
            <w:r w:rsidR="00D2046D">
              <w:rPr>
                <w:rFonts w:hint="cs"/>
                <w:rtl/>
              </w:rPr>
              <w:t>ال</w:t>
            </w:r>
            <w:r w:rsidR="00D2046D" w:rsidRPr="00D2046D">
              <w:rPr>
                <w:rtl/>
              </w:rPr>
              <w:t>ملموسة) لعمله مع دستور الاتحاد واتفاقي</w:t>
            </w:r>
            <w:r w:rsidR="00D2046D">
              <w:rPr>
                <w:rFonts w:hint="cs"/>
                <w:rtl/>
              </w:rPr>
              <w:t>ته</w:t>
            </w:r>
            <w:r w:rsidR="00D2046D" w:rsidRPr="00D2046D">
              <w:rPr>
                <w:rtl/>
              </w:rPr>
              <w:t xml:space="preserve"> والقرار </w:t>
            </w:r>
            <w:r w:rsidR="00D2046D" w:rsidRPr="00D2046D">
              <w:rPr>
                <w:rFonts w:ascii="Arial" w:hAnsi="Arial" w:cs="Arial" w:hint="cs"/>
                <w:rtl/>
              </w:rPr>
              <w:t>‬</w:t>
            </w:r>
            <w:r w:rsidR="00D2046D" w:rsidRPr="00D2046D">
              <w:rPr>
                <w:rtl/>
              </w:rPr>
              <w:t>71 (</w:t>
            </w:r>
            <w:dir w:val="rtl">
              <w:r w:rsidR="00D2046D" w:rsidRPr="00D2046D">
                <w:rPr>
                  <w:rFonts w:hint="cs"/>
                  <w:rtl/>
                </w:rPr>
                <w:t>المراج</w:t>
              </w:r>
              <w:r w:rsidR="00FE16E8">
                <w:rPr>
                  <w:rFonts w:hint="cs"/>
                  <w:rtl/>
                </w:rPr>
                <w:t>َ</w:t>
              </w:r>
              <w:r w:rsidR="00D2046D" w:rsidRPr="00D2046D">
                <w:rPr>
                  <w:rFonts w:hint="cs"/>
                  <w:rtl/>
                </w:rPr>
                <w:t>ع</w:t>
              </w:r>
              <w:r w:rsidR="00D2046D" w:rsidRPr="00D2046D">
                <w:rPr>
                  <w:rtl/>
                </w:rPr>
                <w:t xml:space="preserve"> في </w:t>
              </w:r>
              <w:r w:rsidR="00D2046D">
                <w:rPr>
                  <w:rFonts w:hint="cs"/>
                  <w:rtl/>
                </w:rPr>
                <w:t>بوخارست، 2022</w:t>
              </w:r>
              <w:r w:rsidR="00D2046D" w:rsidRPr="00D2046D">
                <w:rPr>
                  <w:rFonts w:ascii="Arial" w:hAnsi="Arial" w:cs="Arial" w:hint="cs"/>
                  <w:rtl/>
                </w:rPr>
                <w:t>‬</w:t>
              </w:r>
              <w:r w:rsidR="00D2046D" w:rsidRPr="00D2046D">
                <w:rPr>
                  <w:rtl/>
                </w:rPr>
                <w:t xml:space="preserve">) </w:t>
              </w:r>
              <w:dir w:val="rtl">
                <w:r w:rsidR="00D2046D" w:rsidRPr="00D2046D">
                  <w:rPr>
                    <w:rFonts w:hint="cs"/>
                    <w:rtl/>
                  </w:rPr>
                  <w:t>ل</w:t>
                </w:r>
                <w:r w:rsidR="00D2046D">
                  <w:rPr>
                    <w:rFonts w:hint="cs"/>
                    <w:rtl/>
                  </w:rPr>
                  <w:t>مؤتمر المندوبين المفوضين.</w:t>
                </w:r>
                <w:r w:rsidR="003522C3">
                  <w:t>‬</w:t>
                </w:r>
                <w:r w:rsidR="003522C3">
                  <w:t>‬</w:t>
                </w:r>
                <w:r w:rsidR="00C90705">
                  <w:t>‬</w:t>
                </w:r>
                <w:r w:rsidR="00C90705">
                  <w:t>‬</w:t>
                </w:r>
                <w:r w:rsidR="008C194E">
                  <w:t>‬</w:t>
                </w:r>
                <w:r w:rsidR="008C194E">
                  <w:t>‬</w:t>
                </w:r>
                <w:r w:rsidR="001F30D6">
                  <w:t>‬</w:t>
                </w:r>
                <w:r w:rsidR="001F30D6">
                  <w:t>‬</w:t>
                </w:r>
                <w:r w:rsidR="009C5056">
                  <w:t>‬</w:t>
                </w:r>
                <w:r w:rsidR="009C5056">
                  <w:t>‬</w:t>
                </w:r>
              </w:dir>
            </w:dir>
          </w:p>
          <w:p w14:paraId="44713897" w14:textId="77777777" w:rsidR="007B0AA0" w:rsidRPr="007B0AA0" w:rsidRDefault="007B0AA0" w:rsidP="007B0AA0">
            <w:pPr>
              <w:rPr>
                <w:b/>
                <w:bCs/>
                <w:rtl/>
              </w:rPr>
            </w:pPr>
            <w:r w:rsidRPr="007B0AA0">
              <w:rPr>
                <w:rFonts w:hint="cs"/>
                <w:b/>
                <w:bCs/>
                <w:rtl/>
              </w:rPr>
              <w:t>الإجراء المطلوب من المجلس</w:t>
            </w:r>
          </w:p>
          <w:p w14:paraId="65E95852" w14:textId="69462E1E" w:rsidR="0020630F" w:rsidRPr="0020630F" w:rsidRDefault="0020630F" w:rsidP="0020630F">
            <w:pPr>
              <w:rPr>
                <w:rtl/>
              </w:rPr>
            </w:pPr>
            <w:r>
              <w:rPr>
                <w:rFonts w:hint="cs"/>
                <w:rtl/>
              </w:rPr>
              <w:t xml:space="preserve">يُدعى المجلس إلى تقييم مدى استصواب اعتماد التدابير </w:t>
            </w:r>
            <w:r w:rsidRPr="0020630F">
              <w:rPr>
                <w:rtl/>
              </w:rPr>
              <w:t>الجديدة المقترحة وتحديد مصادر تمويل عناصر المبادرة، مع مراعاة الموارد التي أنفقت بالفعل لتحقيق هذه الغاية.</w:t>
            </w:r>
          </w:p>
          <w:p w14:paraId="34E84A9E" w14:textId="77777777" w:rsidR="007B0AA0" w:rsidRPr="007B0AA0" w:rsidRDefault="007B0AA0" w:rsidP="007B0AA0">
            <w:pPr>
              <w:rPr>
                <w:rFonts w:ascii="Traditional Arabic" w:hAnsi="Traditional Arabic" w:cs="Traditional Arabic"/>
                <w:sz w:val="30"/>
                <w:szCs w:val="30"/>
                <w:rtl/>
              </w:rPr>
            </w:pPr>
            <w:r w:rsidRPr="007B0AA0">
              <w:rPr>
                <w:rFonts w:ascii="Traditional Arabic" w:hAnsi="Traditional Arabic" w:cs="Traditional Arabic"/>
                <w:sz w:val="30"/>
                <w:szCs w:val="30"/>
                <w:rtl/>
              </w:rPr>
              <w:t>___________</w:t>
            </w:r>
          </w:p>
          <w:p w14:paraId="4E836B69" w14:textId="77777777" w:rsidR="007B0AA0" w:rsidRPr="007B0AA0" w:rsidRDefault="007B0AA0" w:rsidP="007B0AA0">
            <w:pPr>
              <w:rPr>
                <w:b/>
                <w:bCs/>
                <w:rtl/>
              </w:rPr>
            </w:pPr>
            <w:r w:rsidRPr="007B0AA0">
              <w:rPr>
                <w:rFonts w:hint="cs"/>
                <w:b/>
                <w:bCs/>
                <w:rtl/>
              </w:rPr>
              <w:t>المراجع</w:t>
            </w:r>
          </w:p>
          <w:p w14:paraId="22BC7715" w14:textId="376097F4" w:rsidR="007B0AA0" w:rsidRDefault="00250189" w:rsidP="00B11AD5">
            <w:pPr>
              <w:spacing w:after="120"/>
              <w:rPr>
                <w:rtl/>
                <w:lang w:bidi="ar-SY"/>
              </w:rPr>
            </w:pPr>
            <w:r>
              <w:rPr>
                <w:rFonts w:hint="cs"/>
                <w:rtl/>
              </w:rPr>
              <w:t xml:space="preserve">القرار </w:t>
            </w:r>
            <w:r>
              <w:t>71</w:t>
            </w:r>
            <w:r>
              <w:rPr>
                <w:rFonts w:hint="cs"/>
                <w:rtl/>
                <w:lang w:bidi="ar-SY"/>
              </w:rPr>
              <w:t xml:space="preserve"> (المراجَع في بوخارست، </w:t>
            </w:r>
            <w:r>
              <w:rPr>
                <w:lang w:bidi="ar-SY"/>
              </w:rPr>
              <w:t>2022</w:t>
            </w:r>
            <w:r>
              <w:rPr>
                <w:rFonts w:hint="cs"/>
                <w:rtl/>
                <w:lang w:bidi="ar-SY"/>
              </w:rPr>
              <w:t xml:space="preserve">) والمقرر </w:t>
            </w:r>
            <w:r>
              <w:rPr>
                <w:lang w:bidi="ar-SY"/>
              </w:rPr>
              <w:t>5</w:t>
            </w:r>
            <w:r>
              <w:rPr>
                <w:rFonts w:hint="cs"/>
                <w:rtl/>
                <w:lang w:bidi="ar-SY"/>
              </w:rPr>
              <w:t xml:space="preserve"> (المراجَع في بوخارست، </w:t>
            </w:r>
            <w:r>
              <w:rPr>
                <w:lang w:bidi="ar-SY"/>
              </w:rPr>
              <w:t>2022</w:t>
            </w:r>
            <w:r>
              <w:rPr>
                <w:rFonts w:hint="cs"/>
                <w:rtl/>
                <w:lang w:bidi="ar-SY"/>
              </w:rPr>
              <w:t>) لمؤتمر المندوبين المفوضين</w:t>
            </w:r>
            <w:r>
              <w:rPr>
                <w:rtl/>
                <w:lang w:bidi="ar-SY"/>
              </w:rPr>
              <w:tab/>
            </w:r>
            <w:r>
              <w:rPr>
                <w:rtl/>
                <w:lang w:bidi="ar-SY"/>
              </w:rPr>
              <w:br/>
            </w:r>
            <w:r>
              <w:rPr>
                <w:rFonts w:hint="cs"/>
                <w:rtl/>
                <w:lang w:bidi="ar-SY"/>
              </w:rPr>
              <w:t xml:space="preserve">وثائق المجلس </w:t>
            </w:r>
            <w:hyperlink r:id="rId8" w:history="1">
              <w:r w:rsidRPr="00647E02">
                <w:rPr>
                  <w:rStyle w:val="Hyperlink"/>
                </w:rPr>
                <w:t>C23/36</w:t>
              </w:r>
            </w:hyperlink>
            <w:r w:rsidRPr="00250189">
              <w:rPr>
                <w:rFonts w:hint="cs"/>
                <w:rtl/>
              </w:rPr>
              <w:t xml:space="preserve"> و</w:t>
            </w:r>
            <w:hyperlink r:id="rId9" w:history="1">
              <w:r w:rsidRPr="00647E02">
                <w:rPr>
                  <w:rStyle w:val="Hyperlink"/>
                </w:rPr>
                <w:t>C23/50</w:t>
              </w:r>
            </w:hyperlink>
            <w:r w:rsidRPr="00250189">
              <w:rPr>
                <w:rFonts w:hint="cs"/>
                <w:rtl/>
              </w:rPr>
              <w:t xml:space="preserve"> و</w:t>
            </w:r>
            <w:hyperlink r:id="rId10" w:history="1">
              <w:r w:rsidRPr="00647E02">
                <w:rPr>
                  <w:rStyle w:val="Hyperlink"/>
                  <w:szCs w:val="24"/>
                </w:rPr>
                <w:t>C23/52</w:t>
              </w:r>
            </w:hyperlink>
            <w:r w:rsidRPr="00250189">
              <w:rPr>
                <w:rFonts w:hint="cs"/>
                <w:rtl/>
              </w:rPr>
              <w:t xml:space="preserve"> و</w:t>
            </w:r>
            <w:hyperlink r:id="rId11" w:history="1">
              <w:r w:rsidRPr="00647E02">
                <w:rPr>
                  <w:rStyle w:val="Hyperlink"/>
                </w:rPr>
                <w:t>C23/53</w:t>
              </w:r>
            </w:hyperlink>
            <w:r w:rsidRPr="00250189">
              <w:rPr>
                <w:rFonts w:hint="cs"/>
                <w:rtl/>
              </w:rPr>
              <w:t xml:space="preserve"> و</w:t>
            </w:r>
            <w:hyperlink r:id="rId12" w:history="1">
              <w:r w:rsidRPr="00647E02">
                <w:rPr>
                  <w:rStyle w:val="Hyperlink"/>
                </w:rPr>
                <w:t>C23/62</w:t>
              </w:r>
            </w:hyperlink>
            <w:r w:rsidRPr="00250189">
              <w:rPr>
                <w:rFonts w:hint="cs"/>
                <w:rtl/>
              </w:rPr>
              <w:t xml:space="preserve"> و</w:t>
            </w:r>
            <w:hyperlink r:id="rId13" w:history="1">
              <w:r w:rsidRPr="00647E02">
                <w:rPr>
                  <w:rStyle w:val="Hyperlink"/>
                </w:rPr>
                <w:t>C23/INF/11</w:t>
              </w:r>
            </w:hyperlink>
            <w:r w:rsidRPr="00250189">
              <w:rPr>
                <w:rFonts w:hint="cs"/>
                <w:rtl/>
              </w:rPr>
              <w:t xml:space="preserve"> و</w:t>
            </w:r>
            <w:hyperlink r:id="rId14" w:history="1">
              <w:r w:rsidRPr="00647E02">
                <w:rPr>
                  <w:rStyle w:val="Hyperlink"/>
                </w:rPr>
                <w:t>C23/INF/13</w:t>
              </w:r>
            </w:hyperlink>
          </w:p>
        </w:tc>
      </w:tr>
    </w:tbl>
    <w:p w14:paraId="574D2A33" w14:textId="77777777" w:rsidR="00F50E3F" w:rsidRDefault="00F50E3F" w:rsidP="00250189">
      <w:pPr>
        <w:rPr>
          <w:rtl/>
          <w:lang w:bidi="ar-EG"/>
        </w:rPr>
      </w:pPr>
      <w:r>
        <w:rPr>
          <w:rtl/>
          <w:lang w:bidi="ar-EG"/>
        </w:rPr>
        <w:br w:type="page"/>
      </w:r>
    </w:p>
    <w:p w14:paraId="4658C2C4" w14:textId="48B984A5" w:rsidR="00F50E3F" w:rsidRDefault="00250189" w:rsidP="00250189">
      <w:pPr>
        <w:pStyle w:val="Heading1"/>
        <w:rPr>
          <w:rtl/>
          <w:lang w:bidi="ar-SY"/>
        </w:rPr>
      </w:pPr>
      <w:r>
        <w:rPr>
          <w:lang w:bidi="ar-SY"/>
        </w:rPr>
        <w:lastRenderedPageBreak/>
        <w:t>1</w:t>
      </w:r>
      <w:r>
        <w:rPr>
          <w:rtl/>
          <w:lang w:bidi="ar-SY"/>
        </w:rPr>
        <w:tab/>
      </w:r>
      <w:r>
        <w:rPr>
          <w:rFonts w:hint="cs"/>
          <w:rtl/>
          <w:lang w:bidi="ar-SY"/>
        </w:rPr>
        <w:t>مقدمة</w:t>
      </w:r>
    </w:p>
    <w:p w14:paraId="6DDF6F72" w14:textId="648AE26E" w:rsidR="00D46AD2" w:rsidRPr="00D46AD2" w:rsidRDefault="00250189" w:rsidP="00D46AD2">
      <w:pPr>
        <w:rPr>
          <w:rtl/>
        </w:rPr>
      </w:pPr>
      <w:r>
        <w:rPr>
          <w:lang w:bidi="ar-EG"/>
        </w:rPr>
        <w:t>1.1</w:t>
      </w:r>
      <w:r>
        <w:rPr>
          <w:rtl/>
          <w:lang w:bidi="ar-SY"/>
        </w:rPr>
        <w:tab/>
      </w:r>
      <w:r w:rsidR="00D46AD2" w:rsidRPr="00D46AD2">
        <w:rPr>
          <w:rtl/>
          <w:lang w:bidi="ar-SY"/>
        </w:rPr>
        <w:t>اعتمد مؤتمر المندوبين المفوضين (بوخارست، 2022) القرار 71 (المرا</w:t>
      </w:r>
      <w:r w:rsidR="009C7F6F">
        <w:rPr>
          <w:rFonts w:hint="cs"/>
          <w:rtl/>
          <w:lang w:bidi="ar-SY"/>
        </w:rPr>
        <w:t>جَ</w:t>
      </w:r>
      <w:r w:rsidR="00D46AD2" w:rsidRPr="00D46AD2">
        <w:rPr>
          <w:rtl/>
          <w:lang w:bidi="ar-SY"/>
        </w:rPr>
        <w:t>ع في بوخارست، 2022) والمقرر 5 (المراج</w:t>
      </w:r>
      <w:r w:rsidR="009C7F6F">
        <w:rPr>
          <w:rFonts w:hint="cs"/>
          <w:rtl/>
          <w:lang w:bidi="ar-SY"/>
        </w:rPr>
        <w:t>َ</w:t>
      </w:r>
      <w:r w:rsidR="00D46AD2" w:rsidRPr="00D46AD2">
        <w:rPr>
          <w:rtl/>
          <w:lang w:bidi="ar-SY"/>
        </w:rPr>
        <w:t xml:space="preserve">ع في بوخارست، </w:t>
      </w:r>
      <w:proofErr w:type="gramStart"/>
      <w:r w:rsidR="00D46AD2" w:rsidRPr="00D46AD2">
        <w:rPr>
          <w:rtl/>
          <w:lang w:bidi="ar-SY"/>
        </w:rPr>
        <w:t>2022)،</w:t>
      </w:r>
      <w:proofErr w:type="gramEnd"/>
      <w:r w:rsidR="00D46AD2" w:rsidRPr="00D46AD2">
        <w:rPr>
          <w:rtl/>
          <w:lang w:bidi="ar-SY"/>
        </w:rPr>
        <w:t xml:space="preserve"> اللذين يحددان </w:t>
      </w:r>
      <w:r w:rsidR="00C90705" w:rsidRPr="009C7F6F">
        <w:rPr>
          <w:rFonts w:hint="cs"/>
          <w:rtl/>
          <w:lang w:bidi="ar-SY"/>
        </w:rPr>
        <w:t>الغايات</w:t>
      </w:r>
      <w:r w:rsidR="00D46AD2" w:rsidRPr="00D46AD2">
        <w:rPr>
          <w:rtl/>
          <w:lang w:bidi="ar-SY"/>
        </w:rPr>
        <w:t xml:space="preserve"> الاستراتيجية للاتحاد وأولوياته المواضيعية </w:t>
      </w:r>
      <w:r w:rsidR="00D46AD2">
        <w:rPr>
          <w:rFonts w:hint="cs"/>
          <w:rtl/>
          <w:lang w:bidi="ar-SY"/>
        </w:rPr>
        <w:t>وعوامله التمكينية</w:t>
      </w:r>
      <w:r w:rsidR="00D46AD2" w:rsidRPr="00D46AD2">
        <w:rPr>
          <w:rtl/>
          <w:lang w:bidi="ar-SY"/>
        </w:rPr>
        <w:t>، وعروض منتجات الاتحاد</w:t>
      </w:r>
      <w:r w:rsidR="00115F9E">
        <w:rPr>
          <w:rFonts w:hint="cs"/>
          <w:rtl/>
          <w:lang w:bidi="ar-SY"/>
        </w:rPr>
        <w:t xml:space="preserve"> وخدماته</w:t>
      </w:r>
      <w:r w:rsidR="00D46AD2" w:rsidRPr="00D46AD2">
        <w:rPr>
          <w:rtl/>
          <w:lang w:bidi="ar-SY"/>
        </w:rPr>
        <w:t xml:space="preserve">، والربط </w:t>
      </w:r>
      <w:r w:rsidR="0046610A">
        <w:rPr>
          <w:rFonts w:hint="cs"/>
          <w:rtl/>
          <w:lang w:bidi="ar-SY"/>
        </w:rPr>
        <w:t>التفصيلي</w:t>
      </w:r>
      <w:r w:rsidR="00D46AD2" w:rsidRPr="00D46AD2">
        <w:rPr>
          <w:rtl/>
          <w:lang w:bidi="ar-SY"/>
        </w:rPr>
        <w:t xml:space="preserve"> بين الخطتين الاستراتيجية والمالية للاتحاد، بغية تحقيق أهداف الاتحاد بشكل فع</w:t>
      </w:r>
      <w:r w:rsidR="009C7F6F">
        <w:rPr>
          <w:rFonts w:hint="cs"/>
          <w:rtl/>
          <w:lang w:bidi="ar-SY"/>
        </w:rPr>
        <w:t>ّ</w:t>
      </w:r>
      <w:r w:rsidR="00D46AD2" w:rsidRPr="00D46AD2">
        <w:rPr>
          <w:rtl/>
          <w:lang w:bidi="ar-SY"/>
        </w:rPr>
        <w:t>ال.</w:t>
      </w:r>
      <w:r w:rsidR="00D46AD2" w:rsidRPr="00D46AD2">
        <w:rPr>
          <w:rFonts w:ascii="Arial" w:hAnsi="Arial" w:cs="Arial" w:hint="cs"/>
          <w:rtl/>
          <w:lang w:bidi="ar-SY"/>
        </w:rPr>
        <w:t>‬</w:t>
      </w:r>
    </w:p>
    <w:p w14:paraId="457031C7" w14:textId="3704F39A" w:rsidR="00250189" w:rsidRDefault="00250189" w:rsidP="009C7F6F">
      <w:pPr>
        <w:rPr>
          <w:rtl/>
          <w:lang w:bidi="ar-SY"/>
        </w:rPr>
      </w:pPr>
      <w:r>
        <w:rPr>
          <w:lang w:bidi="ar-EG"/>
        </w:rPr>
        <w:t>2.1</w:t>
      </w:r>
      <w:r>
        <w:rPr>
          <w:rtl/>
          <w:lang w:bidi="ar-SY"/>
        </w:rPr>
        <w:tab/>
      </w:r>
      <w:r w:rsidR="009F7A20">
        <w:rPr>
          <w:rFonts w:hint="cs"/>
          <w:rtl/>
          <w:lang w:bidi="ar-SY"/>
        </w:rPr>
        <w:t xml:space="preserve">إن </w:t>
      </w:r>
      <w:r w:rsidR="00115F9E" w:rsidRPr="00115F9E">
        <w:rPr>
          <w:rtl/>
          <w:lang w:bidi="ar-SY"/>
        </w:rPr>
        <w:t>تقارير الأمين</w:t>
      </w:r>
      <w:r w:rsidR="0046610A">
        <w:rPr>
          <w:rFonts w:hint="cs"/>
          <w:rtl/>
          <w:lang w:bidi="ar-SY"/>
        </w:rPr>
        <w:t>ة</w:t>
      </w:r>
      <w:r w:rsidR="00115F9E" w:rsidRPr="00115F9E">
        <w:rPr>
          <w:rtl/>
          <w:lang w:bidi="ar-SY"/>
        </w:rPr>
        <w:t xml:space="preserve"> العام</w:t>
      </w:r>
      <w:r w:rsidR="0046610A">
        <w:rPr>
          <w:rFonts w:hint="cs"/>
          <w:rtl/>
          <w:lang w:bidi="ar-SY"/>
        </w:rPr>
        <w:t>ة</w:t>
      </w:r>
      <w:r w:rsidR="00115F9E" w:rsidRPr="00115F9E">
        <w:rPr>
          <w:rtl/>
          <w:lang w:bidi="ar-SY"/>
        </w:rPr>
        <w:t xml:space="preserve"> المقدمة للنظر فيها في وثائق المجلس </w:t>
      </w:r>
      <w:hyperlink r:id="rId15" w:history="1">
        <w:r w:rsidR="009C7F6F" w:rsidRPr="009C7F6F">
          <w:rPr>
            <w:rStyle w:val="Hyperlink"/>
            <w:lang w:val="en-GB" w:bidi="ar-SY"/>
          </w:rPr>
          <w:t>C23/36</w:t>
        </w:r>
      </w:hyperlink>
      <w:r w:rsidR="009C7F6F">
        <w:rPr>
          <w:rtl/>
          <w:lang w:val="en-GB" w:bidi="ar-SY"/>
        </w:rPr>
        <w:t xml:space="preserve"> و</w:t>
      </w:r>
      <w:hyperlink r:id="rId16" w:history="1">
        <w:r w:rsidR="009C7F6F" w:rsidRPr="009C7F6F">
          <w:rPr>
            <w:rStyle w:val="Hyperlink"/>
            <w:lang w:val="en-GB" w:bidi="ar-SY"/>
          </w:rPr>
          <w:t>C23/50</w:t>
        </w:r>
      </w:hyperlink>
      <w:r w:rsidR="009C7F6F">
        <w:rPr>
          <w:rtl/>
          <w:lang w:val="en-GB" w:bidi="ar-SY"/>
        </w:rPr>
        <w:t xml:space="preserve"> و</w:t>
      </w:r>
      <w:hyperlink r:id="rId17" w:history="1">
        <w:r w:rsidR="009C7F6F" w:rsidRPr="009C7F6F">
          <w:rPr>
            <w:rStyle w:val="Hyperlink"/>
            <w:lang w:val="en-GB" w:bidi="ar-SY"/>
          </w:rPr>
          <w:t>C23/52</w:t>
        </w:r>
      </w:hyperlink>
      <w:r w:rsidR="009C7F6F">
        <w:rPr>
          <w:rtl/>
          <w:lang w:val="en-GB" w:bidi="ar-SY"/>
        </w:rPr>
        <w:t xml:space="preserve"> و</w:t>
      </w:r>
      <w:hyperlink r:id="rId18" w:history="1">
        <w:r w:rsidR="009C7F6F" w:rsidRPr="009C7F6F">
          <w:rPr>
            <w:rStyle w:val="Hyperlink"/>
            <w:lang w:val="en-GB" w:bidi="ar-SY"/>
          </w:rPr>
          <w:t>C23/53</w:t>
        </w:r>
      </w:hyperlink>
      <w:r w:rsidR="009C7F6F">
        <w:rPr>
          <w:rtl/>
          <w:lang w:val="en-GB" w:bidi="ar-SY"/>
        </w:rPr>
        <w:t xml:space="preserve"> و</w:t>
      </w:r>
      <w:hyperlink r:id="rId19" w:history="1">
        <w:r w:rsidR="009C7F6F" w:rsidRPr="009C7F6F">
          <w:rPr>
            <w:rStyle w:val="Hyperlink"/>
            <w:lang w:val="en-GB" w:bidi="ar-SY"/>
          </w:rPr>
          <w:t>C23/62</w:t>
        </w:r>
      </w:hyperlink>
      <w:r w:rsidR="009C7F6F">
        <w:rPr>
          <w:rtl/>
          <w:lang w:val="en-GB" w:bidi="ar-SY"/>
        </w:rPr>
        <w:t xml:space="preserve"> و</w:t>
      </w:r>
      <w:hyperlink r:id="rId20" w:history="1">
        <w:r w:rsidR="009C7F6F" w:rsidRPr="009C7F6F">
          <w:rPr>
            <w:rStyle w:val="Hyperlink"/>
            <w:lang w:val="en-GB" w:bidi="ar-SY"/>
          </w:rPr>
          <w:t>C23/INF/11</w:t>
        </w:r>
      </w:hyperlink>
      <w:r w:rsidR="009C7F6F">
        <w:rPr>
          <w:rFonts w:hint="cs"/>
          <w:rtl/>
          <w:lang w:val="en-GB" w:bidi="ar-SY"/>
        </w:rPr>
        <w:t xml:space="preserve"> و</w:t>
      </w:r>
      <w:hyperlink r:id="rId21" w:history="1">
        <w:r w:rsidR="009C7F6F" w:rsidRPr="009C7F6F">
          <w:rPr>
            <w:rStyle w:val="Hyperlink"/>
            <w:lang w:val="en-GB" w:bidi="ar-SY"/>
          </w:rPr>
          <w:t>C23/INF/13</w:t>
        </w:r>
      </w:hyperlink>
      <w:r w:rsidR="00115F9E" w:rsidRPr="00115F9E">
        <w:rPr>
          <w:rtl/>
          <w:lang w:bidi="ar-SY"/>
        </w:rPr>
        <w:t>، وفقا</w:t>
      </w:r>
      <w:r w:rsidR="009F7A20">
        <w:rPr>
          <w:rFonts w:hint="cs"/>
          <w:rtl/>
          <w:lang w:bidi="ar-SY"/>
        </w:rPr>
        <w:t>ً</w:t>
      </w:r>
      <w:r w:rsidR="00115F9E" w:rsidRPr="00115F9E">
        <w:rPr>
          <w:rtl/>
          <w:lang w:bidi="ar-SY"/>
        </w:rPr>
        <w:t xml:space="preserve"> للروابط المقدمة، تهتم أكثر بأنشطة ون</w:t>
      </w:r>
      <w:r w:rsidR="009F7A20">
        <w:rPr>
          <w:rFonts w:hint="cs"/>
          <w:rtl/>
          <w:lang w:bidi="ar-SY"/>
        </w:rPr>
        <w:t>ُ</w:t>
      </w:r>
      <w:r w:rsidR="00115F9E" w:rsidRPr="00115F9E">
        <w:rPr>
          <w:rtl/>
          <w:lang w:bidi="ar-SY"/>
        </w:rPr>
        <w:t>هج فريق الإدارة الجديد للاتحاد فيما يتعلق بأساليب عمل الاتحاد للسماح بتحقيق أهداف الاتحاد وأولوياته بطريقة أكثر كفاءة وفعالية</w:t>
      </w:r>
      <w:r w:rsidR="009F7A20">
        <w:rPr>
          <w:rFonts w:hint="cs"/>
          <w:rtl/>
          <w:lang w:bidi="ar-SY"/>
        </w:rPr>
        <w:t>، لا سيما:</w:t>
      </w:r>
      <w:r>
        <w:rPr>
          <w:rFonts w:hint="cs"/>
          <w:rtl/>
          <w:lang w:bidi="ar-SY"/>
        </w:rPr>
        <w:t xml:space="preserve"> </w:t>
      </w:r>
    </w:p>
    <w:p w14:paraId="1B739D11" w14:textId="1FE34F46" w:rsidR="00250189" w:rsidRDefault="00250189" w:rsidP="00250189">
      <w:pPr>
        <w:pStyle w:val="enumlev1"/>
        <w:rPr>
          <w:rtl/>
        </w:rPr>
      </w:pPr>
      <w:r>
        <w:rPr>
          <w:rFonts w:hint="cs"/>
          <w:rtl/>
        </w:rPr>
        <w:t>-</w:t>
      </w:r>
      <w:r>
        <w:rPr>
          <w:rtl/>
        </w:rPr>
        <w:tab/>
      </w:r>
      <w:r w:rsidR="009F7A20">
        <w:rPr>
          <w:rFonts w:hint="cs"/>
          <w:rtl/>
        </w:rPr>
        <w:t>العامل التمكيني "</w:t>
      </w:r>
      <w:r w:rsidR="009F7A20">
        <w:rPr>
          <w:color w:val="000000"/>
          <w:rtl/>
        </w:rPr>
        <w:t>التميز في مجال الموارد البشرية والابتكار التنظيمي</w:t>
      </w:r>
      <w:r w:rsidR="009F7A20">
        <w:rPr>
          <w:rFonts w:hint="cs"/>
          <w:rtl/>
        </w:rPr>
        <w:t>"؛</w:t>
      </w:r>
    </w:p>
    <w:p w14:paraId="7CF1304C" w14:textId="540230D0" w:rsidR="00250189" w:rsidRDefault="00250189" w:rsidP="00250189">
      <w:pPr>
        <w:pStyle w:val="enumlev1"/>
        <w:rPr>
          <w:rtl/>
        </w:rPr>
      </w:pPr>
      <w:r>
        <w:rPr>
          <w:rFonts w:hint="cs"/>
          <w:rtl/>
        </w:rPr>
        <w:t>-</w:t>
      </w:r>
      <w:r>
        <w:rPr>
          <w:rtl/>
        </w:rPr>
        <w:tab/>
      </w:r>
      <w:r w:rsidR="009F7A20">
        <w:rPr>
          <w:rFonts w:hint="cs"/>
          <w:rtl/>
        </w:rPr>
        <w:t>العامل التمكيني "تعبئة الموارد"</w:t>
      </w:r>
      <w:r>
        <w:rPr>
          <w:rFonts w:hint="cs"/>
          <w:rtl/>
        </w:rPr>
        <w:t>؛</w:t>
      </w:r>
    </w:p>
    <w:p w14:paraId="71F37EF3" w14:textId="1074A733" w:rsidR="002D30E8" w:rsidRPr="002D30E8" w:rsidRDefault="00250189" w:rsidP="002D30E8">
      <w:pPr>
        <w:rPr>
          <w:rtl/>
          <w:lang w:bidi="ar-SY"/>
        </w:rPr>
      </w:pPr>
      <w:r>
        <w:rPr>
          <w:lang w:bidi="ar-SY"/>
        </w:rPr>
        <w:t>3.1</w:t>
      </w:r>
      <w:r>
        <w:rPr>
          <w:rtl/>
          <w:lang w:bidi="ar-SY"/>
        </w:rPr>
        <w:tab/>
      </w:r>
      <w:r w:rsidR="002D30E8" w:rsidRPr="002D30E8">
        <w:rPr>
          <w:rtl/>
          <w:lang w:bidi="ar-SY"/>
        </w:rPr>
        <w:t xml:space="preserve">ينبغي أن يهدف عمل فريق الإدارة بشأن العامل التمكيني "التميز في الموارد البشرية والابتكار التنظيمي" بموجب القرار 71 إلى تحسين العمليات الداخلية وتسريع عملية صنع القرار الداخلي من خلال معالجة أوجه القصور التشغيلية والازدواجية والبيروقراطية </w:t>
      </w:r>
      <w:r w:rsidR="002D30E8">
        <w:rPr>
          <w:rFonts w:hint="cs"/>
          <w:rtl/>
          <w:lang w:bidi="ar-SY"/>
        </w:rPr>
        <w:t>المدركة</w:t>
      </w:r>
      <w:r w:rsidR="002D30E8" w:rsidRPr="002D30E8">
        <w:rPr>
          <w:rtl/>
          <w:lang w:bidi="ar-SY"/>
        </w:rPr>
        <w:t xml:space="preserve">، </w:t>
      </w:r>
      <w:r w:rsidR="0046610A">
        <w:rPr>
          <w:rFonts w:hint="cs"/>
          <w:rtl/>
          <w:lang w:bidi="ar-SY"/>
        </w:rPr>
        <w:t>بما</w:t>
      </w:r>
      <w:r w:rsidR="002D30E8">
        <w:rPr>
          <w:rFonts w:hint="cs"/>
          <w:rtl/>
          <w:lang w:bidi="ar-SY"/>
        </w:rPr>
        <w:t xml:space="preserve"> يجسد</w:t>
      </w:r>
      <w:r w:rsidR="002D30E8" w:rsidRPr="002D30E8">
        <w:rPr>
          <w:rtl/>
          <w:lang w:bidi="ar-SY"/>
        </w:rPr>
        <w:t xml:space="preserve"> قيم الشفافية والمساءلة.</w:t>
      </w:r>
    </w:p>
    <w:p w14:paraId="47218F64" w14:textId="3D3C49BB" w:rsidR="00250189" w:rsidRPr="006632E9" w:rsidRDefault="007A0AB5" w:rsidP="007A0AB5">
      <w:pPr>
        <w:rPr>
          <w:spacing w:val="-2"/>
          <w:rtl/>
        </w:rPr>
      </w:pPr>
      <w:r w:rsidRPr="007A0AB5">
        <w:rPr>
          <w:rtl/>
          <w:lang w:bidi="ar-SY"/>
        </w:rPr>
        <w:t>والهدف الرئيسي هو تحديث القدرات البشرية للاتحاد وعملياته وإجراءاته وأدواته، وتحقيق التكامل والمواءمة مع النظام الموحد للأمم المتحدة وقيم الخدمة المدنية الدولية</w:t>
      </w:r>
      <w:r>
        <w:rPr>
          <w:rFonts w:hint="cs"/>
          <w:rtl/>
        </w:rPr>
        <w:t>.</w:t>
      </w:r>
      <w:r w:rsidR="00250189" w:rsidRPr="006632E9">
        <w:rPr>
          <w:rFonts w:hint="cs"/>
          <w:spacing w:val="-2"/>
          <w:rtl/>
        </w:rPr>
        <w:t xml:space="preserve"> </w:t>
      </w:r>
      <w:r w:rsidR="00250189" w:rsidRPr="006632E9">
        <w:rPr>
          <w:spacing w:val="-2"/>
          <w:rtl/>
        </w:rPr>
        <w:t>ولهذه الغاية، ستنفذ المنظمة خطة تحول</w:t>
      </w:r>
      <w:r w:rsidR="00250189" w:rsidRPr="006632E9">
        <w:rPr>
          <w:rFonts w:hint="cs"/>
          <w:spacing w:val="-2"/>
          <w:rtl/>
        </w:rPr>
        <w:t xml:space="preserve"> في الثقافة والمهارات</w:t>
      </w:r>
      <w:r w:rsidR="00250189" w:rsidRPr="006632E9">
        <w:rPr>
          <w:spacing w:val="-2"/>
          <w:rtl/>
        </w:rPr>
        <w:t xml:space="preserve"> </w:t>
      </w:r>
      <w:r w:rsidR="00250189" w:rsidRPr="006632E9">
        <w:rPr>
          <w:rFonts w:hint="cs"/>
          <w:spacing w:val="-2"/>
          <w:rtl/>
        </w:rPr>
        <w:t>من شأنها تعزيز الانفتاح والمرونة والكفاءة في المنظمة</w:t>
      </w:r>
      <w:r w:rsidR="00250189">
        <w:rPr>
          <w:rFonts w:hint="cs"/>
          <w:spacing w:val="-2"/>
          <w:rtl/>
        </w:rPr>
        <w:t>.</w:t>
      </w:r>
    </w:p>
    <w:p w14:paraId="37360E35" w14:textId="00DA6824" w:rsidR="00250189" w:rsidRDefault="007A0AB5" w:rsidP="00E61BE8">
      <w:pPr>
        <w:rPr>
          <w:rtl/>
        </w:rPr>
      </w:pPr>
      <w:r>
        <w:rPr>
          <w:rFonts w:hint="cs"/>
          <w:rtl/>
        </w:rPr>
        <w:t xml:space="preserve">وينبغي </w:t>
      </w:r>
      <w:r w:rsidRPr="007A0AB5">
        <w:rPr>
          <w:rtl/>
        </w:rPr>
        <w:t xml:space="preserve">أن تستند </w:t>
      </w:r>
      <w:r w:rsidRPr="007A0AB5">
        <w:rPr>
          <w:b/>
          <w:bCs/>
          <w:rtl/>
        </w:rPr>
        <w:t>خطة تحويل الثقافة والمهارات</w:t>
      </w:r>
      <w:r w:rsidRPr="007A0AB5">
        <w:rPr>
          <w:rtl/>
        </w:rPr>
        <w:t xml:space="preserve"> إلى أربعة مسارات رئيسية</w:t>
      </w:r>
      <w:r w:rsidR="0046610A">
        <w:rPr>
          <w:rFonts w:hint="cs"/>
          <w:rtl/>
        </w:rPr>
        <w:t xml:space="preserve"> هي</w:t>
      </w:r>
      <w:r>
        <w:rPr>
          <w:rFonts w:hint="cs"/>
          <w:rtl/>
        </w:rPr>
        <w:t>:</w:t>
      </w:r>
    </w:p>
    <w:p w14:paraId="1AC2A347" w14:textId="541CD761" w:rsidR="00250189" w:rsidRDefault="00250189" w:rsidP="00250189">
      <w:pPr>
        <w:pStyle w:val="enumlev1"/>
        <w:rPr>
          <w:rtl/>
        </w:rPr>
      </w:pPr>
      <w:r>
        <w:rPr>
          <w:rFonts w:hint="cs"/>
          <w:rtl/>
        </w:rPr>
        <w:t>-</w:t>
      </w:r>
      <w:r>
        <w:rPr>
          <w:rtl/>
        </w:rPr>
        <w:tab/>
      </w:r>
      <w:r w:rsidR="0095001F">
        <w:rPr>
          <w:rFonts w:hint="cs"/>
          <w:rtl/>
        </w:rPr>
        <w:t>التخطيط الاستراتيجي؛</w:t>
      </w:r>
    </w:p>
    <w:p w14:paraId="37FE9F94" w14:textId="2C0C75F9" w:rsidR="00250189" w:rsidRDefault="00250189" w:rsidP="00250189">
      <w:pPr>
        <w:pStyle w:val="enumlev1"/>
        <w:rPr>
          <w:rtl/>
        </w:rPr>
      </w:pPr>
      <w:r>
        <w:rPr>
          <w:rFonts w:hint="cs"/>
          <w:rtl/>
        </w:rPr>
        <w:t>-</w:t>
      </w:r>
      <w:r>
        <w:rPr>
          <w:rtl/>
        </w:rPr>
        <w:tab/>
      </w:r>
      <w:r w:rsidR="0095001F">
        <w:rPr>
          <w:rFonts w:hint="cs"/>
          <w:rtl/>
        </w:rPr>
        <w:t>التحول الرقمي؛</w:t>
      </w:r>
    </w:p>
    <w:p w14:paraId="3E3CC0DD" w14:textId="6B1666B8" w:rsidR="00250189" w:rsidRDefault="00250189" w:rsidP="00250189">
      <w:pPr>
        <w:pStyle w:val="enumlev1"/>
        <w:rPr>
          <w:rtl/>
        </w:rPr>
      </w:pPr>
      <w:r>
        <w:rPr>
          <w:rFonts w:hint="cs"/>
          <w:rtl/>
        </w:rPr>
        <w:t>-</w:t>
      </w:r>
      <w:r>
        <w:rPr>
          <w:rtl/>
        </w:rPr>
        <w:tab/>
      </w:r>
      <w:r w:rsidR="0095001F">
        <w:rPr>
          <w:rFonts w:hint="cs"/>
          <w:rtl/>
        </w:rPr>
        <w:t>الابتكار؛</w:t>
      </w:r>
    </w:p>
    <w:p w14:paraId="0E6F874A" w14:textId="60B6790E" w:rsidR="00250189" w:rsidRDefault="00250189" w:rsidP="00250189">
      <w:pPr>
        <w:pStyle w:val="enumlev1"/>
        <w:rPr>
          <w:rtl/>
        </w:rPr>
      </w:pPr>
      <w:r>
        <w:rPr>
          <w:rFonts w:hint="cs"/>
          <w:rtl/>
        </w:rPr>
        <w:t>-</w:t>
      </w:r>
      <w:r>
        <w:rPr>
          <w:rtl/>
        </w:rPr>
        <w:tab/>
      </w:r>
      <w:r w:rsidR="0095001F">
        <w:rPr>
          <w:rFonts w:hint="cs"/>
          <w:rtl/>
        </w:rPr>
        <w:t>إدارة الموارد البشرية.</w:t>
      </w:r>
    </w:p>
    <w:p w14:paraId="3FEAB17A" w14:textId="14C8A20D" w:rsidR="00F50E3F" w:rsidRDefault="00250189" w:rsidP="00250189">
      <w:pPr>
        <w:rPr>
          <w:rtl/>
          <w:lang w:bidi="ar-SY"/>
        </w:rPr>
      </w:pPr>
      <w:r>
        <w:rPr>
          <w:lang w:bidi="ar-EG"/>
        </w:rPr>
        <w:t>4.1</w:t>
      </w:r>
      <w:r>
        <w:rPr>
          <w:rtl/>
          <w:lang w:bidi="ar-SY"/>
        </w:rPr>
        <w:tab/>
      </w:r>
      <w:r w:rsidR="0046610A">
        <w:rPr>
          <w:rFonts w:hint="cs"/>
          <w:rtl/>
          <w:lang w:bidi="ar-SY"/>
        </w:rPr>
        <w:t>و</w:t>
      </w:r>
      <w:r w:rsidR="00697FD1" w:rsidRPr="00697FD1">
        <w:rPr>
          <w:rtl/>
          <w:lang w:bidi="ar-SY"/>
        </w:rPr>
        <w:t xml:space="preserve">ينبغي أن يهدف عمل فريق الإدارة بشأن </w:t>
      </w:r>
      <w:r w:rsidR="00697FD1">
        <w:rPr>
          <w:rFonts w:hint="cs"/>
          <w:rtl/>
          <w:lang w:bidi="ar-SY"/>
        </w:rPr>
        <w:t xml:space="preserve">العامل التمكيني </w:t>
      </w:r>
      <w:r w:rsidR="00697FD1" w:rsidRPr="00697FD1">
        <w:rPr>
          <w:rtl/>
          <w:lang w:bidi="ar-SY"/>
        </w:rPr>
        <w:t xml:space="preserve">"تعبئة الموارد" بموجب القرار 71 إلى تسريع جهود تعبئة الموارد وزيادة التمويل، وتحديد أكثر الطرق فعالية للاتحاد </w:t>
      </w:r>
      <w:r w:rsidR="00697FD1">
        <w:rPr>
          <w:rFonts w:hint="cs"/>
          <w:rtl/>
          <w:lang w:bidi="ar-SY"/>
        </w:rPr>
        <w:t xml:space="preserve">من أجل </w:t>
      </w:r>
      <w:r w:rsidR="00697FD1" w:rsidRPr="00697FD1">
        <w:rPr>
          <w:rtl/>
          <w:lang w:bidi="ar-SY"/>
        </w:rPr>
        <w:t xml:space="preserve">تعبئة الموارد </w:t>
      </w:r>
      <w:r w:rsidR="00697FD1">
        <w:rPr>
          <w:rFonts w:hint="cs"/>
          <w:rtl/>
          <w:lang w:bidi="ar-SY"/>
        </w:rPr>
        <w:t xml:space="preserve">من خارج </w:t>
      </w:r>
      <w:r w:rsidR="00697FD1" w:rsidRPr="00697FD1">
        <w:rPr>
          <w:rtl/>
          <w:lang w:bidi="ar-SY"/>
        </w:rPr>
        <w:t xml:space="preserve">الميزانية، وبناء قدراته على تعبئة الموارد وتعزيز استراتيجيته الحالية لجمع الأموال مع الاستفادة من </w:t>
      </w:r>
      <w:r w:rsidR="00697FD1">
        <w:rPr>
          <w:rFonts w:hint="cs"/>
          <w:rtl/>
          <w:lang w:bidi="ar-SY"/>
        </w:rPr>
        <w:t>مساهمات</w:t>
      </w:r>
      <w:r w:rsidR="00697FD1" w:rsidRPr="00697FD1">
        <w:rPr>
          <w:rtl/>
          <w:lang w:bidi="ar-SY"/>
        </w:rPr>
        <w:t xml:space="preserve"> الشركاء لاستكمال هذه الجهود</w:t>
      </w:r>
      <w:r w:rsidR="00697FD1">
        <w:rPr>
          <w:rFonts w:hint="cs"/>
          <w:rtl/>
          <w:lang w:bidi="ar-SY"/>
        </w:rPr>
        <w:t>.</w:t>
      </w:r>
    </w:p>
    <w:p w14:paraId="65A99FE9" w14:textId="481202E5" w:rsidR="00250189" w:rsidRDefault="00855E59" w:rsidP="00250189">
      <w:pPr>
        <w:rPr>
          <w:rtl/>
          <w:lang w:bidi="ar-SY"/>
        </w:rPr>
      </w:pPr>
      <w:r>
        <w:rPr>
          <w:rFonts w:hint="cs"/>
          <w:rtl/>
          <w:lang w:bidi="ar-SY"/>
        </w:rPr>
        <w:t xml:space="preserve">ويتعين </w:t>
      </w:r>
      <w:r w:rsidR="00250189" w:rsidRPr="00250189">
        <w:rPr>
          <w:rtl/>
          <w:lang w:bidi="ar-SY"/>
        </w:rPr>
        <w:t xml:space="preserve">وضع </w:t>
      </w:r>
      <w:r w:rsidR="00250189" w:rsidRPr="00867874">
        <w:rPr>
          <w:b/>
          <w:bCs/>
          <w:rtl/>
          <w:lang w:bidi="ar-SY"/>
        </w:rPr>
        <w:t>أطر</w:t>
      </w:r>
      <w:r w:rsidRPr="00867874">
        <w:rPr>
          <w:rFonts w:hint="cs"/>
          <w:b/>
          <w:bCs/>
          <w:rtl/>
          <w:lang w:bidi="ar-SY"/>
        </w:rPr>
        <w:t xml:space="preserve"> طويلة الأجل</w:t>
      </w:r>
      <w:r w:rsidR="00250189" w:rsidRPr="00867874">
        <w:rPr>
          <w:b/>
          <w:bCs/>
          <w:rtl/>
          <w:lang w:bidi="ar-SY"/>
        </w:rPr>
        <w:t xml:space="preserve"> </w:t>
      </w:r>
      <w:r w:rsidRPr="00867874">
        <w:rPr>
          <w:rFonts w:hint="cs"/>
          <w:b/>
          <w:bCs/>
          <w:rtl/>
          <w:lang w:bidi="ar-SY"/>
        </w:rPr>
        <w:t>ل</w:t>
      </w:r>
      <w:r w:rsidR="00250189" w:rsidRPr="00867874">
        <w:rPr>
          <w:b/>
          <w:bCs/>
          <w:rtl/>
          <w:lang w:bidi="ar-SY"/>
        </w:rPr>
        <w:t>لالتزام المالي</w:t>
      </w:r>
      <w:r w:rsidR="00250189" w:rsidRPr="00250189">
        <w:rPr>
          <w:rtl/>
          <w:lang w:bidi="ar-SY"/>
        </w:rPr>
        <w:t xml:space="preserve"> </w:t>
      </w:r>
      <w:r>
        <w:rPr>
          <w:rFonts w:hint="cs"/>
          <w:rtl/>
          <w:lang w:bidi="ar-SY"/>
        </w:rPr>
        <w:t xml:space="preserve">من أجل </w:t>
      </w:r>
      <w:r w:rsidR="00250189" w:rsidRPr="00250189">
        <w:rPr>
          <w:rtl/>
          <w:lang w:bidi="ar-SY"/>
        </w:rPr>
        <w:t>تخطيط المشاريع، والبرامج، وتنفيذها على نحو فعّال، وتعزيز إمكانية التنبؤ بتدفقات الموارد</w:t>
      </w:r>
      <w:r>
        <w:rPr>
          <w:rFonts w:hint="cs"/>
          <w:rtl/>
          <w:lang w:bidi="ar-SY"/>
        </w:rPr>
        <w:t>.</w:t>
      </w:r>
    </w:p>
    <w:p w14:paraId="5EBB49AB" w14:textId="56632A4C" w:rsidR="00250189" w:rsidRDefault="00250189" w:rsidP="00250189">
      <w:pPr>
        <w:pStyle w:val="Heading1"/>
        <w:rPr>
          <w:rtl/>
          <w:lang w:bidi="ar-SY"/>
        </w:rPr>
      </w:pPr>
      <w:r>
        <w:rPr>
          <w:lang w:bidi="ar-SY"/>
        </w:rPr>
        <w:t>2</w:t>
      </w:r>
      <w:r>
        <w:rPr>
          <w:rtl/>
          <w:lang w:bidi="ar-SY"/>
        </w:rPr>
        <w:tab/>
      </w:r>
      <w:r w:rsidR="00867874">
        <w:rPr>
          <w:rFonts w:hint="cs"/>
          <w:rtl/>
          <w:lang w:bidi="ar-SY"/>
        </w:rPr>
        <w:t>التعليقات</w:t>
      </w:r>
    </w:p>
    <w:p w14:paraId="68654A0E" w14:textId="2837A052" w:rsidR="00867874" w:rsidRPr="00867874" w:rsidRDefault="00867874" w:rsidP="00867874">
      <w:pPr>
        <w:rPr>
          <w:rtl/>
          <w:lang w:bidi="ar-SY"/>
        </w:rPr>
      </w:pPr>
      <w:r w:rsidRPr="00867874">
        <w:rPr>
          <w:rtl/>
          <w:lang w:bidi="ar-SY"/>
        </w:rPr>
        <w:t>إن نهج فريق الإدارة المبين في تقريري الأمين</w:t>
      </w:r>
      <w:r w:rsidR="00AE2360">
        <w:rPr>
          <w:rFonts w:hint="cs"/>
          <w:rtl/>
          <w:lang w:bidi="ar-SY"/>
        </w:rPr>
        <w:t>ة</w:t>
      </w:r>
      <w:r w:rsidRPr="00867874">
        <w:rPr>
          <w:rtl/>
          <w:lang w:bidi="ar-SY"/>
        </w:rPr>
        <w:t xml:space="preserve"> العام</w:t>
      </w:r>
      <w:r w:rsidR="00AE2360">
        <w:rPr>
          <w:rFonts w:hint="cs"/>
          <w:rtl/>
          <w:lang w:bidi="ar-SY"/>
        </w:rPr>
        <w:t>ة</w:t>
      </w:r>
      <w:r w:rsidRPr="00867874">
        <w:rPr>
          <w:rtl/>
          <w:lang w:bidi="ar-SY"/>
        </w:rPr>
        <w:t xml:space="preserve"> الواردين في الوثيقتين </w:t>
      </w:r>
      <w:hyperlink r:id="rId22" w:history="1">
        <w:r w:rsidRPr="00327AB9">
          <w:rPr>
            <w:rStyle w:val="Hyperlink"/>
            <w:lang w:bidi="ar-SY"/>
          </w:rPr>
          <w:t>C23/52</w:t>
        </w:r>
      </w:hyperlink>
      <w:r w:rsidRPr="00867874">
        <w:rPr>
          <w:rtl/>
          <w:lang w:bidi="ar-SY"/>
        </w:rPr>
        <w:t xml:space="preserve"> (خارطة طريق </w:t>
      </w:r>
      <w:r w:rsidR="00AE2360">
        <w:rPr>
          <w:rFonts w:hint="cs"/>
          <w:rtl/>
          <w:lang w:bidi="ar-SY"/>
        </w:rPr>
        <w:t>للتحول من أجل</w:t>
      </w:r>
      <w:r w:rsidRPr="00867874">
        <w:rPr>
          <w:rtl/>
          <w:lang w:bidi="ar-SY"/>
        </w:rPr>
        <w:t xml:space="preserve"> تحقيق التميز </w:t>
      </w:r>
      <w:r w:rsidR="00AE2360">
        <w:rPr>
          <w:rFonts w:hint="cs"/>
          <w:rtl/>
          <w:lang w:bidi="ar-SY"/>
        </w:rPr>
        <w:t>المؤسسي</w:t>
      </w:r>
      <w:r w:rsidRPr="00867874">
        <w:rPr>
          <w:rtl/>
          <w:lang w:bidi="ar-SY"/>
        </w:rPr>
        <w:t>) و</w:t>
      </w:r>
      <w:hyperlink r:id="rId23" w:history="1">
        <w:r w:rsidRPr="00327AB9">
          <w:rPr>
            <w:rStyle w:val="Hyperlink"/>
            <w:lang w:bidi="ar-SY"/>
          </w:rPr>
          <w:t>C23/36</w:t>
        </w:r>
      </w:hyperlink>
      <w:r w:rsidRPr="00867874">
        <w:rPr>
          <w:rtl/>
          <w:lang w:bidi="ar-SY"/>
        </w:rPr>
        <w:t xml:space="preserve"> (تسريع تنفيذ الخطة الاستراتيجية للاتحاد للفترة </w:t>
      </w:r>
      <w:r>
        <w:rPr>
          <w:rFonts w:hint="cs"/>
          <w:rtl/>
          <w:lang w:bidi="ar-SY"/>
        </w:rPr>
        <w:t>2024-2027</w:t>
      </w:r>
      <w:r w:rsidRPr="00867874">
        <w:rPr>
          <w:rtl/>
          <w:lang w:bidi="ar-SY"/>
        </w:rPr>
        <w:t>) لا يتوافق تماما</w:t>
      </w:r>
      <w:r>
        <w:rPr>
          <w:rFonts w:hint="cs"/>
          <w:rtl/>
          <w:lang w:bidi="ar-SY"/>
        </w:rPr>
        <w:t>ً</w:t>
      </w:r>
      <w:r w:rsidRPr="00867874">
        <w:rPr>
          <w:rtl/>
          <w:lang w:bidi="ar-SY"/>
        </w:rPr>
        <w:t xml:space="preserve"> مع أحكام القرار</w:t>
      </w:r>
      <w:r w:rsidR="00327AB9">
        <w:rPr>
          <w:rFonts w:hint="cs"/>
          <w:rtl/>
          <w:lang w:bidi="ar-SY"/>
        </w:rPr>
        <w:t> </w:t>
      </w:r>
      <w:r w:rsidRPr="00867874">
        <w:rPr>
          <w:rtl/>
          <w:lang w:bidi="ar-SY"/>
        </w:rPr>
        <w:t>71 والمقرر 5، وذلك للأسباب التالية:</w:t>
      </w:r>
    </w:p>
    <w:p w14:paraId="4D74251A" w14:textId="5E6496D9" w:rsidR="00AE2360" w:rsidRPr="00AE2360" w:rsidRDefault="00250189" w:rsidP="00AE2360">
      <w:pPr>
        <w:rPr>
          <w:rtl/>
          <w:lang w:bidi="ar-SY"/>
        </w:rPr>
      </w:pPr>
      <w:r>
        <w:rPr>
          <w:lang w:bidi="ar-SY"/>
        </w:rPr>
        <w:t>1.2</w:t>
      </w:r>
      <w:r>
        <w:rPr>
          <w:rtl/>
          <w:lang w:bidi="ar-SY"/>
        </w:rPr>
        <w:tab/>
      </w:r>
      <w:r w:rsidR="00AE2360" w:rsidRPr="00AE2360">
        <w:rPr>
          <w:rtl/>
          <w:lang w:bidi="ar-SY"/>
        </w:rPr>
        <w:t xml:space="preserve">يشير التقرير الوارد في الوثيقة </w:t>
      </w:r>
      <w:hyperlink r:id="rId24" w:history="1">
        <w:r w:rsidR="00AE2360" w:rsidRPr="00327AB9">
          <w:rPr>
            <w:rStyle w:val="Hyperlink"/>
            <w:lang w:bidi="ar-SY"/>
          </w:rPr>
          <w:t>C23/52</w:t>
        </w:r>
      </w:hyperlink>
      <w:r w:rsidR="00AE2360" w:rsidRPr="00AE2360">
        <w:rPr>
          <w:rtl/>
          <w:lang w:bidi="ar-SY"/>
        </w:rPr>
        <w:t xml:space="preserve"> إلى الخطة الاستراتيجية للاتحاد للفترة </w:t>
      </w:r>
      <w:r w:rsidR="00AE2360">
        <w:rPr>
          <w:rFonts w:hint="cs"/>
          <w:rtl/>
          <w:lang w:bidi="ar-SY"/>
        </w:rPr>
        <w:t>2024-2027</w:t>
      </w:r>
      <w:r w:rsidR="00AE2360" w:rsidRPr="00AE2360">
        <w:rPr>
          <w:rtl/>
          <w:lang w:bidi="ar-SY"/>
        </w:rPr>
        <w:t xml:space="preserve"> (القرار 71) والمقرر 5 لمؤتمر المندوبين المفوضين ويستخدم عبارة "التميز </w:t>
      </w:r>
      <w:r w:rsidR="00AE2360">
        <w:rPr>
          <w:rFonts w:hint="cs"/>
          <w:rtl/>
          <w:lang w:bidi="ar-SY"/>
        </w:rPr>
        <w:t>المؤسسي</w:t>
      </w:r>
      <w:r w:rsidR="00AE2360" w:rsidRPr="00AE2360">
        <w:rPr>
          <w:rtl/>
          <w:lang w:bidi="ar-SY"/>
        </w:rPr>
        <w:t>" بالاقتران مع "التحول".</w:t>
      </w:r>
      <w:r w:rsidR="004966DD">
        <w:rPr>
          <w:rFonts w:hint="cs"/>
          <w:rtl/>
          <w:lang w:bidi="ar-SY"/>
        </w:rPr>
        <w:t xml:space="preserve"> وهذه </w:t>
      </w:r>
      <w:r w:rsidR="004966DD" w:rsidRPr="004966DD">
        <w:rPr>
          <w:rFonts w:hint="cs"/>
          <w:b/>
          <w:bCs/>
          <w:rtl/>
          <w:lang w:bidi="ar-SY"/>
        </w:rPr>
        <w:t>إضافة جديدة تماماً</w:t>
      </w:r>
      <w:r w:rsidR="004966DD">
        <w:rPr>
          <w:rFonts w:hint="cs"/>
          <w:rtl/>
          <w:lang w:bidi="ar-SY"/>
        </w:rPr>
        <w:t xml:space="preserve"> لا يمكن العثور عليها لا في القرار 71 ولا في المقرر 5: </w:t>
      </w:r>
    </w:p>
    <w:p w14:paraId="7391D73D" w14:textId="1692B114" w:rsidR="004966DD" w:rsidRDefault="004966DD" w:rsidP="004966DD">
      <w:pPr>
        <w:rPr>
          <w:rtl/>
          <w:lang w:bidi="ar-SY"/>
        </w:rPr>
      </w:pPr>
      <w:r>
        <w:rPr>
          <w:rtl/>
          <w:lang w:bidi="ar-SY"/>
        </w:rPr>
        <w:t>وفيما يتعلق بجوانب "التميز" و"التحول" و"</w:t>
      </w:r>
      <w:r>
        <w:rPr>
          <w:rFonts w:hint="cs"/>
          <w:rtl/>
          <w:lang w:bidi="ar-SY"/>
        </w:rPr>
        <w:t>المؤسسي</w:t>
      </w:r>
      <w:r>
        <w:rPr>
          <w:rtl/>
          <w:lang w:bidi="ar-SY"/>
        </w:rPr>
        <w:t xml:space="preserve">"، لا يوجد في القرار 71 والمقرر 5 </w:t>
      </w:r>
      <w:r w:rsidRPr="004966DD">
        <w:rPr>
          <w:b/>
          <w:bCs/>
          <w:rtl/>
          <w:lang w:bidi="ar-SY"/>
        </w:rPr>
        <w:t>سوى مفاهيم "الفعالية التنظيمية" و"تعزيز الفعالية التنظيمية" و"التحول الرقمي"</w:t>
      </w:r>
      <w:r>
        <w:rPr>
          <w:rtl/>
          <w:lang w:bidi="ar-SY"/>
        </w:rPr>
        <w:t xml:space="preserve">: </w:t>
      </w:r>
    </w:p>
    <w:p w14:paraId="480DE727" w14:textId="48AFF256" w:rsidR="004966DD" w:rsidRPr="004966DD" w:rsidRDefault="004966DD" w:rsidP="00327AB9">
      <w:pPr>
        <w:pStyle w:val="enumlev1"/>
        <w:rPr>
          <w:rtl/>
        </w:rPr>
      </w:pPr>
      <w:r>
        <w:rPr>
          <w:rFonts w:hint="cs"/>
          <w:rtl/>
        </w:rPr>
        <w:t>-</w:t>
      </w:r>
      <w:r>
        <w:rPr>
          <w:rtl/>
        </w:rPr>
        <w:tab/>
      </w:r>
      <w:r w:rsidRPr="004966DD">
        <w:rPr>
          <w:rtl/>
        </w:rPr>
        <w:t>يشير مفهوم "الفعالية التنظيمية" إلى استعراض الحضور الإقليمي للاتحاد ومشروع الثقافة والمهارات والمشاورات غير الرسمية مع الأعضاء خلال عملية التخطيط الاستراتيجي</w:t>
      </w:r>
      <w:r>
        <w:rPr>
          <w:rFonts w:hint="cs"/>
          <w:rtl/>
        </w:rPr>
        <w:t>.</w:t>
      </w:r>
    </w:p>
    <w:p w14:paraId="71834B26" w14:textId="404144BD" w:rsidR="004966DD" w:rsidRPr="004966DD" w:rsidRDefault="004966DD" w:rsidP="00327AB9">
      <w:pPr>
        <w:pStyle w:val="enumlev1"/>
        <w:rPr>
          <w:rtl/>
          <w:lang w:val="en"/>
        </w:rPr>
      </w:pPr>
      <w:r>
        <w:rPr>
          <w:rFonts w:hint="cs"/>
          <w:rtl/>
          <w:lang w:val="en"/>
        </w:rPr>
        <w:t>-</w:t>
      </w:r>
      <w:r>
        <w:rPr>
          <w:rtl/>
          <w:lang w:val="en"/>
        </w:rPr>
        <w:tab/>
      </w:r>
      <w:r w:rsidRPr="004966DD">
        <w:rPr>
          <w:rtl/>
          <w:lang w:val="en"/>
        </w:rPr>
        <w:t xml:space="preserve">يشير مفهوم "التحول الرقمي" إلى عمل الاتحاد الرامي إلى تعزيز الاستعمال المنصف والشامل للاتصالات/تكنولوجيا المعلومات والاتصالات لتمكين الناس والمجتمعات </w:t>
      </w:r>
      <w:r w:rsidR="0046610A">
        <w:rPr>
          <w:rFonts w:hint="cs"/>
          <w:rtl/>
          <w:lang w:val="en"/>
        </w:rPr>
        <w:t>من أجل تحقيق</w:t>
      </w:r>
      <w:r w:rsidRPr="004966DD">
        <w:rPr>
          <w:rtl/>
          <w:lang w:val="en"/>
        </w:rPr>
        <w:t xml:space="preserve"> التنمية المستدامة، وإلى تنفيذ مبادرة الاتحاد </w:t>
      </w:r>
      <w:r>
        <w:rPr>
          <w:rFonts w:hint="cs"/>
          <w:rtl/>
          <w:lang w:val="en"/>
        </w:rPr>
        <w:lastRenderedPageBreak/>
        <w:t>بشأن ا</w:t>
      </w:r>
      <w:r w:rsidRPr="004966DD">
        <w:rPr>
          <w:rtl/>
          <w:lang w:val="en"/>
        </w:rPr>
        <w:t>لتحول الرقمي (</w:t>
      </w:r>
      <w:r w:rsidRPr="004966DD">
        <w:rPr>
          <w:lang w:val="en"/>
        </w:rPr>
        <w:t>DT-I</w:t>
      </w:r>
      <w:r w:rsidRPr="004966DD">
        <w:rPr>
          <w:rtl/>
          <w:lang w:val="en"/>
        </w:rPr>
        <w:t>) (القرار 48 (المراج</w:t>
      </w:r>
      <w:r w:rsidR="00327AB9">
        <w:rPr>
          <w:rFonts w:hint="cs"/>
          <w:rtl/>
          <w:lang w:val="en"/>
        </w:rPr>
        <w:t>َ</w:t>
      </w:r>
      <w:r w:rsidRPr="004966DD">
        <w:rPr>
          <w:rtl/>
          <w:lang w:val="en"/>
        </w:rPr>
        <w:t xml:space="preserve">ع في بوخارست، 2022) والقرار 217 (بوخارست، 2022) لمؤتمر المندوبين المفوضين، </w:t>
      </w:r>
      <w:r w:rsidR="004D07C5">
        <w:rPr>
          <w:rFonts w:hint="cs"/>
          <w:rtl/>
          <w:lang w:val="en"/>
        </w:rPr>
        <w:t>و</w:t>
      </w:r>
      <w:r w:rsidRPr="004966DD">
        <w:rPr>
          <w:rtl/>
          <w:lang w:val="en"/>
        </w:rPr>
        <w:t xml:space="preserve">وثيقة المجلس </w:t>
      </w:r>
      <w:hyperlink r:id="rId25" w:history="1">
        <w:r w:rsidRPr="00327AB9">
          <w:rPr>
            <w:rStyle w:val="Hyperlink"/>
            <w:lang w:val="en"/>
          </w:rPr>
          <w:t>C21/70</w:t>
        </w:r>
      </w:hyperlink>
      <w:r w:rsidRPr="004966DD">
        <w:rPr>
          <w:rtl/>
          <w:lang w:val="en"/>
        </w:rPr>
        <w:t xml:space="preserve">)، الرامية إلى تحسين النواتج الرئيسية للاتحاد وكفاءة عمليات الأعمال الداخلية، وضمان أن يصبح الاتحاد </w:t>
      </w:r>
      <w:r w:rsidR="00D4788D">
        <w:rPr>
          <w:color w:val="000000"/>
          <w:rtl/>
        </w:rPr>
        <w:t>من أصحاب العمل المفضلين</w:t>
      </w:r>
      <w:r w:rsidR="004D07C5">
        <w:rPr>
          <w:rFonts w:hint="cs"/>
          <w:rtl/>
          <w:lang w:val="en"/>
        </w:rPr>
        <w:t>.</w:t>
      </w:r>
    </w:p>
    <w:p w14:paraId="538958A3" w14:textId="1D529F5E" w:rsidR="004D07C5" w:rsidRPr="004D07C5" w:rsidRDefault="00837B67" w:rsidP="00327AB9">
      <w:pPr>
        <w:rPr>
          <w:rtl/>
          <w:lang w:val="en" w:bidi="ar-SY"/>
        </w:rPr>
      </w:pPr>
      <w:r>
        <w:t>2.2</w:t>
      </w:r>
      <w:r>
        <w:rPr>
          <w:rtl/>
          <w:lang w:val="en" w:bidi="ar-SY"/>
        </w:rPr>
        <w:tab/>
      </w:r>
      <w:r w:rsidR="004D07C5" w:rsidRPr="004D07C5">
        <w:rPr>
          <w:rtl/>
          <w:lang w:val="en" w:bidi="ar-SY"/>
        </w:rPr>
        <w:t>وعلاوة</w:t>
      </w:r>
      <w:r w:rsidR="00327AB9">
        <w:rPr>
          <w:rFonts w:hint="cs"/>
          <w:rtl/>
          <w:lang w:val="en" w:bidi="ar-SY"/>
        </w:rPr>
        <w:t>ً</w:t>
      </w:r>
      <w:r w:rsidR="004D07C5" w:rsidRPr="004D07C5">
        <w:rPr>
          <w:rtl/>
          <w:lang w:val="en" w:bidi="ar-SY"/>
        </w:rPr>
        <w:t xml:space="preserve"> على ذلك، </w:t>
      </w:r>
      <w:r w:rsidR="004D07C5">
        <w:rPr>
          <w:rFonts w:hint="cs"/>
          <w:rtl/>
          <w:lang w:val="en" w:bidi="ar-SY"/>
        </w:rPr>
        <w:t xml:space="preserve">فإن </w:t>
      </w:r>
      <w:r w:rsidR="00DB522B">
        <w:rPr>
          <w:rFonts w:hint="cs"/>
          <w:rtl/>
          <w:lang w:val="en" w:bidi="ar-SY"/>
        </w:rPr>
        <w:t>الفحص</w:t>
      </w:r>
      <w:r w:rsidR="004D07C5">
        <w:rPr>
          <w:rFonts w:hint="cs"/>
          <w:rtl/>
          <w:lang w:val="en" w:bidi="ar-SY"/>
        </w:rPr>
        <w:t xml:space="preserve"> الدقيق</w:t>
      </w:r>
      <w:r w:rsidR="004D07C5" w:rsidRPr="004D07C5">
        <w:rPr>
          <w:rtl/>
          <w:lang w:val="en" w:bidi="ar-SY"/>
        </w:rPr>
        <w:t xml:space="preserve"> لتقريري الأمين</w:t>
      </w:r>
      <w:r w:rsidR="004D07C5">
        <w:rPr>
          <w:rFonts w:hint="cs"/>
          <w:rtl/>
          <w:lang w:val="en" w:bidi="ar-SY"/>
        </w:rPr>
        <w:t>ة</w:t>
      </w:r>
      <w:r w:rsidR="004D07C5" w:rsidRPr="004D07C5">
        <w:rPr>
          <w:rtl/>
          <w:lang w:val="en" w:bidi="ar-SY"/>
        </w:rPr>
        <w:t xml:space="preserve"> العام</w:t>
      </w:r>
      <w:r w:rsidR="004D07C5">
        <w:rPr>
          <w:rFonts w:hint="cs"/>
          <w:rtl/>
          <w:lang w:val="en" w:bidi="ar-SY"/>
        </w:rPr>
        <w:t>ة</w:t>
      </w:r>
      <w:r w:rsidR="004D07C5" w:rsidRPr="004D07C5">
        <w:rPr>
          <w:rtl/>
          <w:lang w:val="en" w:bidi="ar-SY"/>
        </w:rPr>
        <w:t xml:space="preserve"> الواردين في وثيقتي المجلس </w:t>
      </w:r>
      <w:hyperlink r:id="rId26" w:history="1">
        <w:r w:rsidR="00327AB9" w:rsidRPr="00327AB9">
          <w:rPr>
            <w:rStyle w:val="Hyperlink"/>
            <w:lang w:val="en-GB" w:bidi="ar-SY"/>
          </w:rPr>
          <w:t>C23/52</w:t>
        </w:r>
      </w:hyperlink>
      <w:r w:rsidR="004D07C5" w:rsidRPr="004D07C5">
        <w:rPr>
          <w:rtl/>
          <w:lang w:val="en" w:bidi="ar-SY"/>
        </w:rPr>
        <w:t xml:space="preserve"> و</w:t>
      </w:r>
      <w:hyperlink r:id="rId27" w:history="1">
        <w:r w:rsidR="00327AB9" w:rsidRPr="00327AB9">
          <w:rPr>
            <w:rStyle w:val="Hyperlink"/>
            <w:lang w:val="en-GB" w:bidi="ar-SY"/>
          </w:rPr>
          <w:t>C23/36</w:t>
        </w:r>
      </w:hyperlink>
      <w:r w:rsidR="004D07C5" w:rsidRPr="004D07C5">
        <w:rPr>
          <w:rtl/>
          <w:lang w:val="en" w:bidi="ar-SY"/>
        </w:rPr>
        <w:t xml:space="preserve"> </w:t>
      </w:r>
      <w:r w:rsidR="004D07C5">
        <w:rPr>
          <w:rFonts w:hint="cs"/>
          <w:rtl/>
          <w:lang w:val="en" w:bidi="ar-SY"/>
        </w:rPr>
        <w:t>ي</w:t>
      </w:r>
      <w:r w:rsidR="004D07C5" w:rsidRPr="004D07C5">
        <w:rPr>
          <w:rtl/>
          <w:lang w:val="en" w:bidi="ar-SY"/>
        </w:rPr>
        <w:t xml:space="preserve">عطي الانطباع بأن الاتجاه الجديد لعمل فريق إدارة الاتحاد، "التميز </w:t>
      </w:r>
      <w:r w:rsidR="004D07C5">
        <w:rPr>
          <w:rFonts w:hint="cs"/>
          <w:rtl/>
          <w:lang w:val="en" w:bidi="ar-SY"/>
        </w:rPr>
        <w:t>المؤسسي</w:t>
      </w:r>
      <w:r w:rsidR="004D07C5" w:rsidRPr="004D07C5">
        <w:rPr>
          <w:rtl/>
          <w:lang w:val="en" w:bidi="ar-SY"/>
        </w:rPr>
        <w:t xml:space="preserve">"، </w:t>
      </w:r>
      <w:r w:rsidR="004D07C5">
        <w:rPr>
          <w:rFonts w:hint="cs"/>
          <w:rtl/>
          <w:lang w:val="en" w:bidi="ar-SY"/>
        </w:rPr>
        <w:t>مع ما يقترن به من</w:t>
      </w:r>
      <w:r w:rsidR="004D07C5" w:rsidRPr="004D07C5">
        <w:rPr>
          <w:rtl/>
          <w:lang w:val="en" w:bidi="ar-SY"/>
        </w:rPr>
        <w:t xml:space="preserve"> "خارطة طريق للتحول"، لا</w:t>
      </w:r>
      <w:r w:rsidR="00327AB9">
        <w:rPr>
          <w:rFonts w:hint="cs"/>
          <w:rtl/>
          <w:lang w:val="en" w:bidi="ar-SY"/>
        </w:rPr>
        <w:t> </w:t>
      </w:r>
      <w:r w:rsidR="004D07C5" w:rsidRPr="004D07C5">
        <w:rPr>
          <w:rtl/>
          <w:lang w:val="en" w:bidi="ar-SY"/>
        </w:rPr>
        <w:t xml:space="preserve">يهدف فقط إلى الوفاء بالمهام المسندة إليه في </w:t>
      </w:r>
      <w:r w:rsidR="004D07C5">
        <w:rPr>
          <w:rFonts w:hint="cs"/>
          <w:rtl/>
          <w:lang w:val="en" w:bidi="ar-SY"/>
        </w:rPr>
        <w:t>مؤتمر المندوبين المفوضين لعام 2022</w:t>
      </w:r>
      <w:r w:rsidR="004D07C5" w:rsidRPr="004D07C5">
        <w:rPr>
          <w:rtl/>
          <w:lang w:val="en" w:bidi="ar-SY"/>
        </w:rPr>
        <w:t xml:space="preserve"> - لتحسين العمليات الداخلية لمعالجة أوجه القصور التشغيلية والازدواجية والبيروقراطية </w:t>
      </w:r>
      <w:r w:rsidR="004D07C5">
        <w:rPr>
          <w:rFonts w:hint="cs"/>
          <w:rtl/>
          <w:lang w:val="en" w:bidi="ar-SY"/>
        </w:rPr>
        <w:t>المدركة</w:t>
      </w:r>
      <w:r w:rsidR="004D07C5" w:rsidRPr="004D07C5">
        <w:rPr>
          <w:rtl/>
          <w:lang w:val="en" w:bidi="ar-SY"/>
        </w:rPr>
        <w:t xml:space="preserve"> - بل </w:t>
      </w:r>
      <w:r w:rsidR="004D07C5" w:rsidRPr="00232373">
        <w:rPr>
          <w:b/>
          <w:bCs/>
          <w:rtl/>
          <w:lang w:val="en" w:bidi="ar-SY"/>
        </w:rPr>
        <w:t>يتجاوز الأنشطة التي صدر بها تكليف من المؤتمر</w:t>
      </w:r>
      <w:r w:rsidR="004D07C5" w:rsidRPr="004D07C5">
        <w:rPr>
          <w:rtl/>
          <w:lang w:val="en" w:bidi="ar-SY"/>
        </w:rPr>
        <w:t>، و</w:t>
      </w:r>
      <w:r w:rsidR="00232373">
        <w:rPr>
          <w:rFonts w:hint="cs"/>
          <w:rtl/>
          <w:lang w:val="en" w:bidi="ar-SY"/>
        </w:rPr>
        <w:t xml:space="preserve">هو </w:t>
      </w:r>
      <w:r w:rsidR="004D07C5" w:rsidRPr="004D07C5">
        <w:rPr>
          <w:rtl/>
          <w:lang w:val="en" w:bidi="ar-SY"/>
        </w:rPr>
        <w:t>بمثابة محاولة لاستعراض وتحليل هيكل الاتحاد نفسه على النحو المنصوص عليه في المادة 7 من دستور الاتحاد.</w:t>
      </w:r>
    </w:p>
    <w:p w14:paraId="23C3FB57" w14:textId="1E2FFF79" w:rsidR="004D07C5" w:rsidRPr="004D07C5" w:rsidRDefault="00232373" w:rsidP="004D07C5">
      <w:pPr>
        <w:rPr>
          <w:rtl/>
          <w:lang w:val="en"/>
        </w:rPr>
      </w:pPr>
      <w:r>
        <w:rPr>
          <w:rFonts w:hint="cs"/>
          <w:rtl/>
          <w:lang w:val="en"/>
        </w:rPr>
        <w:t xml:space="preserve">ومن </w:t>
      </w:r>
      <w:r w:rsidRPr="00232373">
        <w:rPr>
          <w:rtl/>
          <w:lang w:val="en"/>
        </w:rPr>
        <w:t xml:space="preserve">ثم، يدعو القرار </w:t>
      </w:r>
      <w:r w:rsidRPr="00232373">
        <w:rPr>
          <w:rFonts w:ascii="Arial" w:hAnsi="Arial" w:cs="Arial" w:hint="cs"/>
          <w:rtl/>
          <w:lang w:val="en"/>
        </w:rPr>
        <w:t>‬</w:t>
      </w:r>
      <w:r w:rsidRPr="00232373">
        <w:rPr>
          <w:rtl/>
          <w:lang w:val="en"/>
        </w:rPr>
        <w:t xml:space="preserve">71 </w:t>
      </w:r>
      <w:dir w:val="rtl">
        <w:r w:rsidRPr="00232373">
          <w:rPr>
            <w:rFonts w:hint="cs"/>
            <w:rtl/>
            <w:lang w:val="en"/>
          </w:rPr>
          <w:t>إلى</w:t>
        </w:r>
        <w:r w:rsidRPr="00232373">
          <w:rPr>
            <w:rtl/>
            <w:lang w:val="en"/>
          </w:rPr>
          <w:t xml:space="preserve"> وضع </w:t>
        </w:r>
        <w:r w:rsidRPr="00232373">
          <w:rPr>
            <w:b/>
            <w:bCs/>
            <w:rtl/>
            <w:lang w:val="en"/>
          </w:rPr>
          <w:t>خطة لتحويل الثقافة والمهارات</w:t>
        </w:r>
        <w:r w:rsidRPr="00232373">
          <w:rPr>
            <w:rFonts w:hint="cs"/>
            <w:b/>
            <w:bCs/>
            <w:rtl/>
            <w:lang w:val="en"/>
          </w:rPr>
          <w:t xml:space="preserve"> فقط</w:t>
        </w:r>
        <w:r w:rsidRPr="00232373">
          <w:rPr>
            <w:rtl/>
            <w:lang w:val="en"/>
          </w:rPr>
          <w:t xml:space="preserve"> ولا </w:t>
        </w:r>
        <w:r>
          <w:rPr>
            <w:rFonts w:hint="cs"/>
            <w:rtl/>
            <w:lang w:val="en"/>
          </w:rPr>
          <w:t>يكلف</w:t>
        </w:r>
        <w:r w:rsidRPr="00232373">
          <w:rPr>
            <w:rtl/>
            <w:lang w:val="en"/>
          </w:rPr>
          <w:t xml:space="preserve"> </w:t>
        </w:r>
        <w:r>
          <w:rPr>
            <w:rFonts w:hint="cs"/>
            <w:rtl/>
            <w:lang w:val="en"/>
          </w:rPr>
          <w:t>ب</w:t>
        </w:r>
        <w:r w:rsidRPr="00232373">
          <w:rPr>
            <w:rtl/>
            <w:lang w:val="en"/>
          </w:rPr>
          <w:t xml:space="preserve">وضع خارطة طريق للتحول من أجل تحقيق التميز </w:t>
        </w:r>
        <w:r>
          <w:rPr>
            <w:rFonts w:hint="cs"/>
            <w:rtl/>
            <w:lang w:val="en"/>
          </w:rPr>
          <w:t>المؤسسي</w:t>
        </w:r>
        <w:r>
          <w:rPr>
            <w:rFonts w:ascii="Arial" w:hAnsi="Arial" w:cs="Arial" w:hint="cs"/>
            <w:rtl/>
            <w:lang w:val="en"/>
          </w:rPr>
          <w:t>.</w:t>
        </w:r>
        <w:r w:rsidRPr="00232373">
          <w:rPr>
            <w:rFonts w:ascii="Arial" w:hAnsi="Arial" w:cs="Arial" w:hint="cs"/>
            <w:rtl/>
            <w:lang w:val="en"/>
          </w:rPr>
          <w:t>‬</w:t>
        </w:r>
        <w:r w:rsidR="003522C3">
          <w:t>‬</w:t>
        </w:r>
        <w:r w:rsidR="00C90705">
          <w:t>‬</w:t>
        </w:r>
        <w:r w:rsidR="008C194E">
          <w:t>‬</w:t>
        </w:r>
        <w:r w:rsidR="001F30D6">
          <w:t>‬</w:t>
        </w:r>
        <w:r w:rsidR="009C5056">
          <w:t>‬</w:t>
        </w:r>
      </w:dir>
    </w:p>
    <w:p w14:paraId="63072793" w14:textId="621760CE" w:rsidR="004C4D45" w:rsidRDefault="00837B67" w:rsidP="00327AB9">
      <w:pPr>
        <w:rPr>
          <w:rtl/>
        </w:rPr>
      </w:pPr>
      <w:r>
        <w:t>3</w:t>
      </w:r>
      <w:r w:rsidR="00250189">
        <w:t>.2</w:t>
      </w:r>
      <w:r w:rsidR="00250189">
        <w:rPr>
          <w:rtl/>
        </w:rPr>
        <w:tab/>
      </w:r>
      <w:r w:rsidR="004C4D45">
        <w:rPr>
          <w:rtl/>
        </w:rPr>
        <w:t xml:space="preserve">تقدم الوثيقة </w:t>
      </w:r>
      <w:hyperlink r:id="rId28" w:history="1">
        <w:r w:rsidR="00327AB9" w:rsidRPr="00327AB9">
          <w:rPr>
            <w:rStyle w:val="Hyperlink"/>
            <w:lang w:val="en-GB"/>
          </w:rPr>
          <w:t>C23/52</w:t>
        </w:r>
      </w:hyperlink>
      <w:r w:rsidR="004C4D45">
        <w:rPr>
          <w:rtl/>
        </w:rPr>
        <w:t xml:space="preserve">، التي تشير إلى الوثيقة </w:t>
      </w:r>
      <w:hyperlink r:id="rId29" w:history="1">
        <w:r w:rsidR="00327AB9" w:rsidRPr="00327AB9">
          <w:rPr>
            <w:rStyle w:val="Hyperlink"/>
            <w:lang w:val="en-GB"/>
          </w:rPr>
          <w:t>C23/36</w:t>
        </w:r>
      </w:hyperlink>
      <w:r w:rsidR="004C4D45">
        <w:rPr>
          <w:rtl/>
        </w:rPr>
        <w:t xml:space="preserve">، توصيات إلى المجلس انبثقت عن "عملية </w:t>
      </w:r>
      <w:r w:rsidR="004C4D45">
        <w:rPr>
          <w:rFonts w:hint="cs"/>
          <w:rtl/>
        </w:rPr>
        <w:t>تبصر</w:t>
      </w:r>
      <w:r w:rsidR="004C4D45">
        <w:rPr>
          <w:rtl/>
        </w:rPr>
        <w:t xml:space="preserve">" اختارها فريق الإدارة الجديد كأسلوب عمل بعد </w:t>
      </w:r>
      <w:r w:rsidR="004C4D45">
        <w:rPr>
          <w:rFonts w:hint="cs"/>
          <w:rtl/>
        </w:rPr>
        <w:t>مؤتمر</w:t>
      </w:r>
      <w:r w:rsidR="004C4D45">
        <w:rPr>
          <w:rtl/>
        </w:rPr>
        <w:t xml:space="preserve"> </w:t>
      </w:r>
      <w:r w:rsidR="004C4D45">
        <w:rPr>
          <w:rFonts w:hint="cs"/>
          <w:rtl/>
        </w:rPr>
        <w:t>ا</w:t>
      </w:r>
      <w:r w:rsidR="004C4D45">
        <w:rPr>
          <w:rtl/>
        </w:rPr>
        <w:t>لمؤتمر المندوبين المفوضين</w:t>
      </w:r>
      <w:r w:rsidR="004C4D45">
        <w:rPr>
          <w:rFonts w:hint="cs"/>
          <w:rtl/>
        </w:rPr>
        <w:t xml:space="preserve"> لعام 2022</w:t>
      </w:r>
      <w:r w:rsidR="004C4D45">
        <w:rPr>
          <w:rtl/>
        </w:rPr>
        <w:t xml:space="preserve"> مباشرة، بالاعتماد على </w:t>
      </w:r>
      <w:r w:rsidR="004C4D45" w:rsidRPr="004C4D45">
        <w:rPr>
          <w:b/>
          <w:bCs/>
          <w:rtl/>
        </w:rPr>
        <w:t xml:space="preserve">مجموعة محدودة من الخبراء والموظفين </w:t>
      </w:r>
      <w:r w:rsidR="004C4D45">
        <w:rPr>
          <w:rtl/>
        </w:rPr>
        <w:t>على جميع المستويات من المكاتب الثلاثة (65 شخصا</w:t>
      </w:r>
      <w:r w:rsidR="004C4D45">
        <w:rPr>
          <w:rFonts w:hint="cs"/>
          <w:rtl/>
        </w:rPr>
        <w:t>ً</w:t>
      </w:r>
      <w:r w:rsidR="004C4D45">
        <w:rPr>
          <w:rtl/>
        </w:rPr>
        <w:t xml:space="preserve">)، ونحو 40 من أصحاب المصلحة الخارجيين من جميع أنحاء العالم، </w:t>
      </w:r>
      <w:r w:rsidR="004C4D45">
        <w:rPr>
          <w:rFonts w:hint="cs"/>
          <w:rtl/>
        </w:rPr>
        <w:t>بمن فيهم</w:t>
      </w:r>
      <w:r w:rsidR="004C4D45">
        <w:rPr>
          <w:rtl/>
        </w:rPr>
        <w:t xml:space="preserve"> أصحاب مصلحة غير محددين من الدول الأعضاء في الاتحاد والقطاع الخاص ووكالات الأمم المتحدة والمنظمات الحكومية الدولية والمجتمع المدني والهيئات الأكاديمية وشخصيات بارزة غير محددة.</w:t>
      </w:r>
    </w:p>
    <w:p w14:paraId="2806807D" w14:textId="69197BD8" w:rsidR="000A6533" w:rsidRPr="00A17AD6" w:rsidRDefault="00837B67" w:rsidP="00327AB9">
      <w:pPr>
        <w:rPr>
          <w:b/>
          <w:bCs/>
          <w:rtl/>
        </w:rPr>
      </w:pPr>
      <w:r>
        <w:t>4.2</w:t>
      </w:r>
      <w:r>
        <w:rPr>
          <w:rtl/>
        </w:rPr>
        <w:tab/>
      </w:r>
      <w:r w:rsidR="000A6533">
        <w:rPr>
          <w:rtl/>
        </w:rPr>
        <w:t xml:space="preserve">وتشير الوثيقة </w:t>
      </w:r>
      <w:hyperlink r:id="rId30" w:history="1">
        <w:r w:rsidR="00327AB9" w:rsidRPr="00327AB9">
          <w:rPr>
            <w:rStyle w:val="Hyperlink"/>
            <w:lang w:val="en-GB"/>
          </w:rPr>
          <w:t>C23/36</w:t>
        </w:r>
      </w:hyperlink>
      <w:r w:rsidR="000A6533">
        <w:rPr>
          <w:rtl/>
        </w:rPr>
        <w:t xml:space="preserve"> إلى أن فريق الإدارة الجديد أعد خطة تتماشى مع الخطة الاستراتيجية للفترة </w:t>
      </w:r>
      <w:r w:rsidR="000A6533">
        <w:rPr>
          <w:rFonts w:hint="cs"/>
          <w:rtl/>
        </w:rPr>
        <w:t>2024-2027</w:t>
      </w:r>
      <w:r w:rsidR="000A6533">
        <w:rPr>
          <w:rtl/>
        </w:rPr>
        <w:t xml:space="preserve"> والتوجيهات </w:t>
      </w:r>
      <w:r>
        <w:rPr>
          <w:rFonts w:hint="cs"/>
          <w:rtl/>
        </w:rPr>
        <w:t>الواردة</w:t>
      </w:r>
      <w:r w:rsidR="000A6533">
        <w:rPr>
          <w:rtl/>
        </w:rPr>
        <w:t xml:space="preserve"> من مؤتمر المندوبين المفوضين لعام </w:t>
      </w:r>
      <w:r w:rsidR="000A6533">
        <w:rPr>
          <w:rFonts w:hint="cs"/>
          <w:rtl/>
        </w:rPr>
        <w:t>2022</w:t>
      </w:r>
      <w:r w:rsidR="000A6533">
        <w:rPr>
          <w:rtl/>
        </w:rPr>
        <w:t xml:space="preserve">. ومع ذلك، ركزت المناقشات في عملية </w:t>
      </w:r>
      <w:r w:rsidR="000A6533">
        <w:rPr>
          <w:rFonts w:hint="cs"/>
          <w:rtl/>
        </w:rPr>
        <w:t>التبصر</w:t>
      </w:r>
      <w:r w:rsidR="000A6533">
        <w:rPr>
          <w:rtl/>
        </w:rPr>
        <w:t xml:space="preserve"> المذكورة في</w:t>
      </w:r>
      <w:r w:rsidR="00327AB9">
        <w:rPr>
          <w:rFonts w:hint="cs"/>
          <w:rtl/>
        </w:rPr>
        <w:t> </w:t>
      </w:r>
      <w:r w:rsidR="000A6533">
        <w:rPr>
          <w:rtl/>
        </w:rPr>
        <w:t xml:space="preserve">الفقرة 3.1.2 على ثلاث "ركائز" يبدو أنها </w:t>
      </w:r>
      <w:r w:rsidR="000A6533" w:rsidRPr="00A17AD6">
        <w:rPr>
          <w:b/>
          <w:bCs/>
          <w:rtl/>
        </w:rPr>
        <w:t>لا ترتبط ارتباطا</w:t>
      </w:r>
      <w:r w:rsidR="000A6533" w:rsidRPr="00A17AD6">
        <w:rPr>
          <w:rFonts w:hint="cs"/>
          <w:b/>
          <w:bCs/>
          <w:rtl/>
        </w:rPr>
        <w:t>ً</w:t>
      </w:r>
      <w:r w:rsidR="000A6533" w:rsidRPr="00A17AD6">
        <w:rPr>
          <w:b/>
          <w:bCs/>
          <w:rtl/>
        </w:rPr>
        <w:t xml:space="preserve"> مباشرا</w:t>
      </w:r>
      <w:r w:rsidR="000A6533" w:rsidRPr="00A17AD6">
        <w:rPr>
          <w:rFonts w:hint="cs"/>
          <w:b/>
          <w:bCs/>
          <w:rtl/>
        </w:rPr>
        <w:t>ً</w:t>
      </w:r>
      <w:r w:rsidR="000A6533" w:rsidRPr="00A17AD6">
        <w:rPr>
          <w:b/>
          <w:bCs/>
          <w:rtl/>
        </w:rPr>
        <w:t xml:space="preserve"> بالخطة الاستراتيجية للاتحاد ولا تتوافق مع الغايات الاستراتيجية والأولويات المواضيعية للاتحاد التي وافق عليها </w:t>
      </w:r>
      <w:r w:rsidR="00A17AD6">
        <w:rPr>
          <w:rFonts w:hint="cs"/>
          <w:b/>
          <w:bCs/>
          <w:rtl/>
        </w:rPr>
        <w:t>مؤتمر المندوبين المفوضين لعام 2022</w:t>
      </w:r>
      <w:r w:rsidR="000A6533" w:rsidRPr="00A17AD6">
        <w:rPr>
          <w:b/>
          <w:bCs/>
          <w:rtl/>
        </w:rPr>
        <w:t xml:space="preserve"> أو العوامل التمكينية المرتبطة به</w:t>
      </w:r>
      <w:r w:rsidR="000A6533" w:rsidRPr="00A17AD6">
        <w:rPr>
          <w:rFonts w:hint="cs"/>
          <w:b/>
          <w:bCs/>
          <w:rtl/>
        </w:rPr>
        <w:t>ا</w:t>
      </w:r>
      <w:r w:rsidR="000A6533" w:rsidRPr="00327AB9">
        <w:rPr>
          <w:rFonts w:hint="cs"/>
          <w:rtl/>
        </w:rPr>
        <w:t>.</w:t>
      </w:r>
    </w:p>
    <w:p w14:paraId="6B78F98E" w14:textId="5573C2A9" w:rsidR="007700D9" w:rsidRPr="007700D9" w:rsidRDefault="007C59C6" w:rsidP="007700D9">
      <w:pPr>
        <w:rPr>
          <w:rtl/>
        </w:rPr>
      </w:pPr>
      <w:r>
        <w:t>5.2</w:t>
      </w:r>
      <w:r>
        <w:rPr>
          <w:rtl/>
        </w:rPr>
        <w:tab/>
      </w:r>
      <w:r w:rsidR="00837B67">
        <w:rPr>
          <w:rtl/>
        </w:rPr>
        <w:t xml:space="preserve">تدعم </w:t>
      </w:r>
      <w:r w:rsidR="00C90705" w:rsidRPr="00327AB9">
        <w:rPr>
          <w:rFonts w:hint="cs"/>
          <w:rtl/>
        </w:rPr>
        <w:t>الغايات</w:t>
      </w:r>
      <w:r w:rsidR="00837B67">
        <w:rPr>
          <w:rtl/>
        </w:rPr>
        <w:t xml:space="preserve"> الاستراتيجية للاتحاد الواردة في الخطة الاستراتيجية (القرار 71) أداء الاتحاد لمهمته وتعزيز دوره في </w:t>
      </w:r>
      <w:r w:rsidR="00473F6D">
        <w:rPr>
          <w:rFonts w:hint="cs"/>
          <w:rtl/>
        </w:rPr>
        <w:t>زيادة</w:t>
      </w:r>
      <w:r w:rsidR="00115434">
        <w:rPr>
          <w:rFonts w:hint="cs"/>
          <w:rtl/>
        </w:rPr>
        <w:t xml:space="preserve"> التقدم</w:t>
      </w:r>
      <w:r w:rsidR="00837B67">
        <w:rPr>
          <w:rtl/>
        </w:rPr>
        <w:t xml:space="preserve"> نحو تنفيذ خطوط عمل </w:t>
      </w:r>
      <w:r w:rsidR="00837B67" w:rsidRPr="00327AB9">
        <w:rPr>
          <w:b/>
          <w:bCs/>
          <w:rtl/>
        </w:rPr>
        <w:t>القمة العالمية لمجتمع المعلومات</w:t>
      </w:r>
      <w:r w:rsidR="00837B67">
        <w:rPr>
          <w:rtl/>
        </w:rPr>
        <w:t xml:space="preserve"> (</w:t>
      </w:r>
      <w:r w:rsidR="00837B67">
        <w:t>WSIS</w:t>
      </w:r>
      <w:r w:rsidR="00837B67">
        <w:rPr>
          <w:rtl/>
        </w:rPr>
        <w:t xml:space="preserve">) </w:t>
      </w:r>
      <w:r w:rsidR="00837B67" w:rsidRPr="00837B67">
        <w:rPr>
          <w:b/>
          <w:bCs/>
          <w:rtl/>
        </w:rPr>
        <w:t>وخطة التنمية المستدامة لعام 2030</w:t>
      </w:r>
      <w:r w:rsidR="00837B67">
        <w:rPr>
          <w:rtl/>
        </w:rPr>
        <w:t>.</w:t>
      </w:r>
      <w:r w:rsidR="007700D9" w:rsidRPr="007700D9">
        <w:rPr>
          <w:rtl/>
        </w:rPr>
        <w:t xml:space="preserve"> ومن ناحية أخرى، </w:t>
      </w:r>
      <w:r w:rsidR="007700D9" w:rsidRPr="007700D9">
        <w:rPr>
          <w:b/>
          <w:bCs/>
          <w:rtl/>
        </w:rPr>
        <w:t>تركز</w:t>
      </w:r>
      <w:r w:rsidR="007700D9" w:rsidRPr="007700D9">
        <w:rPr>
          <w:rtl/>
        </w:rPr>
        <w:t xml:space="preserve"> خطة التحول التي </w:t>
      </w:r>
      <w:r w:rsidR="007700D9">
        <w:rPr>
          <w:rFonts w:hint="cs"/>
          <w:rtl/>
        </w:rPr>
        <w:t>اقترحتها</w:t>
      </w:r>
      <w:r w:rsidR="007700D9" w:rsidRPr="007700D9">
        <w:rPr>
          <w:rtl/>
        </w:rPr>
        <w:t xml:space="preserve"> الأمين</w:t>
      </w:r>
      <w:r w:rsidR="007700D9">
        <w:rPr>
          <w:rFonts w:hint="cs"/>
          <w:rtl/>
        </w:rPr>
        <w:t>ة</w:t>
      </w:r>
      <w:r w:rsidR="007700D9" w:rsidRPr="007700D9">
        <w:rPr>
          <w:rtl/>
        </w:rPr>
        <w:t xml:space="preserve"> العام</w:t>
      </w:r>
      <w:r w:rsidR="007700D9">
        <w:rPr>
          <w:rFonts w:hint="cs"/>
          <w:rtl/>
        </w:rPr>
        <w:t>ة</w:t>
      </w:r>
      <w:r w:rsidR="007700D9" w:rsidRPr="007700D9">
        <w:rPr>
          <w:rtl/>
        </w:rPr>
        <w:t xml:space="preserve"> لتحقيق التميز المؤسسي </w:t>
      </w:r>
      <w:r w:rsidR="007700D9" w:rsidRPr="007700D9">
        <w:rPr>
          <w:b/>
          <w:bCs/>
          <w:rtl/>
        </w:rPr>
        <w:t>على أهداف التنمية المستدامة (</w:t>
      </w:r>
      <w:r w:rsidR="007700D9" w:rsidRPr="007700D9">
        <w:rPr>
          <w:b/>
          <w:bCs/>
        </w:rPr>
        <w:t>SDG</w:t>
      </w:r>
      <w:r w:rsidR="007700D9" w:rsidRPr="007700D9">
        <w:rPr>
          <w:b/>
          <w:bCs/>
          <w:rtl/>
        </w:rPr>
        <w:t>) وبرنامج التوصيل في 2030 الخاص بالاتحاد</w:t>
      </w:r>
      <w:r w:rsidR="007700D9" w:rsidRPr="007700D9">
        <w:rPr>
          <w:rtl/>
        </w:rPr>
        <w:t>، متجاهلة</w:t>
      </w:r>
      <w:r w:rsidR="00115434">
        <w:rPr>
          <w:rFonts w:hint="cs"/>
          <w:rtl/>
        </w:rPr>
        <w:t xml:space="preserve"> بذلك</w:t>
      </w:r>
      <w:r w:rsidR="007700D9" w:rsidRPr="007700D9">
        <w:rPr>
          <w:rtl/>
        </w:rPr>
        <w:t xml:space="preserve"> عملية القمة العالمية لمجتمع المعلومات، التي </w:t>
      </w:r>
      <w:r w:rsidR="00115434">
        <w:rPr>
          <w:rFonts w:hint="cs"/>
          <w:rtl/>
        </w:rPr>
        <w:t>يبرز</w:t>
      </w:r>
      <w:r w:rsidR="007700D9" w:rsidRPr="007700D9">
        <w:rPr>
          <w:rtl/>
        </w:rPr>
        <w:t xml:space="preserve"> ارتباطها الوثيق بتحقيق أهداف التنمية المستدامة في مصفوفة القمة العالمية لمجتمع المعلومات وأهداف التنمية المستدامة، وأحكام القرار</w:t>
      </w:r>
      <w:r w:rsidR="00327AB9">
        <w:rPr>
          <w:rFonts w:hint="cs"/>
          <w:rtl/>
        </w:rPr>
        <w:t> </w:t>
      </w:r>
      <w:r w:rsidR="007700D9" w:rsidRPr="007700D9">
        <w:rPr>
          <w:rtl/>
        </w:rPr>
        <w:t>140 (المراج</w:t>
      </w:r>
      <w:r w:rsidR="00327AB9">
        <w:rPr>
          <w:rFonts w:hint="cs"/>
          <w:rtl/>
        </w:rPr>
        <w:t>َ</w:t>
      </w:r>
      <w:r w:rsidR="007700D9" w:rsidRPr="007700D9">
        <w:rPr>
          <w:rtl/>
        </w:rPr>
        <w:t>ع في بوخارست، 2022) لمؤتمر المندوبين المفوضين، بشأن دور الاتحاد في تنفيذ نواتج القمة العالمية لمجتمع المعلومات وخطة التنمية المستدامة لعام 2030، وكذلك في عمليات متابعتها واستعراضها</w:t>
      </w:r>
      <w:r w:rsidR="00115434">
        <w:rPr>
          <w:rFonts w:hint="cs"/>
          <w:rtl/>
        </w:rPr>
        <w:t>.</w:t>
      </w:r>
    </w:p>
    <w:p w14:paraId="31E26C2D" w14:textId="2588F42F" w:rsidR="00C36965" w:rsidRPr="00C36965" w:rsidRDefault="00250189" w:rsidP="00327AB9">
      <w:pPr>
        <w:rPr>
          <w:rtl/>
          <w:lang w:bidi="ar-SY"/>
        </w:rPr>
      </w:pPr>
      <w:r>
        <w:t>6.2</w:t>
      </w:r>
      <w:r>
        <w:rPr>
          <w:rtl/>
          <w:lang w:bidi="ar-SY"/>
        </w:rPr>
        <w:tab/>
      </w:r>
      <w:r w:rsidR="00C36965" w:rsidRPr="00C36965">
        <w:rPr>
          <w:rtl/>
          <w:lang w:bidi="ar-SY"/>
        </w:rPr>
        <w:t xml:space="preserve">لا يتوافق مفهوم "الاتحاد الواحد" الوارد في الوثيقة </w:t>
      </w:r>
      <w:hyperlink r:id="rId31" w:history="1">
        <w:r w:rsidR="00327AB9" w:rsidRPr="00327AB9">
          <w:rPr>
            <w:rStyle w:val="Hyperlink"/>
            <w:lang w:val="en-GB" w:bidi="ar-SY"/>
          </w:rPr>
          <w:t>C23/52</w:t>
        </w:r>
      </w:hyperlink>
      <w:r w:rsidR="00C36965" w:rsidRPr="00C36965">
        <w:rPr>
          <w:rtl/>
          <w:lang w:bidi="ar-SY"/>
        </w:rPr>
        <w:t xml:space="preserve"> مع المادة 7 من دستور الاتحاد.</w:t>
      </w:r>
    </w:p>
    <w:p w14:paraId="4FB861D1" w14:textId="433DF24D" w:rsidR="00C9378B" w:rsidRDefault="00250189" w:rsidP="00327AB9">
      <w:pPr>
        <w:rPr>
          <w:rtl/>
          <w:lang w:bidi="ar-SY"/>
        </w:rPr>
      </w:pPr>
      <w:r>
        <w:rPr>
          <w:lang w:bidi="ar-SY"/>
        </w:rPr>
        <w:t>7.2</w:t>
      </w:r>
      <w:r>
        <w:rPr>
          <w:rtl/>
          <w:lang w:bidi="ar-SY"/>
        </w:rPr>
        <w:tab/>
      </w:r>
      <w:r w:rsidR="00C9378B">
        <w:rPr>
          <w:rtl/>
          <w:lang w:bidi="ar-SY"/>
        </w:rPr>
        <w:t xml:space="preserve">لا تشير الوثيقة </w:t>
      </w:r>
      <w:hyperlink r:id="rId32" w:history="1">
        <w:r w:rsidR="00327AB9" w:rsidRPr="00327AB9">
          <w:rPr>
            <w:rStyle w:val="Hyperlink"/>
            <w:lang w:val="en-GB" w:bidi="ar-SY"/>
          </w:rPr>
          <w:t>C23/52</w:t>
        </w:r>
      </w:hyperlink>
      <w:r w:rsidR="00C9378B">
        <w:rPr>
          <w:rtl/>
          <w:lang w:bidi="ar-SY"/>
        </w:rPr>
        <w:t xml:space="preserve"> إلى مصادر التمويل</w:t>
      </w:r>
      <w:r w:rsidR="00C9378B">
        <w:rPr>
          <w:rFonts w:hint="cs"/>
          <w:rtl/>
          <w:lang w:bidi="ar-SY"/>
        </w:rPr>
        <w:t xml:space="preserve"> البالغ</w:t>
      </w:r>
      <w:r w:rsidR="00C9378B">
        <w:rPr>
          <w:rtl/>
          <w:lang w:bidi="ar-SY"/>
        </w:rPr>
        <w:t xml:space="preserve"> حوالي </w:t>
      </w:r>
      <w:r w:rsidR="00C9378B">
        <w:rPr>
          <w:lang w:val="en-GB" w:bidi="ar-SY"/>
        </w:rPr>
        <w:t>900 000</w:t>
      </w:r>
      <w:r w:rsidR="00C9378B">
        <w:rPr>
          <w:rFonts w:hint="cs"/>
          <w:rtl/>
          <w:lang w:bidi="ar-SY"/>
        </w:rPr>
        <w:t xml:space="preserve"> </w:t>
      </w:r>
      <w:r w:rsidR="00C9378B">
        <w:rPr>
          <w:rtl/>
          <w:lang w:bidi="ar-SY"/>
        </w:rPr>
        <w:t>فرنك سويسري سنويا</w:t>
      </w:r>
      <w:r w:rsidR="00C9378B">
        <w:rPr>
          <w:rFonts w:hint="cs"/>
          <w:rtl/>
          <w:lang w:bidi="ar-SY"/>
        </w:rPr>
        <w:t>ً</w:t>
      </w:r>
      <w:r w:rsidR="00C9378B">
        <w:rPr>
          <w:rtl/>
          <w:lang w:bidi="ar-SY"/>
        </w:rPr>
        <w:t xml:space="preserve">، </w:t>
      </w:r>
      <w:r w:rsidR="00C9378B">
        <w:rPr>
          <w:rFonts w:hint="cs"/>
          <w:rtl/>
          <w:lang w:bidi="ar-SY"/>
        </w:rPr>
        <w:t xml:space="preserve">والذي </w:t>
      </w:r>
      <w:r w:rsidR="0097321C">
        <w:rPr>
          <w:rFonts w:hint="cs"/>
          <w:rtl/>
          <w:lang w:bidi="ar-SY"/>
        </w:rPr>
        <w:t>سيلزم</w:t>
      </w:r>
      <w:r w:rsidR="00C9378B">
        <w:rPr>
          <w:rtl/>
          <w:lang w:bidi="ar-SY"/>
        </w:rPr>
        <w:t xml:space="preserve"> لإنشاء مكتب التحول</w:t>
      </w:r>
      <w:r w:rsidR="004E47F6">
        <w:rPr>
          <w:rFonts w:hint="cs"/>
          <w:rtl/>
          <w:lang w:bidi="ar-SY"/>
        </w:rPr>
        <w:t xml:space="preserve"> وتشغيله</w:t>
      </w:r>
      <w:r w:rsidR="00C9378B">
        <w:rPr>
          <w:rtl/>
          <w:lang w:bidi="ar-SY"/>
        </w:rPr>
        <w:t>، في وقت يكون فيه تمويل أنشطة الولاية الأساسية للاتحاد بموجب المادة 1 من دستور الاتحاد غير كاف</w:t>
      </w:r>
      <w:r w:rsidR="004E47F6">
        <w:rPr>
          <w:rFonts w:hint="cs"/>
          <w:rtl/>
          <w:lang w:bidi="ar-SY"/>
        </w:rPr>
        <w:t>ٍ</w:t>
      </w:r>
      <w:r w:rsidR="00C9378B">
        <w:rPr>
          <w:rtl/>
          <w:lang w:bidi="ar-SY"/>
        </w:rPr>
        <w:t xml:space="preserve">؛ وينطبق الشيء </w:t>
      </w:r>
      <w:r w:rsidR="00C9378B">
        <w:rPr>
          <w:rFonts w:hint="cs"/>
          <w:rtl/>
          <w:lang w:bidi="ar-SY"/>
        </w:rPr>
        <w:t>ذاته</w:t>
      </w:r>
      <w:r w:rsidR="00C9378B">
        <w:rPr>
          <w:rtl/>
          <w:lang w:bidi="ar-SY"/>
        </w:rPr>
        <w:t xml:space="preserve"> على تنفيذ </w:t>
      </w:r>
      <w:r w:rsidR="00C9378B" w:rsidRPr="00C9378B">
        <w:rPr>
          <w:rtl/>
          <w:lang w:bidi="ar-SY"/>
        </w:rPr>
        <w:t xml:space="preserve">المشروع </w:t>
      </w:r>
      <w:r w:rsidR="00C9378B">
        <w:rPr>
          <w:rFonts w:hint="cs"/>
          <w:rtl/>
          <w:lang w:bidi="ar-SY"/>
        </w:rPr>
        <w:t>المتعلق</w:t>
      </w:r>
      <w:r w:rsidR="00C9378B" w:rsidRPr="00C9378B">
        <w:rPr>
          <w:rtl/>
          <w:lang w:bidi="ar-SY"/>
        </w:rPr>
        <w:t xml:space="preserve"> </w:t>
      </w:r>
      <w:r w:rsidR="003522C3">
        <w:rPr>
          <w:rFonts w:hint="cs"/>
          <w:rtl/>
          <w:lang w:bidi="ar-SY"/>
        </w:rPr>
        <w:t>بتشييد</w:t>
      </w:r>
      <w:r w:rsidR="00C9378B" w:rsidRPr="00C9378B">
        <w:rPr>
          <w:rtl/>
          <w:lang w:bidi="ar-SY"/>
        </w:rPr>
        <w:t xml:space="preserve"> مبنى جديد لمقر الاتحاد</w:t>
      </w:r>
      <w:r w:rsidR="00C9378B" w:rsidRPr="00C9378B">
        <w:rPr>
          <w:rFonts w:ascii="Arial" w:hAnsi="Arial" w:cs="Arial" w:hint="cs"/>
          <w:rtl/>
          <w:lang w:bidi="ar-SY"/>
        </w:rPr>
        <w:t>‬</w:t>
      </w:r>
      <w:r w:rsidR="00C9378B" w:rsidRPr="00C9378B">
        <w:rPr>
          <w:rtl/>
          <w:lang w:bidi="ar-SY"/>
        </w:rPr>
        <w:t xml:space="preserve"> </w:t>
      </w:r>
      <w:r w:rsidR="00C9378B">
        <w:rPr>
          <w:rtl/>
          <w:lang w:bidi="ar-SY"/>
        </w:rPr>
        <w:t xml:space="preserve">(الوثيقة </w:t>
      </w:r>
      <w:hyperlink r:id="rId33" w:history="1">
        <w:r w:rsidR="00327AB9" w:rsidRPr="00327AB9">
          <w:rPr>
            <w:rStyle w:val="Hyperlink"/>
            <w:lang w:val="en-GB" w:bidi="ar-SY"/>
          </w:rPr>
          <w:t>C23/7</w:t>
        </w:r>
      </w:hyperlink>
      <w:r w:rsidR="00C9378B">
        <w:rPr>
          <w:rtl/>
          <w:lang w:bidi="ar-SY"/>
        </w:rPr>
        <w:t>).</w:t>
      </w:r>
    </w:p>
    <w:p w14:paraId="30ADA3B7" w14:textId="455D42C4" w:rsidR="00250189" w:rsidRDefault="00250189" w:rsidP="00250189">
      <w:pPr>
        <w:pStyle w:val="Heading1"/>
        <w:rPr>
          <w:rtl/>
          <w:lang w:bidi="ar-SY"/>
        </w:rPr>
      </w:pPr>
      <w:r>
        <w:rPr>
          <w:lang w:bidi="ar-SY"/>
        </w:rPr>
        <w:t>3</w:t>
      </w:r>
      <w:r>
        <w:rPr>
          <w:rtl/>
          <w:lang w:bidi="ar-SY"/>
        </w:rPr>
        <w:tab/>
      </w:r>
      <w:r>
        <w:rPr>
          <w:rFonts w:hint="cs"/>
          <w:rtl/>
          <w:lang w:bidi="ar-SY"/>
        </w:rPr>
        <w:t>المقترحات</w:t>
      </w:r>
    </w:p>
    <w:p w14:paraId="6E22B628" w14:textId="3EE863ED" w:rsidR="004B4641" w:rsidRPr="004B4641" w:rsidRDefault="00E02CF2" w:rsidP="004B4641">
      <w:pPr>
        <w:rPr>
          <w:rtl/>
          <w:lang w:bidi="ar-SY"/>
        </w:rPr>
      </w:pPr>
      <w:r>
        <w:rPr>
          <w:lang w:bidi="ar-SY"/>
        </w:rPr>
        <w:t>1.3</w:t>
      </w:r>
      <w:r>
        <w:rPr>
          <w:rtl/>
          <w:lang w:bidi="ar-SY"/>
        </w:rPr>
        <w:tab/>
      </w:r>
      <w:r w:rsidR="004B4641" w:rsidRPr="004B4641">
        <w:rPr>
          <w:rtl/>
          <w:lang w:bidi="ar-SY"/>
        </w:rPr>
        <w:t>ي</w:t>
      </w:r>
      <w:r w:rsidR="00733F80">
        <w:rPr>
          <w:rFonts w:hint="cs"/>
          <w:rtl/>
          <w:lang w:bidi="ar-SY"/>
        </w:rPr>
        <w:t>ُ</w:t>
      </w:r>
      <w:r w:rsidR="004B4641" w:rsidRPr="004B4641">
        <w:rPr>
          <w:rtl/>
          <w:lang w:bidi="ar-SY"/>
        </w:rPr>
        <w:t xml:space="preserve">قترح ألا يتخذ المجلس إجراء بشأن الوثيقة </w:t>
      </w:r>
      <w:r w:rsidR="00A309DF">
        <w:rPr>
          <w:rFonts w:hint="cs"/>
          <w:rtl/>
          <w:lang w:bidi="ar-SY"/>
        </w:rPr>
        <w:t>حتى</w:t>
      </w:r>
      <w:r w:rsidR="004B4641" w:rsidRPr="004B4641">
        <w:rPr>
          <w:rtl/>
          <w:lang w:bidi="ar-SY"/>
        </w:rPr>
        <w:t xml:space="preserve"> ت</w:t>
      </w:r>
      <w:r w:rsidR="00A309DF">
        <w:rPr>
          <w:rFonts w:hint="cs"/>
          <w:rtl/>
          <w:lang w:bidi="ar-SY"/>
        </w:rPr>
        <w:t>ُ</w:t>
      </w:r>
      <w:r w:rsidR="004B4641" w:rsidRPr="004B4641">
        <w:rPr>
          <w:rtl/>
          <w:lang w:bidi="ar-SY"/>
        </w:rPr>
        <w:t>قدم التفاصيل الكاملة وت</w:t>
      </w:r>
      <w:r w:rsidR="00A309DF">
        <w:rPr>
          <w:rFonts w:hint="cs"/>
          <w:rtl/>
          <w:lang w:bidi="ar-SY"/>
        </w:rPr>
        <w:t>ُ</w:t>
      </w:r>
      <w:r w:rsidR="004B4641" w:rsidRPr="004B4641">
        <w:rPr>
          <w:rtl/>
          <w:lang w:bidi="ar-SY"/>
        </w:rPr>
        <w:t>صحح ن</w:t>
      </w:r>
      <w:r w:rsidR="00A309DF">
        <w:rPr>
          <w:rFonts w:hint="cs"/>
          <w:rtl/>
          <w:lang w:bidi="ar-SY"/>
        </w:rPr>
        <w:t>ُ</w:t>
      </w:r>
      <w:r w:rsidR="004B4641" w:rsidRPr="004B4641">
        <w:rPr>
          <w:rtl/>
          <w:lang w:bidi="ar-SY"/>
        </w:rPr>
        <w:t xml:space="preserve">هج فريق إدارة الاتحاد لجعلها متوافقة مع دستور الاتحاد </w:t>
      </w:r>
      <w:r w:rsidR="00A309DF">
        <w:rPr>
          <w:rFonts w:hint="cs"/>
          <w:rtl/>
          <w:lang w:bidi="ar-SY"/>
        </w:rPr>
        <w:t>واتفاقيته</w:t>
      </w:r>
      <w:r w:rsidR="004B4641" w:rsidRPr="004B4641">
        <w:rPr>
          <w:rtl/>
          <w:lang w:bidi="ar-SY"/>
        </w:rPr>
        <w:t xml:space="preserve"> ومع قرارات مؤتمر المندوبين المفوضين.</w:t>
      </w:r>
    </w:p>
    <w:p w14:paraId="65042EE8" w14:textId="620FD6D4" w:rsidR="00E02CF2" w:rsidRDefault="00E02CF2" w:rsidP="00250189">
      <w:pPr>
        <w:rPr>
          <w:rtl/>
          <w:lang w:bidi="ar-SY"/>
        </w:rPr>
      </w:pPr>
      <w:r>
        <w:rPr>
          <w:lang w:bidi="ar-SY"/>
        </w:rPr>
        <w:t>2.3</w:t>
      </w:r>
      <w:r>
        <w:rPr>
          <w:rtl/>
          <w:lang w:bidi="ar-SY"/>
        </w:rPr>
        <w:tab/>
      </w:r>
      <w:r w:rsidR="00D32D21">
        <w:rPr>
          <w:rFonts w:hint="cs"/>
          <w:rtl/>
          <w:lang w:bidi="ar-SY"/>
        </w:rPr>
        <w:t>ينبغي أن يهدف</w:t>
      </w:r>
      <w:r w:rsidR="00D32D21" w:rsidRPr="00D32D21">
        <w:rPr>
          <w:rtl/>
          <w:lang w:bidi="ar-SY"/>
        </w:rPr>
        <w:t xml:space="preserve"> عمل فريق الإدارة </w:t>
      </w:r>
      <w:r w:rsidR="00D32D21">
        <w:rPr>
          <w:rFonts w:hint="cs"/>
          <w:rtl/>
          <w:lang w:bidi="ar-SY"/>
        </w:rPr>
        <w:t>بشأن العامل التمكيني</w:t>
      </w:r>
      <w:r w:rsidR="00D32D21" w:rsidRPr="00D32D21">
        <w:rPr>
          <w:rtl/>
          <w:lang w:bidi="ar-SY"/>
        </w:rPr>
        <w:t xml:space="preserve"> "</w:t>
      </w:r>
      <w:r w:rsidR="00D32D21">
        <w:rPr>
          <w:color w:val="000000"/>
          <w:rtl/>
        </w:rPr>
        <w:t>التميز في مجال الموارد البشرية والابتكار التنظيمي</w:t>
      </w:r>
      <w:r w:rsidR="00D32D21" w:rsidRPr="00D32D21">
        <w:rPr>
          <w:rtl/>
          <w:lang w:bidi="ar-SY"/>
        </w:rPr>
        <w:t xml:space="preserve">" بموجب القرار </w:t>
      </w:r>
      <w:r w:rsidR="00D32D21" w:rsidRPr="00D32D21">
        <w:rPr>
          <w:rFonts w:ascii="Arial" w:hAnsi="Arial" w:cs="Arial" w:hint="cs"/>
          <w:rtl/>
          <w:lang w:bidi="ar-SY"/>
        </w:rPr>
        <w:t>‬</w:t>
      </w:r>
      <w:r w:rsidR="00D32D21" w:rsidRPr="00D32D21">
        <w:rPr>
          <w:rtl/>
          <w:lang w:bidi="ar-SY"/>
        </w:rPr>
        <w:t xml:space="preserve">71 </w:t>
      </w:r>
      <w:r w:rsidR="00D32D21" w:rsidRPr="00D32D21">
        <w:rPr>
          <w:rFonts w:hint="cs"/>
          <w:rtl/>
          <w:lang w:bidi="ar-SY"/>
        </w:rPr>
        <w:t>إلى</w:t>
      </w:r>
      <w:r w:rsidR="00D32D21" w:rsidRPr="00D32D21">
        <w:rPr>
          <w:rtl/>
          <w:lang w:bidi="ar-SY"/>
        </w:rPr>
        <w:t xml:space="preserve"> </w:t>
      </w:r>
      <w:r w:rsidR="00D32D21" w:rsidRPr="00D32D21">
        <w:rPr>
          <w:rFonts w:hint="cs"/>
          <w:rtl/>
          <w:lang w:bidi="ar-SY"/>
        </w:rPr>
        <w:t>تحسين</w:t>
      </w:r>
      <w:r w:rsidR="00D32D21" w:rsidRPr="00D32D21">
        <w:rPr>
          <w:rtl/>
          <w:lang w:bidi="ar-SY"/>
        </w:rPr>
        <w:t xml:space="preserve"> </w:t>
      </w:r>
      <w:r w:rsidR="00D32D21" w:rsidRPr="00D32D21">
        <w:rPr>
          <w:rFonts w:hint="cs"/>
          <w:rtl/>
          <w:lang w:bidi="ar-SY"/>
        </w:rPr>
        <w:t>العمليات</w:t>
      </w:r>
      <w:r w:rsidR="00D32D21" w:rsidRPr="00D32D21">
        <w:rPr>
          <w:rtl/>
          <w:lang w:bidi="ar-SY"/>
        </w:rPr>
        <w:t xml:space="preserve"> </w:t>
      </w:r>
      <w:r w:rsidR="00D32D21" w:rsidRPr="00D32D21">
        <w:rPr>
          <w:rFonts w:hint="cs"/>
          <w:rtl/>
          <w:lang w:bidi="ar-SY"/>
        </w:rPr>
        <w:t>الداخلية</w:t>
      </w:r>
      <w:r w:rsidR="00D32D21" w:rsidRPr="00D32D21">
        <w:rPr>
          <w:rtl/>
          <w:lang w:bidi="ar-SY"/>
        </w:rPr>
        <w:t xml:space="preserve"> </w:t>
      </w:r>
      <w:r w:rsidR="00D32D21" w:rsidRPr="00D32D21">
        <w:rPr>
          <w:rFonts w:hint="cs"/>
          <w:rtl/>
          <w:lang w:bidi="ar-SY"/>
        </w:rPr>
        <w:t>وتسريع</w:t>
      </w:r>
      <w:r w:rsidR="00D32D21" w:rsidRPr="00D32D21">
        <w:rPr>
          <w:rtl/>
          <w:lang w:bidi="ar-SY"/>
        </w:rPr>
        <w:t xml:space="preserve"> </w:t>
      </w:r>
      <w:r w:rsidR="00D32D21" w:rsidRPr="00D32D21">
        <w:rPr>
          <w:rFonts w:hint="cs"/>
          <w:rtl/>
          <w:lang w:bidi="ar-SY"/>
        </w:rPr>
        <w:t>اتخاذ</w:t>
      </w:r>
      <w:r w:rsidR="00D32D21" w:rsidRPr="00D32D21">
        <w:rPr>
          <w:rtl/>
          <w:lang w:bidi="ar-SY"/>
        </w:rPr>
        <w:t xml:space="preserve"> </w:t>
      </w:r>
      <w:r w:rsidR="00D32D21" w:rsidRPr="00D32D21">
        <w:rPr>
          <w:rFonts w:hint="cs"/>
          <w:rtl/>
          <w:lang w:bidi="ar-SY"/>
        </w:rPr>
        <w:t>القرارات</w:t>
      </w:r>
      <w:r w:rsidR="00D32D21" w:rsidRPr="00D32D21">
        <w:rPr>
          <w:rtl/>
          <w:lang w:bidi="ar-SY"/>
        </w:rPr>
        <w:t xml:space="preserve"> </w:t>
      </w:r>
      <w:r w:rsidR="00D32D21" w:rsidRPr="00D32D21">
        <w:rPr>
          <w:rFonts w:hint="cs"/>
          <w:rtl/>
          <w:lang w:bidi="ar-SY"/>
        </w:rPr>
        <w:t>الداخلية</w:t>
      </w:r>
      <w:r w:rsidR="00D32D21" w:rsidRPr="00D32D21">
        <w:rPr>
          <w:rtl/>
          <w:lang w:bidi="ar-SY"/>
        </w:rPr>
        <w:t xml:space="preserve"> </w:t>
      </w:r>
      <w:r w:rsidR="00D32D21" w:rsidRPr="00D32D21">
        <w:rPr>
          <w:rFonts w:hint="cs"/>
          <w:rtl/>
          <w:lang w:bidi="ar-SY"/>
        </w:rPr>
        <w:t>من</w:t>
      </w:r>
      <w:r w:rsidR="00D32D21" w:rsidRPr="00D32D21">
        <w:rPr>
          <w:rtl/>
          <w:lang w:bidi="ar-SY"/>
        </w:rPr>
        <w:t xml:space="preserve"> </w:t>
      </w:r>
      <w:r w:rsidR="00D32D21" w:rsidRPr="00D32D21">
        <w:rPr>
          <w:rFonts w:hint="cs"/>
          <w:rtl/>
          <w:lang w:bidi="ar-SY"/>
        </w:rPr>
        <w:t>خلال</w:t>
      </w:r>
      <w:r w:rsidR="00D32D21" w:rsidRPr="00D32D21">
        <w:rPr>
          <w:rtl/>
          <w:lang w:bidi="ar-SY"/>
        </w:rPr>
        <w:t xml:space="preserve"> </w:t>
      </w:r>
      <w:r w:rsidR="00D32D21" w:rsidRPr="00D32D21">
        <w:rPr>
          <w:rFonts w:hint="cs"/>
          <w:rtl/>
          <w:lang w:bidi="ar-SY"/>
        </w:rPr>
        <w:t>معالجة</w:t>
      </w:r>
      <w:r w:rsidR="00D32D21" w:rsidRPr="00D32D21">
        <w:rPr>
          <w:rtl/>
          <w:lang w:bidi="ar-SY"/>
        </w:rPr>
        <w:t xml:space="preserve"> </w:t>
      </w:r>
      <w:r w:rsidR="00D32D21" w:rsidRPr="00D32D21">
        <w:rPr>
          <w:rFonts w:hint="cs"/>
          <w:rtl/>
          <w:lang w:bidi="ar-SY"/>
        </w:rPr>
        <w:t>أوجه</w:t>
      </w:r>
      <w:r w:rsidR="00D32D21" w:rsidRPr="00D32D21">
        <w:rPr>
          <w:rtl/>
          <w:lang w:bidi="ar-SY"/>
        </w:rPr>
        <w:t xml:space="preserve"> </w:t>
      </w:r>
      <w:r w:rsidR="00D32D21" w:rsidRPr="00D32D21">
        <w:rPr>
          <w:rFonts w:hint="cs"/>
          <w:rtl/>
          <w:lang w:bidi="ar-SY"/>
        </w:rPr>
        <w:t>القصور</w:t>
      </w:r>
      <w:r w:rsidR="00D32D21" w:rsidRPr="00D32D21">
        <w:rPr>
          <w:rtl/>
          <w:lang w:bidi="ar-SY"/>
        </w:rPr>
        <w:t xml:space="preserve"> </w:t>
      </w:r>
      <w:r w:rsidR="00D32D21" w:rsidRPr="00D32D21">
        <w:rPr>
          <w:rFonts w:hint="cs"/>
          <w:rtl/>
          <w:lang w:bidi="ar-SY"/>
        </w:rPr>
        <w:t>التشغي</w:t>
      </w:r>
      <w:r w:rsidR="00D32D21" w:rsidRPr="00D32D21">
        <w:rPr>
          <w:rtl/>
          <w:lang w:bidi="ar-SY"/>
        </w:rPr>
        <w:t xml:space="preserve">لية والازدواجية والبيروقراطية </w:t>
      </w:r>
      <w:r w:rsidR="00D32D21">
        <w:rPr>
          <w:rFonts w:hint="cs"/>
          <w:rtl/>
          <w:lang w:bidi="ar-SY"/>
        </w:rPr>
        <w:t>المدركة</w:t>
      </w:r>
      <w:r w:rsidR="00D32D21" w:rsidRPr="00D32D21">
        <w:rPr>
          <w:rtl/>
          <w:lang w:bidi="ar-SY"/>
        </w:rPr>
        <w:t xml:space="preserve">، </w:t>
      </w:r>
      <w:r w:rsidR="0097321C">
        <w:rPr>
          <w:rFonts w:hint="cs"/>
          <w:rtl/>
          <w:lang w:bidi="ar-SY"/>
        </w:rPr>
        <w:t>ب</w:t>
      </w:r>
      <w:r w:rsidR="00D32D21">
        <w:rPr>
          <w:rFonts w:hint="cs"/>
          <w:rtl/>
          <w:lang w:bidi="ar-SY"/>
        </w:rPr>
        <w:t>ما يجسد</w:t>
      </w:r>
      <w:r w:rsidR="00D32D21" w:rsidRPr="002D30E8">
        <w:rPr>
          <w:rtl/>
          <w:lang w:bidi="ar-SY"/>
        </w:rPr>
        <w:t xml:space="preserve"> قيم الشفافية والمساءلة</w:t>
      </w:r>
      <w:r w:rsidR="00D32D21" w:rsidRPr="00D32D21">
        <w:rPr>
          <w:rtl/>
          <w:lang w:bidi="ar-SY"/>
        </w:rPr>
        <w:t xml:space="preserve">، وألا يحاول استعراض هيكل الاتحاد على النحو المنصوص عليه في المادة </w:t>
      </w:r>
      <w:r w:rsidR="00D32D21" w:rsidRPr="00D32D21">
        <w:rPr>
          <w:rFonts w:ascii="Arial" w:hAnsi="Arial" w:cs="Arial" w:hint="cs"/>
          <w:rtl/>
          <w:lang w:bidi="ar-SY"/>
        </w:rPr>
        <w:t>‬</w:t>
      </w:r>
      <w:r w:rsidR="00D32D21" w:rsidRPr="00D32D21">
        <w:rPr>
          <w:rtl/>
          <w:lang w:bidi="ar-SY"/>
        </w:rPr>
        <w:t xml:space="preserve">7 </w:t>
      </w:r>
      <w:dir w:val="rtl">
        <w:r w:rsidR="00D32D21" w:rsidRPr="00D32D21">
          <w:rPr>
            <w:rFonts w:hint="cs"/>
            <w:rtl/>
            <w:lang w:bidi="ar-SY"/>
          </w:rPr>
          <w:t>من</w:t>
        </w:r>
        <w:r w:rsidR="00D32D21" w:rsidRPr="00D32D21">
          <w:rPr>
            <w:rtl/>
            <w:lang w:bidi="ar-SY"/>
          </w:rPr>
          <w:t xml:space="preserve"> </w:t>
        </w:r>
        <w:r w:rsidR="00D32D21" w:rsidRPr="00D32D21">
          <w:rPr>
            <w:rFonts w:hint="cs"/>
            <w:rtl/>
            <w:lang w:bidi="ar-SY"/>
          </w:rPr>
          <w:t>دستور</w:t>
        </w:r>
        <w:r w:rsidR="00D32D21" w:rsidRPr="00D32D21">
          <w:rPr>
            <w:rtl/>
            <w:lang w:bidi="ar-SY"/>
          </w:rPr>
          <w:t xml:space="preserve"> </w:t>
        </w:r>
        <w:r w:rsidR="00D32D21" w:rsidRPr="00D32D21">
          <w:rPr>
            <w:rFonts w:hint="cs"/>
            <w:rtl/>
            <w:lang w:bidi="ar-SY"/>
          </w:rPr>
          <w:t>الاتحاد</w:t>
        </w:r>
        <w:r w:rsidR="00D32D21">
          <w:rPr>
            <w:rFonts w:hint="cs"/>
            <w:rtl/>
            <w:lang w:bidi="ar-SY"/>
          </w:rPr>
          <w:t>.</w:t>
        </w:r>
        <w:r w:rsidR="003522C3">
          <w:t>‬</w:t>
        </w:r>
        <w:r w:rsidR="00C90705">
          <w:t>‬</w:t>
        </w:r>
        <w:r w:rsidR="008C194E">
          <w:t>‬</w:t>
        </w:r>
        <w:r w:rsidR="001F30D6">
          <w:t>‬</w:t>
        </w:r>
        <w:r w:rsidR="009C5056">
          <w:t>‬</w:t>
        </w:r>
      </w:dir>
    </w:p>
    <w:p w14:paraId="7ABA656E" w14:textId="34CDD8F1" w:rsidR="00D32D21" w:rsidRDefault="00E02CF2" w:rsidP="00C87B1D">
      <w:pPr>
        <w:keepNext/>
        <w:keepLines/>
        <w:rPr>
          <w:rtl/>
          <w:lang w:bidi="ar-SY"/>
        </w:rPr>
      </w:pPr>
      <w:r>
        <w:rPr>
          <w:lang w:bidi="ar-SY"/>
        </w:rPr>
        <w:lastRenderedPageBreak/>
        <w:t>3.3</w:t>
      </w:r>
      <w:r>
        <w:rPr>
          <w:rtl/>
          <w:lang w:bidi="ar-SY"/>
        </w:rPr>
        <w:tab/>
      </w:r>
      <w:r w:rsidR="00D32D21">
        <w:rPr>
          <w:rFonts w:hint="cs"/>
          <w:rtl/>
          <w:lang w:bidi="ar-SY"/>
        </w:rPr>
        <w:t>ينبغي أن</w:t>
      </w:r>
      <w:r w:rsidR="00D32D21">
        <w:rPr>
          <w:rtl/>
          <w:lang w:bidi="ar-SY"/>
        </w:rPr>
        <w:t xml:space="preserve"> تركز خطة التحول على خطة تحويل الثقافة والمهارات </w:t>
      </w:r>
      <w:r w:rsidR="00D32D21">
        <w:rPr>
          <w:rFonts w:hint="cs"/>
          <w:rtl/>
          <w:lang w:bidi="ar-SY"/>
        </w:rPr>
        <w:t>و</w:t>
      </w:r>
      <w:r w:rsidR="00D32D21">
        <w:rPr>
          <w:rtl/>
          <w:lang w:bidi="ar-SY"/>
        </w:rPr>
        <w:t>أن تستند إلى أربعة مسارات رئيسية</w:t>
      </w:r>
      <w:r w:rsidR="0097321C">
        <w:rPr>
          <w:rFonts w:hint="cs"/>
          <w:rtl/>
          <w:lang w:bidi="ar-SY"/>
        </w:rPr>
        <w:t xml:space="preserve"> كما يلي</w:t>
      </w:r>
      <w:r w:rsidR="00D32D21">
        <w:rPr>
          <w:rtl/>
          <w:lang w:bidi="ar-SY"/>
        </w:rPr>
        <w:t>:</w:t>
      </w:r>
    </w:p>
    <w:p w14:paraId="75335407" w14:textId="58087336" w:rsidR="00E02CF2" w:rsidRDefault="00E02CF2" w:rsidP="00C87B1D">
      <w:pPr>
        <w:pStyle w:val="enumlev1"/>
        <w:keepNext/>
        <w:keepLines/>
        <w:rPr>
          <w:rtl/>
        </w:rPr>
      </w:pPr>
      <w:r>
        <w:rPr>
          <w:rFonts w:hint="cs"/>
          <w:rtl/>
        </w:rPr>
        <w:t>-</w:t>
      </w:r>
      <w:r>
        <w:rPr>
          <w:rtl/>
        </w:rPr>
        <w:tab/>
      </w:r>
      <w:r w:rsidR="00601C8A">
        <w:rPr>
          <w:rFonts w:hint="cs"/>
          <w:rtl/>
        </w:rPr>
        <w:t>التخطيط الاستراتيجي؛</w:t>
      </w:r>
    </w:p>
    <w:p w14:paraId="6010FB3B" w14:textId="4A141749" w:rsidR="00E02CF2" w:rsidRDefault="00E02CF2" w:rsidP="00E02CF2">
      <w:pPr>
        <w:pStyle w:val="enumlev1"/>
        <w:rPr>
          <w:rtl/>
        </w:rPr>
      </w:pPr>
      <w:r>
        <w:rPr>
          <w:rFonts w:hint="cs"/>
          <w:rtl/>
        </w:rPr>
        <w:t>-</w:t>
      </w:r>
      <w:r>
        <w:rPr>
          <w:rtl/>
        </w:rPr>
        <w:tab/>
      </w:r>
      <w:r w:rsidR="00601C8A">
        <w:rPr>
          <w:rFonts w:hint="cs"/>
          <w:rtl/>
        </w:rPr>
        <w:t>التحول الرقمي؛</w:t>
      </w:r>
    </w:p>
    <w:p w14:paraId="24043F1B" w14:textId="73EAF5D5" w:rsidR="00E02CF2" w:rsidRDefault="00E02CF2" w:rsidP="00E02CF2">
      <w:pPr>
        <w:pStyle w:val="enumlev1"/>
        <w:rPr>
          <w:rtl/>
        </w:rPr>
      </w:pPr>
      <w:r>
        <w:rPr>
          <w:rFonts w:hint="cs"/>
          <w:rtl/>
        </w:rPr>
        <w:t>-</w:t>
      </w:r>
      <w:r>
        <w:rPr>
          <w:rtl/>
        </w:rPr>
        <w:tab/>
      </w:r>
      <w:r w:rsidR="00601C8A">
        <w:rPr>
          <w:rFonts w:hint="cs"/>
          <w:rtl/>
        </w:rPr>
        <w:t>الابتكار؛</w:t>
      </w:r>
    </w:p>
    <w:p w14:paraId="5E6CAC49" w14:textId="60ECCB91" w:rsidR="00E02CF2" w:rsidRDefault="00E02CF2" w:rsidP="00E02CF2">
      <w:pPr>
        <w:pStyle w:val="enumlev1"/>
        <w:rPr>
          <w:rtl/>
        </w:rPr>
      </w:pPr>
      <w:r>
        <w:rPr>
          <w:rFonts w:hint="cs"/>
          <w:rtl/>
        </w:rPr>
        <w:t>-</w:t>
      </w:r>
      <w:r>
        <w:rPr>
          <w:rtl/>
        </w:rPr>
        <w:tab/>
      </w:r>
      <w:r w:rsidR="00601C8A">
        <w:rPr>
          <w:rFonts w:hint="cs"/>
          <w:rtl/>
        </w:rPr>
        <w:t>إدارة الموارد البشرية.</w:t>
      </w:r>
    </w:p>
    <w:p w14:paraId="570F55D8" w14:textId="4C802D8A" w:rsidR="00AE39A7" w:rsidRPr="00AE39A7" w:rsidRDefault="00AE39A7" w:rsidP="00AE39A7">
      <w:pPr>
        <w:rPr>
          <w:rtl/>
        </w:rPr>
      </w:pPr>
      <w:r>
        <w:rPr>
          <w:rFonts w:hint="cs"/>
          <w:rtl/>
        </w:rPr>
        <w:t>وأن تمتثل امتثالاً تاماً</w:t>
      </w:r>
      <w:r w:rsidRPr="00AE39A7">
        <w:rPr>
          <w:rtl/>
        </w:rPr>
        <w:t xml:space="preserve"> لأحكام دستور الاتحاد واتفاقيته، ولا سيما المادة 7 من الدستور (هيكل الاتحاد).</w:t>
      </w:r>
    </w:p>
    <w:p w14:paraId="23BF85C7" w14:textId="40158628" w:rsidR="009C782D" w:rsidRDefault="00E02CF2" w:rsidP="00327AB9">
      <w:pPr>
        <w:rPr>
          <w:rtl/>
          <w:lang w:bidi="ar-SY"/>
        </w:rPr>
      </w:pPr>
      <w:r>
        <w:t>4.3</w:t>
      </w:r>
      <w:r>
        <w:rPr>
          <w:rtl/>
          <w:lang w:bidi="ar-SY"/>
        </w:rPr>
        <w:tab/>
      </w:r>
      <w:r w:rsidR="009C782D">
        <w:rPr>
          <w:rtl/>
          <w:lang w:bidi="ar-SY"/>
        </w:rPr>
        <w:t xml:space="preserve">ينبغي إعادة تصنيف تقرير </w:t>
      </w:r>
      <w:r w:rsidR="009C782D" w:rsidRPr="00327AB9">
        <w:rPr>
          <w:rtl/>
          <w:lang w:bidi="ar-SY"/>
        </w:rPr>
        <w:t>الأمين</w:t>
      </w:r>
      <w:r w:rsidR="00C90705" w:rsidRPr="00327AB9">
        <w:rPr>
          <w:rFonts w:hint="cs"/>
          <w:rtl/>
          <w:lang w:bidi="ar-SY"/>
        </w:rPr>
        <w:t>ة</w:t>
      </w:r>
      <w:r w:rsidR="009C782D" w:rsidRPr="00327AB9">
        <w:rPr>
          <w:rtl/>
          <w:lang w:bidi="ar-SY"/>
        </w:rPr>
        <w:t xml:space="preserve"> العام</w:t>
      </w:r>
      <w:r w:rsidR="00C90705" w:rsidRPr="00327AB9">
        <w:rPr>
          <w:rFonts w:hint="cs"/>
          <w:rtl/>
          <w:lang w:bidi="ar-SY"/>
        </w:rPr>
        <w:t>ة</w:t>
      </w:r>
      <w:r w:rsidR="009C782D">
        <w:rPr>
          <w:rtl/>
          <w:lang w:bidi="ar-SY"/>
        </w:rPr>
        <w:t xml:space="preserve"> </w:t>
      </w:r>
      <w:r w:rsidR="00A80181">
        <w:rPr>
          <w:rFonts w:hint="cs"/>
          <w:rtl/>
          <w:lang w:bidi="ar-SY"/>
        </w:rPr>
        <w:t>بشأن</w:t>
      </w:r>
      <w:r w:rsidR="009C782D">
        <w:rPr>
          <w:rtl/>
          <w:lang w:bidi="ar-SY"/>
        </w:rPr>
        <w:t xml:space="preserve"> تسريع تنفيذ الخطة الاستراتيجية للاتحاد للفترة </w:t>
      </w:r>
      <w:r w:rsidR="009C782D">
        <w:rPr>
          <w:rFonts w:hint="cs"/>
          <w:rtl/>
          <w:lang w:bidi="ar-SY"/>
        </w:rPr>
        <w:t>2024-2027</w:t>
      </w:r>
      <w:r w:rsidR="009C782D">
        <w:rPr>
          <w:rtl/>
          <w:lang w:bidi="ar-SY"/>
        </w:rPr>
        <w:t xml:space="preserve"> (الوثيقة</w:t>
      </w:r>
      <w:r w:rsidR="00327AB9">
        <w:rPr>
          <w:rFonts w:hint="cs"/>
          <w:rtl/>
          <w:lang w:bidi="ar-SY"/>
        </w:rPr>
        <w:t> </w:t>
      </w:r>
      <w:hyperlink r:id="rId34" w:history="1">
        <w:r w:rsidR="00327AB9" w:rsidRPr="00327AB9">
          <w:rPr>
            <w:rStyle w:val="Hyperlink"/>
            <w:lang w:val="en-GB" w:bidi="ar-SY"/>
          </w:rPr>
          <w:t>C23/36</w:t>
        </w:r>
      </w:hyperlink>
      <w:r w:rsidR="009C782D">
        <w:rPr>
          <w:rtl/>
          <w:lang w:bidi="ar-SY"/>
        </w:rPr>
        <w:t>) من مساهمة ("</w:t>
      </w:r>
      <w:r w:rsidR="009C782D">
        <w:rPr>
          <w:lang w:bidi="ar-SY"/>
        </w:rPr>
        <w:t>C</w:t>
      </w:r>
      <w:r w:rsidR="009C782D">
        <w:rPr>
          <w:rtl/>
          <w:lang w:bidi="ar-SY"/>
        </w:rPr>
        <w:t xml:space="preserve">") </w:t>
      </w:r>
      <w:r w:rsidR="009C782D">
        <w:rPr>
          <w:rFonts w:hint="cs"/>
          <w:rtl/>
          <w:lang w:bidi="ar-SY"/>
        </w:rPr>
        <w:t>إلى</w:t>
      </w:r>
      <w:r w:rsidR="009C782D">
        <w:rPr>
          <w:rtl/>
          <w:lang w:bidi="ar-SY"/>
        </w:rPr>
        <w:t xml:space="preserve"> وثيقة </w:t>
      </w:r>
      <w:r w:rsidR="009C782D">
        <w:rPr>
          <w:rFonts w:hint="cs"/>
          <w:rtl/>
          <w:lang w:bidi="ar-SY"/>
        </w:rPr>
        <w:t>معلومات</w:t>
      </w:r>
      <w:r w:rsidR="009C782D">
        <w:rPr>
          <w:rtl/>
          <w:lang w:bidi="ar-SY"/>
        </w:rPr>
        <w:t xml:space="preserve"> ("</w:t>
      </w:r>
      <w:r w:rsidR="009C782D">
        <w:rPr>
          <w:lang w:bidi="ar-SY"/>
        </w:rPr>
        <w:t>INF</w:t>
      </w:r>
      <w:r w:rsidR="009C782D">
        <w:rPr>
          <w:rtl/>
          <w:lang w:bidi="ar-SY"/>
        </w:rPr>
        <w:t>").</w:t>
      </w:r>
    </w:p>
    <w:p w14:paraId="52C6D766" w14:textId="68E69E11" w:rsidR="00E02CF2" w:rsidRDefault="00E02CF2" w:rsidP="00327AB9">
      <w:pPr>
        <w:rPr>
          <w:rtl/>
          <w:lang w:bidi="ar-SY"/>
        </w:rPr>
      </w:pPr>
      <w:r>
        <w:rPr>
          <w:lang w:bidi="ar-SY"/>
        </w:rPr>
        <w:t>5.3</w:t>
      </w:r>
      <w:r>
        <w:rPr>
          <w:rtl/>
          <w:lang w:bidi="ar-SY"/>
        </w:rPr>
        <w:tab/>
      </w:r>
      <w:r w:rsidR="00304711">
        <w:rPr>
          <w:rFonts w:hint="cs"/>
          <w:rtl/>
          <w:lang w:bidi="ar-SY"/>
        </w:rPr>
        <w:t>ينبغي للأمين</w:t>
      </w:r>
      <w:r w:rsidR="0097321C">
        <w:rPr>
          <w:rFonts w:hint="cs"/>
          <w:rtl/>
          <w:lang w:bidi="ar-SY"/>
        </w:rPr>
        <w:t>ة</w:t>
      </w:r>
      <w:r w:rsidR="00304711">
        <w:rPr>
          <w:rFonts w:hint="cs"/>
          <w:rtl/>
          <w:lang w:bidi="ar-SY"/>
        </w:rPr>
        <w:t xml:space="preserve"> العام</w:t>
      </w:r>
      <w:r w:rsidR="0097321C">
        <w:rPr>
          <w:rFonts w:hint="cs"/>
          <w:rtl/>
          <w:lang w:bidi="ar-SY"/>
        </w:rPr>
        <w:t>ة</w:t>
      </w:r>
      <w:r w:rsidR="00304711">
        <w:rPr>
          <w:rFonts w:hint="cs"/>
          <w:rtl/>
          <w:lang w:bidi="ar-SY"/>
        </w:rPr>
        <w:t xml:space="preserve">، </w:t>
      </w:r>
      <w:r w:rsidR="0095156D" w:rsidRPr="0095156D">
        <w:rPr>
          <w:rtl/>
          <w:lang w:bidi="ar-SY"/>
        </w:rPr>
        <w:t>عند إعداد توصيات للمجلس بشأن إدخال تصويبات على الخطة الاستراتيجية والخطة المالية وفقا</w:t>
      </w:r>
      <w:r w:rsidR="00304711">
        <w:rPr>
          <w:rFonts w:hint="cs"/>
          <w:rtl/>
          <w:lang w:bidi="ar-SY"/>
        </w:rPr>
        <w:t>ً</w:t>
      </w:r>
      <w:r w:rsidR="0095156D" w:rsidRPr="0095156D">
        <w:rPr>
          <w:rtl/>
          <w:lang w:bidi="ar-SY"/>
        </w:rPr>
        <w:t xml:space="preserve"> للقرار 71، أن </w:t>
      </w:r>
      <w:r w:rsidR="0097321C">
        <w:rPr>
          <w:rFonts w:hint="cs"/>
          <w:rtl/>
          <w:lang w:bidi="ar-SY"/>
        </w:rPr>
        <w:t>تجري</w:t>
      </w:r>
      <w:r w:rsidR="0095156D" w:rsidRPr="0095156D">
        <w:rPr>
          <w:rtl/>
          <w:lang w:bidi="ar-SY"/>
        </w:rPr>
        <w:t xml:space="preserve"> مشاورات </w:t>
      </w:r>
      <w:r w:rsidR="00304711">
        <w:rPr>
          <w:rFonts w:hint="cs"/>
          <w:rtl/>
          <w:lang w:bidi="ar-SY"/>
        </w:rPr>
        <w:t>ليس</w:t>
      </w:r>
      <w:r w:rsidR="0095156D" w:rsidRPr="0095156D">
        <w:rPr>
          <w:rtl/>
          <w:lang w:bidi="ar-SY"/>
        </w:rPr>
        <w:t xml:space="preserve"> مع عدد محدود من الدول الأعضاء، على النحو الوارد في الوثيقة </w:t>
      </w:r>
      <w:hyperlink r:id="rId35" w:history="1">
        <w:r w:rsidR="00327AB9" w:rsidRPr="00327AB9">
          <w:rPr>
            <w:rStyle w:val="Hyperlink"/>
            <w:lang w:val="en-GB" w:bidi="ar-SY"/>
          </w:rPr>
          <w:t>C23/36</w:t>
        </w:r>
      </w:hyperlink>
      <w:r w:rsidR="0095156D" w:rsidRPr="0095156D">
        <w:rPr>
          <w:rtl/>
          <w:lang w:bidi="ar-SY"/>
        </w:rPr>
        <w:t xml:space="preserve">، بل على أساس واسع وشفاف، تشارك فيه غالبية الدول الأعضاء في الاتحاد </w:t>
      </w:r>
      <w:r w:rsidR="0095156D">
        <w:rPr>
          <w:rFonts w:hint="cs"/>
          <w:rtl/>
          <w:lang w:bidi="ar-SY"/>
        </w:rPr>
        <w:t>وفقاً</w:t>
      </w:r>
      <w:r w:rsidR="0095156D" w:rsidRPr="0095156D">
        <w:rPr>
          <w:rtl/>
          <w:lang w:bidi="ar-SY"/>
        </w:rPr>
        <w:t xml:space="preserve"> للرقم 28 من المادة 3 من دستور الاتحاد</w:t>
      </w:r>
      <w:r w:rsidR="0095156D">
        <w:rPr>
          <w:rFonts w:hint="cs"/>
          <w:rtl/>
          <w:lang w:bidi="ar-SY"/>
        </w:rPr>
        <w:t>.</w:t>
      </w:r>
      <w:r>
        <w:rPr>
          <w:rFonts w:hint="cs"/>
          <w:rtl/>
          <w:lang w:bidi="ar-SY"/>
        </w:rPr>
        <w:t xml:space="preserve"> </w:t>
      </w:r>
    </w:p>
    <w:p w14:paraId="3F97A9C2" w14:textId="7FCBF2E2" w:rsidR="0028259A" w:rsidRPr="0028259A" w:rsidRDefault="00E02CF2" w:rsidP="0028259A">
      <w:pPr>
        <w:rPr>
          <w:rtl/>
          <w:lang w:bidi="ar-SY"/>
        </w:rPr>
      </w:pPr>
      <w:r>
        <w:rPr>
          <w:lang w:bidi="ar-SY"/>
        </w:rPr>
        <w:t>6.3</w:t>
      </w:r>
      <w:r>
        <w:rPr>
          <w:rtl/>
          <w:lang w:bidi="ar-SY"/>
        </w:rPr>
        <w:tab/>
      </w:r>
      <w:r w:rsidR="0028259A" w:rsidRPr="00327AB9">
        <w:rPr>
          <w:spacing w:val="-4"/>
          <w:rtl/>
          <w:lang w:bidi="ar-SY"/>
        </w:rPr>
        <w:t xml:space="preserve">لتعزيز الدور القيادي للاتحاد والاستدامة المالية للاتحاد، ينبغي تركيز الجهود على تحسين كفاءة أنشطة الاتحاد </w:t>
      </w:r>
      <w:r w:rsidR="0028259A" w:rsidRPr="00327AB9">
        <w:rPr>
          <w:rFonts w:hint="cs"/>
          <w:spacing w:val="-4"/>
          <w:rtl/>
          <w:lang w:bidi="ar-SY"/>
        </w:rPr>
        <w:t>بل و</w:t>
      </w:r>
      <w:r w:rsidR="005B4DEF" w:rsidRPr="00327AB9">
        <w:rPr>
          <w:rFonts w:hint="cs"/>
          <w:spacing w:val="-4"/>
          <w:rtl/>
          <w:lang w:bidi="ar-SY"/>
        </w:rPr>
        <w:t xml:space="preserve">أيضاً </w:t>
      </w:r>
      <w:r w:rsidR="0028259A" w:rsidRPr="00327AB9">
        <w:rPr>
          <w:spacing w:val="-4"/>
          <w:rtl/>
          <w:lang w:bidi="ar-SY"/>
        </w:rPr>
        <w:t xml:space="preserve">توسيع </w:t>
      </w:r>
      <w:r w:rsidR="00A17BF4" w:rsidRPr="00327AB9">
        <w:rPr>
          <w:rFonts w:hint="cs"/>
          <w:spacing w:val="-4"/>
          <w:rtl/>
          <w:lang w:bidi="ar-SY"/>
        </w:rPr>
        <w:t>نطاق</w:t>
      </w:r>
      <w:r w:rsidR="00865719" w:rsidRPr="00327AB9">
        <w:rPr>
          <w:rFonts w:hint="cs"/>
          <w:spacing w:val="-4"/>
          <w:rtl/>
          <w:lang w:bidi="ar-SY"/>
        </w:rPr>
        <w:t xml:space="preserve"> </w:t>
      </w:r>
      <w:r w:rsidR="0028259A" w:rsidRPr="00327AB9">
        <w:rPr>
          <w:spacing w:val="-4"/>
          <w:rtl/>
          <w:lang w:bidi="ar-SY"/>
        </w:rPr>
        <w:t xml:space="preserve">منتجات الاتحاد وخدماته </w:t>
      </w:r>
      <w:r w:rsidR="005B4DEF" w:rsidRPr="00327AB9">
        <w:rPr>
          <w:rFonts w:hint="cs"/>
          <w:spacing w:val="-4"/>
          <w:rtl/>
          <w:lang w:bidi="ar-SY"/>
        </w:rPr>
        <w:t>المقدمة</w:t>
      </w:r>
      <w:r w:rsidR="0028259A" w:rsidRPr="00327AB9">
        <w:rPr>
          <w:spacing w:val="-4"/>
          <w:rtl/>
          <w:lang w:bidi="ar-SY"/>
        </w:rPr>
        <w:t xml:space="preserve"> لدعم عمل الاتحاد في إطار أولوياته المواضيعية وتحسين جودتها (القرار</w:t>
      </w:r>
      <w:r w:rsidR="00327AB9" w:rsidRPr="00327AB9">
        <w:rPr>
          <w:rFonts w:hint="cs"/>
          <w:spacing w:val="-4"/>
          <w:rtl/>
          <w:lang w:bidi="ar-SY"/>
        </w:rPr>
        <w:t> </w:t>
      </w:r>
      <w:r w:rsidR="0028259A" w:rsidRPr="00327AB9">
        <w:rPr>
          <w:spacing w:val="-4"/>
          <w:rtl/>
          <w:lang w:bidi="ar-SY"/>
        </w:rPr>
        <w:t>71)</w:t>
      </w:r>
      <w:r w:rsidR="00851E3D" w:rsidRPr="00327AB9">
        <w:rPr>
          <w:rFonts w:hint="cs"/>
          <w:spacing w:val="-4"/>
          <w:rtl/>
          <w:lang w:bidi="ar-SY"/>
        </w:rPr>
        <w:t>.</w:t>
      </w:r>
    </w:p>
    <w:p w14:paraId="17153C4E" w14:textId="1B01F717" w:rsidR="00552B15" w:rsidRPr="00552B15" w:rsidRDefault="00E02CF2" w:rsidP="00552B15">
      <w:pPr>
        <w:rPr>
          <w:rtl/>
          <w:lang w:bidi="ar-SY"/>
        </w:rPr>
      </w:pPr>
      <w:r>
        <w:rPr>
          <w:lang w:bidi="ar-SY"/>
        </w:rPr>
        <w:t>7.3</w:t>
      </w:r>
      <w:r>
        <w:rPr>
          <w:rtl/>
          <w:lang w:bidi="ar-SY"/>
        </w:rPr>
        <w:tab/>
      </w:r>
      <w:r w:rsidR="00552B15" w:rsidRPr="00552B15">
        <w:rPr>
          <w:rtl/>
          <w:lang w:bidi="ar-SY"/>
        </w:rPr>
        <w:t xml:space="preserve">وينبغي الاعتراف بأنه من غير المستصوب زيادة النفقات </w:t>
      </w:r>
      <w:r w:rsidR="003E6BB0">
        <w:rPr>
          <w:rFonts w:hint="cs"/>
          <w:rtl/>
          <w:lang w:bidi="ar-SY"/>
        </w:rPr>
        <w:t>ب</w:t>
      </w:r>
      <w:r w:rsidR="00552B15" w:rsidRPr="00552B15">
        <w:rPr>
          <w:rtl/>
          <w:lang w:bidi="ar-SY"/>
        </w:rPr>
        <w:t>غرض إنشاء وحدات تنظيمية جديدة:</w:t>
      </w:r>
    </w:p>
    <w:p w14:paraId="1DC91914" w14:textId="7D3BD4C1" w:rsidR="00E02CF2" w:rsidRDefault="00E02CF2" w:rsidP="00327AB9">
      <w:pPr>
        <w:pStyle w:val="enumlev1"/>
        <w:rPr>
          <w:rtl/>
        </w:rPr>
      </w:pPr>
      <w:r>
        <w:rPr>
          <w:rFonts w:hint="cs"/>
          <w:rtl/>
        </w:rPr>
        <w:t>-</w:t>
      </w:r>
      <w:r>
        <w:rPr>
          <w:rtl/>
        </w:rPr>
        <w:tab/>
      </w:r>
      <w:r w:rsidR="003E6BB0" w:rsidRPr="003E6BB0">
        <w:rPr>
          <w:rtl/>
        </w:rPr>
        <w:t xml:space="preserve">وحدة تحويل يرأسها مدير برتبة </w:t>
      </w:r>
      <w:r w:rsidR="00801987">
        <w:t>D1</w:t>
      </w:r>
      <w:r w:rsidR="003E6BB0" w:rsidRPr="003E6BB0">
        <w:rPr>
          <w:rtl/>
        </w:rPr>
        <w:t xml:space="preserve">، بميزانية سنوية قدرها </w:t>
      </w:r>
      <w:r w:rsidR="003E6BB0">
        <w:t>900 000</w:t>
      </w:r>
      <w:r w:rsidR="003E6BB0" w:rsidRPr="003E6BB0">
        <w:rPr>
          <w:rtl/>
        </w:rPr>
        <w:t xml:space="preserve"> فرنك سويسري</w:t>
      </w:r>
      <w:r>
        <w:rPr>
          <w:rFonts w:hint="cs"/>
          <w:rtl/>
        </w:rPr>
        <w:t>؛</w:t>
      </w:r>
    </w:p>
    <w:p w14:paraId="6C23A16B" w14:textId="38D0C8F0" w:rsidR="00764E4C" w:rsidRPr="00254F31" w:rsidRDefault="00E02CF2" w:rsidP="00327AB9">
      <w:pPr>
        <w:pStyle w:val="enumlev1"/>
        <w:rPr>
          <w:rtl/>
        </w:rPr>
      </w:pPr>
      <w:r>
        <w:rPr>
          <w:rFonts w:hint="cs"/>
          <w:rtl/>
        </w:rPr>
        <w:t>-</w:t>
      </w:r>
      <w:r>
        <w:rPr>
          <w:rtl/>
        </w:rPr>
        <w:tab/>
      </w:r>
      <w:r w:rsidR="00764E4C" w:rsidRPr="005B556F">
        <w:rPr>
          <w:rtl/>
        </w:rPr>
        <w:t xml:space="preserve">وحدة رقابة </w:t>
      </w:r>
      <w:r w:rsidR="008354B8">
        <w:rPr>
          <w:rFonts w:hint="cs"/>
          <w:rtl/>
        </w:rPr>
        <w:t>ب</w:t>
      </w:r>
      <w:r w:rsidR="005B556F">
        <w:rPr>
          <w:rFonts w:hint="cs"/>
          <w:rtl/>
        </w:rPr>
        <w:t>منصب</w:t>
      </w:r>
      <w:r w:rsidR="00764E4C" w:rsidRPr="005B556F">
        <w:rPr>
          <w:rtl/>
        </w:rPr>
        <w:t xml:space="preserve"> رئيس </w:t>
      </w:r>
      <w:r w:rsidR="008354B8">
        <w:rPr>
          <w:rFonts w:hint="cs"/>
          <w:rtl/>
        </w:rPr>
        <w:t>برتبة</w:t>
      </w:r>
      <w:r w:rsidR="00764E4C" w:rsidRPr="005B556F">
        <w:rPr>
          <w:rtl/>
        </w:rPr>
        <w:t xml:space="preserve"> </w:t>
      </w:r>
      <w:r w:rsidR="00764E4C" w:rsidRPr="005B556F">
        <w:t>D1</w:t>
      </w:r>
      <w:r w:rsidR="00764E4C" w:rsidRPr="005B556F">
        <w:rPr>
          <w:rtl/>
        </w:rPr>
        <w:t xml:space="preserve">، </w:t>
      </w:r>
      <w:r w:rsidR="00764E4C" w:rsidRPr="005B556F">
        <w:rPr>
          <w:rFonts w:hint="cs"/>
          <w:rtl/>
        </w:rPr>
        <w:t>تتطلب</w:t>
      </w:r>
      <w:r w:rsidR="001F2FE6">
        <w:rPr>
          <w:rFonts w:hint="cs"/>
          <w:rtl/>
        </w:rPr>
        <w:t xml:space="preserve"> بالإضافة إلى ذلك</w:t>
      </w:r>
      <w:r w:rsidR="00764E4C" w:rsidRPr="005B556F">
        <w:rPr>
          <w:rtl/>
        </w:rPr>
        <w:t xml:space="preserve"> حوالي </w:t>
      </w:r>
      <w:r w:rsidR="00764E4C" w:rsidRPr="005B556F">
        <w:t>280 000</w:t>
      </w:r>
      <w:r w:rsidR="00764E4C" w:rsidRPr="005B556F">
        <w:rPr>
          <w:rtl/>
        </w:rPr>
        <w:t xml:space="preserve"> فرنك سويسري</w:t>
      </w:r>
      <w:r w:rsidR="00D16E74" w:rsidRPr="005B556F">
        <w:rPr>
          <w:rFonts w:hint="cs"/>
          <w:rtl/>
        </w:rPr>
        <w:t xml:space="preserve"> </w:t>
      </w:r>
      <w:r w:rsidR="001F2FE6">
        <w:rPr>
          <w:rFonts w:hint="cs"/>
          <w:rtl/>
        </w:rPr>
        <w:t>سنوياً</w:t>
      </w:r>
      <w:r w:rsidR="00764E4C" w:rsidRPr="005B556F">
        <w:rPr>
          <w:rtl/>
        </w:rPr>
        <w:t xml:space="preserve">، في وقت </w:t>
      </w:r>
      <w:r w:rsidR="005B556F">
        <w:rPr>
          <w:rFonts w:hint="cs"/>
          <w:rtl/>
        </w:rPr>
        <w:t>يكون فيه</w:t>
      </w:r>
      <w:r w:rsidR="00764E4C" w:rsidRPr="005B556F">
        <w:rPr>
          <w:rtl/>
        </w:rPr>
        <w:t xml:space="preserve"> تمويل أنشطة الولايات الأساسية للاتحاد</w:t>
      </w:r>
      <w:r w:rsidR="005B556F">
        <w:rPr>
          <w:rFonts w:hint="cs"/>
          <w:rtl/>
        </w:rPr>
        <w:t xml:space="preserve"> </w:t>
      </w:r>
      <w:r w:rsidR="00764E4C" w:rsidRPr="005B556F">
        <w:rPr>
          <w:rtl/>
        </w:rPr>
        <w:t>بموجب المادة 1 من دستور الاتحاد،</w:t>
      </w:r>
      <w:r w:rsidR="005B556F" w:rsidRPr="005B556F">
        <w:rPr>
          <w:rFonts w:hint="cs"/>
          <w:rtl/>
        </w:rPr>
        <w:t xml:space="preserve"> </w:t>
      </w:r>
      <w:r w:rsidR="005B556F">
        <w:rPr>
          <w:rFonts w:hint="cs"/>
          <w:rtl/>
        </w:rPr>
        <w:t>غير كافٍ،</w:t>
      </w:r>
      <w:r w:rsidR="00764E4C" w:rsidRPr="005B556F">
        <w:rPr>
          <w:rtl/>
        </w:rPr>
        <w:t xml:space="preserve"> </w:t>
      </w:r>
      <w:r w:rsidR="003522C3">
        <w:rPr>
          <w:rFonts w:hint="cs"/>
          <w:rtl/>
        </w:rPr>
        <w:t>كما هو الحال بالنسبة إلى</w:t>
      </w:r>
      <w:r w:rsidR="00764E4C" w:rsidRPr="005B556F">
        <w:rPr>
          <w:rtl/>
        </w:rPr>
        <w:t xml:space="preserve"> التمويل اللازم لتنفيذ مشروع تشييد مبنى جديد لمقر الاتحاد</w:t>
      </w:r>
      <w:r w:rsidR="00254F31" w:rsidRPr="005B556F">
        <w:rPr>
          <w:rFonts w:hint="cs"/>
          <w:rtl/>
        </w:rPr>
        <w:t xml:space="preserve"> (الوثيقة </w:t>
      </w:r>
      <w:hyperlink r:id="rId36" w:history="1">
        <w:r w:rsidR="00254F31" w:rsidRPr="005B556F">
          <w:rPr>
            <w:rStyle w:val="Hyperlink"/>
            <w:szCs w:val="24"/>
          </w:rPr>
          <w:t>C23/7</w:t>
        </w:r>
      </w:hyperlink>
      <w:r w:rsidR="00254F31" w:rsidRPr="005B556F">
        <w:rPr>
          <w:rFonts w:hint="cs"/>
          <w:rtl/>
        </w:rPr>
        <w:t>).</w:t>
      </w:r>
    </w:p>
    <w:p w14:paraId="29A7705C" w14:textId="23932349" w:rsidR="00F50E3F" w:rsidRDefault="00E02CF2" w:rsidP="00E02CF2">
      <w:pPr>
        <w:rPr>
          <w:rtl/>
          <w:lang w:bidi="ar-SY"/>
        </w:rPr>
      </w:pPr>
      <w:r>
        <w:rPr>
          <w:lang w:bidi="ar-SY"/>
        </w:rPr>
        <w:t>8.3</w:t>
      </w:r>
      <w:r>
        <w:rPr>
          <w:rtl/>
          <w:lang w:bidi="ar-SY"/>
        </w:rPr>
        <w:tab/>
      </w:r>
      <w:r w:rsidR="005B556F">
        <w:rPr>
          <w:rFonts w:hint="cs"/>
          <w:rtl/>
          <w:lang w:bidi="ar-SY"/>
        </w:rPr>
        <w:t>نظراً</w:t>
      </w:r>
      <w:r w:rsidR="005B556F" w:rsidRPr="005B556F">
        <w:rPr>
          <w:rtl/>
          <w:lang w:bidi="ar-SY"/>
        </w:rPr>
        <w:t xml:space="preserve"> إلى الصعوبات المالية الحالية المذكورة في الفقرة 7.3 أعلاه، فإن إنشاء وحدة رقابة </w:t>
      </w:r>
      <w:r w:rsidR="008354B8">
        <w:rPr>
          <w:rFonts w:hint="cs"/>
          <w:rtl/>
          <w:lang w:bidi="ar-SY"/>
        </w:rPr>
        <w:t>ب</w:t>
      </w:r>
      <w:r w:rsidR="005B556F">
        <w:rPr>
          <w:rFonts w:hint="cs"/>
          <w:rtl/>
          <w:lang w:bidi="ar-SY"/>
        </w:rPr>
        <w:t>منصب</w:t>
      </w:r>
      <w:r w:rsidR="005B556F" w:rsidRPr="005B556F">
        <w:rPr>
          <w:rtl/>
          <w:lang w:bidi="ar-SY"/>
        </w:rPr>
        <w:t xml:space="preserve"> رئيس برتبة </w:t>
      </w:r>
      <w:r w:rsidR="005B556F" w:rsidRPr="005B556F">
        <w:t>D1</w:t>
      </w:r>
      <w:r w:rsidR="005B556F" w:rsidRPr="005B556F">
        <w:rPr>
          <w:rtl/>
          <w:lang w:bidi="ar-SY"/>
        </w:rPr>
        <w:t xml:space="preserve">، سيتطلب </w:t>
      </w:r>
      <w:r w:rsidR="008354B8">
        <w:rPr>
          <w:rFonts w:hint="cs"/>
          <w:rtl/>
          <w:lang w:bidi="ar-SY"/>
        </w:rPr>
        <w:t>إثباتات إضافية</w:t>
      </w:r>
      <w:r w:rsidR="005B556F" w:rsidRPr="005B556F">
        <w:rPr>
          <w:rtl/>
          <w:lang w:bidi="ar-SY"/>
        </w:rPr>
        <w:t xml:space="preserve"> </w:t>
      </w:r>
      <w:r w:rsidR="005B556F">
        <w:rPr>
          <w:rFonts w:hint="cs"/>
          <w:rtl/>
          <w:lang w:bidi="ar-SY"/>
        </w:rPr>
        <w:t>وينبغي ألا يتم</w:t>
      </w:r>
      <w:r w:rsidR="005B556F" w:rsidRPr="005B556F">
        <w:rPr>
          <w:rtl/>
          <w:lang w:bidi="ar-SY"/>
        </w:rPr>
        <w:t xml:space="preserve"> إلا باستخدام الموارد الموجودة، في حدود ميزانية الأمانة العامة.</w:t>
      </w:r>
    </w:p>
    <w:p w14:paraId="6BCBD832" w14:textId="3F545451" w:rsidR="008A03B3" w:rsidRPr="008A03B3" w:rsidRDefault="008A03B3" w:rsidP="008A03B3">
      <w:pPr>
        <w:rPr>
          <w:rtl/>
          <w:lang w:bidi="ar-SY"/>
        </w:rPr>
      </w:pPr>
      <w:r>
        <w:rPr>
          <w:lang w:bidi="ar-SY"/>
        </w:rPr>
        <w:t>9.3</w:t>
      </w:r>
      <w:r>
        <w:rPr>
          <w:rtl/>
          <w:lang w:bidi="ar-SY"/>
        </w:rPr>
        <w:tab/>
      </w:r>
      <w:r w:rsidRPr="008A03B3">
        <w:rPr>
          <w:rtl/>
          <w:lang w:bidi="ar-SY"/>
        </w:rPr>
        <w:t xml:space="preserve">عند إعداد الوثائق (الخطط وخرائط الطريق والتوصيات المقدمة إلى المجلس وما إلى ذلك) بشأن تحقيق </w:t>
      </w:r>
      <w:r w:rsidR="00C90705" w:rsidRPr="00327AB9">
        <w:rPr>
          <w:rFonts w:hint="cs"/>
          <w:rtl/>
          <w:lang w:bidi="ar-SY"/>
        </w:rPr>
        <w:t>الغايات</w:t>
      </w:r>
      <w:r w:rsidRPr="008A03B3">
        <w:rPr>
          <w:rtl/>
          <w:lang w:bidi="ar-SY"/>
        </w:rPr>
        <w:t xml:space="preserve"> الاستراتيجية للاتحاد في إطار الخطة الاستراتيجية للاتحاد للفترة </w:t>
      </w:r>
      <w:r w:rsidR="00397F58">
        <w:rPr>
          <w:rFonts w:hint="cs"/>
          <w:rtl/>
          <w:lang w:bidi="ar-SY"/>
        </w:rPr>
        <w:t>2024-2027</w:t>
      </w:r>
      <w:r w:rsidRPr="008A03B3">
        <w:rPr>
          <w:rtl/>
          <w:lang w:bidi="ar-SY"/>
        </w:rPr>
        <w:t>، ينبغي للأمين</w:t>
      </w:r>
      <w:r w:rsidR="0097321C">
        <w:rPr>
          <w:rFonts w:hint="cs"/>
          <w:rtl/>
          <w:lang w:bidi="ar-SY"/>
        </w:rPr>
        <w:t>ة</w:t>
      </w:r>
      <w:r w:rsidRPr="008A03B3">
        <w:rPr>
          <w:rtl/>
          <w:lang w:bidi="ar-SY"/>
        </w:rPr>
        <w:t xml:space="preserve"> العام</w:t>
      </w:r>
      <w:r w:rsidR="0097321C">
        <w:rPr>
          <w:rFonts w:hint="cs"/>
          <w:rtl/>
          <w:lang w:bidi="ar-SY"/>
        </w:rPr>
        <w:t>ة</w:t>
      </w:r>
      <w:r w:rsidRPr="008A03B3">
        <w:rPr>
          <w:rtl/>
          <w:lang w:bidi="ar-SY"/>
        </w:rPr>
        <w:t xml:space="preserve"> أن </w:t>
      </w:r>
      <w:r w:rsidR="0097321C">
        <w:rPr>
          <w:rFonts w:hint="cs"/>
          <w:rtl/>
          <w:lang w:bidi="ar-SY"/>
        </w:rPr>
        <w:t>ت</w:t>
      </w:r>
      <w:r w:rsidRPr="008A03B3">
        <w:rPr>
          <w:rtl/>
          <w:lang w:bidi="ar-SY"/>
        </w:rPr>
        <w:t>سترشد بدور الاتحاد في</w:t>
      </w:r>
      <w:r w:rsidR="00327AB9">
        <w:rPr>
          <w:rFonts w:hint="cs"/>
          <w:rtl/>
          <w:lang w:bidi="ar-SY"/>
        </w:rPr>
        <w:t> </w:t>
      </w:r>
      <w:r w:rsidRPr="008A03B3">
        <w:rPr>
          <w:rtl/>
          <w:lang w:bidi="ar-SY"/>
        </w:rPr>
        <w:t xml:space="preserve">تعزيز مساهمة الاتحاد في إحراز </w:t>
      </w:r>
      <w:r w:rsidR="00397F58">
        <w:rPr>
          <w:rFonts w:hint="cs"/>
          <w:rtl/>
          <w:lang w:bidi="ar-SY"/>
        </w:rPr>
        <w:t>ال</w:t>
      </w:r>
      <w:r w:rsidRPr="008A03B3">
        <w:rPr>
          <w:rtl/>
          <w:lang w:bidi="ar-SY"/>
        </w:rPr>
        <w:t>تقدم في تنفيذ خطوط عمل القمة العالمية لمجتمع المعلومات وخطة التنمية المستدامة لعام</w:t>
      </w:r>
      <w:r w:rsidR="00327AB9">
        <w:rPr>
          <w:rFonts w:hint="cs"/>
          <w:rtl/>
          <w:lang w:bidi="ar-SY"/>
        </w:rPr>
        <w:t> </w:t>
      </w:r>
      <w:r w:rsidRPr="008A03B3">
        <w:rPr>
          <w:rtl/>
          <w:lang w:bidi="ar-SY"/>
        </w:rPr>
        <w:t>2030</w:t>
      </w:r>
      <w:r w:rsidR="00397F58">
        <w:rPr>
          <w:rFonts w:hint="cs"/>
          <w:rtl/>
          <w:lang w:bidi="ar-SY"/>
        </w:rPr>
        <w:t>.</w:t>
      </w:r>
    </w:p>
    <w:p w14:paraId="178E4780" w14:textId="77777777" w:rsidR="00F50E3F" w:rsidRDefault="00D63735" w:rsidP="00D63735">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F50E3F" w:rsidSect="006C3242">
      <w:headerReference w:type="even" r:id="rId37"/>
      <w:headerReference w:type="default" r:id="rId38"/>
      <w:footerReference w:type="even" r:id="rId39"/>
      <w:footerReference w:type="default" r:id="rId40"/>
      <w:headerReference w:type="first" r:id="rId41"/>
      <w:footerReference w:type="first" r:id="rId4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735B8" w14:textId="77777777" w:rsidR="00930C95" w:rsidRDefault="00930C95" w:rsidP="006C3242">
      <w:pPr>
        <w:spacing w:before="0" w:line="240" w:lineRule="auto"/>
      </w:pPr>
      <w:r>
        <w:separator/>
      </w:r>
    </w:p>
  </w:endnote>
  <w:endnote w:type="continuationSeparator" w:id="0">
    <w:p w14:paraId="0831A1FA" w14:textId="77777777" w:rsidR="00930C95" w:rsidRDefault="00930C95"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B2"/>
    <w:family w:val="roman"/>
    <w:pitch w:val="variable"/>
    <w:sig w:usb0="00002003" w:usb1="80000000" w:usb2="00000008" w:usb3="00000000" w:csb0="0000004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2BFE0" w14:textId="77777777" w:rsidR="00486D58" w:rsidRDefault="00486D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F50E3F" w:rsidRPr="007B0AA0" w14:paraId="61028128" w14:textId="77777777" w:rsidTr="00357086">
      <w:trPr>
        <w:jc w:val="center"/>
      </w:trPr>
      <w:tc>
        <w:tcPr>
          <w:tcW w:w="868" w:type="pct"/>
          <w:vAlign w:val="center"/>
        </w:tcPr>
        <w:p w14:paraId="23615DC1" w14:textId="154CF26B" w:rsidR="00F50E3F" w:rsidRPr="007B0AA0" w:rsidRDefault="00F50E3F" w:rsidP="00750D58">
          <w:pPr>
            <w:tabs>
              <w:tab w:val="clear" w:pos="794"/>
            </w:tabs>
            <w:overflowPunct w:val="0"/>
            <w:autoSpaceDE w:val="0"/>
            <w:autoSpaceDN w:val="0"/>
            <w:bidi w:val="0"/>
            <w:adjustRightInd w:val="0"/>
            <w:spacing w:after="120" w:line="240" w:lineRule="auto"/>
            <w:jc w:val="right"/>
            <w:textAlignment w:val="baseline"/>
            <w:rPr>
              <w:rFonts w:ascii="Calibri" w:hAnsi="Calibri" w:cs="Arial"/>
              <w:noProof/>
              <w:sz w:val="18"/>
            </w:rPr>
          </w:pPr>
          <w:r w:rsidRPr="00F50E3F">
            <w:rPr>
              <w:rFonts w:ascii="Calibri" w:hAnsi="Calibri" w:cs="Arial"/>
              <w:sz w:val="18"/>
              <w:szCs w:val="14"/>
            </w:rPr>
            <w:t xml:space="preserve">DPS </w:t>
          </w:r>
          <w:r w:rsidR="00930C95">
            <w:rPr>
              <w:rFonts w:ascii="Calibri" w:hAnsi="Calibri" w:cs="Arial"/>
              <w:sz w:val="18"/>
              <w:szCs w:val="14"/>
            </w:rPr>
            <w:t>525361</w:t>
          </w:r>
        </w:p>
      </w:tc>
      <w:tc>
        <w:tcPr>
          <w:tcW w:w="3912" w:type="pct"/>
        </w:tcPr>
        <w:p w14:paraId="6956746D" w14:textId="12156C18" w:rsidR="00F50E3F" w:rsidRPr="007B0AA0" w:rsidRDefault="00F50E3F"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C23/</w:t>
          </w:r>
          <w:r w:rsidR="00930C95">
            <w:rPr>
              <w:rFonts w:ascii="Calibri" w:hAnsi="Calibri" w:cs="Arial"/>
              <w:bCs/>
              <w:color w:val="7F7F7F"/>
              <w:sz w:val="18"/>
            </w:rPr>
            <w:t>90</w:t>
          </w:r>
          <w:r w:rsidRPr="007B0AA0">
            <w:rPr>
              <w:rFonts w:ascii="Calibri" w:hAnsi="Calibri" w:cs="Arial"/>
              <w:bCs/>
              <w:color w:val="7F7F7F"/>
              <w:sz w:val="18"/>
            </w:rPr>
            <w:t>-</w:t>
          </w:r>
          <w:r>
            <w:rPr>
              <w:rFonts w:ascii="Calibri" w:hAnsi="Calibri" w:cs="Arial"/>
              <w:bCs/>
              <w:color w:val="7F7F7F"/>
              <w:sz w:val="18"/>
            </w:rPr>
            <w:t>A</w:t>
          </w:r>
        </w:p>
      </w:tc>
      <w:tc>
        <w:tcPr>
          <w:tcW w:w="220" w:type="pct"/>
        </w:tcPr>
        <w:p w14:paraId="34BD6618" w14:textId="77777777" w:rsidR="00F50E3F" w:rsidRPr="007B0AA0" w:rsidRDefault="00F50E3F"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3821BE96" w14:textId="5E3D6C65" w:rsidR="006C3242" w:rsidRPr="0026373E" w:rsidRDefault="006C3242" w:rsidP="00FE5872">
    <w:pPr>
      <w:pStyle w:val="Footer"/>
      <w:tabs>
        <w:tab w:val="clear" w:pos="4153"/>
        <w:tab w:val="clear" w:pos="8306"/>
        <w:tab w:val="center" w:pos="5103"/>
        <w:tab w:val="right" w:pos="9639"/>
      </w:tabs>
      <w:spacing w:before="120"/>
      <w:rPr>
        <w:sz w:val="16"/>
        <w:szCs w:val="16"/>
        <w:lang w:val="fr-FR"/>
      </w:rPr>
    </w:pPr>
    <w:r w:rsidRPr="00507241">
      <w:rPr>
        <w:color w:val="F2F2F2" w:themeColor="background1" w:themeShade="F2"/>
        <w:sz w:val="16"/>
        <w:szCs w:val="16"/>
        <w:lang w:val="fr-FR"/>
      </w:rPr>
      <w:fldChar w:fldCharType="begin"/>
    </w:r>
    <w:r w:rsidRPr="00507241">
      <w:rPr>
        <w:color w:val="F2F2F2" w:themeColor="background1" w:themeShade="F2"/>
        <w:sz w:val="16"/>
        <w:szCs w:val="16"/>
        <w:lang w:val="fr-FR"/>
      </w:rPr>
      <w:instrText xml:space="preserve"> FILENAME \p \* MERGEFORMAT </w:instrText>
    </w:r>
    <w:r w:rsidRPr="00507241">
      <w:rPr>
        <w:color w:val="F2F2F2" w:themeColor="background1" w:themeShade="F2"/>
        <w:sz w:val="16"/>
        <w:szCs w:val="16"/>
        <w:lang w:val="fr-FR"/>
      </w:rPr>
      <w:fldChar w:fldCharType="separate"/>
    </w:r>
    <w:r w:rsidR="009C7F6F" w:rsidRPr="00507241">
      <w:rPr>
        <w:noProof/>
        <w:color w:val="F2F2F2" w:themeColor="background1" w:themeShade="F2"/>
        <w:sz w:val="16"/>
        <w:szCs w:val="16"/>
        <w:lang w:val="fr-FR"/>
      </w:rPr>
      <w:t>P:\ARA\SG\CONSEIL\C23\000\090A.docx</w:t>
    </w:r>
    <w:r w:rsidRPr="00507241">
      <w:rPr>
        <w:color w:val="F2F2F2" w:themeColor="background1" w:themeShade="F2"/>
        <w:sz w:val="16"/>
        <w:szCs w:val="16"/>
      </w:rPr>
      <w:fldChar w:fldCharType="end"/>
    </w:r>
    <w:r w:rsidRPr="00507241">
      <w:rPr>
        <w:color w:val="F2F2F2" w:themeColor="background1" w:themeShade="F2"/>
        <w:sz w:val="16"/>
        <w:szCs w:val="16"/>
        <w:lang w:val="fr-CH"/>
      </w:rPr>
      <w:t xml:space="preserve">  </w:t>
    </w:r>
    <w:r w:rsidRPr="00507241">
      <w:rPr>
        <w:color w:val="F2F2F2" w:themeColor="background1" w:themeShade="F2"/>
        <w:sz w:val="16"/>
        <w:szCs w:val="16"/>
        <w:lang w:val="fr-FR"/>
      </w:rPr>
      <w:t xml:space="preserve"> (</w:t>
    </w:r>
    <w:r w:rsidR="00930C95" w:rsidRPr="00507241">
      <w:rPr>
        <w:color w:val="F2F2F2" w:themeColor="background1" w:themeShade="F2"/>
        <w:sz w:val="16"/>
        <w:szCs w:val="16"/>
        <w:lang w:val="fr-FR"/>
      </w:rPr>
      <w:t>525361</w:t>
    </w:r>
    <w:r w:rsidRPr="00507241">
      <w:rPr>
        <w:color w:val="F2F2F2" w:themeColor="background1" w:themeShade="F2"/>
        <w:sz w:val="16"/>
        <w:szCs w:val="16"/>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7541"/>
      <w:gridCol w:w="424"/>
    </w:tblGrid>
    <w:tr w:rsidR="007B0AA0" w:rsidRPr="007B0AA0" w14:paraId="51E9042B" w14:textId="77777777" w:rsidTr="00F50E3F">
      <w:trPr>
        <w:jc w:val="center"/>
      </w:trPr>
      <w:tc>
        <w:tcPr>
          <w:tcW w:w="868" w:type="pct"/>
          <w:vAlign w:val="center"/>
        </w:tcPr>
        <w:p w14:paraId="767A2041" w14:textId="77777777" w:rsidR="007B0AA0" w:rsidRPr="007B0AA0" w:rsidRDefault="009C5056" w:rsidP="00750D58">
          <w:pPr>
            <w:tabs>
              <w:tab w:val="clear" w:pos="794"/>
            </w:tabs>
            <w:overflowPunct w:val="0"/>
            <w:autoSpaceDE w:val="0"/>
            <w:autoSpaceDN w:val="0"/>
            <w:bidi w:val="0"/>
            <w:adjustRightInd w:val="0"/>
            <w:spacing w:after="120" w:line="240" w:lineRule="auto"/>
            <w:jc w:val="left"/>
            <w:textAlignment w:val="baseline"/>
            <w:rPr>
              <w:rFonts w:ascii="Calibri" w:hAnsi="Calibri" w:cs="Arial"/>
              <w:noProof/>
              <w:color w:val="7F7F7F"/>
              <w:sz w:val="18"/>
            </w:rPr>
          </w:pPr>
          <w:hyperlink r:id="rId1" w:history="1">
            <w:r w:rsidR="007B0AA0" w:rsidRPr="007B0AA0">
              <w:rPr>
                <w:rFonts w:ascii="Calibri" w:hAnsi="Calibri" w:cs="Arial"/>
                <w:color w:val="0563C1"/>
                <w:sz w:val="18"/>
                <w:szCs w:val="14"/>
              </w:rPr>
              <w:t>www.itu.int/council</w:t>
            </w:r>
          </w:hyperlink>
        </w:p>
      </w:tc>
      <w:tc>
        <w:tcPr>
          <w:tcW w:w="3912" w:type="pct"/>
        </w:tcPr>
        <w:p w14:paraId="46345367" w14:textId="161D0DC7" w:rsidR="007B0AA0" w:rsidRPr="007B0AA0" w:rsidRDefault="007B0AA0"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C23/</w:t>
          </w:r>
          <w:r w:rsidR="00250189">
            <w:rPr>
              <w:rFonts w:ascii="Calibri" w:hAnsi="Calibri" w:cs="Arial"/>
              <w:bCs/>
              <w:color w:val="7F7F7F"/>
              <w:sz w:val="18"/>
            </w:rPr>
            <w:t>90</w:t>
          </w:r>
          <w:r w:rsidRPr="007B0AA0">
            <w:rPr>
              <w:rFonts w:ascii="Calibri" w:hAnsi="Calibri" w:cs="Arial"/>
              <w:bCs/>
              <w:color w:val="7F7F7F"/>
              <w:sz w:val="18"/>
            </w:rPr>
            <w:t>-</w:t>
          </w:r>
          <w:r>
            <w:rPr>
              <w:rFonts w:ascii="Calibri" w:hAnsi="Calibri" w:cs="Arial"/>
              <w:bCs/>
              <w:color w:val="7F7F7F"/>
              <w:sz w:val="18"/>
            </w:rPr>
            <w:t>A</w:t>
          </w:r>
        </w:p>
      </w:tc>
      <w:tc>
        <w:tcPr>
          <w:tcW w:w="220" w:type="pct"/>
        </w:tcPr>
        <w:p w14:paraId="60705E92" w14:textId="77777777" w:rsidR="007B0AA0" w:rsidRPr="007B0AA0" w:rsidRDefault="00F50E3F"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7351CC7F" w14:textId="29F450AF" w:rsidR="0006468A" w:rsidRPr="00507241" w:rsidRDefault="0006468A" w:rsidP="0006468A">
    <w:pPr>
      <w:pStyle w:val="Footer"/>
      <w:tabs>
        <w:tab w:val="clear" w:pos="4153"/>
        <w:tab w:val="clear" w:pos="8306"/>
        <w:tab w:val="center" w:pos="5103"/>
        <w:tab w:val="right" w:pos="9639"/>
      </w:tabs>
      <w:spacing w:before="120"/>
      <w:rPr>
        <w:color w:val="F2F2F2" w:themeColor="background1" w:themeShade="F2"/>
        <w:sz w:val="16"/>
        <w:szCs w:val="16"/>
        <w:lang w:val="fr-CH"/>
      </w:rPr>
    </w:pPr>
    <w:r w:rsidRPr="00507241">
      <w:rPr>
        <w:color w:val="F2F2F2" w:themeColor="background1" w:themeShade="F2"/>
        <w:sz w:val="16"/>
        <w:szCs w:val="16"/>
        <w:lang w:val="fr-FR"/>
      </w:rPr>
      <w:fldChar w:fldCharType="begin"/>
    </w:r>
    <w:r w:rsidRPr="00507241">
      <w:rPr>
        <w:color w:val="F2F2F2" w:themeColor="background1" w:themeShade="F2"/>
        <w:sz w:val="16"/>
        <w:szCs w:val="16"/>
        <w:lang w:val="fr-FR"/>
      </w:rPr>
      <w:instrText xml:space="preserve"> FILENAME \p \* MERGEFORMAT </w:instrText>
    </w:r>
    <w:r w:rsidRPr="00507241">
      <w:rPr>
        <w:color w:val="F2F2F2" w:themeColor="background1" w:themeShade="F2"/>
        <w:sz w:val="16"/>
        <w:szCs w:val="16"/>
        <w:lang w:val="fr-FR"/>
      </w:rPr>
      <w:fldChar w:fldCharType="separate"/>
    </w:r>
    <w:r w:rsidR="009C7F6F" w:rsidRPr="00507241">
      <w:rPr>
        <w:noProof/>
        <w:color w:val="F2F2F2" w:themeColor="background1" w:themeShade="F2"/>
        <w:sz w:val="16"/>
        <w:szCs w:val="16"/>
        <w:lang w:val="fr-FR"/>
      </w:rPr>
      <w:t>P:\ARA\SG\CONSEIL\C23\000\090A.docx</w:t>
    </w:r>
    <w:r w:rsidRPr="00507241">
      <w:rPr>
        <w:color w:val="F2F2F2" w:themeColor="background1" w:themeShade="F2"/>
        <w:sz w:val="16"/>
        <w:szCs w:val="16"/>
      </w:rPr>
      <w:fldChar w:fldCharType="end"/>
    </w:r>
    <w:r w:rsidRPr="00507241">
      <w:rPr>
        <w:color w:val="F2F2F2" w:themeColor="background1" w:themeShade="F2"/>
        <w:sz w:val="16"/>
        <w:szCs w:val="16"/>
        <w:lang w:val="fr-CH"/>
      </w:rPr>
      <w:t xml:space="preserve">  </w:t>
    </w:r>
    <w:r w:rsidRPr="00507241">
      <w:rPr>
        <w:color w:val="F2F2F2" w:themeColor="background1" w:themeShade="F2"/>
        <w:sz w:val="16"/>
        <w:szCs w:val="16"/>
        <w:lang w:val="fr-FR"/>
      </w:rPr>
      <w:t xml:space="preserve"> (</w:t>
    </w:r>
    <w:r w:rsidR="00930C95" w:rsidRPr="00507241">
      <w:rPr>
        <w:color w:val="F2F2F2" w:themeColor="background1" w:themeShade="F2"/>
        <w:sz w:val="16"/>
        <w:szCs w:val="16"/>
        <w:lang w:val="fr-FR"/>
      </w:rPr>
      <w:t>525361</w:t>
    </w:r>
    <w:r w:rsidRPr="00507241">
      <w:rPr>
        <w:color w:val="F2F2F2" w:themeColor="background1" w:themeShade="F2"/>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9B751" w14:textId="77777777" w:rsidR="00930C95" w:rsidRDefault="00930C95" w:rsidP="006C3242">
      <w:pPr>
        <w:spacing w:before="0" w:line="240" w:lineRule="auto"/>
      </w:pPr>
      <w:r>
        <w:separator/>
      </w:r>
    </w:p>
  </w:footnote>
  <w:footnote w:type="continuationSeparator" w:id="0">
    <w:p w14:paraId="3B6D0413" w14:textId="77777777" w:rsidR="00930C95" w:rsidRDefault="00930C95"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15A06" w14:textId="77777777" w:rsidR="00486D58" w:rsidRDefault="00486D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AE175" w14:textId="77777777" w:rsidR="00486D58" w:rsidRDefault="00486D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8F803" w14:textId="77777777" w:rsidR="00E1217F" w:rsidRDefault="00E1217F" w:rsidP="00E1217F">
    <w:pPr>
      <w:pStyle w:val="Header"/>
      <w:spacing w:before="120" w:after="240"/>
      <w:rPr>
        <w:rtl/>
      </w:rP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087AAC31" wp14:editId="652C7A3D">
              <wp:simplePos x="0" y="0"/>
              <wp:positionH relativeFrom="page">
                <wp:posOffset>7454265</wp:posOffset>
              </wp:positionH>
              <wp:positionV relativeFrom="topMargin">
                <wp:posOffset>604625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3B8EB0" id="Rectangle 5" o:spid="_x0000_s1026" style="position:absolute;margin-left:586.95pt;margin-top:47.6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SmU8MuMAAAAMAQAADwAAAGRycy9kb3ducmV2LnhtbEyPTU/D&#10;MAyG70j8h8hI3FjawlhXmk4IwWHaDuzjslvWmLbQOKXJto5fj3eCm1/50evH+WywrThi7xtHCuJR&#10;BAKpdKahSsF283aXgvBBk9GtI1RwRg+z4voq15lxJ1rhcR0qwSXkM62gDqHLpPRljVb7keuQePfh&#10;eqsDx76SptcnLretTKLoUVrdEF+odYcvNZZf64NVEHZJNTm/L0KyfV18Lz/n8+bH7JS6vRmen0AE&#10;HMIfDBd9VoeCnfbuQMaLlnM8uZ8yq2A6TkBciDhNH0DseRonEcgil/+fKH4BAAD//wMAUEsBAi0A&#10;FAAGAAgAAAAhALaDOJL+AAAA4QEAABMAAAAAAAAAAAAAAAAAAAAAAFtDb250ZW50X1R5cGVzXS54&#10;bWxQSwECLQAUAAYACAAAACEAOP0h/9YAAACUAQAACwAAAAAAAAAAAAAAAAAvAQAAX3JlbHMvLnJl&#10;bHNQSwECLQAUAAYACAAAACEAGpe5+OgBAACzAwAADgAAAAAAAAAAAAAAAAAuAgAAZHJzL2Uyb0Rv&#10;Yy54bWxQSwECLQAUAAYACAAAACEASmU8MuMAAAAMAQAADwAAAAAAAAAAAAAAAABCBAAAZHJzL2Rv&#10;d25yZXYueG1sUEsFBgAAAAAEAAQA8wAAAFIFAAAAAA==&#10;" fillcolor="#009cd5" stroked="f">
              <w10:wrap anchorx="page" anchory="margin"/>
            </v:rect>
          </w:pict>
        </mc:Fallback>
      </mc:AlternateContent>
    </w:r>
    <w:r>
      <w:rPr>
        <w:noProof/>
      </w:rPr>
      <w:drawing>
        <wp:inline distT="0" distB="0" distL="0" distR="0" wp14:anchorId="765A56F7" wp14:editId="02C735A6">
          <wp:extent cx="1908000" cy="53640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8000" cy="536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C95"/>
    <w:rsid w:val="0006468A"/>
    <w:rsid w:val="00090574"/>
    <w:rsid w:val="000933EF"/>
    <w:rsid w:val="000A6533"/>
    <w:rsid w:val="000C1C0E"/>
    <w:rsid w:val="000C548A"/>
    <w:rsid w:val="00115434"/>
    <w:rsid w:val="00115F9E"/>
    <w:rsid w:val="001661B0"/>
    <w:rsid w:val="00174610"/>
    <w:rsid w:val="001C0169"/>
    <w:rsid w:val="001D1D50"/>
    <w:rsid w:val="001D6745"/>
    <w:rsid w:val="001E446E"/>
    <w:rsid w:val="001F2FE6"/>
    <w:rsid w:val="001F30D6"/>
    <w:rsid w:val="0020630F"/>
    <w:rsid w:val="002154EE"/>
    <w:rsid w:val="002276D2"/>
    <w:rsid w:val="00232373"/>
    <w:rsid w:val="0023283D"/>
    <w:rsid w:val="00250189"/>
    <w:rsid w:val="00254F31"/>
    <w:rsid w:val="0026373E"/>
    <w:rsid w:val="00271C43"/>
    <w:rsid w:val="0028259A"/>
    <w:rsid w:val="00290728"/>
    <w:rsid w:val="002978F4"/>
    <w:rsid w:val="002A4369"/>
    <w:rsid w:val="002B028D"/>
    <w:rsid w:val="002D30E8"/>
    <w:rsid w:val="002E6541"/>
    <w:rsid w:val="00304711"/>
    <w:rsid w:val="00327AB9"/>
    <w:rsid w:val="00334924"/>
    <w:rsid w:val="003409BC"/>
    <w:rsid w:val="00340FB6"/>
    <w:rsid w:val="003522C3"/>
    <w:rsid w:val="00357185"/>
    <w:rsid w:val="00383829"/>
    <w:rsid w:val="00397F58"/>
    <w:rsid w:val="003E6BB0"/>
    <w:rsid w:val="003F4B29"/>
    <w:rsid w:val="0042686F"/>
    <w:rsid w:val="004317D8"/>
    <w:rsid w:val="00434183"/>
    <w:rsid w:val="00443869"/>
    <w:rsid w:val="00447F32"/>
    <w:rsid w:val="0046610A"/>
    <w:rsid w:val="00473F6D"/>
    <w:rsid w:val="00486D58"/>
    <w:rsid w:val="004966DD"/>
    <w:rsid w:val="004B4641"/>
    <w:rsid w:val="004B7334"/>
    <w:rsid w:val="004C4D45"/>
    <w:rsid w:val="004D07C5"/>
    <w:rsid w:val="004E11DC"/>
    <w:rsid w:val="004E47F6"/>
    <w:rsid w:val="00507241"/>
    <w:rsid w:val="00525DDD"/>
    <w:rsid w:val="00531582"/>
    <w:rsid w:val="005409AC"/>
    <w:rsid w:val="00552B15"/>
    <w:rsid w:val="0055516A"/>
    <w:rsid w:val="0058491B"/>
    <w:rsid w:val="00592EA5"/>
    <w:rsid w:val="00594CA9"/>
    <w:rsid w:val="005A3170"/>
    <w:rsid w:val="005B4DEF"/>
    <w:rsid w:val="005B556F"/>
    <w:rsid w:val="005D0F9E"/>
    <w:rsid w:val="005E5D81"/>
    <w:rsid w:val="00601C8A"/>
    <w:rsid w:val="006170B4"/>
    <w:rsid w:val="00624FA3"/>
    <w:rsid w:val="00645AAB"/>
    <w:rsid w:val="00677396"/>
    <w:rsid w:val="0069200F"/>
    <w:rsid w:val="00697FD1"/>
    <w:rsid w:val="006A65CB"/>
    <w:rsid w:val="006C3242"/>
    <w:rsid w:val="006C7CC0"/>
    <w:rsid w:val="006F63F7"/>
    <w:rsid w:val="007025C7"/>
    <w:rsid w:val="00706D7A"/>
    <w:rsid w:val="00722F0D"/>
    <w:rsid w:val="00733F80"/>
    <w:rsid w:val="0074420E"/>
    <w:rsid w:val="00750D58"/>
    <w:rsid w:val="00764E4C"/>
    <w:rsid w:val="007700D9"/>
    <w:rsid w:val="00783E26"/>
    <w:rsid w:val="007A0AB5"/>
    <w:rsid w:val="007B0AA0"/>
    <w:rsid w:val="007B1445"/>
    <w:rsid w:val="007C3BC7"/>
    <w:rsid w:val="007C3BCD"/>
    <w:rsid w:val="007C59C6"/>
    <w:rsid w:val="007D4ACF"/>
    <w:rsid w:val="007F0787"/>
    <w:rsid w:val="00801987"/>
    <w:rsid w:val="00805CF2"/>
    <w:rsid w:val="00810B7B"/>
    <w:rsid w:val="0082358A"/>
    <w:rsid w:val="008235CD"/>
    <w:rsid w:val="008247DE"/>
    <w:rsid w:val="008339C0"/>
    <w:rsid w:val="008354B8"/>
    <w:rsid w:val="00837B67"/>
    <w:rsid w:val="00840B10"/>
    <w:rsid w:val="008513CB"/>
    <w:rsid w:val="00851E3D"/>
    <w:rsid w:val="00855E59"/>
    <w:rsid w:val="00865719"/>
    <w:rsid w:val="00867874"/>
    <w:rsid w:val="00867DDC"/>
    <w:rsid w:val="008A03B3"/>
    <w:rsid w:val="008A7F84"/>
    <w:rsid w:val="008C194E"/>
    <w:rsid w:val="008C7D02"/>
    <w:rsid w:val="0091702E"/>
    <w:rsid w:val="00923B0C"/>
    <w:rsid w:val="00930C95"/>
    <w:rsid w:val="0094021C"/>
    <w:rsid w:val="0095001F"/>
    <w:rsid w:val="0095156D"/>
    <w:rsid w:val="00952F86"/>
    <w:rsid w:val="0097321C"/>
    <w:rsid w:val="00982B28"/>
    <w:rsid w:val="009C5056"/>
    <w:rsid w:val="009C782D"/>
    <w:rsid w:val="009C7F6F"/>
    <w:rsid w:val="009D313F"/>
    <w:rsid w:val="009F7A20"/>
    <w:rsid w:val="00A17AD6"/>
    <w:rsid w:val="00A17BF4"/>
    <w:rsid w:val="00A309DF"/>
    <w:rsid w:val="00A47A5A"/>
    <w:rsid w:val="00A6683B"/>
    <w:rsid w:val="00A80181"/>
    <w:rsid w:val="00A97F94"/>
    <w:rsid w:val="00AA7EA2"/>
    <w:rsid w:val="00AD2162"/>
    <w:rsid w:val="00AE2360"/>
    <w:rsid w:val="00AE39A7"/>
    <w:rsid w:val="00B03099"/>
    <w:rsid w:val="00B05BC8"/>
    <w:rsid w:val="00B11AD5"/>
    <w:rsid w:val="00B269D3"/>
    <w:rsid w:val="00B64B47"/>
    <w:rsid w:val="00B86C41"/>
    <w:rsid w:val="00B95654"/>
    <w:rsid w:val="00C002DE"/>
    <w:rsid w:val="00C25F68"/>
    <w:rsid w:val="00C36965"/>
    <w:rsid w:val="00C53BF8"/>
    <w:rsid w:val="00C66157"/>
    <w:rsid w:val="00C674FE"/>
    <w:rsid w:val="00C67501"/>
    <w:rsid w:val="00C75633"/>
    <w:rsid w:val="00C80C72"/>
    <w:rsid w:val="00C87B1D"/>
    <w:rsid w:val="00C90705"/>
    <w:rsid w:val="00C9378B"/>
    <w:rsid w:val="00CE2EE1"/>
    <w:rsid w:val="00CE3349"/>
    <w:rsid w:val="00CE36E5"/>
    <w:rsid w:val="00CF27F5"/>
    <w:rsid w:val="00CF395A"/>
    <w:rsid w:val="00CF3FFD"/>
    <w:rsid w:val="00D10CCF"/>
    <w:rsid w:val="00D13941"/>
    <w:rsid w:val="00D16E74"/>
    <w:rsid w:val="00D2046D"/>
    <w:rsid w:val="00D32D21"/>
    <w:rsid w:val="00D46AD2"/>
    <w:rsid w:val="00D4788D"/>
    <w:rsid w:val="00D63735"/>
    <w:rsid w:val="00D77D0F"/>
    <w:rsid w:val="00DA1CF0"/>
    <w:rsid w:val="00DB522B"/>
    <w:rsid w:val="00DC1E02"/>
    <w:rsid w:val="00DC24B4"/>
    <w:rsid w:val="00DC5FB0"/>
    <w:rsid w:val="00DF16DC"/>
    <w:rsid w:val="00E02CF2"/>
    <w:rsid w:val="00E1217F"/>
    <w:rsid w:val="00E45211"/>
    <w:rsid w:val="00E473C5"/>
    <w:rsid w:val="00E61BE8"/>
    <w:rsid w:val="00E746C5"/>
    <w:rsid w:val="00E92863"/>
    <w:rsid w:val="00EB796D"/>
    <w:rsid w:val="00F058DC"/>
    <w:rsid w:val="00F24FC4"/>
    <w:rsid w:val="00F2676C"/>
    <w:rsid w:val="00F363FE"/>
    <w:rsid w:val="00F50E3F"/>
    <w:rsid w:val="00F84366"/>
    <w:rsid w:val="00F85089"/>
    <w:rsid w:val="00F974C5"/>
    <w:rsid w:val="00FA6F46"/>
    <w:rsid w:val="00FC4592"/>
    <w:rsid w:val="00FD527F"/>
    <w:rsid w:val="00FE16E8"/>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CCE54"/>
  <w15:chartTrackingRefBased/>
  <w15:docId w15:val="{9845C501-A8BF-4549-8526-E5B77A89A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0">
    <w:name w:val="enumlev1"/>
    <w:basedOn w:val="Normal"/>
    <w:link w:val="enumlev1Char"/>
    <w:qFormat/>
    <w:rsid w:val="00250189"/>
    <w:pPr>
      <w:tabs>
        <w:tab w:val="clear" w:pos="794"/>
        <w:tab w:val="left" w:pos="567"/>
        <w:tab w:val="left" w:pos="1134"/>
        <w:tab w:val="left" w:pos="1701"/>
        <w:tab w:val="left" w:pos="2268"/>
        <w:tab w:val="left" w:pos="2835"/>
      </w:tabs>
      <w:overflowPunct w:val="0"/>
      <w:autoSpaceDE w:val="0"/>
      <w:autoSpaceDN w:val="0"/>
      <w:adjustRightInd w:val="0"/>
      <w:spacing w:before="80"/>
      <w:ind w:left="567" w:hanging="567"/>
      <w:textAlignment w:val="baseline"/>
    </w:pPr>
    <w:rPr>
      <w:rFonts w:eastAsia="SimSun"/>
      <w:lang w:val="en-GB" w:eastAsia="en-US" w:bidi="ar-EG"/>
    </w:rPr>
  </w:style>
  <w:style w:type="character" w:customStyle="1" w:styleId="enumlev1Char">
    <w:name w:val="enumlev1 Char"/>
    <w:basedOn w:val="DefaultParagraphFont"/>
    <w:link w:val="enumlev10"/>
    <w:rsid w:val="00250189"/>
    <w:rPr>
      <w:rFonts w:ascii="Dubai" w:eastAsia="SimSun" w:hAnsi="Dubai" w:cs="Dubai"/>
      <w:lang w:val="en-GB" w:eastAsia="en-US" w:bidi="ar-EG"/>
    </w:rPr>
  </w:style>
  <w:style w:type="character" w:styleId="UnresolvedMention">
    <w:name w:val="Unresolved Mention"/>
    <w:basedOn w:val="DefaultParagraphFont"/>
    <w:uiPriority w:val="99"/>
    <w:semiHidden/>
    <w:unhideWhenUsed/>
    <w:rsid w:val="009C7F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75723">
      <w:bodyDiv w:val="1"/>
      <w:marLeft w:val="0"/>
      <w:marRight w:val="0"/>
      <w:marTop w:val="0"/>
      <w:marBottom w:val="0"/>
      <w:divBdr>
        <w:top w:val="none" w:sz="0" w:space="0" w:color="auto"/>
        <w:left w:val="none" w:sz="0" w:space="0" w:color="auto"/>
        <w:bottom w:val="none" w:sz="0" w:space="0" w:color="auto"/>
        <w:right w:val="none" w:sz="0" w:space="0" w:color="auto"/>
      </w:divBdr>
      <w:divsChild>
        <w:div w:id="822116051">
          <w:marLeft w:val="0"/>
          <w:marRight w:val="0"/>
          <w:marTop w:val="0"/>
          <w:marBottom w:val="0"/>
          <w:divBdr>
            <w:top w:val="none" w:sz="0" w:space="0" w:color="auto"/>
            <w:left w:val="none" w:sz="0" w:space="0" w:color="auto"/>
            <w:bottom w:val="none" w:sz="0" w:space="0" w:color="auto"/>
            <w:right w:val="none" w:sz="0" w:space="0" w:color="auto"/>
          </w:divBdr>
          <w:divsChild>
            <w:div w:id="1632324684">
              <w:marLeft w:val="0"/>
              <w:marRight w:val="0"/>
              <w:marTop w:val="0"/>
              <w:marBottom w:val="0"/>
              <w:divBdr>
                <w:top w:val="none" w:sz="0" w:space="0" w:color="auto"/>
                <w:left w:val="none" w:sz="0" w:space="0" w:color="auto"/>
                <w:bottom w:val="none" w:sz="0" w:space="0" w:color="auto"/>
                <w:right w:val="none" w:sz="0" w:space="0" w:color="auto"/>
              </w:divBdr>
              <w:divsChild>
                <w:div w:id="425617207">
                  <w:marLeft w:val="0"/>
                  <w:marRight w:val="0"/>
                  <w:marTop w:val="0"/>
                  <w:marBottom w:val="0"/>
                  <w:divBdr>
                    <w:top w:val="none" w:sz="0" w:space="0" w:color="auto"/>
                    <w:left w:val="none" w:sz="0" w:space="0" w:color="auto"/>
                    <w:bottom w:val="none" w:sz="0" w:space="0" w:color="auto"/>
                    <w:right w:val="none" w:sz="0" w:space="0" w:color="auto"/>
                  </w:divBdr>
                  <w:divsChild>
                    <w:div w:id="1033533516">
                      <w:marLeft w:val="0"/>
                      <w:marRight w:val="0"/>
                      <w:marTop w:val="0"/>
                      <w:marBottom w:val="0"/>
                      <w:divBdr>
                        <w:top w:val="none" w:sz="0" w:space="0" w:color="auto"/>
                        <w:left w:val="none" w:sz="0" w:space="0" w:color="auto"/>
                        <w:bottom w:val="none" w:sz="0" w:space="0" w:color="auto"/>
                        <w:right w:val="none" w:sz="0" w:space="0" w:color="auto"/>
                      </w:divBdr>
                      <w:divsChild>
                        <w:div w:id="2124568076">
                          <w:marLeft w:val="0"/>
                          <w:marRight w:val="0"/>
                          <w:marTop w:val="0"/>
                          <w:marBottom w:val="0"/>
                          <w:divBdr>
                            <w:top w:val="none" w:sz="0" w:space="0" w:color="auto"/>
                            <w:left w:val="none" w:sz="0" w:space="0" w:color="auto"/>
                            <w:bottom w:val="none" w:sz="0" w:space="0" w:color="auto"/>
                            <w:right w:val="none" w:sz="0" w:space="0" w:color="auto"/>
                          </w:divBdr>
                          <w:divsChild>
                            <w:div w:id="1420786446">
                              <w:marLeft w:val="0"/>
                              <w:marRight w:val="0"/>
                              <w:marTop w:val="0"/>
                              <w:marBottom w:val="0"/>
                              <w:divBdr>
                                <w:top w:val="none" w:sz="0" w:space="0" w:color="auto"/>
                                <w:left w:val="none" w:sz="0" w:space="0" w:color="auto"/>
                                <w:bottom w:val="none" w:sz="0" w:space="0" w:color="auto"/>
                                <w:right w:val="none" w:sz="0" w:space="0" w:color="auto"/>
                              </w:divBdr>
                              <w:divsChild>
                                <w:div w:id="891698406">
                                  <w:marLeft w:val="0"/>
                                  <w:marRight w:val="0"/>
                                  <w:marTop w:val="0"/>
                                  <w:marBottom w:val="0"/>
                                  <w:divBdr>
                                    <w:top w:val="none" w:sz="0" w:space="0" w:color="auto"/>
                                    <w:left w:val="none" w:sz="0" w:space="0" w:color="auto"/>
                                    <w:bottom w:val="none" w:sz="0" w:space="0" w:color="auto"/>
                                    <w:right w:val="none" w:sz="0" w:space="0" w:color="auto"/>
                                  </w:divBdr>
                                  <w:divsChild>
                                    <w:div w:id="1302887921">
                                      <w:marLeft w:val="0"/>
                                      <w:marRight w:val="0"/>
                                      <w:marTop w:val="0"/>
                                      <w:marBottom w:val="0"/>
                                      <w:divBdr>
                                        <w:top w:val="none" w:sz="0" w:space="0" w:color="auto"/>
                                        <w:left w:val="none" w:sz="0" w:space="0" w:color="auto"/>
                                        <w:bottom w:val="none" w:sz="0" w:space="0" w:color="auto"/>
                                        <w:right w:val="none" w:sz="0" w:space="0" w:color="auto"/>
                                      </w:divBdr>
                                      <w:divsChild>
                                        <w:div w:id="516622926">
                                          <w:marLeft w:val="0"/>
                                          <w:marRight w:val="0"/>
                                          <w:marTop w:val="0"/>
                                          <w:marBottom w:val="0"/>
                                          <w:divBdr>
                                            <w:top w:val="none" w:sz="0" w:space="0" w:color="auto"/>
                                            <w:left w:val="none" w:sz="0" w:space="0" w:color="auto"/>
                                            <w:bottom w:val="none" w:sz="0" w:space="0" w:color="auto"/>
                                            <w:right w:val="none" w:sz="0" w:space="0" w:color="auto"/>
                                          </w:divBdr>
                                          <w:divsChild>
                                            <w:div w:id="1023476450">
                                              <w:marLeft w:val="0"/>
                                              <w:marRight w:val="0"/>
                                              <w:marTop w:val="0"/>
                                              <w:marBottom w:val="0"/>
                                              <w:divBdr>
                                                <w:top w:val="none" w:sz="0" w:space="0" w:color="auto"/>
                                                <w:left w:val="none" w:sz="0" w:space="0" w:color="auto"/>
                                                <w:bottom w:val="none" w:sz="0" w:space="0" w:color="auto"/>
                                                <w:right w:val="none" w:sz="0" w:space="0" w:color="auto"/>
                                              </w:divBdr>
                                              <w:divsChild>
                                                <w:div w:id="1807043647">
                                                  <w:marLeft w:val="0"/>
                                                  <w:marRight w:val="0"/>
                                                  <w:marTop w:val="0"/>
                                                  <w:marBottom w:val="0"/>
                                                  <w:divBdr>
                                                    <w:top w:val="none" w:sz="0" w:space="0" w:color="auto"/>
                                                    <w:left w:val="none" w:sz="0" w:space="0" w:color="auto"/>
                                                    <w:bottom w:val="none" w:sz="0" w:space="0" w:color="auto"/>
                                                    <w:right w:val="none" w:sz="0" w:space="0" w:color="auto"/>
                                                  </w:divBdr>
                                                  <w:divsChild>
                                                    <w:div w:id="1216503607">
                                                      <w:marLeft w:val="0"/>
                                                      <w:marRight w:val="0"/>
                                                      <w:marTop w:val="0"/>
                                                      <w:marBottom w:val="0"/>
                                                      <w:divBdr>
                                                        <w:top w:val="none" w:sz="0" w:space="0" w:color="auto"/>
                                                        <w:left w:val="none" w:sz="0" w:space="0" w:color="auto"/>
                                                        <w:bottom w:val="none" w:sz="0" w:space="0" w:color="auto"/>
                                                        <w:right w:val="none" w:sz="0" w:space="0" w:color="auto"/>
                                                      </w:divBdr>
                                                      <w:divsChild>
                                                        <w:div w:id="448010667">
                                                          <w:marLeft w:val="0"/>
                                                          <w:marRight w:val="0"/>
                                                          <w:marTop w:val="0"/>
                                                          <w:marBottom w:val="0"/>
                                                          <w:divBdr>
                                                            <w:top w:val="none" w:sz="0" w:space="0" w:color="auto"/>
                                                            <w:left w:val="none" w:sz="0" w:space="0" w:color="auto"/>
                                                            <w:bottom w:val="none" w:sz="0" w:space="0" w:color="auto"/>
                                                            <w:right w:val="none" w:sz="0" w:space="0" w:color="auto"/>
                                                          </w:divBdr>
                                                          <w:divsChild>
                                                            <w:div w:id="32895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76412735">
      <w:bodyDiv w:val="1"/>
      <w:marLeft w:val="0"/>
      <w:marRight w:val="0"/>
      <w:marTop w:val="0"/>
      <w:marBottom w:val="0"/>
      <w:divBdr>
        <w:top w:val="none" w:sz="0" w:space="0" w:color="auto"/>
        <w:left w:val="none" w:sz="0" w:space="0" w:color="auto"/>
        <w:bottom w:val="none" w:sz="0" w:space="0" w:color="auto"/>
        <w:right w:val="none" w:sz="0" w:space="0" w:color="auto"/>
      </w:divBdr>
    </w:div>
    <w:div w:id="1052340567">
      <w:bodyDiv w:val="1"/>
      <w:marLeft w:val="0"/>
      <w:marRight w:val="0"/>
      <w:marTop w:val="0"/>
      <w:marBottom w:val="0"/>
      <w:divBdr>
        <w:top w:val="none" w:sz="0" w:space="0" w:color="auto"/>
        <w:left w:val="none" w:sz="0" w:space="0" w:color="auto"/>
        <w:bottom w:val="none" w:sz="0" w:space="0" w:color="auto"/>
        <w:right w:val="none" w:sz="0" w:space="0" w:color="auto"/>
      </w:divBdr>
      <w:divsChild>
        <w:div w:id="1118569344">
          <w:marLeft w:val="0"/>
          <w:marRight w:val="0"/>
          <w:marTop w:val="0"/>
          <w:marBottom w:val="0"/>
          <w:divBdr>
            <w:top w:val="none" w:sz="0" w:space="0" w:color="auto"/>
            <w:left w:val="none" w:sz="0" w:space="0" w:color="auto"/>
            <w:bottom w:val="none" w:sz="0" w:space="0" w:color="auto"/>
            <w:right w:val="none" w:sz="0" w:space="0" w:color="auto"/>
          </w:divBdr>
          <w:divsChild>
            <w:div w:id="1379669946">
              <w:marLeft w:val="0"/>
              <w:marRight w:val="0"/>
              <w:marTop w:val="0"/>
              <w:marBottom w:val="0"/>
              <w:divBdr>
                <w:top w:val="none" w:sz="0" w:space="0" w:color="auto"/>
                <w:left w:val="none" w:sz="0" w:space="0" w:color="auto"/>
                <w:bottom w:val="none" w:sz="0" w:space="0" w:color="auto"/>
                <w:right w:val="none" w:sz="0" w:space="0" w:color="auto"/>
              </w:divBdr>
              <w:divsChild>
                <w:div w:id="1590306537">
                  <w:marLeft w:val="0"/>
                  <w:marRight w:val="0"/>
                  <w:marTop w:val="0"/>
                  <w:marBottom w:val="0"/>
                  <w:divBdr>
                    <w:top w:val="none" w:sz="0" w:space="0" w:color="auto"/>
                    <w:left w:val="none" w:sz="0" w:space="0" w:color="auto"/>
                    <w:bottom w:val="none" w:sz="0" w:space="0" w:color="auto"/>
                    <w:right w:val="none" w:sz="0" w:space="0" w:color="auto"/>
                  </w:divBdr>
                  <w:divsChild>
                    <w:div w:id="233705722">
                      <w:marLeft w:val="0"/>
                      <w:marRight w:val="0"/>
                      <w:marTop w:val="0"/>
                      <w:marBottom w:val="0"/>
                      <w:divBdr>
                        <w:top w:val="none" w:sz="0" w:space="0" w:color="auto"/>
                        <w:left w:val="none" w:sz="0" w:space="0" w:color="auto"/>
                        <w:bottom w:val="none" w:sz="0" w:space="0" w:color="auto"/>
                        <w:right w:val="none" w:sz="0" w:space="0" w:color="auto"/>
                      </w:divBdr>
                      <w:divsChild>
                        <w:div w:id="2031375256">
                          <w:marLeft w:val="0"/>
                          <w:marRight w:val="0"/>
                          <w:marTop w:val="0"/>
                          <w:marBottom w:val="0"/>
                          <w:divBdr>
                            <w:top w:val="none" w:sz="0" w:space="0" w:color="auto"/>
                            <w:left w:val="none" w:sz="0" w:space="0" w:color="auto"/>
                            <w:bottom w:val="none" w:sz="0" w:space="0" w:color="auto"/>
                            <w:right w:val="none" w:sz="0" w:space="0" w:color="auto"/>
                          </w:divBdr>
                          <w:divsChild>
                            <w:div w:id="1613199488">
                              <w:marLeft w:val="0"/>
                              <w:marRight w:val="0"/>
                              <w:marTop w:val="0"/>
                              <w:marBottom w:val="0"/>
                              <w:divBdr>
                                <w:top w:val="none" w:sz="0" w:space="0" w:color="auto"/>
                                <w:left w:val="none" w:sz="0" w:space="0" w:color="auto"/>
                                <w:bottom w:val="none" w:sz="0" w:space="0" w:color="auto"/>
                                <w:right w:val="none" w:sz="0" w:space="0" w:color="auto"/>
                              </w:divBdr>
                              <w:divsChild>
                                <w:div w:id="1634676161">
                                  <w:marLeft w:val="0"/>
                                  <w:marRight w:val="0"/>
                                  <w:marTop w:val="0"/>
                                  <w:marBottom w:val="0"/>
                                  <w:divBdr>
                                    <w:top w:val="none" w:sz="0" w:space="0" w:color="auto"/>
                                    <w:left w:val="none" w:sz="0" w:space="0" w:color="auto"/>
                                    <w:bottom w:val="none" w:sz="0" w:space="0" w:color="auto"/>
                                    <w:right w:val="none" w:sz="0" w:space="0" w:color="auto"/>
                                  </w:divBdr>
                                  <w:divsChild>
                                    <w:div w:id="749157843">
                                      <w:marLeft w:val="0"/>
                                      <w:marRight w:val="0"/>
                                      <w:marTop w:val="0"/>
                                      <w:marBottom w:val="0"/>
                                      <w:divBdr>
                                        <w:top w:val="none" w:sz="0" w:space="0" w:color="auto"/>
                                        <w:left w:val="none" w:sz="0" w:space="0" w:color="auto"/>
                                        <w:bottom w:val="none" w:sz="0" w:space="0" w:color="auto"/>
                                        <w:right w:val="none" w:sz="0" w:space="0" w:color="auto"/>
                                      </w:divBdr>
                                      <w:divsChild>
                                        <w:div w:id="1848981752">
                                          <w:marLeft w:val="0"/>
                                          <w:marRight w:val="0"/>
                                          <w:marTop w:val="0"/>
                                          <w:marBottom w:val="0"/>
                                          <w:divBdr>
                                            <w:top w:val="none" w:sz="0" w:space="0" w:color="auto"/>
                                            <w:left w:val="none" w:sz="0" w:space="0" w:color="auto"/>
                                            <w:bottom w:val="none" w:sz="0" w:space="0" w:color="auto"/>
                                            <w:right w:val="none" w:sz="0" w:space="0" w:color="auto"/>
                                          </w:divBdr>
                                          <w:divsChild>
                                            <w:div w:id="1216310002">
                                              <w:marLeft w:val="0"/>
                                              <w:marRight w:val="0"/>
                                              <w:marTop w:val="0"/>
                                              <w:marBottom w:val="0"/>
                                              <w:divBdr>
                                                <w:top w:val="none" w:sz="0" w:space="0" w:color="auto"/>
                                                <w:left w:val="none" w:sz="0" w:space="0" w:color="auto"/>
                                                <w:bottom w:val="none" w:sz="0" w:space="0" w:color="auto"/>
                                                <w:right w:val="none" w:sz="0" w:space="0" w:color="auto"/>
                                              </w:divBdr>
                                              <w:divsChild>
                                                <w:div w:id="1346514338">
                                                  <w:marLeft w:val="0"/>
                                                  <w:marRight w:val="0"/>
                                                  <w:marTop w:val="0"/>
                                                  <w:marBottom w:val="0"/>
                                                  <w:divBdr>
                                                    <w:top w:val="none" w:sz="0" w:space="0" w:color="auto"/>
                                                    <w:left w:val="none" w:sz="0" w:space="0" w:color="auto"/>
                                                    <w:bottom w:val="none" w:sz="0" w:space="0" w:color="auto"/>
                                                    <w:right w:val="none" w:sz="0" w:space="0" w:color="auto"/>
                                                  </w:divBdr>
                                                  <w:divsChild>
                                                    <w:div w:id="1329283826">
                                                      <w:marLeft w:val="0"/>
                                                      <w:marRight w:val="0"/>
                                                      <w:marTop w:val="0"/>
                                                      <w:marBottom w:val="0"/>
                                                      <w:divBdr>
                                                        <w:top w:val="none" w:sz="0" w:space="0" w:color="auto"/>
                                                        <w:left w:val="none" w:sz="0" w:space="0" w:color="auto"/>
                                                        <w:bottom w:val="none" w:sz="0" w:space="0" w:color="auto"/>
                                                        <w:right w:val="none" w:sz="0" w:space="0" w:color="auto"/>
                                                      </w:divBdr>
                                                      <w:divsChild>
                                                        <w:div w:id="1066340852">
                                                          <w:marLeft w:val="0"/>
                                                          <w:marRight w:val="0"/>
                                                          <w:marTop w:val="0"/>
                                                          <w:marBottom w:val="0"/>
                                                          <w:divBdr>
                                                            <w:top w:val="none" w:sz="0" w:space="0" w:color="auto"/>
                                                            <w:left w:val="none" w:sz="0" w:space="0" w:color="auto"/>
                                                            <w:bottom w:val="none" w:sz="0" w:space="0" w:color="auto"/>
                                                            <w:right w:val="none" w:sz="0" w:space="0" w:color="auto"/>
                                                          </w:divBdr>
                                                          <w:divsChild>
                                                            <w:div w:id="40229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6199581">
      <w:bodyDiv w:val="1"/>
      <w:marLeft w:val="0"/>
      <w:marRight w:val="0"/>
      <w:marTop w:val="0"/>
      <w:marBottom w:val="0"/>
      <w:divBdr>
        <w:top w:val="none" w:sz="0" w:space="0" w:color="auto"/>
        <w:left w:val="none" w:sz="0" w:space="0" w:color="auto"/>
        <w:bottom w:val="none" w:sz="0" w:space="0" w:color="auto"/>
        <w:right w:val="none" w:sz="0" w:space="0" w:color="auto"/>
      </w:divBdr>
      <w:divsChild>
        <w:div w:id="948462978">
          <w:marLeft w:val="0"/>
          <w:marRight w:val="0"/>
          <w:marTop w:val="0"/>
          <w:marBottom w:val="0"/>
          <w:divBdr>
            <w:top w:val="none" w:sz="0" w:space="0" w:color="auto"/>
            <w:left w:val="none" w:sz="0" w:space="0" w:color="auto"/>
            <w:bottom w:val="none" w:sz="0" w:space="0" w:color="auto"/>
            <w:right w:val="none" w:sz="0" w:space="0" w:color="auto"/>
          </w:divBdr>
          <w:divsChild>
            <w:div w:id="109783868">
              <w:marLeft w:val="0"/>
              <w:marRight w:val="0"/>
              <w:marTop w:val="0"/>
              <w:marBottom w:val="0"/>
              <w:divBdr>
                <w:top w:val="none" w:sz="0" w:space="0" w:color="auto"/>
                <w:left w:val="none" w:sz="0" w:space="0" w:color="auto"/>
                <w:bottom w:val="none" w:sz="0" w:space="0" w:color="auto"/>
                <w:right w:val="none" w:sz="0" w:space="0" w:color="auto"/>
              </w:divBdr>
              <w:divsChild>
                <w:div w:id="1070693044">
                  <w:marLeft w:val="0"/>
                  <w:marRight w:val="0"/>
                  <w:marTop w:val="0"/>
                  <w:marBottom w:val="0"/>
                  <w:divBdr>
                    <w:top w:val="none" w:sz="0" w:space="0" w:color="auto"/>
                    <w:left w:val="none" w:sz="0" w:space="0" w:color="auto"/>
                    <w:bottom w:val="none" w:sz="0" w:space="0" w:color="auto"/>
                    <w:right w:val="none" w:sz="0" w:space="0" w:color="auto"/>
                  </w:divBdr>
                  <w:divsChild>
                    <w:div w:id="1397509814">
                      <w:marLeft w:val="0"/>
                      <w:marRight w:val="0"/>
                      <w:marTop w:val="0"/>
                      <w:marBottom w:val="0"/>
                      <w:divBdr>
                        <w:top w:val="none" w:sz="0" w:space="0" w:color="auto"/>
                        <w:left w:val="none" w:sz="0" w:space="0" w:color="auto"/>
                        <w:bottom w:val="none" w:sz="0" w:space="0" w:color="auto"/>
                        <w:right w:val="none" w:sz="0" w:space="0" w:color="auto"/>
                      </w:divBdr>
                      <w:divsChild>
                        <w:div w:id="1800151371">
                          <w:marLeft w:val="0"/>
                          <w:marRight w:val="0"/>
                          <w:marTop w:val="0"/>
                          <w:marBottom w:val="0"/>
                          <w:divBdr>
                            <w:top w:val="none" w:sz="0" w:space="0" w:color="auto"/>
                            <w:left w:val="none" w:sz="0" w:space="0" w:color="auto"/>
                            <w:bottom w:val="none" w:sz="0" w:space="0" w:color="auto"/>
                            <w:right w:val="none" w:sz="0" w:space="0" w:color="auto"/>
                          </w:divBdr>
                          <w:divsChild>
                            <w:div w:id="891115335">
                              <w:marLeft w:val="0"/>
                              <w:marRight w:val="0"/>
                              <w:marTop w:val="0"/>
                              <w:marBottom w:val="0"/>
                              <w:divBdr>
                                <w:top w:val="none" w:sz="0" w:space="0" w:color="auto"/>
                                <w:left w:val="none" w:sz="0" w:space="0" w:color="auto"/>
                                <w:bottom w:val="none" w:sz="0" w:space="0" w:color="auto"/>
                                <w:right w:val="none" w:sz="0" w:space="0" w:color="auto"/>
                              </w:divBdr>
                              <w:divsChild>
                                <w:div w:id="1076510452">
                                  <w:marLeft w:val="0"/>
                                  <w:marRight w:val="0"/>
                                  <w:marTop w:val="0"/>
                                  <w:marBottom w:val="0"/>
                                  <w:divBdr>
                                    <w:top w:val="none" w:sz="0" w:space="0" w:color="auto"/>
                                    <w:left w:val="none" w:sz="0" w:space="0" w:color="auto"/>
                                    <w:bottom w:val="none" w:sz="0" w:space="0" w:color="auto"/>
                                    <w:right w:val="none" w:sz="0" w:space="0" w:color="auto"/>
                                  </w:divBdr>
                                  <w:divsChild>
                                    <w:div w:id="1563983639">
                                      <w:marLeft w:val="0"/>
                                      <w:marRight w:val="0"/>
                                      <w:marTop w:val="0"/>
                                      <w:marBottom w:val="0"/>
                                      <w:divBdr>
                                        <w:top w:val="none" w:sz="0" w:space="0" w:color="auto"/>
                                        <w:left w:val="none" w:sz="0" w:space="0" w:color="auto"/>
                                        <w:bottom w:val="none" w:sz="0" w:space="0" w:color="auto"/>
                                        <w:right w:val="none" w:sz="0" w:space="0" w:color="auto"/>
                                      </w:divBdr>
                                      <w:divsChild>
                                        <w:div w:id="2004628086">
                                          <w:marLeft w:val="0"/>
                                          <w:marRight w:val="0"/>
                                          <w:marTop w:val="0"/>
                                          <w:marBottom w:val="0"/>
                                          <w:divBdr>
                                            <w:top w:val="none" w:sz="0" w:space="0" w:color="auto"/>
                                            <w:left w:val="none" w:sz="0" w:space="0" w:color="auto"/>
                                            <w:bottom w:val="none" w:sz="0" w:space="0" w:color="auto"/>
                                            <w:right w:val="none" w:sz="0" w:space="0" w:color="auto"/>
                                          </w:divBdr>
                                          <w:divsChild>
                                            <w:div w:id="1948350415">
                                              <w:marLeft w:val="0"/>
                                              <w:marRight w:val="0"/>
                                              <w:marTop w:val="0"/>
                                              <w:marBottom w:val="0"/>
                                              <w:divBdr>
                                                <w:top w:val="none" w:sz="0" w:space="0" w:color="auto"/>
                                                <w:left w:val="none" w:sz="0" w:space="0" w:color="auto"/>
                                                <w:bottom w:val="none" w:sz="0" w:space="0" w:color="auto"/>
                                                <w:right w:val="none" w:sz="0" w:space="0" w:color="auto"/>
                                              </w:divBdr>
                                              <w:divsChild>
                                                <w:div w:id="1300912637">
                                                  <w:marLeft w:val="0"/>
                                                  <w:marRight w:val="0"/>
                                                  <w:marTop w:val="0"/>
                                                  <w:marBottom w:val="0"/>
                                                  <w:divBdr>
                                                    <w:top w:val="none" w:sz="0" w:space="0" w:color="auto"/>
                                                    <w:left w:val="none" w:sz="0" w:space="0" w:color="auto"/>
                                                    <w:bottom w:val="none" w:sz="0" w:space="0" w:color="auto"/>
                                                    <w:right w:val="none" w:sz="0" w:space="0" w:color="auto"/>
                                                  </w:divBdr>
                                                  <w:divsChild>
                                                    <w:div w:id="2004624308">
                                                      <w:marLeft w:val="0"/>
                                                      <w:marRight w:val="0"/>
                                                      <w:marTop w:val="0"/>
                                                      <w:marBottom w:val="0"/>
                                                      <w:divBdr>
                                                        <w:top w:val="none" w:sz="0" w:space="0" w:color="auto"/>
                                                        <w:left w:val="none" w:sz="0" w:space="0" w:color="auto"/>
                                                        <w:bottom w:val="none" w:sz="0" w:space="0" w:color="auto"/>
                                                        <w:right w:val="none" w:sz="0" w:space="0" w:color="auto"/>
                                                      </w:divBdr>
                                                      <w:divsChild>
                                                        <w:div w:id="1668049937">
                                                          <w:marLeft w:val="0"/>
                                                          <w:marRight w:val="0"/>
                                                          <w:marTop w:val="0"/>
                                                          <w:marBottom w:val="0"/>
                                                          <w:divBdr>
                                                            <w:top w:val="none" w:sz="0" w:space="0" w:color="auto"/>
                                                            <w:left w:val="none" w:sz="0" w:space="0" w:color="auto"/>
                                                            <w:bottom w:val="none" w:sz="0" w:space="0" w:color="auto"/>
                                                            <w:right w:val="none" w:sz="0" w:space="0" w:color="auto"/>
                                                          </w:divBdr>
                                                          <w:divsChild>
                                                            <w:div w:id="17550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3-CL-INF-0011/en" TargetMode="External"/><Relationship Id="rId18" Type="http://schemas.openxmlformats.org/officeDocument/2006/relationships/hyperlink" Target="https://www.itu.int/md/S23-CL-C-0053/en" TargetMode="External"/><Relationship Id="rId26" Type="http://schemas.openxmlformats.org/officeDocument/2006/relationships/hyperlink" Target="https://www.itu.int/md/S23-CL-C-0052/en" TargetMode="External"/><Relationship Id="rId39" Type="http://schemas.openxmlformats.org/officeDocument/2006/relationships/footer" Target="footer1.xml"/><Relationship Id="rId21" Type="http://schemas.openxmlformats.org/officeDocument/2006/relationships/hyperlink" Target="https://www.itu.int/md/S23-CL-INF-0013/en" TargetMode="External"/><Relationship Id="rId34" Type="http://schemas.openxmlformats.org/officeDocument/2006/relationships/hyperlink" Target="https://www.itu.int/md/S23-CL-C-0036/en" TargetMode="External"/><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S23-CL-C-0050/en" TargetMode="External"/><Relationship Id="rId20" Type="http://schemas.openxmlformats.org/officeDocument/2006/relationships/hyperlink" Target="https://www.itu.int/md/S23-CL-INF-0011/en" TargetMode="External"/><Relationship Id="rId29" Type="http://schemas.openxmlformats.org/officeDocument/2006/relationships/hyperlink" Target="https://www.itu.int/md/S23-CL-C-0036/en"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3-CL-C-0053/en" TargetMode="External"/><Relationship Id="rId24" Type="http://schemas.openxmlformats.org/officeDocument/2006/relationships/hyperlink" Target="https://www.itu.int/md/S23-CL-C-0052/en" TargetMode="External"/><Relationship Id="rId32" Type="http://schemas.openxmlformats.org/officeDocument/2006/relationships/hyperlink" Target="https://www.itu.int/md/S23-CL-C-0052/en"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tu.int/md/S23-CL-C-0036/en" TargetMode="External"/><Relationship Id="rId23" Type="http://schemas.openxmlformats.org/officeDocument/2006/relationships/hyperlink" Target="https://www.itu.int/md/S23-CL-C-0036/en" TargetMode="External"/><Relationship Id="rId28" Type="http://schemas.openxmlformats.org/officeDocument/2006/relationships/hyperlink" Target="https://www.itu.int/md/S23-CL-C-0052/en" TargetMode="External"/><Relationship Id="rId36" Type="http://schemas.openxmlformats.org/officeDocument/2006/relationships/hyperlink" Target="https://www.itu.int/md/S23-CL-C-0007/en" TargetMode="External"/><Relationship Id="rId10" Type="http://schemas.openxmlformats.org/officeDocument/2006/relationships/hyperlink" Target="https://www.itu.int/md/S23-CL-C-0052/en" TargetMode="External"/><Relationship Id="rId19" Type="http://schemas.openxmlformats.org/officeDocument/2006/relationships/hyperlink" Target="https://www.itu.int/md/S23-CL-C-0062/en" TargetMode="External"/><Relationship Id="rId31" Type="http://schemas.openxmlformats.org/officeDocument/2006/relationships/hyperlink" Target="https://www.itu.int/md/S23-CL-C-0052/en"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md/S23-CL-C-0050/en" TargetMode="External"/><Relationship Id="rId14" Type="http://schemas.openxmlformats.org/officeDocument/2006/relationships/hyperlink" Target="https://www.itu.int/md/S23-CL-INF-0013/en" TargetMode="External"/><Relationship Id="rId22" Type="http://schemas.openxmlformats.org/officeDocument/2006/relationships/hyperlink" Target="https://www.itu.int/md/S23-CL-C-0052/en" TargetMode="External"/><Relationship Id="rId27" Type="http://schemas.openxmlformats.org/officeDocument/2006/relationships/hyperlink" Target="https://www.itu.int/md/S23-CL-C-0036/en" TargetMode="External"/><Relationship Id="rId30" Type="http://schemas.openxmlformats.org/officeDocument/2006/relationships/hyperlink" Target="https://www.itu.int/md/S23-CL-C-0036/en" TargetMode="External"/><Relationship Id="rId35" Type="http://schemas.openxmlformats.org/officeDocument/2006/relationships/hyperlink" Target="https://www.itu.int/md/S23-CL-C-0036/en" TargetMode="External"/><Relationship Id="rId43" Type="http://schemas.openxmlformats.org/officeDocument/2006/relationships/fontTable" Target="fontTable.xml"/><Relationship Id="rId8" Type="http://schemas.openxmlformats.org/officeDocument/2006/relationships/hyperlink" Target="https://www.itu.int/md/S23-CL-C-0036/en" TargetMode="External"/><Relationship Id="rId3" Type="http://schemas.openxmlformats.org/officeDocument/2006/relationships/styles" Target="styles.xml"/><Relationship Id="rId12" Type="http://schemas.openxmlformats.org/officeDocument/2006/relationships/hyperlink" Target="https://www.itu.int/md/S23-CL-C-0062/en" TargetMode="External"/><Relationship Id="rId17" Type="http://schemas.openxmlformats.org/officeDocument/2006/relationships/hyperlink" Target="https://www.itu.int/md/S23-CL-C-0052/en" TargetMode="External"/><Relationship Id="rId25" Type="http://schemas.openxmlformats.org/officeDocument/2006/relationships/hyperlink" Target="https://www.itu.int/md/S21-CL-C-0070/en" TargetMode="External"/><Relationship Id="rId33" Type="http://schemas.openxmlformats.org/officeDocument/2006/relationships/hyperlink" Target="https://www.itu.int/md/S23-CL-C-0007/en" TargetMode="External"/><Relationship Id="rId38"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1698</Words>
  <Characters>9681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International Telecommunication Union</Company>
  <LinksUpToDate>false</LinksUpToDate>
  <CharactersWithSpaces>11357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the Russian Federation - Comments on the Secretary-General's reports to the Council in documents C23/36, C23/52, C23/53, and C23/62</dc:title>
  <dc:subject>Council 2023</dc:subject>
  <dc:creator>Arabic-AAM</dc:creator>
  <cp:keywords>C2023, C23, Council-23</cp:keywords>
  <dc:description/>
  <cp:lastModifiedBy>Xue, Kun</cp:lastModifiedBy>
  <cp:revision>4</cp:revision>
  <dcterms:created xsi:type="dcterms:W3CDTF">2023-07-11T11:56:00Z</dcterms:created>
  <dcterms:modified xsi:type="dcterms:W3CDTF">2023-07-11T11:56:00Z</dcterms:modified>
  <cp:category>Conference document</cp:category>
</cp:coreProperties>
</file>