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1D7689" w14:paraId="498D0E59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D046288" w14:textId="02C9EA03" w:rsidR="00AD3606" w:rsidRPr="001D768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1D7689">
              <w:rPr>
                <w:b/>
              </w:rPr>
              <w:t xml:space="preserve">Agenda item: </w:t>
            </w:r>
            <w:r w:rsidR="0043062D" w:rsidRPr="001D7689">
              <w:rPr>
                <w:b/>
              </w:rPr>
              <w:t>PL 1</w:t>
            </w:r>
          </w:p>
        </w:tc>
        <w:tc>
          <w:tcPr>
            <w:tcW w:w="5245" w:type="dxa"/>
          </w:tcPr>
          <w:p w14:paraId="0C44E189" w14:textId="4897E0EF" w:rsidR="00AD3606" w:rsidRPr="001D7689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D7689">
              <w:rPr>
                <w:b/>
              </w:rPr>
              <w:t>Document C23/</w:t>
            </w:r>
            <w:r w:rsidR="00AF5930" w:rsidRPr="001D7689">
              <w:rPr>
                <w:b/>
              </w:rPr>
              <w:t>90</w:t>
            </w:r>
            <w:r w:rsidRPr="001D7689">
              <w:rPr>
                <w:b/>
              </w:rPr>
              <w:t>-E</w:t>
            </w:r>
          </w:p>
        </w:tc>
      </w:tr>
      <w:tr w:rsidR="00AD3606" w:rsidRPr="001D7689" w14:paraId="44BCB8A6" w14:textId="77777777" w:rsidTr="00AD3606">
        <w:trPr>
          <w:cantSplit/>
        </w:trPr>
        <w:tc>
          <w:tcPr>
            <w:tcW w:w="3969" w:type="dxa"/>
            <w:vMerge/>
          </w:tcPr>
          <w:p w14:paraId="436C5468" w14:textId="77777777" w:rsidR="00AD3606" w:rsidRPr="001D7689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EFF16" w14:textId="1982AA2E" w:rsidR="00AD3606" w:rsidRPr="001D7689" w:rsidRDefault="0043062D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1D7689">
              <w:rPr>
                <w:b/>
              </w:rPr>
              <w:t>27</w:t>
            </w:r>
            <w:r w:rsidR="00AD3606" w:rsidRPr="001D7689">
              <w:rPr>
                <w:b/>
              </w:rPr>
              <w:t xml:space="preserve"> </w:t>
            </w:r>
            <w:r w:rsidRPr="001D7689">
              <w:rPr>
                <w:b/>
              </w:rPr>
              <w:t>June</w:t>
            </w:r>
            <w:r w:rsidR="00AD3606" w:rsidRPr="001D7689">
              <w:rPr>
                <w:b/>
              </w:rPr>
              <w:t xml:space="preserve"> 2023</w:t>
            </w:r>
          </w:p>
        </w:tc>
      </w:tr>
      <w:tr w:rsidR="00AD3606" w:rsidRPr="001D7689" w14:paraId="65EEE3F6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170480FD" w14:textId="77777777" w:rsidR="00AD3606" w:rsidRPr="001D7689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22D524BB" w14:textId="17BC3DCF" w:rsidR="00AD3606" w:rsidRPr="001D768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D7689">
              <w:rPr>
                <w:b/>
              </w:rPr>
              <w:t xml:space="preserve">Original: </w:t>
            </w:r>
            <w:r w:rsidR="0043062D" w:rsidRPr="001D7689">
              <w:rPr>
                <w:b/>
              </w:rPr>
              <w:t>Russian</w:t>
            </w:r>
          </w:p>
        </w:tc>
      </w:tr>
      <w:tr w:rsidR="00472BAD" w:rsidRPr="001D7689" w14:paraId="7E9693AE" w14:textId="77777777" w:rsidTr="00AD3606">
        <w:trPr>
          <w:cantSplit/>
          <w:trHeight w:val="23"/>
        </w:trPr>
        <w:tc>
          <w:tcPr>
            <w:tcW w:w="3969" w:type="dxa"/>
          </w:tcPr>
          <w:p w14:paraId="18AC3FE4" w14:textId="77777777" w:rsidR="00472BAD" w:rsidRPr="001D7689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31BDA68" w14:textId="77777777" w:rsidR="00472BAD" w:rsidRPr="001D7689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1D7689" w14:paraId="00E3E60E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1AC7A7C" w14:textId="1B379213" w:rsidR="00AD3606" w:rsidRPr="001D7689" w:rsidRDefault="004C74EC" w:rsidP="00AD3606">
            <w:pPr>
              <w:pStyle w:val="Source"/>
              <w:framePr w:hSpace="0" w:wrap="auto" w:vAnchor="margin" w:hAnchor="text" w:yAlign="inline"/>
            </w:pPr>
            <w:bookmarkStart w:id="8" w:name="dsource" w:colFirst="0" w:colLast="0"/>
            <w:bookmarkEnd w:id="7"/>
            <w:r w:rsidRPr="001D7689">
              <w:t>Contribution from the Russian Federation</w:t>
            </w:r>
          </w:p>
        </w:tc>
      </w:tr>
      <w:tr w:rsidR="00AD3606" w:rsidRPr="001D7689" w14:paraId="2EDB9FBF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1FD5611" w14:textId="7B28AD2F" w:rsidR="00AD3606" w:rsidRPr="001D7689" w:rsidRDefault="00F4561A" w:rsidP="00F4561A">
            <w:pPr>
              <w:pStyle w:val="Subtitle"/>
              <w:framePr w:hSpace="0" w:wrap="auto" w:hAnchor="text" w:xAlign="left" w:yAlign="inline"/>
            </w:pPr>
            <w:bookmarkStart w:id="9" w:name="lt_pId012"/>
            <w:bookmarkStart w:id="10" w:name="dtitle1" w:colFirst="0" w:colLast="0"/>
            <w:bookmarkEnd w:id="8"/>
            <w:r w:rsidRPr="001D7689">
              <w:t>COMMENTS ON THE SECRETARY-GENERAL'S REPORTS TO THE COUNCIL IN DOCUMENTS С23/36, С23/52, С23/53 AND С23/62</w:t>
            </w:r>
            <w:bookmarkEnd w:id="9"/>
          </w:p>
        </w:tc>
      </w:tr>
      <w:tr w:rsidR="00AD3606" w:rsidRPr="001D7689" w14:paraId="298ED4D4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A8C31F6" w14:textId="7B93BD33" w:rsidR="00AD3606" w:rsidRPr="001D7689" w:rsidRDefault="00F16BAB" w:rsidP="00B7416B">
            <w:pPr>
              <w:pStyle w:val="Headingb"/>
            </w:pPr>
            <w:r w:rsidRPr="001D7689">
              <w:t>Purpose</w:t>
            </w:r>
          </w:p>
          <w:p w14:paraId="4160E1F3" w14:textId="7C911F20" w:rsidR="0043062D" w:rsidRPr="001D7689" w:rsidRDefault="002A2595" w:rsidP="00B7416B">
            <w:r w:rsidRPr="001D7689">
              <w:t>This contribution aims to:</w:t>
            </w:r>
          </w:p>
          <w:p w14:paraId="3CC8FAAC" w14:textId="360DFE67" w:rsidR="0043062D" w:rsidRPr="001D7689" w:rsidRDefault="00B7416B" w:rsidP="00B7416B">
            <w:pPr>
              <w:pStyle w:val="enumlev1"/>
            </w:pPr>
            <w:bookmarkStart w:id="11" w:name="lt_pId015"/>
            <w:r w:rsidRPr="001D7689">
              <w:t>–</w:t>
            </w:r>
            <w:r w:rsidRPr="001D7689">
              <w:tab/>
            </w:r>
            <w:r w:rsidR="002A2595" w:rsidRPr="001D7689">
              <w:t xml:space="preserve">increase the transparency of the proposals outlined in the </w:t>
            </w:r>
            <w:r w:rsidR="005363CC" w:rsidRPr="001D7689">
              <w:t>Secretary-General</w:t>
            </w:r>
            <w:r w:rsidR="00F4561A" w:rsidRPr="001D7689">
              <w:t>'</w:t>
            </w:r>
            <w:r w:rsidR="00A3590E" w:rsidRPr="001D7689">
              <w:t>s report</w:t>
            </w:r>
            <w:r w:rsidR="00987930" w:rsidRPr="001D7689">
              <w:t>s</w:t>
            </w:r>
            <w:r w:rsidR="0043062D" w:rsidRPr="001D7689">
              <w:t>;</w:t>
            </w:r>
            <w:bookmarkEnd w:id="11"/>
          </w:p>
          <w:p w14:paraId="054578B2" w14:textId="7D82550D" w:rsidR="0043062D" w:rsidRPr="001D7689" w:rsidRDefault="00B7416B" w:rsidP="00B7416B">
            <w:pPr>
              <w:pStyle w:val="enumlev1"/>
            </w:pPr>
            <w:bookmarkStart w:id="12" w:name="lt_pId016"/>
            <w:r w:rsidRPr="001D7689">
              <w:t>–</w:t>
            </w:r>
            <w:r w:rsidRPr="001D7689">
              <w:tab/>
              <w:t>a</w:t>
            </w:r>
            <w:r w:rsidR="00A3590E" w:rsidRPr="001D7689">
              <w:t xml:space="preserve">ssess the </w:t>
            </w:r>
            <w:r w:rsidR="005D0D52" w:rsidRPr="001D7689">
              <w:t>advisability</w:t>
            </w:r>
            <w:r w:rsidR="00B21D9C" w:rsidRPr="001D7689">
              <w:t xml:space="preserve"> </w:t>
            </w:r>
            <w:r w:rsidR="005D0D52" w:rsidRPr="001D7689">
              <w:t xml:space="preserve">of the initiative to create the proposed </w:t>
            </w:r>
            <w:r w:rsidR="00661D0D" w:rsidRPr="001D7689">
              <w:t>transformation office</w:t>
            </w:r>
            <w:r w:rsidR="005D0D52" w:rsidRPr="001D7689">
              <w:t xml:space="preserve"> </w:t>
            </w:r>
            <w:r w:rsidR="00B21D9C" w:rsidRPr="001D7689">
              <w:t xml:space="preserve">and determine the concrete source of </w:t>
            </w:r>
            <w:r w:rsidR="005D0D52" w:rsidRPr="001D7689">
              <w:t xml:space="preserve">its </w:t>
            </w:r>
            <w:r w:rsidR="00B21D9C" w:rsidRPr="001D7689">
              <w:t>financing</w:t>
            </w:r>
            <w:r w:rsidR="0043062D" w:rsidRPr="001D7689">
              <w:t>;</w:t>
            </w:r>
            <w:bookmarkEnd w:id="12"/>
          </w:p>
          <w:p w14:paraId="2F658076" w14:textId="5854E930" w:rsidR="00AD3606" w:rsidRPr="001D7689" w:rsidRDefault="00B7416B" w:rsidP="00B7416B">
            <w:pPr>
              <w:pStyle w:val="enumlev1"/>
            </w:pPr>
            <w:bookmarkStart w:id="13" w:name="lt_pId017"/>
            <w:r w:rsidRPr="001D7689">
              <w:t>–</w:t>
            </w:r>
            <w:r w:rsidRPr="001D7689">
              <w:tab/>
            </w:r>
            <w:r w:rsidR="00D30072" w:rsidRPr="001D7689">
              <w:t xml:space="preserve">determine the ultimate goal of the work of the </w:t>
            </w:r>
            <w:r w:rsidR="00661D0D" w:rsidRPr="001D7689">
              <w:t>transformation office</w:t>
            </w:r>
            <w:r w:rsidR="00D30072" w:rsidRPr="001D7689">
              <w:t xml:space="preserve"> and assess </w:t>
            </w:r>
            <w:r w:rsidR="001748C7" w:rsidRPr="001D7689">
              <w:t>the conformity of the ultimate goal (</w:t>
            </w:r>
            <w:r w:rsidR="00433AFB" w:rsidRPr="001D7689">
              <w:t xml:space="preserve">concrete result) of </w:t>
            </w:r>
            <w:r w:rsidR="005D0D52" w:rsidRPr="001D7689">
              <w:t xml:space="preserve">its </w:t>
            </w:r>
            <w:r w:rsidR="00433AFB" w:rsidRPr="001D7689">
              <w:t xml:space="preserve">work </w:t>
            </w:r>
            <w:r w:rsidR="005D0D52" w:rsidRPr="001D7689">
              <w:t>with the ITU Constitution</w:t>
            </w:r>
            <w:r w:rsidR="002B1A05" w:rsidRPr="001D7689">
              <w:t xml:space="preserve">, the </w:t>
            </w:r>
            <w:r w:rsidR="005D0D52" w:rsidRPr="001D7689">
              <w:t>ITU Convention, and Resolution 71 (Rev. Bucharest, 2022) of the Plenipotentiary Conference</w:t>
            </w:r>
            <w:r w:rsidR="0043062D" w:rsidRPr="001D7689">
              <w:t>.</w:t>
            </w:r>
            <w:bookmarkEnd w:id="13"/>
          </w:p>
          <w:p w14:paraId="63FDFD64" w14:textId="77777777" w:rsidR="00AD3606" w:rsidRPr="001D7689" w:rsidRDefault="00AD3606" w:rsidP="00B7416B">
            <w:pPr>
              <w:pStyle w:val="Headingb"/>
            </w:pPr>
            <w:r w:rsidRPr="001D7689">
              <w:t>Action required</w:t>
            </w:r>
            <w:r w:rsidR="00F16BAB" w:rsidRPr="001D7689">
              <w:t xml:space="preserve"> by the Council</w:t>
            </w:r>
          </w:p>
          <w:p w14:paraId="21EECCF5" w14:textId="43E391FA" w:rsidR="00AD3606" w:rsidRPr="001D7689" w:rsidRDefault="005D0D52" w:rsidP="00AD3606">
            <w:bookmarkStart w:id="14" w:name="lt_pId019"/>
            <w:r w:rsidRPr="001D7689">
              <w:t xml:space="preserve">The Council is invited to assess the advisability </w:t>
            </w:r>
            <w:r w:rsidR="007E720C" w:rsidRPr="001D7689">
              <w:t>of adopting the proposed new measures</w:t>
            </w:r>
            <w:r w:rsidR="000703E9" w:rsidRPr="001D7689">
              <w:t xml:space="preserve"> and</w:t>
            </w:r>
            <w:r w:rsidR="007E720C" w:rsidRPr="001D7689">
              <w:t xml:space="preserve"> determine the sources of financing </w:t>
            </w:r>
            <w:r w:rsidR="000703E9" w:rsidRPr="001D7689">
              <w:t xml:space="preserve">for </w:t>
            </w:r>
            <w:r w:rsidR="008B5756" w:rsidRPr="001D7689">
              <w:t xml:space="preserve">the </w:t>
            </w:r>
            <w:r w:rsidR="0075776B" w:rsidRPr="001D7689">
              <w:t xml:space="preserve">elements of the </w:t>
            </w:r>
            <w:r w:rsidR="008B5756" w:rsidRPr="001D7689">
              <w:t>initiative</w:t>
            </w:r>
            <w:r w:rsidR="000703E9" w:rsidRPr="001D7689">
              <w:t>, taking into account the resources already expended to this end</w:t>
            </w:r>
            <w:r w:rsidR="0043062D" w:rsidRPr="001D7689">
              <w:t>.</w:t>
            </w:r>
            <w:bookmarkEnd w:id="14"/>
          </w:p>
          <w:p w14:paraId="29A379B3" w14:textId="77777777" w:rsidR="00AD3606" w:rsidRPr="001D7689" w:rsidRDefault="00AD3606" w:rsidP="00F16BAB">
            <w:pPr>
              <w:spacing w:before="160"/>
              <w:rPr>
                <w:caps/>
                <w:sz w:val="22"/>
              </w:rPr>
            </w:pPr>
            <w:r w:rsidRPr="001D7689">
              <w:rPr>
                <w:sz w:val="22"/>
              </w:rPr>
              <w:t>__________________</w:t>
            </w:r>
          </w:p>
          <w:p w14:paraId="7F809AAB" w14:textId="77777777" w:rsidR="00AD3606" w:rsidRPr="001D7689" w:rsidRDefault="00AD3606" w:rsidP="00B7416B">
            <w:pPr>
              <w:pStyle w:val="Headingb"/>
            </w:pPr>
            <w:r w:rsidRPr="001D7689">
              <w:t>References</w:t>
            </w:r>
          </w:p>
          <w:p w14:paraId="03BA9FBD" w14:textId="519FFAAE" w:rsidR="00AD3606" w:rsidRPr="001D7689" w:rsidRDefault="0010059F" w:rsidP="00B7416B">
            <w:bookmarkStart w:id="15" w:name="lt_pId022"/>
            <w:r w:rsidRPr="001D7689">
              <w:t>Resolution</w:t>
            </w:r>
            <w:r w:rsidR="0043062D" w:rsidRPr="001D7689">
              <w:t xml:space="preserve"> 71 (</w:t>
            </w:r>
            <w:r w:rsidR="00980D12" w:rsidRPr="001D7689">
              <w:t>R</w:t>
            </w:r>
            <w:r w:rsidR="000703E9" w:rsidRPr="001D7689">
              <w:t>ev. Bucharest</w:t>
            </w:r>
            <w:r w:rsidR="0043062D" w:rsidRPr="001D7689">
              <w:t>, 202</w:t>
            </w:r>
            <w:r w:rsidR="00980D12" w:rsidRPr="001D7689">
              <w:t>2</w:t>
            </w:r>
            <w:r w:rsidR="0043062D" w:rsidRPr="001D7689">
              <w:t>)</w:t>
            </w:r>
            <w:bookmarkEnd w:id="15"/>
            <w:r w:rsidR="0043062D" w:rsidRPr="001D7689">
              <w:t xml:space="preserve"> </w:t>
            </w:r>
            <w:bookmarkStart w:id="16" w:name="lt_pId023"/>
            <w:r w:rsidR="00980D12" w:rsidRPr="001D7689">
              <w:t xml:space="preserve">and </w:t>
            </w:r>
            <w:r w:rsidRPr="001D7689">
              <w:t>Decision</w:t>
            </w:r>
            <w:r w:rsidR="0043062D" w:rsidRPr="001D7689">
              <w:t xml:space="preserve"> 5 </w:t>
            </w:r>
            <w:r w:rsidR="00980D12" w:rsidRPr="001D7689">
              <w:t>(Rev. Bucharest, 2022) of the Plenipotentiary Conference</w:t>
            </w:r>
            <w:r w:rsidR="00B7416B" w:rsidRPr="001D7689">
              <w:br/>
            </w:r>
            <w:r w:rsidR="0075776B" w:rsidRPr="001D7689">
              <w:t>Council Documents</w:t>
            </w:r>
            <w:r w:rsidR="0043062D" w:rsidRPr="001D7689">
              <w:t xml:space="preserve"> </w:t>
            </w:r>
            <w:hyperlink r:id="rId8" w:history="1">
              <w:r w:rsidR="0043062D" w:rsidRPr="001D7689">
                <w:rPr>
                  <w:rStyle w:val="Hyperlink"/>
                </w:rPr>
                <w:t>C23/36</w:t>
              </w:r>
            </w:hyperlink>
            <w:r w:rsidR="0043062D" w:rsidRPr="001D7689">
              <w:t xml:space="preserve">, </w:t>
            </w:r>
            <w:hyperlink r:id="rId9" w:history="1">
              <w:r w:rsidR="0043062D" w:rsidRPr="001D7689">
                <w:rPr>
                  <w:rStyle w:val="Hyperlink"/>
                </w:rPr>
                <w:t>C23/50</w:t>
              </w:r>
            </w:hyperlink>
            <w:r w:rsidR="0043062D" w:rsidRPr="001D7689">
              <w:t xml:space="preserve">, </w:t>
            </w:r>
            <w:hyperlink r:id="rId10" w:history="1">
              <w:r w:rsidR="0043062D" w:rsidRPr="001D7689">
                <w:rPr>
                  <w:rStyle w:val="Hyperlink"/>
                  <w:szCs w:val="24"/>
                </w:rPr>
                <w:t>C23/52</w:t>
              </w:r>
            </w:hyperlink>
            <w:r w:rsidR="0043062D" w:rsidRPr="001D7689">
              <w:t xml:space="preserve">, </w:t>
            </w:r>
            <w:hyperlink r:id="rId11" w:history="1">
              <w:r w:rsidR="0043062D" w:rsidRPr="001D7689">
                <w:rPr>
                  <w:rStyle w:val="Hyperlink"/>
                </w:rPr>
                <w:t>C23/53</w:t>
              </w:r>
            </w:hyperlink>
            <w:r w:rsidR="0043062D" w:rsidRPr="001D7689">
              <w:t xml:space="preserve">, </w:t>
            </w:r>
            <w:hyperlink r:id="rId12" w:history="1">
              <w:r w:rsidR="0043062D" w:rsidRPr="001D7689">
                <w:rPr>
                  <w:rStyle w:val="Hyperlink"/>
                </w:rPr>
                <w:t>C23/62</w:t>
              </w:r>
            </w:hyperlink>
            <w:r w:rsidR="0043062D" w:rsidRPr="001D7689">
              <w:t xml:space="preserve">, </w:t>
            </w:r>
            <w:hyperlink r:id="rId13" w:history="1">
              <w:r w:rsidR="0043062D" w:rsidRPr="001D7689">
                <w:rPr>
                  <w:rStyle w:val="Hyperlink"/>
                </w:rPr>
                <w:t>C23/INF/11</w:t>
              </w:r>
            </w:hyperlink>
            <w:r w:rsidR="0043062D" w:rsidRPr="001D7689">
              <w:t xml:space="preserve"> </w:t>
            </w:r>
            <w:r w:rsidR="00980D12" w:rsidRPr="001D7689">
              <w:t xml:space="preserve">and </w:t>
            </w:r>
            <w:hyperlink r:id="rId14" w:history="1">
              <w:r w:rsidR="0043062D" w:rsidRPr="001D7689">
                <w:rPr>
                  <w:rStyle w:val="Hyperlink"/>
                </w:rPr>
                <w:t>C23/INF/13</w:t>
              </w:r>
            </w:hyperlink>
            <w:bookmarkEnd w:id="16"/>
          </w:p>
        </w:tc>
      </w:tr>
    </w:tbl>
    <w:p w14:paraId="67878136" w14:textId="77777777" w:rsidR="00E227F3" w:rsidRPr="001D7689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7" w:name="_Hlk133421428"/>
      <w:bookmarkEnd w:id="2"/>
      <w:bookmarkEnd w:id="10"/>
    </w:p>
    <w:bookmarkEnd w:id="3"/>
    <w:bookmarkEnd w:id="4"/>
    <w:p w14:paraId="5474D74C" w14:textId="77777777" w:rsidR="0090147A" w:rsidRPr="001D7689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1D7689">
        <w:br w:type="page"/>
      </w:r>
    </w:p>
    <w:bookmarkEnd w:id="5"/>
    <w:bookmarkEnd w:id="17"/>
    <w:p w14:paraId="0155C6AA" w14:textId="69082733" w:rsidR="0043062D" w:rsidRPr="001D7689" w:rsidRDefault="00B7416B" w:rsidP="00B7416B">
      <w:pPr>
        <w:pStyle w:val="Heading1"/>
      </w:pPr>
      <w:r w:rsidRPr="001D7689">
        <w:lastRenderedPageBreak/>
        <w:t>1</w:t>
      </w:r>
      <w:r w:rsidRPr="001D7689">
        <w:tab/>
      </w:r>
      <w:r w:rsidR="00C56765" w:rsidRPr="001D7689">
        <w:t>Introduction</w:t>
      </w:r>
    </w:p>
    <w:p w14:paraId="52B31A2F" w14:textId="7321F0F9" w:rsidR="0043062D" w:rsidRPr="001D7689" w:rsidRDefault="00B7416B" w:rsidP="00B7416B">
      <w:bookmarkStart w:id="18" w:name="lt_pId025"/>
      <w:r w:rsidRPr="001D7689">
        <w:t>1.1</w:t>
      </w:r>
      <w:r w:rsidRPr="001D7689">
        <w:tab/>
      </w:r>
      <w:r w:rsidR="00032C47" w:rsidRPr="001D7689">
        <w:t xml:space="preserve">The Plenipotentiary Conference </w:t>
      </w:r>
      <w:r w:rsidR="005D48E7" w:rsidRPr="001D7689">
        <w:t xml:space="preserve">(Bucharest, 2022) (PP-22) </w:t>
      </w:r>
      <w:r w:rsidR="00032C47" w:rsidRPr="001D7689">
        <w:t>adopted Resolution 71 (Rev.</w:t>
      </w:r>
      <w:r w:rsidRPr="001D7689">
        <w:t> </w:t>
      </w:r>
      <w:r w:rsidR="00032C47" w:rsidRPr="001D7689">
        <w:t>Bucharest, 202</w:t>
      </w:r>
      <w:r w:rsidR="00ED6227" w:rsidRPr="001D7689">
        <w:t>2</w:t>
      </w:r>
      <w:r w:rsidR="00032C47" w:rsidRPr="001D7689">
        <w:t>) and Decision 5 (Rev. Bucharest, 202</w:t>
      </w:r>
      <w:r w:rsidR="00980D12" w:rsidRPr="001D7689">
        <w:t>2</w:t>
      </w:r>
      <w:r w:rsidR="00032C47" w:rsidRPr="001D7689">
        <w:t>)</w:t>
      </w:r>
      <w:r w:rsidR="00344F3F" w:rsidRPr="001D7689">
        <w:t xml:space="preserve">, </w:t>
      </w:r>
      <w:r w:rsidR="005624C9" w:rsidRPr="001D7689">
        <w:t xml:space="preserve">setting out </w:t>
      </w:r>
      <w:r w:rsidR="00344F3F" w:rsidRPr="001D7689">
        <w:t xml:space="preserve">the </w:t>
      </w:r>
      <w:bookmarkStart w:id="19" w:name="lt_pId026"/>
      <w:bookmarkEnd w:id="18"/>
      <w:r w:rsidR="0043062D" w:rsidRPr="001D7689">
        <w:rPr>
          <w:iCs/>
        </w:rPr>
        <w:t>strategic goals</w:t>
      </w:r>
      <w:r w:rsidR="00344F3F" w:rsidRPr="001D7689">
        <w:rPr>
          <w:iCs/>
        </w:rPr>
        <w:t xml:space="preserve"> </w:t>
      </w:r>
      <w:r w:rsidR="009734CC" w:rsidRPr="001D7689">
        <w:rPr>
          <w:iCs/>
        </w:rPr>
        <w:t xml:space="preserve">of the </w:t>
      </w:r>
      <w:r w:rsidR="00344F3F" w:rsidRPr="001D7689">
        <w:rPr>
          <w:iCs/>
        </w:rPr>
        <w:t xml:space="preserve">Union, its </w:t>
      </w:r>
      <w:r w:rsidR="0043062D" w:rsidRPr="001D7689">
        <w:rPr>
          <w:iCs/>
        </w:rPr>
        <w:t>thematic priorities</w:t>
      </w:r>
      <w:r w:rsidR="005624C9" w:rsidRPr="001D7689">
        <w:t xml:space="preserve"> and </w:t>
      </w:r>
      <w:r w:rsidR="0043062D" w:rsidRPr="001D7689">
        <w:rPr>
          <w:iCs/>
        </w:rPr>
        <w:t>enablers</w:t>
      </w:r>
      <w:r w:rsidR="0043062D" w:rsidRPr="001D7689">
        <w:t xml:space="preserve">, </w:t>
      </w:r>
      <w:r w:rsidR="005624C9" w:rsidRPr="001D7689">
        <w:t>the product and service</w:t>
      </w:r>
      <w:r w:rsidR="003011DF" w:rsidRPr="001D7689">
        <w:t xml:space="preserve"> offerings of the Union, </w:t>
      </w:r>
      <w:r w:rsidR="00123D2B" w:rsidRPr="001D7689">
        <w:t xml:space="preserve">and </w:t>
      </w:r>
      <w:r w:rsidR="005D48E7" w:rsidRPr="001D7689">
        <w:t xml:space="preserve">a </w:t>
      </w:r>
      <w:r w:rsidR="00123D2B" w:rsidRPr="001D7689">
        <w:t xml:space="preserve">detailed </w:t>
      </w:r>
      <w:r w:rsidR="00486E58" w:rsidRPr="001D7689">
        <w:t>linkage between the strategic and financial plan</w:t>
      </w:r>
      <w:r w:rsidR="005D48E7" w:rsidRPr="001D7689">
        <w:t>s</w:t>
      </w:r>
      <w:r w:rsidR="00486E58" w:rsidRPr="001D7689">
        <w:t xml:space="preserve"> of the Union, </w:t>
      </w:r>
      <w:r w:rsidR="00BE0986" w:rsidRPr="001D7689">
        <w:t>with a view to the effective achievement of the ITU goals</w:t>
      </w:r>
      <w:r w:rsidR="0043062D" w:rsidRPr="001D7689">
        <w:t>.</w:t>
      </w:r>
      <w:bookmarkEnd w:id="19"/>
    </w:p>
    <w:p w14:paraId="3C006048" w14:textId="4F29BFF8" w:rsidR="0043062D" w:rsidRPr="001D7689" w:rsidRDefault="00B7416B" w:rsidP="00B7416B">
      <w:bookmarkStart w:id="20" w:name="lt_pId027"/>
      <w:r w:rsidRPr="001D7689">
        <w:t>1.2</w:t>
      </w:r>
      <w:r w:rsidRPr="001D7689">
        <w:tab/>
      </w:r>
      <w:r w:rsidR="0098447A" w:rsidRPr="001D7689">
        <w:t xml:space="preserve">The reports of the Secretary-General presented for examination in </w:t>
      </w:r>
      <w:r w:rsidR="005D48E7" w:rsidRPr="001D7689">
        <w:t xml:space="preserve">Council </w:t>
      </w:r>
      <w:r w:rsidR="0098447A" w:rsidRPr="001D7689">
        <w:t xml:space="preserve">Documents </w:t>
      </w:r>
      <w:hyperlink r:id="rId15" w:history="1">
        <w:r w:rsidR="0043062D" w:rsidRPr="001D7689">
          <w:rPr>
            <w:rStyle w:val="Hyperlink"/>
            <w:szCs w:val="24"/>
          </w:rPr>
          <w:t>C23/36</w:t>
        </w:r>
      </w:hyperlink>
      <w:r w:rsidR="0043062D" w:rsidRPr="001D7689">
        <w:t xml:space="preserve">, </w:t>
      </w:r>
      <w:hyperlink r:id="rId16" w:history="1">
        <w:r w:rsidR="0043062D" w:rsidRPr="001D7689">
          <w:rPr>
            <w:rStyle w:val="Hyperlink"/>
            <w:szCs w:val="24"/>
          </w:rPr>
          <w:t>C23/50</w:t>
        </w:r>
      </w:hyperlink>
      <w:r w:rsidR="0043062D" w:rsidRPr="001D7689">
        <w:t xml:space="preserve">, </w:t>
      </w:r>
      <w:hyperlink r:id="rId17" w:history="1">
        <w:r w:rsidR="0043062D" w:rsidRPr="001D7689">
          <w:rPr>
            <w:rStyle w:val="Hyperlink"/>
            <w:szCs w:val="24"/>
          </w:rPr>
          <w:t>C23/52</w:t>
        </w:r>
      </w:hyperlink>
      <w:r w:rsidR="0043062D" w:rsidRPr="001D7689">
        <w:t xml:space="preserve">, </w:t>
      </w:r>
      <w:hyperlink r:id="rId18" w:history="1">
        <w:r w:rsidR="0043062D" w:rsidRPr="001D7689">
          <w:rPr>
            <w:rStyle w:val="Hyperlink"/>
            <w:szCs w:val="24"/>
          </w:rPr>
          <w:t>C23/53</w:t>
        </w:r>
      </w:hyperlink>
      <w:r w:rsidR="0043062D" w:rsidRPr="001D7689">
        <w:t xml:space="preserve">, </w:t>
      </w:r>
      <w:hyperlink r:id="rId19" w:history="1">
        <w:r w:rsidR="0043062D" w:rsidRPr="001D7689">
          <w:rPr>
            <w:rStyle w:val="Hyperlink"/>
            <w:szCs w:val="24"/>
          </w:rPr>
          <w:t>C23/62</w:t>
        </w:r>
      </w:hyperlink>
      <w:r w:rsidR="0043062D" w:rsidRPr="001D7689">
        <w:t xml:space="preserve">, </w:t>
      </w:r>
      <w:hyperlink r:id="rId20" w:history="1">
        <w:r w:rsidR="0043062D" w:rsidRPr="001D7689">
          <w:rPr>
            <w:rStyle w:val="Hyperlink"/>
            <w:szCs w:val="24"/>
          </w:rPr>
          <w:t>C23/INF/11</w:t>
        </w:r>
      </w:hyperlink>
      <w:r w:rsidR="0098447A" w:rsidRPr="001D7689">
        <w:t xml:space="preserve"> and</w:t>
      </w:r>
      <w:r w:rsidR="0043062D" w:rsidRPr="001D7689">
        <w:t xml:space="preserve"> </w:t>
      </w:r>
      <w:hyperlink r:id="rId21" w:history="1">
        <w:r w:rsidR="0043062D" w:rsidRPr="001D7689">
          <w:rPr>
            <w:rStyle w:val="Hyperlink"/>
            <w:szCs w:val="24"/>
          </w:rPr>
          <w:t>C23/INF/13</w:t>
        </w:r>
      </w:hyperlink>
      <w:r w:rsidR="0043062D" w:rsidRPr="001D7689">
        <w:t>,</w:t>
      </w:r>
      <w:r w:rsidR="00ED2E25" w:rsidRPr="001D7689">
        <w:t xml:space="preserve"> </w:t>
      </w:r>
      <w:r w:rsidR="002845D3" w:rsidRPr="001D7689">
        <w:t xml:space="preserve">according to the links provided, </w:t>
      </w:r>
      <w:r w:rsidR="00BD16DD" w:rsidRPr="001D7689">
        <w:t xml:space="preserve">are </w:t>
      </w:r>
      <w:r w:rsidR="00AA2D00" w:rsidRPr="001D7689">
        <w:t xml:space="preserve">more </w:t>
      </w:r>
      <w:r w:rsidR="00BD16DD" w:rsidRPr="001D7689">
        <w:t xml:space="preserve">concerned with </w:t>
      </w:r>
      <w:r w:rsidR="00300736" w:rsidRPr="001D7689">
        <w:t>the activities and approaches of the Union</w:t>
      </w:r>
      <w:r w:rsidR="00F4561A" w:rsidRPr="001D7689">
        <w:t>'</w:t>
      </w:r>
      <w:r w:rsidR="00300736" w:rsidRPr="001D7689">
        <w:t xml:space="preserve">s new </w:t>
      </w:r>
      <w:r w:rsidR="00C2395D" w:rsidRPr="001D7689">
        <w:t>management team</w:t>
      </w:r>
      <w:r w:rsidR="00300736" w:rsidRPr="001D7689">
        <w:t xml:space="preserve"> </w:t>
      </w:r>
      <w:r w:rsidR="00C86182" w:rsidRPr="001D7689">
        <w:t xml:space="preserve">as regards the </w:t>
      </w:r>
      <w:r w:rsidR="005A5B14" w:rsidRPr="001D7689">
        <w:t xml:space="preserve">working methods </w:t>
      </w:r>
      <w:r w:rsidR="00126079" w:rsidRPr="001D7689">
        <w:t xml:space="preserve">of ITU </w:t>
      </w:r>
      <w:r w:rsidR="005A5B14" w:rsidRPr="001D7689">
        <w:t xml:space="preserve">to </w:t>
      </w:r>
      <w:r w:rsidR="00126079" w:rsidRPr="001D7689">
        <w:t xml:space="preserve">allow </w:t>
      </w:r>
      <w:r w:rsidR="00427B37" w:rsidRPr="001D7689">
        <w:t>the Union</w:t>
      </w:r>
      <w:r w:rsidR="00F4561A" w:rsidRPr="001D7689">
        <w:t>'</w:t>
      </w:r>
      <w:r w:rsidR="00427B37" w:rsidRPr="001D7689">
        <w:t>s goals and priorities</w:t>
      </w:r>
      <w:r w:rsidR="00126079" w:rsidRPr="001D7689">
        <w:t xml:space="preserve"> to be achieved in a more efficient and more effective</w:t>
      </w:r>
      <w:r w:rsidR="00745958" w:rsidRPr="001D7689">
        <w:t xml:space="preserve"> manner</w:t>
      </w:r>
      <w:r w:rsidR="00427B37" w:rsidRPr="001D7689">
        <w:t>, in particular</w:t>
      </w:r>
      <w:r w:rsidR="0043062D" w:rsidRPr="001D7689">
        <w:t>:</w:t>
      </w:r>
      <w:bookmarkEnd w:id="20"/>
      <w:r w:rsidR="0043062D" w:rsidRPr="001D7689">
        <w:t xml:space="preserve"> </w:t>
      </w:r>
    </w:p>
    <w:p w14:paraId="757A7BFA" w14:textId="078FACD3" w:rsidR="0043062D" w:rsidRPr="001D7689" w:rsidRDefault="00B7416B" w:rsidP="00B7416B">
      <w:pPr>
        <w:pStyle w:val="enumlev1"/>
      </w:pPr>
      <w:bookmarkStart w:id="21" w:name="lt_pId028"/>
      <w:r w:rsidRPr="001D7689">
        <w:t>–</w:t>
      </w:r>
      <w:r w:rsidRPr="001D7689">
        <w:tab/>
      </w:r>
      <w:r w:rsidR="00E56CDD" w:rsidRPr="001D7689">
        <w:t xml:space="preserve">the </w:t>
      </w:r>
      <w:r w:rsidR="0043062D" w:rsidRPr="001D7689">
        <w:t xml:space="preserve">enabler </w:t>
      </w:r>
      <w:r w:rsidR="00216CAB" w:rsidRPr="001D7689">
        <w:t>"</w:t>
      </w:r>
      <w:r w:rsidR="0043062D" w:rsidRPr="001D7689">
        <w:t>Excellence in human resources and organizational innovation</w:t>
      </w:r>
      <w:bookmarkEnd w:id="21"/>
      <w:r w:rsidR="00216CAB" w:rsidRPr="001D7689">
        <w:t>"</w:t>
      </w:r>
      <w:r w:rsidR="00E739F4" w:rsidRPr="001D7689">
        <w:t>;</w:t>
      </w:r>
    </w:p>
    <w:p w14:paraId="76F30D25" w14:textId="2B61E1BB" w:rsidR="0043062D" w:rsidRPr="001D7689" w:rsidRDefault="00B7416B" w:rsidP="00B7416B">
      <w:pPr>
        <w:pStyle w:val="enumlev1"/>
      </w:pPr>
      <w:bookmarkStart w:id="22" w:name="lt_pId029"/>
      <w:r w:rsidRPr="001D7689">
        <w:t>–</w:t>
      </w:r>
      <w:r w:rsidRPr="001D7689">
        <w:tab/>
      </w:r>
      <w:r w:rsidR="0052761C" w:rsidRPr="001D7689">
        <w:t xml:space="preserve">the </w:t>
      </w:r>
      <w:r w:rsidR="0043062D" w:rsidRPr="001D7689">
        <w:t xml:space="preserve">enabler </w:t>
      </w:r>
      <w:r w:rsidR="00216CAB" w:rsidRPr="001D7689">
        <w:t>"</w:t>
      </w:r>
      <w:r w:rsidR="0043062D" w:rsidRPr="001D7689">
        <w:t>Resource mobilization</w:t>
      </w:r>
      <w:r w:rsidR="00216CAB" w:rsidRPr="001D7689">
        <w:t>"</w:t>
      </w:r>
      <w:r w:rsidR="0043062D" w:rsidRPr="001D7689">
        <w:t>.</w:t>
      </w:r>
      <w:bookmarkEnd w:id="22"/>
    </w:p>
    <w:p w14:paraId="654C30DC" w14:textId="1153E658" w:rsidR="0043062D" w:rsidRPr="001D7689" w:rsidRDefault="00B7416B" w:rsidP="00B7416B">
      <w:bookmarkStart w:id="23" w:name="lt_pId030"/>
      <w:r w:rsidRPr="001D7689">
        <w:t>1.3</w:t>
      </w:r>
      <w:r w:rsidRPr="001D7689">
        <w:tab/>
      </w:r>
      <w:r w:rsidR="002522E6" w:rsidRPr="001D7689">
        <w:t>T</w:t>
      </w:r>
      <w:r w:rsidR="0059108E" w:rsidRPr="001D7689">
        <w:t xml:space="preserve">he </w:t>
      </w:r>
      <w:r w:rsidR="00C2395D" w:rsidRPr="001D7689">
        <w:t>management team</w:t>
      </w:r>
      <w:r w:rsidR="00F4561A" w:rsidRPr="001D7689">
        <w:t>'</w:t>
      </w:r>
      <w:r w:rsidR="0059108E" w:rsidRPr="001D7689">
        <w:t xml:space="preserve">s </w:t>
      </w:r>
      <w:r w:rsidR="00B251E7" w:rsidRPr="001D7689">
        <w:t xml:space="preserve">work </w:t>
      </w:r>
      <w:r w:rsidR="00EE787A" w:rsidRPr="001D7689">
        <w:t xml:space="preserve">on the </w:t>
      </w:r>
      <w:r w:rsidR="00A54354" w:rsidRPr="001D7689">
        <w:t xml:space="preserve">enabler </w:t>
      </w:r>
      <w:r w:rsidR="00216CAB" w:rsidRPr="001D7689">
        <w:t>"</w:t>
      </w:r>
      <w:r w:rsidR="00A54354" w:rsidRPr="001D7689">
        <w:t>Excellence in human resources and organizational innovation</w:t>
      </w:r>
      <w:r w:rsidR="00216CAB" w:rsidRPr="001D7689">
        <w:t>"</w:t>
      </w:r>
      <w:r w:rsidR="007D3AEB" w:rsidRPr="001D7689">
        <w:t xml:space="preserve"> </w:t>
      </w:r>
      <w:r w:rsidR="002522E6" w:rsidRPr="001D7689">
        <w:t xml:space="preserve">under </w:t>
      </w:r>
      <w:r w:rsidR="008D277E" w:rsidRPr="001D7689">
        <w:t>Resolution 71</w:t>
      </w:r>
      <w:r w:rsidR="002522E6" w:rsidRPr="001D7689">
        <w:t xml:space="preserve"> </w:t>
      </w:r>
      <w:r w:rsidR="007F7AE9" w:rsidRPr="001D7689">
        <w:t xml:space="preserve">should aim to improve internal processes and accelerate internal decision-making by addressing operational inefficiencies, </w:t>
      </w:r>
      <w:proofErr w:type="gramStart"/>
      <w:r w:rsidR="007F7AE9" w:rsidRPr="001D7689">
        <w:t>duplication</w:t>
      </w:r>
      <w:proofErr w:type="gramEnd"/>
      <w:r w:rsidR="007F7AE9" w:rsidRPr="001D7689">
        <w:t xml:space="preserve"> and perceived bureaucracy, reflecting the values of transparency and accountability</w:t>
      </w:r>
      <w:r w:rsidR="0043062D" w:rsidRPr="001D7689">
        <w:t>.</w:t>
      </w:r>
      <w:bookmarkEnd w:id="23"/>
      <w:r w:rsidR="0043062D" w:rsidRPr="001D7689">
        <w:t xml:space="preserve"> </w:t>
      </w:r>
    </w:p>
    <w:p w14:paraId="7540D173" w14:textId="0FA6708A" w:rsidR="005E77E3" w:rsidRPr="001D7689" w:rsidRDefault="0043062D" w:rsidP="00B7416B">
      <w:r w:rsidRPr="001D7689">
        <w:t xml:space="preserve">The main </w:t>
      </w:r>
      <w:r w:rsidR="00BA1914" w:rsidRPr="001D7689">
        <w:t xml:space="preserve">goal is to </w:t>
      </w:r>
      <w:r w:rsidRPr="001D7689">
        <w:t>moderniz</w:t>
      </w:r>
      <w:r w:rsidR="00BA1914" w:rsidRPr="001D7689">
        <w:t>e</w:t>
      </w:r>
      <w:r w:rsidRPr="001D7689">
        <w:t xml:space="preserve"> ITU</w:t>
      </w:r>
      <w:r w:rsidR="00F4561A" w:rsidRPr="001D7689">
        <w:t>'</w:t>
      </w:r>
      <w:r w:rsidRPr="001D7689">
        <w:t xml:space="preserve">s human capacity, processes, procedures and tools, </w:t>
      </w:r>
      <w:r w:rsidR="00BA1914" w:rsidRPr="001D7689">
        <w:t xml:space="preserve">and to achieve </w:t>
      </w:r>
      <w:r w:rsidRPr="001D7689">
        <w:t>integration and harmonization with the United Nations Common System and the values of the international civil service. To this end, the organization will be implementing a culture and skills transformation plan that will strengthen organizational openness, agility and efficiency</w:t>
      </w:r>
      <w:r w:rsidR="005E77E3" w:rsidRPr="001D7689">
        <w:t>.</w:t>
      </w:r>
    </w:p>
    <w:p w14:paraId="36FB61D5" w14:textId="7F601F19" w:rsidR="0043062D" w:rsidRPr="001D7689" w:rsidRDefault="005E77E3" w:rsidP="00B7416B">
      <w:pPr>
        <w:rPr>
          <w:rFonts w:cs="Calibri"/>
          <w:bCs/>
        </w:rPr>
      </w:pPr>
      <w:r w:rsidRPr="001D7689">
        <w:t xml:space="preserve">The </w:t>
      </w:r>
      <w:r w:rsidRPr="001D7689">
        <w:rPr>
          <w:b/>
          <w:bCs/>
        </w:rPr>
        <w:t>culture</w:t>
      </w:r>
      <w:r w:rsidR="00B80388" w:rsidRPr="001D7689">
        <w:rPr>
          <w:b/>
          <w:bCs/>
        </w:rPr>
        <w:t xml:space="preserve"> and skills </w:t>
      </w:r>
      <w:r w:rsidRPr="001D7689">
        <w:rPr>
          <w:b/>
          <w:bCs/>
        </w:rPr>
        <w:t>transformation plan</w:t>
      </w:r>
      <w:r w:rsidRPr="001D7689">
        <w:t xml:space="preserve"> </w:t>
      </w:r>
      <w:r w:rsidR="00B80388" w:rsidRPr="001D7689">
        <w:t xml:space="preserve">should </w:t>
      </w:r>
      <w:r w:rsidR="0043062D" w:rsidRPr="001D7689">
        <w:t>be based on four main tracks:</w:t>
      </w:r>
    </w:p>
    <w:p w14:paraId="3DDE2F2F" w14:textId="63D4BC2F" w:rsidR="0043062D" w:rsidRPr="001D7689" w:rsidRDefault="00B7416B" w:rsidP="00B7416B">
      <w:pPr>
        <w:pStyle w:val="enumlev1"/>
      </w:pPr>
      <w:bookmarkStart w:id="24" w:name="lt_pId034"/>
      <w:r w:rsidRPr="001D7689">
        <w:t>–</w:t>
      </w:r>
      <w:r w:rsidRPr="001D7689">
        <w:tab/>
      </w:r>
      <w:r w:rsidR="00B80388" w:rsidRPr="001D7689">
        <w:t>strategic planning</w:t>
      </w:r>
      <w:bookmarkEnd w:id="24"/>
      <w:r w:rsidR="00E739F4" w:rsidRPr="001D7689">
        <w:t>;</w:t>
      </w:r>
    </w:p>
    <w:p w14:paraId="0FC4F332" w14:textId="784DC521" w:rsidR="0043062D" w:rsidRPr="001D7689" w:rsidRDefault="00B7416B" w:rsidP="00B7416B">
      <w:pPr>
        <w:pStyle w:val="enumlev1"/>
      </w:pPr>
      <w:bookmarkStart w:id="25" w:name="lt_pId035"/>
      <w:r w:rsidRPr="001D7689">
        <w:t>–</w:t>
      </w:r>
      <w:r w:rsidRPr="001D7689">
        <w:tab/>
      </w:r>
      <w:r w:rsidR="00B80388" w:rsidRPr="001D7689">
        <w:t>digital transformation</w:t>
      </w:r>
      <w:bookmarkEnd w:id="25"/>
      <w:r w:rsidR="00E739F4" w:rsidRPr="001D7689">
        <w:t>;</w:t>
      </w:r>
    </w:p>
    <w:p w14:paraId="11B285D5" w14:textId="12DCD820" w:rsidR="0043062D" w:rsidRPr="001D7689" w:rsidRDefault="00B7416B" w:rsidP="00B7416B">
      <w:pPr>
        <w:pStyle w:val="enumlev1"/>
      </w:pPr>
      <w:r w:rsidRPr="001D7689">
        <w:t>–</w:t>
      </w:r>
      <w:r w:rsidRPr="001D7689">
        <w:tab/>
      </w:r>
      <w:r w:rsidR="00B80388" w:rsidRPr="001D7689">
        <w:t>innovation</w:t>
      </w:r>
      <w:r w:rsidR="00E739F4" w:rsidRPr="001D7689">
        <w:t>;</w:t>
      </w:r>
    </w:p>
    <w:p w14:paraId="08C4E67E" w14:textId="15C92B09" w:rsidR="0043062D" w:rsidRPr="001D7689" w:rsidRDefault="00B7416B" w:rsidP="00B7416B">
      <w:pPr>
        <w:pStyle w:val="enumlev1"/>
      </w:pPr>
      <w:bookmarkStart w:id="26" w:name="lt_pId037"/>
      <w:r w:rsidRPr="001D7689">
        <w:t>–</w:t>
      </w:r>
      <w:r w:rsidRPr="001D7689">
        <w:tab/>
      </w:r>
      <w:r w:rsidR="00B80388" w:rsidRPr="001D7689">
        <w:t>human resources management</w:t>
      </w:r>
      <w:r w:rsidR="0043062D" w:rsidRPr="001D7689">
        <w:t>.</w:t>
      </w:r>
      <w:bookmarkEnd w:id="26"/>
    </w:p>
    <w:p w14:paraId="3732ABE6" w14:textId="0FB429E0" w:rsidR="00D911D8" w:rsidRPr="001D7689" w:rsidRDefault="00B7416B" w:rsidP="00B7416B">
      <w:bookmarkStart w:id="27" w:name="lt_pId038"/>
      <w:r w:rsidRPr="001D7689">
        <w:t>1.4</w:t>
      </w:r>
      <w:r w:rsidRPr="001D7689">
        <w:tab/>
      </w:r>
      <w:r w:rsidR="001842E8" w:rsidRPr="001D7689">
        <w:t>T</w:t>
      </w:r>
      <w:r w:rsidR="00B251E7" w:rsidRPr="001D7689">
        <w:t xml:space="preserve">he </w:t>
      </w:r>
      <w:r w:rsidR="00C2395D" w:rsidRPr="001D7689">
        <w:t>management team</w:t>
      </w:r>
      <w:r w:rsidR="00F4561A" w:rsidRPr="001D7689">
        <w:t>'</w:t>
      </w:r>
      <w:r w:rsidR="00B251E7" w:rsidRPr="001D7689">
        <w:t xml:space="preserve">s work on the enabler </w:t>
      </w:r>
      <w:r w:rsidR="00216CAB" w:rsidRPr="001D7689">
        <w:t>"</w:t>
      </w:r>
      <w:r w:rsidR="001842E8" w:rsidRPr="001D7689">
        <w:t>Resource mobilization</w:t>
      </w:r>
      <w:r w:rsidR="00216CAB" w:rsidRPr="001D7689">
        <w:t>"</w:t>
      </w:r>
      <w:r w:rsidR="002522E6" w:rsidRPr="001D7689">
        <w:t xml:space="preserve"> under </w:t>
      </w:r>
      <w:r w:rsidR="008D277E" w:rsidRPr="001D7689">
        <w:t>Resolution 71</w:t>
      </w:r>
      <w:r w:rsidR="0043062D" w:rsidRPr="001D7689">
        <w:t xml:space="preserve"> </w:t>
      </w:r>
      <w:r w:rsidR="008E75D6" w:rsidRPr="001D7689">
        <w:t xml:space="preserve">should aim </w:t>
      </w:r>
      <w:r w:rsidR="008D277E" w:rsidRPr="001D7689">
        <w:t xml:space="preserve">to </w:t>
      </w:r>
      <w:r w:rsidR="008E75D6" w:rsidRPr="001D7689">
        <w:t xml:space="preserve">accelerate resource-mobilization efforts and </w:t>
      </w:r>
      <w:r w:rsidR="001507F5" w:rsidRPr="001D7689">
        <w:t xml:space="preserve">to </w:t>
      </w:r>
      <w:r w:rsidR="008E75D6" w:rsidRPr="001D7689">
        <w:t>increase financing</w:t>
      </w:r>
      <w:r w:rsidR="0043062D" w:rsidRPr="001D7689">
        <w:t xml:space="preserve">, </w:t>
      </w:r>
      <w:r w:rsidR="00643E3D" w:rsidRPr="001D7689">
        <w:t xml:space="preserve">and </w:t>
      </w:r>
      <w:r w:rsidR="00794A60" w:rsidRPr="001D7689">
        <w:t xml:space="preserve">to </w:t>
      </w:r>
      <w:r w:rsidR="00643E3D" w:rsidRPr="001D7689">
        <w:t xml:space="preserve">identify </w:t>
      </w:r>
      <w:r w:rsidR="00D911D8" w:rsidRPr="001D7689">
        <w:t xml:space="preserve">the most effective ways </w:t>
      </w:r>
      <w:r w:rsidR="003A120D" w:rsidRPr="001D7689">
        <w:t xml:space="preserve">for ITU </w:t>
      </w:r>
      <w:r w:rsidR="00D911D8" w:rsidRPr="001D7689">
        <w:t>to mobilize extrabudgetary resources, build its resource-mobilization capacity and enhance its current fundraising strategy while leveraging partner inputs to complement these efforts</w:t>
      </w:r>
      <w:r w:rsidR="007A60BF" w:rsidRPr="001D7689">
        <w:t>.</w:t>
      </w:r>
    </w:p>
    <w:p w14:paraId="008CDA7F" w14:textId="47C8FDEA" w:rsidR="0043062D" w:rsidRPr="001D7689" w:rsidRDefault="002B5158" w:rsidP="00B7416B">
      <w:bookmarkStart w:id="28" w:name="lt_pId039"/>
      <w:bookmarkEnd w:id="27"/>
      <w:r w:rsidRPr="001D7689">
        <w:rPr>
          <w:b/>
        </w:rPr>
        <w:t>L</w:t>
      </w:r>
      <w:r w:rsidR="00FE0FAC" w:rsidRPr="001D7689">
        <w:rPr>
          <w:b/>
        </w:rPr>
        <w:t xml:space="preserve">ong-term financial commitment frameworks </w:t>
      </w:r>
      <w:proofErr w:type="gramStart"/>
      <w:r w:rsidRPr="001D7689">
        <w:t>have to</w:t>
      </w:r>
      <w:proofErr w:type="gramEnd"/>
      <w:r w:rsidRPr="001D7689">
        <w:t xml:space="preserve"> be developed in </w:t>
      </w:r>
      <w:r w:rsidR="00FE0FAC" w:rsidRPr="001D7689">
        <w:t>order to effectively plan, programme and deliver on projects and enhance predictability of resource flows</w:t>
      </w:r>
      <w:r w:rsidR="0043062D" w:rsidRPr="001D7689">
        <w:t>.</w:t>
      </w:r>
      <w:bookmarkEnd w:id="28"/>
    </w:p>
    <w:p w14:paraId="36A6D988" w14:textId="1C784223" w:rsidR="0043062D" w:rsidRPr="001D7689" w:rsidRDefault="00B7416B" w:rsidP="00B7416B">
      <w:pPr>
        <w:pStyle w:val="Heading1"/>
      </w:pPr>
      <w:r w:rsidRPr="001D7689">
        <w:t>2</w:t>
      </w:r>
      <w:r w:rsidRPr="001D7689">
        <w:tab/>
      </w:r>
      <w:r w:rsidR="00F54332" w:rsidRPr="001D7689">
        <w:t>Comments</w:t>
      </w:r>
    </w:p>
    <w:p w14:paraId="39F4145E" w14:textId="1A77B9B2" w:rsidR="0043062D" w:rsidRPr="001D7689" w:rsidRDefault="008200B7" w:rsidP="00216CAB">
      <w:pPr>
        <w:rPr>
          <w:rFonts w:asciiTheme="minorHAnsi" w:hAnsiTheme="minorHAnsi" w:cstheme="minorHAnsi"/>
        </w:rPr>
      </w:pPr>
      <w:bookmarkStart w:id="29" w:name="lt_pId041"/>
      <w:r w:rsidRPr="001D7689">
        <w:t xml:space="preserve">The </w:t>
      </w:r>
      <w:r w:rsidR="00C2395D" w:rsidRPr="001D7689">
        <w:t>management team</w:t>
      </w:r>
      <w:r w:rsidR="00F4561A" w:rsidRPr="001D7689">
        <w:t>'</w:t>
      </w:r>
      <w:r w:rsidR="00AC275B" w:rsidRPr="001D7689">
        <w:t xml:space="preserve">s </w:t>
      </w:r>
      <w:r w:rsidR="00260ADB" w:rsidRPr="001D7689">
        <w:t xml:space="preserve">approach as </w:t>
      </w:r>
      <w:r w:rsidR="00794A60" w:rsidRPr="001D7689">
        <w:t xml:space="preserve">set out </w:t>
      </w:r>
      <w:r w:rsidR="00260ADB" w:rsidRPr="001D7689">
        <w:t>in the Secretary-General</w:t>
      </w:r>
      <w:r w:rsidR="00F4561A" w:rsidRPr="001D7689">
        <w:t>'</w:t>
      </w:r>
      <w:r w:rsidR="00260ADB" w:rsidRPr="001D7689">
        <w:t>s report</w:t>
      </w:r>
      <w:r w:rsidR="00794A60" w:rsidRPr="001D7689">
        <w:t>s</w:t>
      </w:r>
      <w:r w:rsidR="0043062D" w:rsidRPr="001D7689">
        <w:rPr>
          <w:rFonts w:asciiTheme="minorHAnsi" w:hAnsiTheme="minorHAnsi" w:cstheme="minorHAnsi"/>
        </w:rPr>
        <w:t xml:space="preserve"> </w:t>
      </w:r>
      <w:r w:rsidR="00260ADB" w:rsidRPr="001D7689">
        <w:rPr>
          <w:rFonts w:asciiTheme="minorHAnsi" w:hAnsiTheme="minorHAnsi" w:cstheme="minorHAnsi"/>
        </w:rPr>
        <w:t>in Document</w:t>
      </w:r>
      <w:r w:rsidR="001D7689" w:rsidRPr="001D7689">
        <w:rPr>
          <w:rFonts w:asciiTheme="minorHAnsi" w:hAnsiTheme="minorHAnsi" w:cstheme="minorHAnsi"/>
        </w:rPr>
        <w:t>s </w:t>
      </w:r>
      <w:hyperlink r:id="rId22" w:history="1">
        <w:r w:rsidR="0043062D" w:rsidRPr="001D7689">
          <w:rPr>
            <w:rStyle w:val="Hyperlink"/>
            <w:rFonts w:asciiTheme="minorHAnsi" w:hAnsiTheme="minorHAnsi" w:cstheme="minorHAnsi"/>
            <w:szCs w:val="24"/>
          </w:rPr>
          <w:t>C23/52</w:t>
        </w:r>
      </w:hyperlink>
      <w:r w:rsidR="0043062D" w:rsidRPr="001D7689">
        <w:rPr>
          <w:rFonts w:asciiTheme="minorHAnsi" w:hAnsiTheme="minorHAnsi" w:cstheme="minorHAnsi"/>
        </w:rPr>
        <w:t xml:space="preserve"> </w:t>
      </w:r>
      <w:r w:rsidR="00260ADB" w:rsidRPr="001D7689">
        <w:rPr>
          <w:rFonts w:asciiTheme="minorHAnsi" w:hAnsiTheme="minorHAnsi" w:cstheme="minorHAnsi"/>
        </w:rPr>
        <w:t xml:space="preserve">(Transformation roadmap to achieve organizational excellence) and </w:t>
      </w:r>
      <w:hyperlink r:id="rId23" w:history="1">
        <w:r w:rsidR="0043062D" w:rsidRPr="001D7689">
          <w:rPr>
            <w:rStyle w:val="Hyperlink"/>
            <w:rFonts w:asciiTheme="minorHAnsi" w:hAnsiTheme="minorHAnsi" w:cstheme="minorHAnsi"/>
            <w:szCs w:val="24"/>
          </w:rPr>
          <w:t>C23/36</w:t>
        </w:r>
      </w:hyperlink>
      <w:r w:rsidR="0043062D" w:rsidRPr="001D7689">
        <w:rPr>
          <w:rFonts w:asciiTheme="minorHAnsi" w:hAnsiTheme="minorHAnsi" w:cstheme="minorHAnsi"/>
        </w:rPr>
        <w:t xml:space="preserve"> </w:t>
      </w:r>
      <w:r w:rsidR="0091155E" w:rsidRPr="001D7689">
        <w:rPr>
          <w:rFonts w:asciiTheme="minorHAnsi" w:hAnsiTheme="minorHAnsi" w:cstheme="minorHAnsi"/>
        </w:rPr>
        <w:t>(</w:t>
      </w:r>
      <w:r w:rsidR="00596646" w:rsidRPr="001D7689">
        <w:rPr>
          <w:rFonts w:asciiTheme="minorHAnsi" w:hAnsiTheme="minorHAnsi" w:cstheme="minorHAnsi"/>
        </w:rPr>
        <w:t xml:space="preserve">Accelerating the implementation of the ITU strategic plan for </w:t>
      </w:r>
      <w:r w:rsidR="00661D0D" w:rsidRPr="001D7689">
        <w:rPr>
          <w:rFonts w:asciiTheme="minorHAnsi" w:hAnsiTheme="minorHAnsi" w:cstheme="minorHAnsi"/>
        </w:rPr>
        <w:t>2024-2027</w:t>
      </w:r>
      <w:r w:rsidR="0091155E" w:rsidRPr="001D7689">
        <w:rPr>
          <w:rFonts w:asciiTheme="minorHAnsi" w:hAnsiTheme="minorHAnsi" w:cstheme="minorHAnsi"/>
        </w:rPr>
        <w:t xml:space="preserve">) </w:t>
      </w:r>
      <w:r w:rsidR="002140B5" w:rsidRPr="001D7689">
        <w:rPr>
          <w:rFonts w:asciiTheme="minorHAnsi" w:hAnsiTheme="minorHAnsi" w:cstheme="minorHAnsi"/>
        </w:rPr>
        <w:t xml:space="preserve">does not </w:t>
      </w:r>
      <w:r w:rsidR="00794A60" w:rsidRPr="001D7689">
        <w:rPr>
          <w:rFonts w:asciiTheme="minorHAnsi" w:hAnsiTheme="minorHAnsi" w:cstheme="minorHAnsi"/>
        </w:rPr>
        <w:t xml:space="preserve">fully conform to </w:t>
      </w:r>
      <w:r w:rsidR="002140B5" w:rsidRPr="001D7689">
        <w:rPr>
          <w:rFonts w:asciiTheme="minorHAnsi" w:hAnsiTheme="minorHAnsi" w:cstheme="minorHAnsi"/>
        </w:rPr>
        <w:t xml:space="preserve">the provisions of </w:t>
      </w:r>
      <w:r w:rsidR="00366717" w:rsidRPr="001D7689">
        <w:rPr>
          <w:rFonts w:asciiTheme="minorHAnsi" w:hAnsiTheme="minorHAnsi" w:cstheme="minorHAnsi"/>
        </w:rPr>
        <w:t>Resolution 71</w:t>
      </w:r>
      <w:r w:rsidR="002140B5" w:rsidRPr="001D7689">
        <w:rPr>
          <w:rFonts w:asciiTheme="minorHAnsi" w:hAnsiTheme="minorHAnsi" w:cstheme="minorHAnsi"/>
        </w:rPr>
        <w:t xml:space="preserve"> and Decision 5</w:t>
      </w:r>
      <w:r w:rsidR="0078158E" w:rsidRPr="001D7689">
        <w:rPr>
          <w:rFonts w:asciiTheme="minorHAnsi" w:hAnsiTheme="minorHAnsi" w:cstheme="minorHAnsi"/>
        </w:rPr>
        <w:t>, for the following reasons</w:t>
      </w:r>
      <w:r w:rsidR="0043062D" w:rsidRPr="001D7689">
        <w:rPr>
          <w:rFonts w:asciiTheme="minorHAnsi" w:hAnsiTheme="minorHAnsi" w:cstheme="minorHAnsi"/>
        </w:rPr>
        <w:t>:</w:t>
      </w:r>
      <w:bookmarkEnd w:id="29"/>
    </w:p>
    <w:p w14:paraId="63BE36E8" w14:textId="04F8A373" w:rsidR="0043062D" w:rsidRPr="001D7689" w:rsidRDefault="00216CAB" w:rsidP="00216CAB">
      <w:bookmarkStart w:id="30" w:name="lt_pId042"/>
      <w:r w:rsidRPr="001D7689">
        <w:lastRenderedPageBreak/>
        <w:t>2.1</w:t>
      </w:r>
      <w:r w:rsidRPr="001D7689">
        <w:tab/>
      </w:r>
      <w:r w:rsidR="0078158E" w:rsidRPr="001D7689">
        <w:t xml:space="preserve">The report in Document </w:t>
      </w:r>
      <w:hyperlink r:id="rId24" w:history="1">
        <w:r w:rsidR="0043062D" w:rsidRPr="001D7689">
          <w:rPr>
            <w:rStyle w:val="Hyperlink"/>
            <w:rFonts w:asciiTheme="minorHAnsi" w:hAnsiTheme="minorHAnsi" w:cstheme="minorHAnsi"/>
            <w:szCs w:val="24"/>
          </w:rPr>
          <w:t>C23/52</w:t>
        </w:r>
      </w:hyperlink>
      <w:r w:rsidR="0043062D" w:rsidRPr="001D7689">
        <w:t xml:space="preserve"> </w:t>
      </w:r>
      <w:r w:rsidR="00277F80" w:rsidRPr="001D7689">
        <w:t xml:space="preserve">cites </w:t>
      </w:r>
      <w:r w:rsidR="00062164" w:rsidRPr="001D7689">
        <w:t xml:space="preserve">the ITU </w:t>
      </w:r>
      <w:r w:rsidR="00FB137C" w:rsidRPr="001D7689">
        <w:t xml:space="preserve">strategic plan </w:t>
      </w:r>
      <w:r w:rsidR="00062164" w:rsidRPr="001D7689">
        <w:t>for 2024-2027 (</w:t>
      </w:r>
      <w:r w:rsidR="000A347B" w:rsidRPr="001D7689">
        <w:t>Resolution</w:t>
      </w:r>
      <w:r w:rsidR="001D7689" w:rsidRPr="001D7689">
        <w:t> </w:t>
      </w:r>
      <w:r w:rsidR="00062164" w:rsidRPr="001D7689">
        <w:t xml:space="preserve">71) and Decision 5 </w:t>
      </w:r>
      <w:r w:rsidR="00306221" w:rsidRPr="001D7689">
        <w:t xml:space="preserve">of the Plenipotentiary Conference and uses </w:t>
      </w:r>
      <w:r w:rsidR="00B75FD9" w:rsidRPr="001D7689">
        <w:t xml:space="preserve">the </w:t>
      </w:r>
      <w:r w:rsidR="001E7110" w:rsidRPr="001D7689">
        <w:t xml:space="preserve">phrase </w:t>
      </w:r>
      <w:r w:rsidRPr="001D7689">
        <w:t>"</w:t>
      </w:r>
      <w:r w:rsidR="0043062D" w:rsidRPr="001D7689">
        <w:rPr>
          <w:iCs/>
        </w:rPr>
        <w:t>organizational excellence</w:t>
      </w:r>
      <w:r w:rsidRPr="001D7689">
        <w:rPr>
          <w:iCs/>
        </w:rPr>
        <w:t>"</w:t>
      </w:r>
      <w:r w:rsidR="00737372" w:rsidRPr="001D7689">
        <w:rPr>
          <w:iCs/>
        </w:rPr>
        <w:t xml:space="preserve"> </w:t>
      </w:r>
      <w:r w:rsidR="00306221" w:rsidRPr="001D7689">
        <w:rPr>
          <w:iCs/>
        </w:rPr>
        <w:t xml:space="preserve">in conjunction with </w:t>
      </w:r>
      <w:r w:rsidRPr="001D7689">
        <w:rPr>
          <w:iCs/>
        </w:rPr>
        <w:t>"</w:t>
      </w:r>
      <w:r w:rsidR="0043062D" w:rsidRPr="001D7689">
        <w:rPr>
          <w:iCs/>
        </w:rPr>
        <w:t>transformation</w:t>
      </w:r>
      <w:r w:rsidRPr="001D7689">
        <w:rPr>
          <w:iCs/>
        </w:rPr>
        <w:t>"</w:t>
      </w:r>
      <w:r w:rsidR="00EA39F6" w:rsidRPr="001D7689">
        <w:rPr>
          <w:iCs/>
        </w:rPr>
        <w:t>. Th</w:t>
      </w:r>
      <w:r w:rsidR="00740B9A" w:rsidRPr="001D7689">
        <w:rPr>
          <w:iCs/>
        </w:rPr>
        <w:t xml:space="preserve">is is a </w:t>
      </w:r>
      <w:r w:rsidR="00232160" w:rsidRPr="001D7689">
        <w:rPr>
          <w:b/>
        </w:rPr>
        <w:t xml:space="preserve">completely new addition that is not </w:t>
      </w:r>
      <w:r w:rsidR="00306221" w:rsidRPr="001D7689">
        <w:rPr>
          <w:b/>
        </w:rPr>
        <w:t xml:space="preserve">to be found </w:t>
      </w:r>
      <w:r w:rsidR="00232160" w:rsidRPr="001D7689">
        <w:t xml:space="preserve">either in Resolution </w:t>
      </w:r>
      <w:r w:rsidR="0043062D" w:rsidRPr="001D7689">
        <w:t>71</w:t>
      </w:r>
      <w:r w:rsidR="00F859C3" w:rsidRPr="001D7689">
        <w:t xml:space="preserve"> or in Decision </w:t>
      </w:r>
      <w:r w:rsidR="0043062D" w:rsidRPr="001D7689">
        <w:t>5:</w:t>
      </w:r>
      <w:bookmarkEnd w:id="30"/>
    </w:p>
    <w:p w14:paraId="134D5D8B" w14:textId="7312D668" w:rsidR="0043062D" w:rsidRPr="001D7689" w:rsidRDefault="00ED6EC6" w:rsidP="00216CAB">
      <w:bookmarkStart w:id="31" w:name="lt_pId043"/>
      <w:r w:rsidRPr="001D7689">
        <w:t xml:space="preserve">As regards </w:t>
      </w:r>
      <w:r w:rsidR="00216CAB" w:rsidRPr="001D7689">
        <w:t>"</w:t>
      </w:r>
      <w:r w:rsidRPr="001D7689">
        <w:t>excellence</w:t>
      </w:r>
      <w:r w:rsidR="00216CAB" w:rsidRPr="001D7689">
        <w:t>"</w:t>
      </w:r>
      <w:r w:rsidRPr="001D7689">
        <w:t xml:space="preserve">, </w:t>
      </w:r>
      <w:r w:rsidR="00216CAB" w:rsidRPr="001D7689">
        <w:t>"</w:t>
      </w:r>
      <w:r w:rsidRPr="001D7689">
        <w:t>transformation</w:t>
      </w:r>
      <w:r w:rsidR="00216CAB" w:rsidRPr="001D7689">
        <w:t>"</w:t>
      </w:r>
      <w:r w:rsidRPr="001D7689">
        <w:t xml:space="preserve"> and </w:t>
      </w:r>
      <w:r w:rsidR="00216CAB" w:rsidRPr="001D7689">
        <w:t>"</w:t>
      </w:r>
      <w:r w:rsidRPr="001D7689">
        <w:t>organizational</w:t>
      </w:r>
      <w:r w:rsidR="00216CAB" w:rsidRPr="001D7689">
        <w:t>"</w:t>
      </w:r>
      <w:r w:rsidRPr="001D7689">
        <w:t xml:space="preserve"> aspects</w:t>
      </w:r>
      <w:r w:rsidR="0010059F" w:rsidRPr="001D7689">
        <w:t xml:space="preserve">, </w:t>
      </w:r>
      <w:r w:rsidR="0010059F" w:rsidRPr="001D7689">
        <w:rPr>
          <w:b/>
          <w:bCs/>
        </w:rPr>
        <w:t xml:space="preserve">only the concepts </w:t>
      </w:r>
      <w:r w:rsidR="00216CAB" w:rsidRPr="001D7689">
        <w:rPr>
          <w:b/>
          <w:bCs/>
        </w:rPr>
        <w:t>"</w:t>
      </w:r>
      <w:r w:rsidR="0010059F" w:rsidRPr="001D7689">
        <w:rPr>
          <w:b/>
          <w:bCs/>
        </w:rPr>
        <w:t>organizational effectiveness</w:t>
      </w:r>
      <w:r w:rsidR="00216CAB" w:rsidRPr="001D7689">
        <w:rPr>
          <w:b/>
          <w:bCs/>
        </w:rPr>
        <w:t>"</w:t>
      </w:r>
      <w:r w:rsidR="0010059F" w:rsidRPr="001D7689">
        <w:rPr>
          <w:b/>
          <w:bCs/>
        </w:rPr>
        <w:t xml:space="preserve">, </w:t>
      </w:r>
      <w:r w:rsidR="00216CAB" w:rsidRPr="001D7689">
        <w:rPr>
          <w:b/>
          <w:bCs/>
        </w:rPr>
        <w:t>"</w:t>
      </w:r>
      <w:r w:rsidR="0043062D" w:rsidRPr="001D7689">
        <w:rPr>
          <w:b/>
          <w:bCs/>
        </w:rPr>
        <w:t>enhancing organizational effectiveness</w:t>
      </w:r>
      <w:r w:rsidR="00216CAB" w:rsidRPr="001D7689">
        <w:rPr>
          <w:b/>
          <w:bCs/>
        </w:rPr>
        <w:t>"</w:t>
      </w:r>
      <w:r w:rsidR="0043062D" w:rsidRPr="001D7689">
        <w:rPr>
          <w:b/>
          <w:bCs/>
        </w:rPr>
        <w:t xml:space="preserve"> </w:t>
      </w:r>
      <w:r w:rsidR="0010059F" w:rsidRPr="001D7689">
        <w:rPr>
          <w:b/>
          <w:bCs/>
        </w:rPr>
        <w:t xml:space="preserve">and </w:t>
      </w:r>
      <w:r w:rsidR="00216CAB" w:rsidRPr="001D7689">
        <w:rPr>
          <w:b/>
          <w:bCs/>
        </w:rPr>
        <w:t>"</w:t>
      </w:r>
      <w:r w:rsidR="0010059F" w:rsidRPr="001D7689">
        <w:rPr>
          <w:b/>
          <w:bCs/>
        </w:rPr>
        <w:t>digital transformation</w:t>
      </w:r>
      <w:r w:rsidR="00216CAB" w:rsidRPr="001D7689">
        <w:rPr>
          <w:b/>
          <w:bCs/>
        </w:rPr>
        <w:t>"</w:t>
      </w:r>
      <w:r w:rsidR="0010059F" w:rsidRPr="001D7689">
        <w:rPr>
          <w:b/>
          <w:bCs/>
        </w:rPr>
        <w:t xml:space="preserve"> are to be found</w:t>
      </w:r>
      <w:r w:rsidR="0010059F" w:rsidRPr="001D7689">
        <w:t xml:space="preserve"> in Resolution 71 and Decision 5</w:t>
      </w:r>
      <w:r w:rsidR="0043062D" w:rsidRPr="001D7689">
        <w:t>:</w:t>
      </w:r>
      <w:bookmarkEnd w:id="31"/>
      <w:r w:rsidR="0043062D" w:rsidRPr="001D7689">
        <w:t xml:space="preserve"> </w:t>
      </w:r>
    </w:p>
    <w:p w14:paraId="1A0A4942" w14:textId="10A695EA" w:rsidR="0043062D" w:rsidRPr="001D7689" w:rsidRDefault="00216CAB" w:rsidP="00216CAB">
      <w:pPr>
        <w:pStyle w:val="enumlev1"/>
      </w:pPr>
      <w:r w:rsidRPr="001D7689">
        <w:t>–</w:t>
      </w:r>
      <w:r w:rsidR="0043062D" w:rsidRPr="001D7689">
        <w:tab/>
      </w:r>
      <w:r w:rsidR="0010059F" w:rsidRPr="001D7689">
        <w:t xml:space="preserve">The concept </w:t>
      </w:r>
      <w:r w:rsidRPr="001D7689">
        <w:t>"</w:t>
      </w:r>
      <w:r w:rsidR="0010059F" w:rsidRPr="001D7689">
        <w:t>organizational effectiveness</w:t>
      </w:r>
      <w:r w:rsidRPr="001D7689">
        <w:t>"</w:t>
      </w:r>
      <w:r w:rsidR="0010059F" w:rsidRPr="001D7689">
        <w:t xml:space="preserve"> </w:t>
      </w:r>
      <w:r w:rsidR="00F53943" w:rsidRPr="001D7689">
        <w:t xml:space="preserve">refers to </w:t>
      </w:r>
      <w:r w:rsidR="0043062D" w:rsidRPr="001D7689">
        <w:t xml:space="preserve">the </w:t>
      </w:r>
      <w:r w:rsidR="0010059F" w:rsidRPr="001D7689">
        <w:t>r</w:t>
      </w:r>
      <w:r w:rsidR="0043062D" w:rsidRPr="001D7689">
        <w:t>eview of ITU</w:t>
      </w:r>
      <w:r w:rsidR="00F4561A" w:rsidRPr="001D7689">
        <w:t>'</w:t>
      </w:r>
      <w:r w:rsidR="0043062D" w:rsidRPr="001D7689">
        <w:t xml:space="preserve">s </w:t>
      </w:r>
      <w:r w:rsidR="0010059F" w:rsidRPr="001D7689">
        <w:t xml:space="preserve">regional presence, </w:t>
      </w:r>
      <w:r w:rsidR="0043062D" w:rsidRPr="001D7689">
        <w:t xml:space="preserve">the Culture </w:t>
      </w:r>
      <w:r w:rsidR="0010059F" w:rsidRPr="001D7689">
        <w:t>and</w:t>
      </w:r>
      <w:r w:rsidR="0043062D" w:rsidRPr="001D7689">
        <w:t xml:space="preserve"> Skills </w:t>
      </w:r>
      <w:r w:rsidR="0010059F" w:rsidRPr="001D7689">
        <w:t xml:space="preserve">project </w:t>
      </w:r>
      <w:r w:rsidR="0043062D" w:rsidRPr="001D7689">
        <w:t xml:space="preserve">and informal consultations with </w:t>
      </w:r>
      <w:r w:rsidR="00BB6AEC" w:rsidRPr="001D7689">
        <w:t xml:space="preserve">the </w:t>
      </w:r>
      <w:r w:rsidR="0043062D" w:rsidRPr="001D7689">
        <w:t>members</w:t>
      </w:r>
      <w:r w:rsidR="00BB6AEC" w:rsidRPr="001D7689">
        <w:t>hip</w:t>
      </w:r>
      <w:r w:rsidR="0043062D" w:rsidRPr="001D7689">
        <w:t xml:space="preserve"> during the strategic planning process.</w:t>
      </w:r>
    </w:p>
    <w:p w14:paraId="17A91F74" w14:textId="6DCD52F7" w:rsidR="0043062D" w:rsidRPr="001D7689" w:rsidRDefault="00216CAB" w:rsidP="00216CAB">
      <w:pPr>
        <w:pStyle w:val="enumlev1"/>
      </w:pPr>
      <w:bookmarkStart w:id="32" w:name="_Hlk139876010"/>
      <w:r w:rsidRPr="001D7689">
        <w:t>–</w:t>
      </w:r>
      <w:r w:rsidR="0043062D" w:rsidRPr="001D7689">
        <w:tab/>
      </w:r>
      <w:bookmarkStart w:id="33" w:name="lt_pId048"/>
      <w:bookmarkEnd w:id="32"/>
      <w:r w:rsidR="0010059F" w:rsidRPr="001D7689">
        <w:t xml:space="preserve">The concept </w:t>
      </w:r>
      <w:r w:rsidRPr="001D7689">
        <w:t>"</w:t>
      </w:r>
      <w:r w:rsidR="0010059F" w:rsidRPr="001D7689">
        <w:t>digital transformation</w:t>
      </w:r>
      <w:r w:rsidRPr="001D7689">
        <w:t>"</w:t>
      </w:r>
      <w:r w:rsidR="0010059F" w:rsidRPr="001D7689">
        <w:t xml:space="preserve"> refers to ITU</w:t>
      </w:r>
      <w:r w:rsidR="00F4561A" w:rsidRPr="001D7689">
        <w:t>'</w:t>
      </w:r>
      <w:r w:rsidR="0010059F" w:rsidRPr="001D7689">
        <w:t xml:space="preserve">s work </w:t>
      </w:r>
      <w:r w:rsidR="000623EA" w:rsidRPr="001D7689">
        <w:t>to foster equitable and inclusive use of telecommunications/ICTs to empower people and societies for sustainable development</w:t>
      </w:r>
      <w:r w:rsidR="0043062D" w:rsidRPr="001D7689">
        <w:t xml:space="preserve">, </w:t>
      </w:r>
      <w:r w:rsidR="00D163F6" w:rsidRPr="001D7689">
        <w:t xml:space="preserve">and to the implementation of </w:t>
      </w:r>
      <w:r w:rsidR="000623EA" w:rsidRPr="001D7689">
        <w:t>the Union</w:t>
      </w:r>
      <w:r w:rsidR="00F4561A" w:rsidRPr="001D7689">
        <w:t>'</w:t>
      </w:r>
      <w:r w:rsidR="000623EA" w:rsidRPr="001D7689">
        <w:t>s digital transformation initiative</w:t>
      </w:r>
      <w:r w:rsidR="0043062D" w:rsidRPr="001D7689">
        <w:t xml:space="preserve"> </w:t>
      </w:r>
      <w:r w:rsidR="000623EA" w:rsidRPr="001D7689">
        <w:t xml:space="preserve">(DT-I) </w:t>
      </w:r>
      <w:r w:rsidR="0043062D" w:rsidRPr="001D7689">
        <w:t>(</w:t>
      </w:r>
      <w:r w:rsidR="0010059F" w:rsidRPr="001D7689">
        <w:t>Resolution</w:t>
      </w:r>
      <w:r w:rsidR="0043062D" w:rsidRPr="001D7689">
        <w:t xml:space="preserve"> 48 </w:t>
      </w:r>
      <w:r w:rsidR="00131071" w:rsidRPr="001D7689">
        <w:t xml:space="preserve">(Rev. </w:t>
      </w:r>
      <w:r w:rsidR="00AB4050" w:rsidRPr="001D7689">
        <w:t>B</w:t>
      </w:r>
      <w:r w:rsidR="00131071" w:rsidRPr="001D7689">
        <w:t xml:space="preserve">ucharest, 2022) </w:t>
      </w:r>
      <w:r w:rsidR="000623EA" w:rsidRPr="001D7689">
        <w:t xml:space="preserve">and </w:t>
      </w:r>
      <w:r w:rsidR="0043062D" w:rsidRPr="001D7689">
        <w:t>217</w:t>
      </w:r>
      <w:r w:rsidR="00BB6AEC" w:rsidRPr="001D7689">
        <w:t xml:space="preserve"> </w:t>
      </w:r>
      <w:r w:rsidR="00AB4050" w:rsidRPr="001D7689">
        <w:t xml:space="preserve">(Bucharest, 2022) </w:t>
      </w:r>
      <w:r w:rsidR="00BB6AEC" w:rsidRPr="001D7689">
        <w:t>of the Plenipotentiary Conference</w:t>
      </w:r>
      <w:r w:rsidR="0043062D" w:rsidRPr="001D7689">
        <w:t xml:space="preserve">, </w:t>
      </w:r>
      <w:r w:rsidR="00C92E73" w:rsidRPr="001D7689">
        <w:t xml:space="preserve">Council </w:t>
      </w:r>
      <w:r w:rsidR="000623EA" w:rsidRPr="001D7689">
        <w:t xml:space="preserve">Document </w:t>
      </w:r>
      <w:hyperlink r:id="rId25" w:history="1">
        <w:r w:rsidRPr="001D7689">
          <w:rPr>
            <w:rStyle w:val="Hyperlink"/>
          </w:rPr>
          <w:t>C21/70</w:t>
        </w:r>
      </w:hyperlink>
      <w:r w:rsidR="0043062D" w:rsidRPr="001D7689">
        <w:t>)</w:t>
      </w:r>
      <w:r w:rsidR="00576497" w:rsidRPr="001D7689">
        <w:t xml:space="preserve">, aimed at </w:t>
      </w:r>
      <w:r w:rsidR="00F23CCA" w:rsidRPr="001D7689">
        <w:t>improv</w:t>
      </w:r>
      <w:r w:rsidR="00CA54B1" w:rsidRPr="001D7689">
        <w:t>ing</w:t>
      </w:r>
      <w:r w:rsidR="00F23CCA" w:rsidRPr="001D7689">
        <w:t xml:space="preserve"> the key deliverables of ITU</w:t>
      </w:r>
      <w:r w:rsidR="00CA54B1" w:rsidRPr="001D7689">
        <w:t xml:space="preserve"> and </w:t>
      </w:r>
      <w:r w:rsidR="00F23CCA" w:rsidRPr="001D7689">
        <w:t>the efficiency of the internal business processes, and ensur</w:t>
      </w:r>
      <w:r w:rsidR="00CA54B1" w:rsidRPr="001D7689">
        <w:t>ing</w:t>
      </w:r>
      <w:r w:rsidR="00F23CCA" w:rsidRPr="001D7689">
        <w:t xml:space="preserve"> that ITU becomes an employer of choice</w:t>
      </w:r>
      <w:r w:rsidR="0043062D" w:rsidRPr="001D7689">
        <w:t>.</w:t>
      </w:r>
      <w:bookmarkEnd w:id="33"/>
    </w:p>
    <w:p w14:paraId="4E285AA4" w14:textId="12E51AFE" w:rsidR="0043062D" w:rsidRPr="001D7689" w:rsidRDefault="00216CAB" w:rsidP="00216CAB">
      <w:bookmarkStart w:id="34" w:name="lt_pId049"/>
      <w:r w:rsidRPr="001D7689">
        <w:t>2.2</w:t>
      </w:r>
      <w:r w:rsidRPr="001D7689">
        <w:tab/>
      </w:r>
      <w:r w:rsidR="00145F03" w:rsidRPr="001D7689">
        <w:t xml:space="preserve">Furthermore, a </w:t>
      </w:r>
      <w:r w:rsidR="000B116F" w:rsidRPr="001D7689">
        <w:t xml:space="preserve">careful examination of the </w:t>
      </w:r>
      <w:r w:rsidR="009E7E0C" w:rsidRPr="001D7689">
        <w:t>Secretary</w:t>
      </w:r>
      <w:r w:rsidR="000B116F" w:rsidRPr="001D7689">
        <w:t>-General</w:t>
      </w:r>
      <w:r w:rsidR="00F4561A" w:rsidRPr="001D7689">
        <w:t>'</w:t>
      </w:r>
      <w:r w:rsidR="000B116F" w:rsidRPr="001D7689">
        <w:t xml:space="preserve">s reports in </w:t>
      </w:r>
      <w:r w:rsidR="001E2D41" w:rsidRPr="001D7689">
        <w:t xml:space="preserve">Council </w:t>
      </w:r>
      <w:r w:rsidR="000B116F" w:rsidRPr="001D7689">
        <w:t xml:space="preserve">Documents </w:t>
      </w:r>
      <w:hyperlink r:id="rId26" w:history="1">
        <w:r w:rsidR="0043062D" w:rsidRPr="001D7689">
          <w:rPr>
            <w:rStyle w:val="Hyperlink"/>
            <w:szCs w:val="24"/>
          </w:rPr>
          <w:t>C23/52</w:t>
        </w:r>
      </w:hyperlink>
      <w:r w:rsidR="0043062D" w:rsidRPr="001D7689">
        <w:t xml:space="preserve"> </w:t>
      </w:r>
      <w:r w:rsidR="000B116F" w:rsidRPr="001D7689">
        <w:t>and</w:t>
      </w:r>
      <w:r w:rsidR="0043062D" w:rsidRPr="001D7689">
        <w:t xml:space="preserve"> </w:t>
      </w:r>
      <w:hyperlink r:id="rId27" w:history="1">
        <w:r w:rsidR="0043062D" w:rsidRPr="001D7689">
          <w:rPr>
            <w:rStyle w:val="Hyperlink"/>
            <w:szCs w:val="24"/>
          </w:rPr>
          <w:t>C23/36</w:t>
        </w:r>
      </w:hyperlink>
      <w:r w:rsidR="0043062D" w:rsidRPr="001D7689">
        <w:t xml:space="preserve"> </w:t>
      </w:r>
      <w:r w:rsidR="00145F03" w:rsidRPr="001D7689">
        <w:t xml:space="preserve">gives the impression that </w:t>
      </w:r>
      <w:r w:rsidR="00E86A35" w:rsidRPr="001D7689">
        <w:t xml:space="preserve">the new direction of work of the ITU </w:t>
      </w:r>
      <w:r w:rsidR="00C2395D" w:rsidRPr="001D7689">
        <w:t>management team</w:t>
      </w:r>
      <w:r w:rsidR="00E86A35" w:rsidRPr="001D7689">
        <w:t xml:space="preserve">, </w:t>
      </w:r>
      <w:r w:rsidRPr="001D7689">
        <w:t>"</w:t>
      </w:r>
      <w:r w:rsidR="00E86A35" w:rsidRPr="001D7689">
        <w:t>organizational excellence</w:t>
      </w:r>
      <w:r w:rsidRPr="001D7689">
        <w:t>"</w:t>
      </w:r>
      <w:r w:rsidR="00CA047D" w:rsidRPr="001D7689">
        <w:t>,</w:t>
      </w:r>
      <w:r w:rsidR="00E86A35" w:rsidRPr="001D7689">
        <w:t xml:space="preserve"> with its accompanying </w:t>
      </w:r>
      <w:r w:rsidRPr="001D7689">
        <w:t>"</w:t>
      </w:r>
      <w:r w:rsidR="0043062D" w:rsidRPr="001D7689">
        <w:t>transformation roadmap</w:t>
      </w:r>
      <w:r w:rsidRPr="001D7689">
        <w:t>"</w:t>
      </w:r>
      <w:r w:rsidR="0043062D" w:rsidRPr="001D7689">
        <w:t xml:space="preserve">, </w:t>
      </w:r>
      <w:r w:rsidR="00E86A35" w:rsidRPr="001D7689">
        <w:t xml:space="preserve">not only </w:t>
      </w:r>
      <w:r w:rsidR="00774C6D" w:rsidRPr="001D7689">
        <w:t xml:space="preserve">aim </w:t>
      </w:r>
      <w:r w:rsidR="00E86A35" w:rsidRPr="001D7689">
        <w:t xml:space="preserve">at </w:t>
      </w:r>
      <w:r w:rsidR="00512F56" w:rsidRPr="001D7689">
        <w:t>fulfilling the tasks assigned by PP-22</w:t>
      </w:r>
      <w:r w:rsidR="00141814" w:rsidRPr="001D7689">
        <w:t xml:space="preserve"> – </w:t>
      </w:r>
      <w:r w:rsidR="008B6551" w:rsidRPr="001D7689">
        <w:t xml:space="preserve">to improve internal processes </w:t>
      </w:r>
      <w:r w:rsidR="00661D0D" w:rsidRPr="001D7689">
        <w:t xml:space="preserve">for </w:t>
      </w:r>
      <w:r w:rsidR="008B6551" w:rsidRPr="001D7689">
        <w:t>addressing operational inefficiencies, duplication and perceived bureaucracy</w:t>
      </w:r>
      <w:r w:rsidR="00661D0D" w:rsidRPr="001D7689">
        <w:t xml:space="preserve"> – </w:t>
      </w:r>
      <w:r w:rsidR="00774C6D" w:rsidRPr="001D7689">
        <w:t xml:space="preserve">but </w:t>
      </w:r>
      <w:r w:rsidR="00774C6D" w:rsidRPr="001D7689">
        <w:rPr>
          <w:b/>
        </w:rPr>
        <w:t>go beyond the activities mandated by the Conference</w:t>
      </w:r>
      <w:r w:rsidR="0043062D" w:rsidRPr="001D7689">
        <w:t xml:space="preserve">, </w:t>
      </w:r>
      <w:r w:rsidR="00E125D6" w:rsidRPr="001D7689">
        <w:t xml:space="preserve">and amount to </w:t>
      </w:r>
      <w:r w:rsidR="00661D0D" w:rsidRPr="001D7689">
        <w:t xml:space="preserve">an </w:t>
      </w:r>
      <w:r w:rsidR="00E125D6" w:rsidRPr="001D7689">
        <w:t xml:space="preserve">attempt to </w:t>
      </w:r>
      <w:r w:rsidR="00661D0D" w:rsidRPr="001D7689">
        <w:t>review</w:t>
      </w:r>
      <w:r w:rsidR="000F30AB" w:rsidRPr="001D7689">
        <w:t xml:space="preserve"> and analyse </w:t>
      </w:r>
      <w:r w:rsidR="00E125D6" w:rsidRPr="001D7689">
        <w:t>the structure of the Union itself as laid down in Article 7 of the ITU Constitution</w:t>
      </w:r>
      <w:r w:rsidR="0043062D" w:rsidRPr="001D7689">
        <w:t>.</w:t>
      </w:r>
      <w:bookmarkEnd w:id="34"/>
      <w:r w:rsidR="0043062D" w:rsidRPr="001D7689">
        <w:t xml:space="preserve"> </w:t>
      </w:r>
    </w:p>
    <w:p w14:paraId="7D2A1393" w14:textId="468956E4" w:rsidR="0043062D" w:rsidRPr="001D7689" w:rsidRDefault="000F30AB" w:rsidP="00216CAB">
      <w:bookmarkStart w:id="35" w:name="lt_pId050"/>
      <w:r w:rsidRPr="001D7689">
        <w:t xml:space="preserve">Thus, </w:t>
      </w:r>
      <w:r w:rsidR="0010059F" w:rsidRPr="001D7689">
        <w:t>Resolution</w:t>
      </w:r>
      <w:r w:rsidR="0043062D" w:rsidRPr="001D7689">
        <w:t xml:space="preserve"> 71 </w:t>
      </w:r>
      <w:r w:rsidR="00CF7214" w:rsidRPr="001D7689">
        <w:t xml:space="preserve">calls for </w:t>
      </w:r>
      <w:r w:rsidR="00044B8A" w:rsidRPr="001D7689">
        <w:t xml:space="preserve">the development of a </w:t>
      </w:r>
      <w:r w:rsidR="00044B8A" w:rsidRPr="001D7689">
        <w:rPr>
          <w:b/>
          <w:bCs/>
        </w:rPr>
        <w:t>culture and skills transformation plan only</w:t>
      </w:r>
      <w:r w:rsidR="00044B8A" w:rsidRPr="001D7689">
        <w:t xml:space="preserve"> and does not </w:t>
      </w:r>
      <w:r w:rsidR="00E05C89" w:rsidRPr="001D7689">
        <w:t xml:space="preserve">mandate the creation of a </w:t>
      </w:r>
      <w:r w:rsidR="0043062D" w:rsidRPr="001D7689">
        <w:rPr>
          <w:iCs/>
        </w:rPr>
        <w:t>transformation roadmap</w:t>
      </w:r>
      <w:r w:rsidR="00076BBC" w:rsidRPr="001D7689">
        <w:t xml:space="preserve"> to achieve organizational excellence</w:t>
      </w:r>
      <w:r w:rsidR="0043062D" w:rsidRPr="001D7689">
        <w:t>.</w:t>
      </w:r>
      <w:bookmarkEnd w:id="35"/>
      <w:r w:rsidR="0043062D" w:rsidRPr="001D7689">
        <w:t xml:space="preserve"> </w:t>
      </w:r>
    </w:p>
    <w:p w14:paraId="523DF1FA" w14:textId="63192314" w:rsidR="0043062D" w:rsidRPr="001D7689" w:rsidRDefault="00216CAB" w:rsidP="00216CAB">
      <w:bookmarkStart w:id="36" w:name="lt_pId051"/>
      <w:r w:rsidRPr="001D7689">
        <w:t>2.3</w:t>
      </w:r>
      <w:r w:rsidRPr="001D7689">
        <w:tab/>
      </w:r>
      <w:r w:rsidR="00076BBC" w:rsidRPr="001D7689">
        <w:t xml:space="preserve">Document </w:t>
      </w:r>
      <w:hyperlink r:id="rId28" w:history="1">
        <w:r w:rsidR="0043062D" w:rsidRPr="001D7689">
          <w:rPr>
            <w:rStyle w:val="Hyperlink"/>
            <w:szCs w:val="24"/>
          </w:rPr>
          <w:t>C23/52</w:t>
        </w:r>
      </w:hyperlink>
      <w:r w:rsidR="0043062D" w:rsidRPr="001D7689">
        <w:t xml:space="preserve">, </w:t>
      </w:r>
      <w:r w:rsidR="00076BBC" w:rsidRPr="001D7689">
        <w:t xml:space="preserve">citing Document </w:t>
      </w:r>
      <w:hyperlink r:id="rId29" w:history="1">
        <w:r w:rsidR="0043062D" w:rsidRPr="001D7689">
          <w:rPr>
            <w:rStyle w:val="Hyperlink"/>
            <w:szCs w:val="24"/>
          </w:rPr>
          <w:t>C23/36</w:t>
        </w:r>
      </w:hyperlink>
      <w:r w:rsidR="0043062D" w:rsidRPr="001D7689">
        <w:t xml:space="preserve">, </w:t>
      </w:r>
      <w:r w:rsidR="00207075" w:rsidRPr="001D7689">
        <w:t xml:space="preserve">makes recommendations to the Council </w:t>
      </w:r>
      <w:r w:rsidR="00661D0D" w:rsidRPr="001D7689">
        <w:t>that emerged from</w:t>
      </w:r>
      <w:r w:rsidR="00207075" w:rsidRPr="001D7689">
        <w:t xml:space="preserve"> a </w:t>
      </w:r>
      <w:r w:rsidRPr="001D7689">
        <w:t>"</w:t>
      </w:r>
      <w:r w:rsidR="00207075" w:rsidRPr="001D7689">
        <w:t>visioning process</w:t>
      </w:r>
      <w:r w:rsidRPr="001D7689">
        <w:t>"</w:t>
      </w:r>
      <w:r w:rsidR="00207075" w:rsidRPr="001D7689">
        <w:t xml:space="preserve"> </w:t>
      </w:r>
      <w:r w:rsidR="00661D0D" w:rsidRPr="001D7689">
        <w:t>that</w:t>
      </w:r>
      <w:r w:rsidR="00A35589" w:rsidRPr="001D7689">
        <w:t xml:space="preserve"> the new management team </w:t>
      </w:r>
      <w:r w:rsidR="00661D0D" w:rsidRPr="001D7689">
        <w:t xml:space="preserve">chose </w:t>
      </w:r>
      <w:r w:rsidR="00A35589" w:rsidRPr="001D7689">
        <w:t xml:space="preserve">as a working method immediately after PP-22, drawing on a </w:t>
      </w:r>
      <w:r w:rsidR="00A35589" w:rsidRPr="001D7689">
        <w:rPr>
          <w:b/>
          <w:bCs/>
        </w:rPr>
        <w:t>restricted group of experts and staff members</w:t>
      </w:r>
      <w:r w:rsidR="00A35589" w:rsidRPr="001D7689">
        <w:t xml:space="preserve"> </w:t>
      </w:r>
      <w:r w:rsidR="008F6751" w:rsidRPr="001D7689">
        <w:t xml:space="preserve">at all levels from the three Bureaux </w:t>
      </w:r>
      <w:r w:rsidR="0043062D" w:rsidRPr="001D7689">
        <w:t xml:space="preserve">(65 </w:t>
      </w:r>
      <w:r w:rsidR="008F6751" w:rsidRPr="001D7689">
        <w:t>persons</w:t>
      </w:r>
      <w:r w:rsidR="0043062D" w:rsidRPr="001D7689">
        <w:t xml:space="preserve">), </w:t>
      </w:r>
      <w:r w:rsidR="008F6751" w:rsidRPr="001D7689">
        <w:t xml:space="preserve">some </w:t>
      </w:r>
      <w:r w:rsidR="0043062D" w:rsidRPr="001D7689">
        <w:t xml:space="preserve">40 </w:t>
      </w:r>
      <w:r w:rsidR="008F6751" w:rsidRPr="001D7689">
        <w:t>external stakeholders from around the world</w:t>
      </w:r>
      <w:r w:rsidR="00C10487" w:rsidRPr="001D7689">
        <w:t xml:space="preserve">, including unspecified </w:t>
      </w:r>
      <w:r w:rsidR="00864682" w:rsidRPr="001D7689">
        <w:t>stakeholders from ITU Member States, the private sector</w:t>
      </w:r>
      <w:bookmarkStart w:id="37" w:name="lt_pId052"/>
      <w:bookmarkEnd w:id="36"/>
      <w:r w:rsidR="0043062D" w:rsidRPr="001D7689">
        <w:t xml:space="preserve">, </w:t>
      </w:r>
      <w:r w:rsidR="00657814" w:rsidRPr="001D7689">
        <w:t>United Nations agencies</w:t>
      </w:r>
      <w:r w:rsidR="00661D0D" w:rsidRPr="001D7689">
        <w:t xml:space="preserve"> and</w:t>
      </w:r>
      <w:r w:rsidR="00657814" w:rsidRPr="001D7689">
        <w:t xml:space="preserve"> intergovernmental organizations, civil society, academia </w:t>
      </w:r>
      <w:r w:rsidR="00E312BA" w:rsidRPr="001D7689">
        <w:t xml:space="preserve">and </w:t>
      </w:r>
      <w:r w:rsidR="00661D0D" w:rsidRPr="001D7689">
        <w:t>unspecified</w:t>
      </w:r>
      <w:r w:rsidR="00D906D6" w:rsidRPr="001D7689">
        <w:t xml:space="preserve"> distinguished personalities</w:t>
      </w:r>
      <w:r w:rsidR="0043062D" w:rsidRPr="001D7689">
        <w:t>.</w:t>
      </w:r>
      <w:bookmarkEnd w:id="37"/>
    </w:p>
    <w:p w14:paraId="2D78DC2A" w14:textId="79F04627" w:rsidR="0043062D" w:rsidRPr="001D7689" w:rsidRDefault="00216CAB" w:rsidP="00216CAB">
      <w:bookmarkStart w:id="38" w:name="lt_pId053"/>
      <w:r w:rsidRPr="001D7689">
        <w:t>2.4</w:t>
      </w:r>
      <w:r w:rsidRPr="001D7689">
        <w:tab/>
      </w:r>
      <w:r w:rsidR="00D906D6" w:rsidRPr="001D7689">
        <w:t xml:space="preserve">Document </w:t>
      </w:r>
      <w:hyperlink r:id="rId30" w:history="1">
        <w:r w:rsidR="0043062D" w:rsidRPr="001D7689">
          <w:rPr>
            <w:rStyle w:val="Hyperlink"/>
            <w:szCs w:val="24"/>
          </w:rPr>
          <w:t>C23/36</w:t>
        </w:r>
      </w:hyperlink>
      <w:r w:rsidR="0043062D" w:rsidRPr="001D7689">
        <w:t xml:space="preserve"> </w:t>
      </w:r>
      <w:r w:rsidR="00811EDF" w:rsidRPr="001D7689">
        <w:t xml:space="preserve">remarks that the new management team produced </w:t>
      </w:r>
      <w:r w:rsidR="005520BE" w:rsidRPr="001D7689">
        <w:t>a plan aligned with the strategic plan for 2024</w:t>
      </w:r>
      <w:r w:rsidR="00F10B19" w:rsidRPr="001D7689">
        <w:t>-</w:t>
      </w:r>
      <w:r w:rsidR="005520BE" w:rsidRPr="001D7689">
        <w:t>2027 and the guidance received from PP-22</w:t>
      </w:r>
      <w:r w:rsidR="0043062D" w:rsidRPr="001D7689">
        <w:t>.</w:t>
      </w:r>
      <w:bookmarkEnd w:id="38"/>
      <w:r w:rsidR="0043062D" w:rsidRPr="001D7689">
        <w:t xml:space="preserve"> </w:t>
      </w:r>
      <w:bookmarkStart w:id="39" w:name="lt_pId054"/>
      <w:r w:rsidR="00DD6066" w:rsidRPr="001D7689">
        <w:t>However, the discussions in the visioning exercise mentioned in §</w:t>
      </w:r>
      <w:r w:rsidR="00C0628B" w:rsidRPr="001D7689">
        <w:t> </w:t>
      </w:r>
      <w:r w:rsidR="00DD6066" w:rsidRPr="001D7689">
        <w:t>2.</w:t>
      </w:r>
      <w:r w:rsidR="00C0628B" w:rsidRPr="001D7689">
        <w:t xml:space="preserve">1.3 were focused on three </w:t>
      </w:r>
      <w:r w:rsidRPr="001D7689">
        <w:t>"</w:t>
      </w:r>
      <w:r w:rsidR="0043062D" w:rsidRPr="001D7689">
        <w:t>pillars</w:t>
      </w:r>
      <w:r w:rsidRPr="001D7689">
        <w:t>"</w:t>
      </w:r>
      <w:r w:rsidR="0043062D" w:rsidRPr="001D7689">
        <w:t xml:space="preserve"> </w:t>
      </w:r>
      <w:r w:rsidR="00C0628B" w:rsidRPr="001D7689">
        <w:t xml:space="preserve">which apparently </w:t>
      </w:r>
      <w:r w:rsidR="00C0628B" w:rsidRPr="001D7689">
        <w:rPr>
          <w:b/>
        </w:rPr>
        <w:t xml:space="preserve">have no direct </w:t>
      </w:r>
      <w:r w:rsidR="00661D0D" w:rsidRPr="001D7689">
        <w:rPr>
          <w:b/>
        </w:rPr>
        <w:t>linkage</w:t>
      </w:r>
      <w:r w:rsidR="00C0628B" w:rsidRPr="001D7689">
        <w:rPr>
          <w:b/>
        </w:rPr>
        <w:t xml:space="preserve"> with the strategic plan of the Union and do not </w:t>
      </w:r>
      <w:r w:rsidR="00CC59CD" w:rsidRPr="001D7689">
        <w:rPr>
          <w:b/>
        </w:rPr>
        <w:t>correspond to the strategic</w:t>
      </w:r>
      <w:r w:rsidR="00B43C06" w:rsidRPr="001D7689">
        <w:rPr>
          <w:b/>
        </w:rPr>
        <w:t xml:space="preserve"> goals and thematic </w:t>
      </w:r>
      <w:r w:rsidR="00301322" w:rsidRPr="001D7689">
        <w:rPr>
          <w:b/>
        </w:rPr>
        <w:t>priorities of the Union</w:t>
      </w:r>
      <w:r w:rsidR="00661D0D" w:rsidRPr="001D7689">
        <w:rPr>
          <w:b/>
        </w:rPr>
        <w:t xml:space="preserve"> approved by PP-22</w:t>
      </w:r>
      <w:r w:rsidR="00301322" w:rsidRPr="001D7689">
        <w:rPr>
          <w:b/>
        </w:rPr>
        <w:t xml:space="preserve"> or the </w:t>
      </w:r>
      <w:r w:rsidR="00F70830" w:rsidRPr="001D7689">
        <w:rPr>
          <w:b/>
        </w:rPr>
        <w:t>associated enablers</w:t>
      </w:r>
      <w:r w:rsidR="0043062D" w:rsidRPr="001D7689">
        <w:t>.</w:t>
      </w:r>
      <w:bookmarkEnd w:id="39"/>
      <w:r w:rsidR="0043062D" w:rsidRPr="001D7689">
        <w:t xml:space="preserve"> </w:t>
      </w:r>
    </w:p>
    <w:p w14:paraId="10A2F0A8" w14:textId="71B6A717" w:rsidR="0043062D" w:rsidRPr="001D7689" w:rsidRDefault="00216CAB" w:rsidP="00216CAB">
      <w:bookmarkStart w:id="40" w:name="lt_pId056"/>
      <w:r w:rsidRPr="001D7689">
        <w:t>2.5</w:t>
      </w:r>
      <w:r w:rsidRPr="001D7689">
        <w:tab/>
      </w:r>
      <w:r w:rsidR="001309CB" w:rsidRPr="001D7689">
        <w:t xml:space="preserve">The strategic goals of the Union </w:t>
      </w:r>
      <w:r w:rsidR="00661D0D" w:rsidRPr="001D7689">
        <w:t xml:space="preserve">set out </w:t>
      </w:r>
      <w:r w:rsidR="00EF1A38" w:rsidRPr="001D7689">
        <w:t xml:space="preserve">in the strategic plan (Resolution 71) </w:t>
      </w:r>
      <w:r w:rsidR="001309CB" w:rsidRPr="001D7689">
        <w:t>support ITU</w:t>
      </w:r>
      <w:r w:rsidR="00F4561A" w:rsidRPr="001D7689">
        <w:t>'</w:t>
      </w:r>
      <w:r w:rsidR="001309CB" w:rsidRPr="001D7689">
        <w:t xml:space="preserve">s </w:t>
      </w:r>
      <w:r w:rsidR="00661D0D" w:rsidRPr="001D7689">
        <w:t>performance</w:t>
      </w:r>
      <w:r w:rsidR="001309CB" w:rsidRPr="001D7689">
        <w:t xml:space="preserve"> of its mission and </w:t>
      </w:r>
      <w:r w:rsidR="00661D0D" w:rsidRPr="001D7689">
        <w:t xml:space="preserve">the enhancement of its </w:t>
      </w:r>
      <w:r w:rsidR="001309CB" w:rsidRPr="001D7689">
        <w:t xml:space="preserve">role in </w:t>
      </w:r>
      <w:r w:rsidR="00661D0D" w:rsidRPr="001D7689">
        <w:t>fostering</w:t>
      </w:r>
      <w:r w:rsidR="001309CB" w:rsidRPr="001D7689">
        <w:t xml:space="preserve"> progress towards the implementation of the </w:t>
      </w:r>
      <w:r w:rsidR="001309CB" w:rsidRPr="001D7689">
        <w:rPr>
          <w:b/>
        </w:rPr>
        <w:t xml:space="preserve">World Summit on the Information Society </w:t>
      </w:r>
      <w:r w:rsidR="001309CB" w:rsidRPr="001D7689">
        <w:t xml:space="preserve">(WSIS) action </w:t>
      </w:r>
      <w:r w:rsidR="001309CB" w:rsidRPr="001D7689">
        <w:lastRenderedPageBreak/>
        <w:t xml:space="preserve">lines and the </w:t>
      </w:r>
      <w:r w:rsidR="001309CB" w:rsidRPr="001D7689">
        <w:rPr>
          <w:b/>
        </w:rPr>
        <w:t>2030 Agenda for Sustainable Development</w:t>
      </w:r>
      <w:r w:rsidR="001309CB" w:rsidRPr="001D7689">
        <w:t xml:space="preserve">. </w:t>
      </w:r>
      <w:r w:rsidR="009D1B99" w:rsidRPr="001D7689">
        <w:t xml:space="preserve">The </w:t>
      </w:r>
      <w:r w:rsidR="00E13677" w:rsidRPr="001D7689">
        <w:t xml:space="preserve">transformation plan </w:t>
      </w:r>
      <w:r w:rsidR="0007090B" w:rsidRPr="001D7689">
        <w:t>pr</w:t>
      </w:r>
      <w:r w:rsidR="00E83288" w:rsidRPr="001D7689">
        <w:t>o</w:t>
      </w:r>
      <w:r w:rsidR="0007090B" w:rsidRPr="001D7689">
        <w:t>posed by the Secretary-General for achieving organizational excellence</w:t>
      </w:r>
      <w:r w:rsidR="00E83288" w:rsidRPr="001D7689">
        <w:t xml:space="preserve">, on the other hand, </w:t>
      </w:r>
      <w:r w:rsidR="006A4411" w:rsidRPr="001D7689">
        <w:rPr>
          <w:b/>
        </w:rPr>
        <w:t xml:space="preserve">focuses on the Sustainable Development Goals (SDGs) and </w:t>
      </w:r>
      <w:r w:rsidR="00525222" w:rsidRPr="001D7689">
        <w:rPr>
          <w:b/>
        </w:rPr>
        <w:t>ITU</w:t>
      </w:r>
      <w:r w:rsidR="00F4561A" w:rsidRPr="001D7689">
        <w:rPr>
          <w:b/>
        </w:rPr>
        <w:t>'</w:t>
      </w:r>
      <w:r w:rsidR="00525222" w:rsidRPr="001D7689">
        <w:rPr>
          <w:b/>
        </w:rPr>
        <w:t>s own Connect 2030 Agenda</w:t>
      </w:r>
      <w:r w:rsidR="008160D4" w:rsidRPr="001D7689">
        <w:t xml:space="preserve">, ignoring the WSIS process, whose </w:t>
      </w:r>
      <w:r w:rsidR="00687DB1" w:rsidRPr="001D7689">
        <w:t xml:space="preserve">close </w:t>
      </w:r>
      <w:r w:rsidR="005B2729" w:rsidRPr="001D7689">
        <w:t>linkage to the achieve</w:t>
      </w:r>
      <w:r w:rsidR="001A47FC" w:rsidRPr="001D7689">
        <w:t xml:space="preserve">ment of the SDGs is reflected in the WSIS-SDG matrix, </w:t>
      </w:r>
      <w:r w:rsidR="002C5D3F" w:rsidRPr="001D7689">
        <w:t>and the provisions of Resolution 140</w:t>
      </w:r>
      <w:r w:rsidR="00F65AF7" w:rsidRPr="001D7689">
        <w:t xml:space="preserve"> (Rev. Bucharest, 2022) of the Plenipotentiary Conference, on ITU</w:t>
      </w:r>
      <w:r w:rsidR="00F4561A" w:rsidRPr="001D7689">
        <w:t>'</w:t>
      </w:r>
      <w:r w:rsidR="00F65AF7" w:rsidRPr="001D7689">
        <w:t xml:space="preserve">s role in implementing the </w:t>
      </w:r>
      <w:r w:rsidR="00661D0D" w:rsidRPr="001D7689">
        <w:t xml:space="preserve">WSIS </w:t>
      </w:r>
      <w:r w:rsidR="00F65AF7" w:rsidRPr="001D7689">
        <w:t>outcomes and the 2030 Agenda for Sustainable Development, as well as in their follow-up and review processes</w:t>
      </w:r>
      <w:r w:rsidR="0043062D" w:rsidRPr="001D7689">
        <w:t>.</w:t>
      </w:r>
      <w:bookmarkEnd w:id="40"/>
    </w:p>
    <w:p w14:paraId="55F715C0" w14:textId="038ABB6E" w:rsidR="0043062D" w:rsidRPr="001D7689" w:rsidRDefault="00216CAB" w:rsidP="00216CAB">
      <w:bookmarkStart w:id="41" w:name="lt_pId057"/>
      <w:r w:rsidRPr="001D7689">
        <w:t>2.6</w:t>
      </w:r>
      <w:r w:rsidRPr="001D7689">
        <w:tab/>
      </w:r>
      <w:r w:rsidR="00E9017F" w:rsidRPr="001D7689">
        <w:t xml:space="preserve">The concept of </w:t>
      </w:r>
      <w:r w:rsidRPr="001D7689">
        <w:t>"</w:t>
      </w:r>
      <w:r w:rsidR="00E9017F" w:rsidRPr="001D7689">
        <w:t>One ITU</w:t>
      </w:r>
      <w:r w:rsidRPr="001D7689">
        <w:t>"</w:t>
      </w:r>
      <w:r w:rsidR="00E9017F" w:rsidRPr="001D7689">
        <w:t xml:space="preserve"> introduced in Document </w:t>
      </w:r>
      <w:hyperlink r:id="rId31" w:history="1">
        <w:r w:rsidR="0043062D" w:rsidRPr="001D7689">
          <w:rPr>
            <w:rStyle w:val="Hyperlink"/>
            <w:szCs w:val="24"/>
          </w:rPr>
          <w:t>C23/52</w:t>
        </w:r>
      </w:hyperlink>
      <w:r w:rsidR="0043062D" w:rsidRPr="001D7689">
        <w:t xml:space="preserve"> </w:t>
      </w:r>
      <w:r w:rsidR="00661D0D" w:rsidRPr="001D7689">
        <w:t>does not conform</w:t>
      </w:r>
      <w:r w:rsidR="00E9017F" w:rsidRPr="001D7689">
        <w:t xml:space="preserve"> with Article</w:t>
      </w:r>
      <w:r w:rsidRPr="001D7689">
        <w:t> </w:t>
      </w:r>
      <w:r w:rsidR="00E9017F" w:rsidRPr="001D7689">
        <w:t>7 of the Constitution of the Union</w:t>
      </w:r>
      <w:r w:rsidR="0043062D" w:rsidRPr="001D7689">
        <w:t>.</w:t>
      </w:r>
      <w:bookmarkEnd w:id="41"/>
    </w:p>
    <w:p w14:paraId="030A53DA" w14:textId="2502629A" w:rsidR="0043062D" w:rsidRPr="001D7689" w:rsidRDefault="00216CAB" w:rsidP="00216CAB">
      <w:bookmarkStart w:id="42" w:name="lt_pId058"/>
      <w:r w:rsidRPr="001D7689">
        <w:t>2.7</w:t>
      </w:r>
      <w:r w:rsidRPr="001D7689">
        <w:tab/>
      </w:r>
      <w:r w:rsidR="00E9017F" w:rsidRPr="001D7689">
        <w:t xml:space="preserve">Document </w:t>
      </w:r>
      <w:hyperlink r:id="rId32" w:history="1">
        <w:r w:rsidR="0043062D" w:rsidRPr="001D7689">
          <w:rPr>
            <w:rStyle w:val="Hyperlink"/>
            <w:szCs w:val="24"/>
          </w:rPr>
          <w:t>C23/52</w:t>
        </w:r>
      </w:hyperlink>
      <w:r w:rsidR="0043062D" w:rsidRPr="001D7689">
        <w:t xml:space="preserve"> </w:t>
      </w:r>
      <w:r w:rsidR="0045138F" w:rsidRPr="001D7689">
        <w:t>does not indicate the source</w:t>
      </w:r>
      <w:r w:rsidR="00661D0D" w:rsidRPr="001D7689">
        <w:t>s</w:t>
      </w:r>
      <w:r w:rsidR="0045138F" w:rsidRPr="001D7689">
        <w:t xml:space="preserve"> of the </w:t>
      </w:r>
      <w:r w:rsidR="008E4391" w:rsidRPr="001D7689">
        <w:t>funding</w:t>
      </w:r>
      <w:r w:rsidR="00661D0D" w:rsidRPr="001D7689">
        <w:t xml:space="preserve">, </w:t>
      </w:r>
      <w:r w:rsidR="008E4391" w:rsidRPr="001D7689">
        <w:t>some 900 000 Swiss francs</w:t>
      </w:r>
      <w:r w:rsidR="00661D0D" w:rsidRPr="001D7689">
        <w:t xml:space="preserve"> annually,</w:t>
      </w:r>
      <w:r w:rsidR="008E4391" w:rsidRPr="001D7689">
        <w:t xml:space="preserve"> that will be required to set up and operate the </w:t>
      </w:r>
      <w:r w:rsidR="00661D0D" w:rsidRPr="001D7689">
        <w:t>transformation office</w:t>
      </w:r>
      <w:r w:rsidR="008E4391" w:rsidRPr="001D7689">
        <w:t xml:space="preserve">, </w:t>
      </w:r>
      <w:r w:rsidR="002B5652" w:rsidRPr="001D7689">
        <w:t xml:space="preserve">at a time when </w:t>
      </w:r>
      <w:r w:rsidR="009734CC" w:rsidRPr="001D7689">
        <w:t xml:space="preserve">funding </w:t>
      </w:r>
      <w:r w:rsidR="00FC30A6" w:rsidRPr="001D7689">
        <w:t xml:space="preserve">for </w:t>
      </w:r>
      <w:r w:rsidR="008D76A9" w:rsidRPr="001D7689">
        <w:t xml:space="preserve">the core mandate </w:t>
      </w:r>
      <w:r w:rsidR="009734CC" w:rsidRPr="001D7689">
        <w:t xml:space="preserve">activities </w:t>
      </w:r>
      <w:r w:rsidR="008D76A9" w:rsidRPr="001D7689">
        <w:t xml:space="preserve">of the Union </w:t>
      </w:r>
      <w:r w:rsidR="009734CC" w:rsidRPr="001D7689">
        <w:t>under Article</w:t>
      </w:r>
      <w:r w:rsidR="0043062D" w:rsidRPr="001D7689">
        <w:t xml:space="preserve"> 1 </w:t>
      </w:r>
      <w:r w:rsidR="009734CC" w:rsidRPr="001D7689">
        <w:t xml:space="preserve">of the ITU Constitution are insufficient; the same holds for the implementation of the </w:t>
      </w:r>
      <w:r w:rsidR="00661D0D" w:rsidRPr="001D7689">
        <w:t xml:space="preserve">project to construct a </w:t>
      </w:r>
      <w:r w:rsidR="00371A10" w:rsidRPr="001D7689">
        <w:t xml:space="preserve">new </w:t>
      </w:r>
      <w:r w:rsidR="00894089" w:rsidRPr="001D7689">
        <w:t xml:space="preserve">ITU headquarters </w:t>
      </w:r>
      <w:r w:rsidR="00371A10" w:rsidRPr="001D7689">
        <w:t xml:space="preserve">building </w:t>
      </w:r>
      <w:r w:rsidR="0043062D" w:rsidRPr="001D7689">
        <w:t>(</w:t>
      </w:r>
      <w:r w:rsidR="00894089" w:rsidRPr="001D7689">
        <w:t>Document</w:t>
      </w:r>
      <w:r w:rsidR="0043062D" w:rsidRPr="001D7689">
        <w:t xml:space="preserve"> </w:t>
      </w:r>
      <w:hyperlink r:id="rId33" w:history="1">
        <w:r w:rsidR="0043062D" w:rsidRPr="001D7689">
          <w:rPr>
            <w:rStyle w:val="Hyperlink"/>
            <w:szCs w:val="24"/>
          </w:rPr>
          <w:t>C23/7</w:t>
        </w:r>
      </w:hyperlink>
      <w:r w:rsidR="0043062D" w:rsidRPr="001D7689">
        <w:t>).</w:t>
      </w:r>
      <w:bookmarkEnd w:id="42"/>
      <w:r w:rsidR="0043062D" w:rsidRPr="001D7689">
        <w:t xml:space="preserve"> </w:t>
      </w:r>
    </w:p>
    <w:p w14:paraId="3E3F714A" w14:textId="2E45760F" w:rsidR="0043062D" w:rsidRPr="001D7689" w:rsidRDefault="00F94FA1" w:rsidP="00F94FA1">
      <w:pPr>
        <w:pStyle w:val="Heading1"/>
      </w:pPr>
      <w:r w:rsidRPr="001D7689">
        <w:t>3</w:t>
      </w:r>
      <w:r w:rsidRPr="001D7689">
        <w:tab/>
      </w:r>
      <w:r w:rsidR="00894089" w:rsidRPr="001D7689">
        <w:t>Proposal</w:t>
      </w:r>
      <w:r w:rsidR="00F32F85" w:rsidRPr="001D7689">
        <w:t>s</w:t>
      </w:r>
    </w:p>
    <w:p w14:paraId="22EA0C56" w14:textId="45716E03" w:rsidR="0043062D" w:rsidRPr="001D7689" w:rsidRDefault="00F94FA1" w:rsidP="00F94FA1">
      <w:bookmarkStart w:id="43" w:name="lt_pId060"/>
      <w:r w:rsidRPr="001D7689">
        <w:t>3.1</w:t>
      </w:r>
      <w:r w:rsidRPr="001D7689">
        <w:tab/>
      </w:r>
      <w:r w:rsidR="00F32F85" w:rsidRPr="001D7689">
        <w:t>It is proposed that t</w:t>
      </w:r>
      <w:r w:rsidR="00894089" w:rsidRPr="001D7689">
        <w:t xml:space="preserve">he Council </w:t>
      </w:r>
      <w:r w:rsidR="00661D0D" w:rsidRPr="001D7689">
        <w:t>not a</w:t>
      </w:r>
      <w:r w:rsidR="007778D3" w:rsidRPr="001D7689">
        <w:t>ct on the document until full details have been provided and the ITU management team</w:t>
      </w:r>
      <w:r w:rsidR="00F4561A" w:rsidRPr="001D7689">
        <w:t>'</w:t>
      </w:r>
      <w:r w:rsidR="007778D3" w:rsidRPr="001D7689">
        <w:t xml:space="preserve">s approaches have been corrected to bring them </w:t>
      </w:r>
      <w:r w:rsidR="00E960F5" w:rsidRPr="001D7689">
        <w:t xml:space="preserve">into </w:t>
      </w:r>
      <w:r w:rsidR="00661D0D" w:rsidRPr="001D7689">
        <w:t>conformity</w:t>
      </w:r>
      <w:r w:rsidR="00E960F5" w:rsidRPr="001D7689">
        <w:t xml:space="preserve"> with the </w:t>
      </w:r>
      <w:r w:rsidR="00661D0D" w:rsidRPr="001D7689">
        <w:t xml:space="preserve">ITU </w:t>
      </w:r>
      <w:r w:rsidR="00E960F5" w:rsidRPr="001D7689">
        <w:t xml:space="preserve">Constitution and </w:t>
      </w:r>
      <w:r w:rsidR="00661D0D" w:rsidRPr="001D7689">
        <w:t xml:space="preserve">ITU </w:t>
      </w:r>
      <w:r w:rsidR="00E960F5" w:rsidRPr="001D7689">
        <w:t>Convention and with the decisions of the Plenipotentiary Conference.</w:t>
      </w:r>
      <w:bookmarkEnd w:id="43"/>
    </w:p>
    <w:p w14:paraId="07E811AB" w14:textId="606CD916" w:rsidR="0043062D" w:rsidRPr="001D7689" w:rsidRDefault="00F94FA1" w:rsidP="00F94FA1">
      <w:bookmarkStart w:id="44" w:name="lt_pId061"/>
      <w:r w:rsidRPr="001D7689">
        <w:t>3.2</w:t>
      </w:r>
      <w:r w:rsidRPr="001D7689">
        <w:tab/>
      </w:r>
      <w:r w:rsidR="00EA6CCF" w:rsidRPr="001D7689">
        <w:t>The management team</w:t>
      </w:r>
      <w:r w:rsidR="00F4561A" w:rsidRPr="001D7689">
        <w:t>'</w:t>
      </w:r>
      <w:r w:rsidR="00EA6CCF" w:rsidRPr="001D7689">
        <w:t xml:space="preserve">s work on the enabler </w:t>
      </w:r>
      <w:r w:rsidR="00216CAB" w:rsidRPr="001D7689">
        <w:t>"</w:t>
      </w:r>
      <w:r w:rsidR="00EA6CCF" w:rsidRPr="001D7689">
        <w:t>Excellence in human resources and organizational innovation</w:t>
      </w:r>
      <w:r w:rsidR="00216CAB" w:rsidRPr="001D7689">
        <w:t>"</w:t>
      </w:r>
      <w:r w:rsidR="00EA6CCF" w:rsidRPr="001D7689">
        <w:t xml:space="preserve"> under </w:t>
      </w:r>
      <w:r w:rsidR="008D277E" w:rsidRPr="001D7689">
        <w:t>Resolution 71</w:t>
      </w:r>
      <w:r w:rsidR="00EA6CCF" w:rsidRPr="001D7689">
        <w:t xml:space="preserve"> should aim to improve internal processes and accelerate internal decision-making by addressing operational inefficiencies, duplication and perceived bureaucracy, reflecting the values of transparency and accountability</w:t>
      </w:r>
      <w:r w:rsidR="0043062D" w:rsidRPr="001D7689">
        <w:t xml:space="preserve">, </w:t>
      </w:r>
      <w:r w:rsidR="00EC1B0A" w:rsidRPr="001D7689">
        <w:t xml:space="preserve">and not </w:t>
      </w:r>
      <w:r w:rsidR="00905CF9" w:rsidRPr="001D7689">
        <w:t xml:space="preserve">attempt to </w:t>
      </w:r>
      <w:r w:rsidR="006B75F0" w:rsidRPr="001D7689">
        <w:t xml:space="preserve">review </w:t>
      </w:r>
      <w:r w:rsidR="00905CF9" w:rsidRPr="001D7689">
        <w:t xml:space="preserve">the structure of </w:t>
      </w:r>
      <w:r w:rsidR="006B75F0" w:rsidRPr="001D7689">
        <w:t xml:space="preserve">ITU </w:t>
      </w:r>
      <w:r w:rsidR="00905CF9" w:rsidRPr="001D7689">
        <w:t xml:space="preserve">as laid down in Article 7 of the Constitution </w:t>
      </w:r>
      <w:r w:rsidR="006B75F0" w:rsidRPr="001D7689">
        <w:t>of the Union</w:t>
      </w:r>
      <w:r w:rsidR="0043062D" w:rsidRPr="001D7689">
        <w:t>.</w:t>
      </w:r>
      <w:bookmarkEnd w:id="44"/>
    </w:p>
    <w:p w14:paraId="6CFA791A" w14:textId="4D689975" w:rsidR="0043062D" w:rsidRPr="001D7689" w:rsidRDefault="00F94FA1" w:rsidP="00F94FA1">
      <w:bookmarkStart w:id="45" w:name="lt_pId062"/>
      <w:r w:rsidRPr="001D7689">
        <w:t>3.3</w:t>
      </w:r>
      <w:r w:rsidRPr="001D7689">
        <w:tab/>
      </w:r>
      <w:r w:rsidR="006B75F0" w:rsidRPr="001D7689">
        <w:t xml:space="preserve">The </w:t>
      </w:r>
      <w:r w:rsidR="0043062D" w:rsidRPr="001D7689">
        <w:rPr>
          <w:iCs/>
        </w:rPr>
        <w:t>transformation plan</w:t>
      </w:r>
      <w:r w:rsidR="0043062D" w:rsidRPr="001D7689">
        <w:t xml:space="preserve"> </w:t>
      </w:r>
      <w:r w:rsidR="00D8670D" w:rsidRPr="001D7689">
        <w:t xml:space="preserve">should focus on </w:t>
      </w:r>
      <w:r w:rsidR="00F63AA7" w:rsidRPr="001D7689">
        <w:t xml:space="preserve">culture and skills transformation plan </w:t>
      </w:r>
      <w:r w:rsidR="00661D0D" w:rsidRPr="001D7689">
        <w:t xml:space="preserve">and </w:t>
      </w:r>
      <w:r w:rsidR="00F63AA7" w:rsidRPr="001D7689">
        <w:t>should be based on four main tracks</w:t>
      </w:r>
      <w:r w:rsidR="0043062D" w:rsidRPr="001D7689">
        <w:t>:</w:t>
      </w:r>
      <w:bookmarkEnd w:id="45"/>
      <w:r w:rsidR="0043062D" w:rsidRPr="001D7689">
        <w:t xml:space="preserve"> </w:t>
      </w:r>
    </w:p>
    <w:p w14:paraId="6004CC2F" w14:textId="54CCBB19" w:rsidR="0043062D" w:rsidRPr="001D7689" w:rsidRDefault="00F94FA1" w:rsidP="00F94FA1">
      <w:pPr>
        <w:pStyle w:val="enumlev1"/>
      </w:pPr>
      <w:bookmarkStart w:id="46" w:name="lt_pId063"/>
      <w:r w:rsidRPr="001D7689">
        <w:t>–</w:t>
      </w:r>
      <w:r w:rsidRPr="001D7689">
        <w:tab/>
      </w:r>
      <w:r w:rsidR="00AB36A8" w:rsidRPr="001D7689">
        <w:t>strategic planning</w:t>
      </w:r>
      <w:bookmarkEnd w:id="46"/>
      <w:r w:rsidR="00661D0D" w:rsidRPr="001D7689">
        <w:t>;</w:t>
      </w:r>
    </w:p>
    <w:p w14:paraId="331A1D16" w14:textId="3525FFFD" w:rsidR="0043062D" w:rsidRPr="001D7689" w:rsidRDefault="00F94FA1" w:rsidP="00F94FA1">
      <w:pPr>
        <w:pStyle w:val="enumlev1"/>
      </w:pPr>
      <w:bookmarkStart w:id="47" w:name="lt_pId064"/>
      <w:r w:rsidRPr="001D7689">
        <w:t>–</w:t>
      </w:r>
      <w:r w:rsidRPr="001D7689">
        <w:tab/>
      </w:r>
      <w:r w:rsidR="00AB36A8" w:rsidRPr="001D7689">
        <w:t>digital transformation</w:t>
      </w:r>
      <w:bookmarkEnd w:id="47"/>
      <w:r w:rsidR="00661D0D" w:rsidRPr="001D7689">
        <w:t>;</w:t>
      </w:r>
    </w:p>
    <w:p w14:paraId="0BDAB20E" w14:textId="4C245195" w:rsidR="0043062D" w:rsidRPr="001D7689" w:rsidRDefault="00F94FA1" w:rsidP="00F94FA1">
      <w:pPr>
        <w:pStyle w:val="enumlev1"/>
      </w:pPr>
      <w:r w:rsidRPr="001D7689">
        <w:t>–</w:t>
      </w:r>
      <w:r w:rsidRPr="001D7689">
        <w:tab/>
      </w:r>
      <w:r w:rsidR="00AB36A8" w:rsidRPr="001D7689">
        <w:t>innovation</w:t>
      </w:r>
      <w:r w:rsidR="00661D0D" w:rsidRPr="001D7689">
        <w:t>;</w:t>
      </w:r>
    </w:p>
    <w:p w14:paraId="5FED8D7D" w14:textId="16DCC2A1" w:rsidR="0043062D" w:rsidRPr="001D7689" w:rsidRDefault="00F94FA1" w:rsidP="00F94FA1">
      <w:pPr>
        <w:pStyle w:val="enumlev1"/>
      </w:pPr>
      <w:bookmarkStart w:id="48" w:name="lt_pId066"/>
      <w:r w:rsidRPr="001D7689">
        <w:t>–</w:t>
      </w:r>
      <w:r w:rsidRPr="001D7689">
        <w:tab/>
      </w:r>
      <w:r w:rsidR="00AB36A8" w:rsidRPr="001D7689">
        <w:t>human resources management</w:t>
      </w:r>
      <w:r w:rsidR="0043062D" w:rsidRPr="001D7689">
        <w:t>.</w:t>
      </w:r>
      <w:bookmarkEnd w:id="48"/>
    </w:p>
    <w:p w14:paraId="3759DC69" w14:textId="7221CD3B" w:rsidR="0043062D" w:rsidRPr="001D7689" w:rsidRDefault="00FE010F" w:rsidP="00F94FA1">
      <w:bookmarkStart w:id="49" w:name="lt_pId067"/>
      <w:r w:rsidRPr="001D7689">
        <w:t>It should be in full compliance with the provisions of the ITU Constitution and ITU Convention</w:t>
      </w:r>
      <w:r w:rsidR="0043062D" w:rsidRPr="001D7689">
        <w:t xml:space="preserve">, </w:t>
      </w:r>
      <w:r w:rsidR="005363CC" w:rsidRPr="001D7689">
        <w:t>especially Article 7 of the Constitution</w:t>
      </w:r>
      <w:r w:rsidR="0043062D" w:rsidRPr="001D7689">
        <w:t xml:space="preserve"> (</w:t>
      </w:r>
      <w:r w:rsidR="005363CC" w:rsidRPr="001D7689">
        <w:t>Structure of the Union</w:t>
      </w:r>
      <w:r w:rsidR="0043062D" w:rsidRPr="001D7689">
        <w:t>).</w:t>
      </w:r>
      <w:bookmarkEnd w:id="49"/>
    </w:p>
    <w:p w14:paraId="0D69867C" w14:textId="1D33110D" w:rsidR="0043062D" w:rsidRPr="001D7689" w:rsidRDefault="00F94FA1" w:rsidP="00F94FA1">
      <w:bookmarkStart w:id="50" w:name="lt_pId068"/>
      <w:r w:rsidRPr="001D7689">
        <w:t>3.4</w:t>
      </w:r>
      <w:r w:rsidRPr="001D7689">
        <w:tab/>
      </w:r>
      <w:r w:rsidR="005363CC" w:rsidRPr="001D7689">
        <w:t>The report of the Secretary-General</w:t>
      </w:r>
      <w:r w:rsidR="0043062D" w:rsidRPr="001D7689">
        <w:t xml:space="preserve"> </w:t>
      </w:r>
      <w:r w:rsidR="005363CC" w:rsidRPr="001D7689">
        <w:t xml:space="preserve">on </w:t>
      </w:r>
      <w:r w:rsidR="00802EA4" w:rsidRPr="001D7689">
        <w:rPr>
          <w:rFonts w:asciiTheme="minorHAnsi" w:hAnsiTheme="minorHAnsi" w:cstheme="minorHAnsi"/>
        </w:rPr>
        <w:t xml:space="preserve">accelerating the implementation of the ITU strategic plan for </w:t>
      </w:r>
      <w:r w:rsidR="00661D0D" w:rsidRPr="001D7689">
        <w:rPr>
          <w:rFonts w:asciiTheme="minorHAnsi" w:hAnsiTheme="minorHAnsi" w:cstheme="minorHAnsi"/>
        </w:rPr>
        <w:t>2024-2027</w:t>
      </w:r>
      <w:r w:rsidR="00802EA4" w:rsidRPr="001D7689">
        <w:rPr>
          <w:rFonts w:asciiTheme="minorHAnsi" w:hAnsiTheme="minorHAnsi" w:cstheme="minorHAnsi"/>
        </w:rPr>
        <w:t xml:space="preserve"> </w:t>
      </w:r>
      <w:r w:rsidR="0043062D" w:rsidRPr="001D7689">
        <w:t>(</w:t>
      </w:r>
      <w:r w:rsidR="00894089" w:rsidRPr="001D7689">
        <w:t>Document</w:t>
      </w:r>
      <w:r w:rsidR="0043062D" w:rsidRPr="001D7689">
        <w:t xml:space="preserve"> </w:t>
      </w:r>
      <w:hyperlink r:id="rId34" w:history="1">
        <w:r w:rsidR="0043062D" w:rsidRPr="001D7689">
          <w:rPr>
            <w:rStyle w:val="Hyperlink"/>
            <w:szCs w:val="24"/>
          </w:rPr>
          <w:t>C23/36</w:t>
        </w:r>
      </w:hyperlink>
      <w:r w:rsidR="0043062D" w:rsidRPr="001D7689">
        <w:t xml:space="preserve">) </w:t>
      </w:r>
      <w:r w:rsidR="00802EA4" w:rsidRPr="001D7689">
        <w:t xml:space="preserve">should be reclassified from </w:t>
      </w:r>
      <w:r w:rsidR="0072093E" w:rsidRPr="001D7689">
        <w:t>a contribution (</w:t>
      </w:r>
      <w:r w:rsidR="00216CAB" w:rsidRPr="001D7689">
        <w:t>"</w:t>
      </w:r>
      <w:r w:rsidR="0072093E" w:rsidRPr="001D7689">
        <w:t>C</w:t>
      </w:r>
      <w:r w:rsidR="00216CAB" w:rsidRPr="001D7689">
        <w:t>"</w:t>
      </w:r>
      <w:r w:rsidR="0072093E" w:rsidRPr="001D7689">
        <w:t>) to an information document (</w:t>
      </w:r>
      <w:r w:rsidR="00216CAB" w:rsidRPr="001D7689">
        <w:t>"</w:t>
      </w:r>
      <w:r w:rsidR="0072093E" w:rsidRPr="001D7689">
        <w:t>INF</w:t>
      </w:r>
      <w:r w:rsidR="00216CAB" w:rsidRPr="001D7689">
        <w:t>"</w:t>
      </w:r>
      <w:r w:rsidR="0072093E" w:rsidRPr="001D7689">
        <w:t>)</w:t>
      </w:r>
      <w:r w:rsidR="0043062D" w:rsidRPr="001D7689">
        <w:t>.</w:t>
      </w:r>
      <w:bookmarkEnd w:id="50"/>
    </w:p>
    <w:p w14:paraId="2458EA76" w14:textId="00DB7FE1" w:rsidR="0043062D" w:rsidRPr="001D7689" w:rsidRDefault="00F94FA1" w:rsidP="00F94FA1">
      <w:bookmarkStart w:id="51" w:name="lt_pId069"/>
      <w:r w:rsidRPr="001D7689">
        <w:t>3.5</w:t>
      </w:r>
      <w:r w:rsidRPr="001D7689">
        <w:tab/>
      </w:r>
      <w:r w:rsidR="00661D0D" w:rsidRPr="001D7689">
        <w:t xml:space="preserve">In </w:t>
      </w:r>
      <w:r w:rsidR="00854E96" w:rsidRPr="001D7689">
        <w:t>prepar</w:t>
      </w:r>
      <w:r w:rsidR="00661D0D" w:rsidRPr="001D7689">
        <w:t>ing</w:t>
      </w:r>
      <w:r w:rsidR="00854E96" w:rsidRPr="001D7689">
        <w:t xml:space="preserve"> recommendations </w:t>
      </w:r>
      <w:r w:rsidR="00661D0D" w:rsidRPr="001D7689">
        <w:t>for</w:t>
      </w:r>
      <w:r w:rsidR="00854E96" w:rsidRPr="001D7689">
        <w:t xml:space="preserve"> the Council regarding corrections to the strategic plan and the financial plan in accordance with Resolution 71</w:t>
      </w:r>
      <w:r w:rsidR="002815D1" w:rsidRPr="001D7689">
        <w:t xml:space="preserve">, the Secretary-General should carry out consultations not with a restricted number of Member States, as </w:t>
      </w:r>
      <w:r w:rsidR="00862EE8" w:rsidRPr="001D7689">
        <w:t xml:space="preserve">reported in </w:t>
      </w:r>
      <w:r w:rsidR="00894089" w:rsidRPr="001D7689">
        <w:t>Document</w:t>
      </w:r>
      <w:r w:rsidR="0043062D" w:rsidRPr="001D7689">
        <w:t xml:space="preserve"> </w:t>
      </w:r>
      <w:hyperlink r:id="rId35" w:history="1">
        <w:r w:rsidR="0043062D" w:rsidRPr="001D7689">
          <w:rPr>
            <w:rStyle w:val="Hyperlink"/>
            <w:szCs w:val="24"/>
          </w:rPr>
          <w:t>C23/36</w:t>
        </w:r>
      </w:hyperlink>
      <w:r w:rsidR="0043062D" w:rsidRPr="001D7689">
        <w:t xml:space="preserve">, </w:t>
      </w:r>
      <w:r w:rsidR="00862EE8" w:rsidRPr="001D7689">
        <w:t>but on a broad</w:t>
      </w:r>
      <w:r w:rsidR="009A510A" w:rsidRPr="001D7689">
        <w:t xml:space="preserve"> and</w:t>
      </w:r>
      <w:r w:rsidR="00862EE8" w:rsidRPr="001D7689">
        <w:t xml:space="preserve"> transparent basis, </w:t>
      </w:r>
      <w:r w:rsidR="00DB7D33" w:rsidRPr="001D7689">
        <w:t xml:space="preserve">involving the majority of the ITU Member States in </w:t>
      </w:r>
      <w:r w:rsidR="009E7E0C" w:rsidRPr="001D7689">
        <w:t>accordance</w:t>
      </w:r>
      <w:r w:rsidR="00DB7D33" w:rsidRPr="001D7689">
        <w:t xml:space="preserve"> with No. 28 of Article 3 of the ITU Constitution</w:t>
      </w:r>
      <w:r w:rsidR="0043062D" w:rsidRPr="001D7689">
        <w:t>.</w:t>
      </w:r>
      <w:bookmarkEnd w:id="51"/>
    </w:p>
    <w:p w14:paraId="0227792D" w14:textId="2C1AE227" w:rsidR="0043062D" w:rsidRPr="001D7689" w:rsidRDefault="00F94FA1" w:rsidP="00F94FA1">
      <w:bookmarkStart w:id="52" w:name="lt_pId070"/>
      <w:r w:rsidRPr="001D7689">
        <w:lastRenderedPageBreak/>
        <w:t>3.6</w:t>
      </w:r>
      <w:r w:rsidRPr="001D7689">
        <w:tab/>
      </w:r>
      <w:r w:rsidR="00D92D4C" w:rsidRPr="001D7689">
        <w:t>To stren</w:t>
      </w:r>
      <w:r w:rsidR="00AA09FD" w:rsidRPr="001D7689">
        <w:t>gthen ITU</w:t>
      </w:r>
      <w:r w:rsidR="00F4561A" w:rsidRPr="001D7689">
        <w:t>'</w:t>
      </w:r>
      <w:r w:rsidR="00AA09FD" w:rsidRPr="001D7689">
        <w:t xml:space="preserve">s leading role and </w:t>
      </w:r>
      <w:r w:rsidR="00347C48" w:rsidRPr="001D7689">
        <w:t>the financial sustainability of the Union</w:t>
      </w:r>
      <w:r w:rsidR="0043062D" w:rsidRPr="001D7689">
        <w:t xml:space="preserve">, </w:t>
      </w:r>
      <w:r w:rsidR="003F7AFD" w:rsidRPr="001D7689">
        <w:t xml:space="preserve">efforts should be focused on </w:t>
      </w:r>
      <w:r w:rsidR="00C86182" w:rsidRPr="001D7689">
        <w:t>improving the efficiency of the Union</w:t>
      </w:r>
      <w:r w:rsidR="00F4561A" w:rsidRPr="001D7689">
        <w:t>'</w:t>
      </w:r>
      <w:r w:rsidR="00C86182" w:rsidRPr="001D7689">
        <w:t xml:space="preserve">s activities but also </w:t>
      </w:r>
      <w:r w:rsidR="003F7AFD" w:rsidRPr="001D7689">
        <w:t xml:space="preserve">expanding </w:t>
      </w:r>
      <w:r w:rsidR="004354D4" w:rsidRPr="001D7689">
        <w:t xml:space="preserve">the </w:t>
      </w:r>
      <w:r w:rsidR="003F7AFD" w:rsidRPr="001D7689">
        <w:t xml:space="preserve">range </w:t>
      </w:r>
      <w:r w:rsidR="004354D4" w:rsidRPr="001D7689">
        <w:t xml:space="preserve">and improving the quality </w:t>
      </w:r>
      <w:r w:rsidR="003F7AFD" w:rsidRPr="001D7689">
        <w:t xml:space="preserve">of </w:t>
      </w:r>
      <w:r w:rsidR="004354D4" w:rsidRPr="001D7689">
        <w:t>ITU</w:t>
      </w:r>
      <w:r w:rsidR="00F4561A" w:rsidRPr="001D7689">
        <w:t>'</w:t>
      </w:r>
      <w:r w:rsidR="004354D4" w:rsidRPr="001D7689">
        <w:t xml:space="preserve">s </w:t>
      </w:r>
      <w:r w:rsidR="003F7AFD" w:rsidRPr="001D7689">
        <w:t>product</w:t>
      </w:r>
      <w:r w:rsidR="00C86182" w:rsidRPr="001D7689">
        <w:t>s</w:t>
      </w:r>
      <w:r w:rsidR="003F7AFD" w:rsidRPr="001D7689">
        <w:t xml:space="preserve"> and service</w:t>
      </w:r>
      <w:r w:rsidR="00C86182" w:rsidRPr="001D7689">
        <w:t>s</w:t>
      </w:r>
      <w:r w:rsidR="004354D4" w:rsidRPr="001D7689">
        <w:t xml:space="preserve"> </w:t>
      </w:r>
      <w:r w:rsidR="00376727" w:rsidRPr="001D7689">
        <w:t>that are deployed to support the Union</w:t>
      </w:r>
      <w:r w:rsidR="00F4561A" w:rsidRPr="001D7689">
        <w:t>'</w:t>
      </w:r>
      <w:r w:rsidR="00376727" w:rsidRPr="001D7689">
        <w:t>s work under its thematic priorities</w:t>
      </w:r>
      <w:r w:rsidR="0043062D" w:rsidRPr="001D7689">
        <w:t xml:space="preserve"> (</w:t>
      </w:r>
      <w:r w:rsidR="0004326B" w:rsidRPr="001D7689">
        <w:t>Resolution 71</w:t>
      </w:r>
      <w:r w:rsidR="0043062D" w:rsidRPr="001D7689">
        <w:t>).</w:t>
      </w:r>
      <w:bookmarkEnd w:id="52"/>
      <w:r w:rsidR="0043062D" w:rsidRPr="001D7689">
        <w:t xml:space="preserve"> </w:t>
      </w:r>
    </w:p>
    <w:p w14:paraId="3F6071B0" w14:textId="2F6874AC" w:rsidR="0043062D" w:rsidRPr="001D7689" w:rsidRDefault="00F94FA1" w:rsidP="00F94FA1">
      <w:bookmarkStart w:id="53" w:name="lt_pId071"/>
      <w:r w:rsidRPr="001D7689">
        <w:t>3.7</w:t>
      </w:r>
      <w:r w:rsidRPr="001D7689">
        <w:tab/>
      </w:r>
      <w:r w:rsidR="003B462A" w:rsidRPr="001D7689">
        <w:t>It should be recognized as inadvisable to increase e</w:t>
      </w:r>
      <w:r w:rsidR="00952503" w:rsidRPr="001D7689">
        <w:t xml:space="preserve">xpenditure for the purpose of creating </w:t>
      </w:r>
      <w:r w:rsidR="00F36886" w:rsidRPr="001D7689">
        <w:t>new organizational units</w:t>
      </w:r>
      <w:r w:rsidR="0043062D" w:rsidRPr="001D7689">
        <w:t>:</w:t>
      </w:r>
      <w:bookmarkEnd w:id="53"/>
    </w:p>
    <w:p w14:paraId="71F64B92" w14:textId="0A83035E" w:rsidR="0043062D" w:rsidRPr="001D7689" w:rsidRDefault="00F94FA1" w:rsidP="00F94FA1">
      <w:pPr>
        <w:pStyle w:val="enumlev1"/>
      </w:pPr>
      <w:bookmarkStart w:id="54" w:name="lt_pId072"/>
      <w:r w:rsidRPr="001D7689">
        <w:t>–</w:t>
      </w:r>
      <w:r w:rsidRPr="001D7689">
        <w:tab/>
      </w:r>
      <w:r w:rsidR="004C17B4" w:rsidRPr="001D7689">
        <w:t>a transformation unit</w:t>
      </w:r>
      <w:r w:rsidR="00A56E9F" w:rsidRPr="001D7689">
        <w:t xml:space="preserve"> headed by a director at D1 level, with an annual budget of 900 000 Swiss francs</w:t>
      </w:r>
      <w:bookmarkEnd w:id="54"/>
    </w:p>
    <w:p w14:paraId="3E810E90" w14:textId="2EE357A0" w:rsidR="0043615E" w:rsidRPr="001D7689" w:rsidRDefault="00F94FA1" w:rsidP="00F94FA1">
      <w:pPr>
        <w:pStyle w:val="enumlev1"/>
      </w:pPr>
      <w:r w:rsidRPr="001D7689">
        <w:t>–</w:t>
      </w:r>
      <w:r w:rsidRPr="001D7689">
        <w:tab/>
      </w:r>
      <w:r w:rsidR="000D1292" w:rsidRPr="001D7689">
        <w:t xml:space="preserve">an oversight unit </w:t>
      </w:r>
      <w:r w:rsidR="00FB42B9" w:rsidRPr="001D7689">
        <w:t xml:space="preserve">with a chief at D1 level, requiring </w:t>
      </w:r>
      <w:r w:rsidR="00C86182" w:rsidRPr="001D7689">
        <w:t>some</w:t>
      </w:r>
      <w:r w:rsidR="001F7E37" w:rsidRPr="001D7689">
        <w:t xml:space="preserve"> </w:t>
      </w:r>
      <w:r w:rsidR="0043615E" w:rsidRPr="001D7689">
        <w:t>28</w:t>
      </w:r>
      <w:r w:rsidR="00FB42B9" w:rsidRPr="001D7689">
        <w:t xml:space="preserve">0 000 Swiss francs </w:t>
      </w:r>
      <w:r w:rsidR="00C86182" w:rsidRPr="001D7689">
        <w:t xml:space="preserve">in addition </w:t>
      </w:r>
      <w:r w:rsidR="001F7E37" w:rsidRPr="001D7689">
        <w:t xml:space="preserve">every year, </w:t>
      </w:r>
      <w:r w:rsidR="002B5652" w:rsidRPr="001D7689">
        <w:t xml:space="preserve">at a time when funding for the core mandate activities of the Union under Article 1 of the ITU Constitution </w:t>
      </w:r>
      <w:r w:rsidR="00C86182" w:rsidRPr="001D7689">
        <w:t>is</w:t>
      </w:r>
      <w:r w:rsidR="002B5652" w:rsidRPr="001D7689">
        <w:t xml:space="preserve"> insufficient</w:t>
      </w:r>
      <w:r w:rsidR="00C86182" w:rsidRPr="001D7689">
        <w:t xml:space="preserve">, as is funding </w:t>
      </w:r>
      <w:r w:rsidR="002B5652" w:rsidRPr="001D7689">
        <w:t xml:space="preserve">for the implementation of the </w:t>
      </w:r>
      <w:r w:rsidR="00C86182" w:rsidRPr="001D7689">
        <w:t xml:space="preserve">project to construct a </w:t>
      </w:r>
      <w:r w:rsidR="002B5652" w:rsidRPr="001D7689">
        <w:t>new ITU headquarters building</w:t>
      </w:r>
      <w:r w:rsidR="002A6FAE" w:rsidRPr="001D7689">
        <w:t xml:space="preserve"> (Document </w:t>
      </w:r>
      <w:hyperlink r:id="rId36" w:history="1">
        <w:r w:rsidR="002A6FAE" w:rsidRPr="001D7689">
          <w:rPr>
            <w:rStyle w:val="Hyperlink"/>
            <w:szCs w:val="24"/>
          </w:rPr>
          <w:t>C23/7</w:t>
        </w:r>
      </w:hyperlink>
      <w:r w:rsidR="002A6FAE" w:rsidRPr="001D7689">
        <w:t>)</w:t>
      </w:r>
      <w:r w:rsidR="0043615E" w:rsidRPr="001D7689">
        <w:t>.</w:t>
      </w:r>
    </w:p>
    <w:p w14:paraId="10BE20B2" w14:textId="7B9CE902" w:rsidR="0043062D" w:rsidRPr="001D7689" w:rsidRDefault="0043062D" w:rsidP="00F94FA1">
      <w:r w:rsidRPr="001D7689">
        <w:t>3.8</w:t>
      </w:r>
      <w:bookmarkStart w:id="55" w:name="lt_pId075"/>
      <w:r w:rsidR="00AE24E0" w:rsidRPr="001D7689">
        <w:tab/>
      </w:r>
      <w:r w:rsidR="00F03C64" w:rsidRPr="001D7689">
        <w:t>Given the current financial difficulties mentioned in §</w:t>
      </w:r>
      <w:r w:rsidR="00AD7596" w:rsidRPr="001D7689">
        <w:t xml:space="preserve"> 3.7 above, the creation of an </w:t>
      </w:r>
      <w:r w:rsidR="00AB4216" w:rsidRPr="001D7689">
        <w:t xml:space="preserve">oversight unit, with a D1-level </w:t>
      </w:r>
      <w:r w:rsidR="00974E8A" w:rsidRPr="001D7689">
        <w:t>chief</w:t>
      </w:r>
      <w:r w:rsidR="00C86182" w:rsidRPr="001D7689">
        <w:t xml:space="preserve"> position</w:t>
      </w:r>
      <w:r w:rsidR="00974E8A" w:rsidRPr="001D7689">
        <w:t>, will require additional substantiation and should</w:t>
      </w:r>
      <w:r w:rsidR="00C86182" w:rsidRPr="001D7689">
        <w:t xml:space="preserve"> only</w:t>
      </w:r>
      <w:r w:rsidR="00974E8A" w:rsidRPr="001D7689">
        <w:t xml:space="preserve"> be </w:t>
      </w:r>
      <w:r w:rsidR="00007EF1" w:rsidRPr="001D7689">
        <w:t xml:space="preserve">brought about </w:t>
      </w:r>
      <w:r w:rsidR="00C86182" w:rsidRPr="001D7689">
        <w:t>using</w:t>
      </w:r>
      <w:r w:rsidR="00007EF1" w:rsidRPr="001D7689">
        <w:t xml:space="preserve"> existing resources, </w:t>
      </w:r>
      <w:r w:rsidR="00D836DC" w:rsidRPr="001D7689">
        <w:t xml:space="preserve">within the limits </w:t>
      </w:r>
      <w:r w:rsidR="00AD19A0" w:rsidRPr="001D7689">
        <w:t xml:space="preserve">of the budget of the </w:t>
      </w:r>
      <w:r w:rsidR="006A458A" w:rsidRPr="001D7689">
        <w:t>General Secretariat</w:t>
      </w:r>
      <w:bookmarkEnd w:id="55"/>
      <w:r w:rsidR="006A458A" w:rsidRPr="001D7689">
        <w:t>.</w:t>
      </w:r>
    </w:p>
    <w:p w14:paraId="68F8FB7E" w14:textId="4DA3E005" w:rsidR="0043062D" w:rsidRPr="001D7689" w:rsidRDefault="0043062D" w:rsidP="00F94FA1">
      <w:r w:rsidRPr="001D7689">
        <w:t>3.9</w:t>
      </w:r>
      <w:bookmarkStart w:id="56" w:name="lt_pId077"/>
      <w:r w:rsidR="00AE24E0" w:rsidRPr="001D7689">
        <w:tab/>
      </w:r>
      <w:r w:rsidR="00314B21" w:rsidRPr="001D7689">
        <w:t>In preparing documents (plans, roadmaps, recommendations to the Council and so on)</w:t>
      </w:r>
      <w:r w:rsidR="00AB0DE6" w:rsidRPr="001D7689">
        <w:t xml:space="preserve"> on the achievement of the strategic goals of the Union in the framework of ITU</w:t>
      </w:r>
      <w:r w:rsidR="00F4561A" w:rsidRPr="001D7689">
        <w:t>'</w:t>
      </w:r>
      <w:r w:rsidR="00AB0DE6" w:rsidRPr="001D7689">
        <w:t>s strategic plan for 2024-2027</w:t>
      </w:r>
      <w:r w:rsidR="00314B21" w:rsidRPr="001D7689">
        <w:t xml:space="preserve">, the Secretary-General </w:t>
      </w:r>
      <w:r w:rsidR="00143D0E" w:rsidRPr="001D7689">
        <w:t xml:space="preserve">should </w:t>
      </w:r>
      <w:r w:rsidR="003C1427" w:rsidRPr="001D7689">
        <w:t xml:space="preserve">be guided by </w:t>
      </w:r>
      <w:r w:rsidR="00AE24E0" w:rsidRPr="001D7689">
        <w:t xml:space="preserve">the role of ITU in enhancing the contribution of the Union to progress in the </w:t>
      </w:r>
      <w:r w:rsidR="00E500CC" w:rsidRPr="001D7689">
        <w:t xml:space="preserve">implementation of </w:t>
      </w:r>
      <w:r w:rsidR="00C86182" w:rsidRPr="001D7689">
        <w:t xml:space="preserve">the </w:t>
      </w:r>
      <w:r w:rsidR="00E500CC" w:rsidRPr="001D7689">
        <w:t>WSIS action lines and the 2030 Agenda for Sustainable Development</w:t>
      </w:r>
      <w:r w:rsidRPr="001D7689">
        <w:t>.</w:t>
      </w:r>
      <w:bookmarkEnd w:id="56"/>
    </w:p>
    <w:p w14:paraId="217460EB" w14:textId="77777777" w:rsidR="00A514A4" w:rsidRPr="001D7689" w:rsidRDefault="00A514A4" w:rsidP="00F94FA1"/>
    <w:p w14:paraId="23AADF4E" w14:textId="42A8FC0A" w:rsidR="001309CB" w:rsidRPr="001D7689" w:rsidRDefault="00F94FA1" w:rsidP="00F94FA1">
      <w:pPr>
        <w:jc w:val="center"/>
      </w:pPr>
      <w:r w:rsidRPr="001D7689">
        <w:t>_____________</w:t>
      </w:r>
    </w:p>
    <w:sectPr w:rsidR="001309CB" w:rsidRPr="001D7689" w:rsidSect="00AD3606">
      <w:footerReference w:type="default" r:id="rId37"/>
      <w:headerReference w:type="first" r:id="rId38"/>
      <w:footerReference w:type="first" r:id="rId3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BD020" w14:textId="77777777" w:rsidR="00415F28" w:rsidRDefault="00415F28">
      <w:r>
        <w:separator/>
      </w:r>
    </w:p>
  </w:endnote>
  <w:endnote w:type="continuationSeparator" w:id="0">
    <w:p w14:paraId="630CEB36" w14:textId="77777777" w:rsidR="00415F28" w:rsidRDefault="0041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21819D4" w14:textId="77777777" w:rsidTr="0042469C">
      <w:trPr>
        <w:jc w:val="center"/>
      </w:trPr>
      <w:tc>
        <w:tcPr>
          <w:tcW w:w="1803" w:type="dxa"/>
          <w:vAlign w:val="center"/>
        </w:tcPr>
        <w:p w14:paraId="2AA80E8D" w14:textId="0D4A9943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43062D">
            <w:rPr>
              <w:noProof/>
            </w:rPr>
            <w:t>525361</w:t>
          </w:r>
        </w:p>
      </w:tc>
      <w:tc>
        <w:tcPr>
          <w:tcW w:w="8261" w:type="dxa"/>
        </w:tcPr>
        <w:p w14:paraId="0C4304B4" w14:textId="431634D8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27F3">
            <w:rPr>
              <w:bCs/>
            </w:rPr>
            <w:t>3</w:t>
          </w:r>
          <w:r w:rsidRPr="00623AE3">
            <w:rPr>
              <w:bCs/>
            </w:rPr>
            <w:t>/</w:t>
          </w:r>
          <w:r w:rsidR="0043062D">
            <w:rPr>
              <w:bCs/>
            </w:rPr>
            <w:t>90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1A38279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3A0F44B" w14:textId="77777777" w:rsidTr="00EE49E8">
      <w:trPr>
        <w:jc w:val="center"/>
      </w:trPr>
      <w:tc>
        <w:tcPr>
          <w:tcW w:w="1803" w:type="dxa"/>
          <w:vAlign w:val="center"/>
        </w:tcPr>
        <w:p w14:paraId="675F76FC" w14:textId="77777777" w:rsidR="00EE49E8" w:rsidRDefault="00000000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5464A1D3" w14:textId="381A814F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27F3">
            <w:rPr>
              <w:bCs/>
            </w:rPr>
            <w:t>3</w:t>
          </w:r>
          <w:r w:rsidRPr="00623AE3">
            <w:rPr>
              <w:bCs/>
            </w:rPr>
            <w:t>/</w:t>
          </w:r>
          <w:r w:rsidR="0043062D">
            <w:rPr>
              <w:bCs/>
            </w:rPr>
            <w:t>90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8B68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8E790" w14:textId="77777777" w:rsidR="00415F28" w:rsidRDefault="00415F28">
      <w:r>
        <w:t>____________________</w:t>
      </w:r>
    </w:p>
  </w:footnote>
  <w:footnote w:type="continuationSeparator" w:id="0">
    <w:p w14:paraId="7E4CA9D4" w14:textId="77777777" w:rsidR="00415F28" w:rsidRDefault="0041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5BA2A16C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0347F3E2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57" w:name="_Hlk133422111"/>
          <w:r>
            <w:rPr>
              <w:noProof/>
            </w:rPr>
            <w:drawing>
              <wp:inline distT="0" distB="0" distL="0" distR="0" wp14:anchorId="5E34F6A9" wp14:editId="30E7942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6471" cy="534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A63D98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39DD5C2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91E54A9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57"/>
  <w:p w14:paraId="091797C3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2B5F14" wp14:editId="7DEB63F8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B18085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003F7D"/>
    <w:multiLevelType w:val="hybridMultilevel"/>
    <w:tmpl w:val="99C816FE"/>
    <w:lvl w:ilvl="0" w:tplc="EE20FFD0"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6BCE4E8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FDC809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168B8A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C8C999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D5E8C2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5F0B6B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F24CE9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CCE0A5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B16071"/>
    <w:multiLevelType w:val="hybridMultilevel"/>
    <w:tmpl w:val="6FCA24D0"/>
    <w:lvl w:ilvl="0" w:tplc="8BDC0C02"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366C10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70CB6C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9E86DD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B2BF8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BC43C2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96E09F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61AFF1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752DE1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46106"/>
    <w:multiLevelType w:val="multilevel"/>
    <w:tmpl w:val="81CE2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74816267">
    <w:abstractNumId w:val="0"/>
  </w:num>
  <w:num w:numId="2" w16cid:durableId="1069113660">
    <w:abstractNumId w:val="3"/>
  </w:num>
  <w:num w:numId="3" w16cid:durableId="82535947">
    <w:abstractNumId w:val="2"/>
  </w:num>
  <w:num w:numId="4" w16cid:durableId="1935285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30"/>
    <w:rsid w:val="00007EF1"/>
    <w:rsid w:val="0001771D"/>
    <w:rsid w:val="000210D4"/>
    <w:rsid w:val="00032C47"/>
    <w:rsid w:val="0004326B"/>
    <w:rsid w:val="00044B67"/>
    <w:rsid w:val="00044B8A"/>
    <w:rsid w:val="00062164"/>
    <w:rsid w:val="000623EA"/>
    <w:rsid w:val="00063016"/>
    <w:rsid w:val="00066795"/>
    <w:rsid w:val="000703E9"/>
    <w:rsid w:val="0007090B"/>
    <w:rsid w:val="00076AF6"/>
    <w:rsid w:val="00076BBC"/>
    <w:rsid w:val="000845A5"/>
    <w:rsid w:val="00085CF2"/>
    <w:rsid w:val="00087366"/>
    <w:rsid w:val="000A347B"/>
    <w:rsid w:val="000B116F"/>
    <w:rsid w:val="000B1705"/>
    <w:rsid w:val="000C5993"/>
    <w:rsid w:val="000D0773"/>
    <w:rsid w:val="000D1292"/>
    <w:rsid w:val="000D75B2"/>
    <w:rsid w:val="000F30AB"/>
    <w:rsid w:val="0010059F"/>
    <w:rsid w:val="00111296"/>
    <w:rsid w:val="001121F5"/>
    <w:rsid w:val="001132C4"/>
    <w:rsid w:val="00123D2B"/>
    <w:rsid w:val="00126079"/>
    <w:rsid w:val="001266B2"/>
    <w:rsid w:val="001309CB"/>
    <w:rsid w:val="00131071"/>
    <w:rsid w:val="001400DC"/>
    <w:rsid w:val="00140CE1"/>
    <w:rsid w:val="00141814"/>
    <w:rsid w:val="00143D0E"/>
    <w:rsid w:val="00145F03"/>
    <w:rsid w:val="0014647E"/>
    <w:rsid w:val="001507F5"/>
    <w:rsid w:val="0016002F"/>
    <w:rsid w:val="001748C7"/>
    <w:rsid w:val="0017539C"/>
    <w:rsid w:val="00175AC2"/>
    <w:rsid w:val="0017609F"/>
    <w:rsid w:val="001819C0"/>
    <w:rsid w:val="001842E8"/>
    <w:rsid w:val="00192299"/>
    <w:rsid w:val="001A47FC"/>
    <w:rsid w:val="001A7D1D"/>
    <w:rsid w:val="001B51DD"/>
    <w:rsid w:val="001C628E"/>
    <w:rsid w:val="001C7836"/>
    <w:rsid w:val="001D7689"/>
    <w:rsid w:val="001E0F7B"/>
    <w:rsid w:val="001E2D41"/>
    <w:rsid w:val="001E7110"/>
    <w:rsid w:val="001F7E37"/>
    <w:rsid w:val="00207075"/>
    <w:rsid w:val="002119FD"/>
    <w:rsid w:val="002130E0"/>
    <w:rsid w:val="002140B5"/>
    <w:rsid w:val="00216CAB"/>
    <w:rsid w:val="00232160"/>
    <w:rsid w:val="002522E6"/>
    <w:rsid w:val="00254744"/>
    <w:rsid w:val="00260ADB"/>
    <w:rsid w:val="00264425"/>
    <w:rsid w:val="00265875"/>
    <w:rsid w:val="0027303B"/>
    <w:rsid w:val="00277F80"/>
    <w:rsid w:val="0028109B"/>
    <w:rsid w:val="002815D1"/>
    <w:rsid w:val="00282000"/>
    <w:rsid w:val="002845D3"/>
    <w:rsid w:val="002A2188"/>
    <w:rsid w:val="002A2595"/>
    <w:rsid w:val="002A6FAE"/>
    <w:rsid w:val="002B1A05"/>
    <w:rsid w:val="002B1F58"/>
    <w:rsid w:val="002B5158"/>
    <w:rsid w:val="002B5652"/>
    <w:rsid w:val="002C1C7A"/>
    <w:rsid w:val="002C54E2"/>
    <w:rsid w:val="002C5D3F"/>
    <w:rsid w:val="00300736"/>
    <w:rsid w:val="003011DF"/>
    <w:rsid w:val="00301322"/>
    <w:rsid w:val="0030160F"/>
    <w:rsid w:val="00306221"/>
    <w:rsid w:val="00314B21"/>
    <w:rsid w:val="00320223"/>
    <w:rsid w:val="00322D0D"/>
    <w:rsid w:val="0032652E"/>
    <w:rsid w:val="00344F3F"/>
    <w:rsid w:val="00345142"/>
    <w:rsid w:val="00347C48"/>
    <w:rsid w:val="00361465"/>
    <w:rsid w:val="00366717"/>
    <w:rsid w:val="00371A10"/>
    <w:rsid w:val="00376727"/>
    <w:rsid w:val="00386AF7"/>
    <w:rsid w:val="003877F5"/>
    <w:rsid w:val="003942D4"/>
    <w:rsid w:val="003958A8"/>
    <w:rsid w:val="003A120D"/>
    <w:rsid w:val="003B462A"/>
    <w:rsid w:val="003C1427"/>
    <w:rsid w:val="003C2533"/>
    <w:rsid w:val="003D5A43"/>
    <w:rsid w:val="003D5A7F"/>
    <w:rsid w:val="003F0A26"/>
    <w:rsid w:val="003F7AFD"/>
    <w:rsid w:val="0040435A"/>
    <w:rsid w:val="00415F28"/>
    <w:rsid w:val="00416A24"/>
    <w:rsid w:val="00427B37"/>
    <w:rsid w:val="0043062D"/>
    <w:rsid w:val="00431D9E"/>
    <w:rsid w:val="00433AFB"/>
    <w:rsid w:val="00433CE8"/>
    <w:rsid w:val="00434A5C"/>
    <w:rsid w:val="004354D4"/>
    <w:rsid w:val="0043615E"/>
    <w:rsid w:val="0045138F"/>
    <w:rsid w:val="004544D9"/>
    <w:rsid w:val="00454805"/>
    <w:rsid w:val="00462CCB"/>
    <w:rsid w:val="00472BAD"/>
    <w:rsid w:val="00484009"/>
    <w:rsid w:val="00486E58"/>
    <w:rsid w:val="00490E72"/>
    <w:rsid w:val="00491157"/>
    <w:rsid w:val="004921C8"/>
    <w:rsid w:val="00495B0B"/>
    <w:rsid w:val="004A1B8B"/>
    <w:rsid w:val="004C17B4"/>
    <w:rsid w:val="004C74EC"/>
    <w:rsid w:val="004D1851"/>
    <w:rsid w:val="004D599D"/>
    <w:rsid w:val="004E020D"/>
    <w:rsid w:val="004E2EA5"/>
    <w:rsid w:val="004E3AEB"/>
    <w:rsid w:val="0050223C"/>
    <w:rsid w:val="00512F56"/>
    <w:rsid w:val="005243FF"/>
    <w:rsid w:val="00525222"/>
    <w:rsid w:val="0052761C"/>
    <w:rsid w:val="005363CC"/>
    <w:rsid w:val="005520BE"/>
    <w:rsid w:val="005624C9"/>
    <w:rsid w:val="00564FBC"/>
    <w:rsid w:val="0057220D"/>
    <w:rsid w:val="00576497"/>
    <w:rsid w:val="005800BC"/>
    <w:rsid w:val="00582442"/>
    <w:rsid w:val="0059108E"/>
    <w:rsid w:val="00596646"/>
    <w:rsid w:val="005A5B14"/>
    <w:rsid w:val="005B2729"/>
    <w:rsid w:val="005D0D52"/>
    <w:rsid w:val="005D48E7"/>
    <w:rsid w:val="005D4966"/>
    <w:rsid w:val="005D551D"/>
    <w:rsid w:val="005E58AB"/>
    <w:rsid w:val="005E77E3"/>
    <w:rsid w:val="005F2E45"/>
    <w:rsid w:val="005F3269"/>
    <w:rsid w:val="00606210"/>
    <w:rsid w:val="00612788"/>
    <w:rsid w:val="00623AE3"/>
    <w:rsid w:val="00643E3D"/>
    <w:rsid w:val="0064737F"/>
    <w:rsid w:val="006535F1"/>
    <w:rsid w:val="0065557D"/>
    <w:rsid w:val="00657814"/>
    <w:rsid w:val="00660D50"/>
    <w:rsid w:val="00661D0D"/>
    <w:rsid w:val="00662984"/>
    <w:rsid w:val="00665527"/>
    <w:rsid w:val="006716BB"/>
    <w:rsid w:val="00687DB1"/>
    <w:rsid w:val="006A4411"/>
    <w:rsid w:val="006A458A"/>
    <w:rsid w:val="006A57FE"/>
    <w:rsid w:val="006B1859"/>
    <w:rsid w:val="006B6680"/>
    <w:rsid w:val="006B6DCC"/>
    <w:rsid w:val="006B75F0"/>
    <w:rsid w:val="006C73A4"/>
    <w:rsid w:val="006D407D"/>
    <w:rsid w:val="00702DEF"/>
    <w:rsid w:val="00706861"/>
    <w:rsid w:val="00711203"/>
    <w:rsid w:val="0072093E"/>
    <w:rsid w:val="00737372"/>
    <w:rsid w:val="00740B9A"/>
    <w:rsid w:val="007418FF"/>
    <w:rsid w:val="00745958"/>
    <w:rsid w:val="0075051B"/>
    <w:rsid w:val="00752A49"/>
    <w:rsid w:val="0075776B"/>
    <w:rsid w:val="00774C6D"/>
    <w:rsid w:val="007778D3"/>
    <w:rsid w:val="0078158E"/>
    <w:rsid w:val="0078170C"/>
    <w:rsid w:val="00793188"/>
    <w:rsid w:val="00794A60"/>
    <w:rsid w:val="00794D34"/>
    <w:rsid w:val="007970C5"/>
    <w:rsid w:val="007A60BF"/>
    <w:rsid w:val="007C3B28"/>
    <w:rsid w:val="007D3AEB"/>
    <w:rsid w:val="007E720C"/>
    <w:rsid w:val="007F7AE9"/>
    <w:rsid w:val="00802EA4"/>
    <w:rsid w:val="00811EDF"/>
    <w:rsid w:val="00813E5E"/>
    <w:rsid w:val="008160D4"/>
    <w:rsid w:val="008200B7"/>
    <w:rsid w:val="0083581B"/>
    <w:rsid w:val="00837BDE"/>
    <w:rsid w:val="00854E96"/>
    <w:rsid w:val="00862EE8"/>
    <w:rsid w:val="00863874"/>
    <w:rsid w:val="00864682"/>
    <w:rsid w:val="00864AFF"/>
    <w:rsid w:val="00865925"/>
    <w:rsid w:val="00894089"/>
    <w:rsid w:val="008A20BE"/>
    <w:rsid w:val="008B4A6A"/>
    <w:rsid w:val="008B5756"/>
    <w:rsid w:val="008B6551"/>
    <w:rsid w:val="008C7E27"/>
    <w:rsid w:val="008D008B"/>
    <w:rsid w:val="008D277E"/>
    <w:rsid w:val="008D76A9"/>
    <w:rsid w:val="008E4391"/>
    <w:rsid w:val="008E75D6"/>
    <w:rsid w:val="008F6751"/>
    <w:rsid w:val="008F71F1"/>
    <w:rsid w:val="008F7448"/>
    <w:rsid w:val="0090147A"/>
    <w:rsid w:val="00905CF9"/>
    <w:rsid w:val="0091155E"/>
    <w:rsid w:val="009173EF"/>
    <w:rsid w:val="00932906"/>
    <w:rsid w:val="00952503"/>
    <w:rsid w:val="00961B0B"/>
    <w:rsid w:val="00962D33"/>
    <w:rsid w:val="009734CC"/>
    <w:rsid w:val="00974E8A"/>
    <w:rsid w:val="00980D12"/>
    <w:rsid w:val="0098447A"/>
    <w:rsid w:val="00987930"/>
    <w:rsid w:val="009A510A"/>
    <w:rsid w:val="009B38C3"/>
    <w:rsid w:val="009D1B99"/>
    <w:rsid w:val="009E17BD"/>
    <w:rsid w:val="009E485A"/>
    <w:rsid w:val="009E7E0C"/>
    <w:rsid w:val="00A04CEC"/>
    <w:rsid w:val="00A05EB2"/>
    <w:rsid w:val="00A27F92"/>
    <w:rsid w:val="00A32257"/>
    <w:rsid w:val="00A35589"/>
    <w:rsid w:val="00A3590E"/>
    <w:rsid w:val="00A36D20"/>
    <w:rsid w:val="00A514A4"/>
    <w:rsid w:val="00A54354"/>
    <w:rsid w:val="00A55622"/>
    <w:rsid w:val="00A56E9F"/>
    <w:rsid w:val="00A83502"/>
    <w:rsid w:val="00AA09FD"/>
    <w:rsid w:val="00AA2D00"/>
    <w:rsid w:val="00AB0DE6"/>
    <w:rsid w:val="00AB36A8"/>
    <w:rsid w:val="00AB4050"/>
    <w:rsid w:val="00AB4216"/>
    <w:rsid w:val="00AC275B"/>
    <w:rsid w:val="00AD15B3"/>
    <w:rsid w:val="00AD19A0"/>
    <w:rsid w:val="00AD3606"/>
    <w:rsid w:val="00AD4A3D"/>
    <w:rsid w:val="00AD7596"/>
    <w:rsid w:val="00AE24E0"/>
    <w:rsid w:val="00AF5930"/>
    <w:rsid w:val="00AF6E49"/>
    <w:rsid w:val="00B04A67"/>
    <w:rsid w:val="00B0583C"/>
    <w:rsid w:val="00B21D9C"/>
    <w:rsid w:val="00B251E7"/>
    <w:rsid w:val="00B40A81"/>
    <w:rsid w:val="00B43C06"/>
    <w:rsid w:val="00B44910"/>
    <w:rsid w:val="00B72267"/>
    <w:rsid w:val="00B7416B"/>
    <w:rsid w:val="00B75FD9"/>
    <w:rsid w:val="00B76EB6"/>
    <w:rsid w:val="00B7737B"/>
    <w:rsid w:val="00B80388"/>
    <w:rsid w:val="00B824C8"/>
    <w:rsid w:val="00B84B9D"/>
    <w:rsid w:val="00BA1914"/>
    <w:rsid w:val="00BB6AEC"/>
    <w:rsid w:val="00BC251A"/>
    <w:rsid w:val="00BD032B"/>
    <w:rsid w:val="00BD16DD"/>
    <w:rsid w:val="00BD56CA"/>
    <w:rsid w:val="00BE0986"/>
    <w:rsid w:val="00BE2640"/>
    <w:rsid w:val="00C01189"/>
    <w:rsid w:val="00C0628B"/>
    <w:rsid w:val="00C10487"/>
    <w:rsid w:val="00C2395D"/>
    <w:rsid w:val="00C374DE"/>
    <w:rsid w:val="00C47AD4"/>
    <w:rsid w:val="00C52D81"/>
    <w:rsid w:val="00C55198"/>
    <w:rsid w:val="00C56765"/>
    <w:rsid w:val="00C73F3A"/>
    <w:rsid w:val="00C86182"/>
    <w:rsid w:val="00C92E73"/>
    <w:rsid w:val="00CA047D"/>
    <w:rsid w:val="00CA54B1"/>
    <w:rsid w:val="00CA6393"/>
    <w:rsid w:val="00CB18FF"/>
    <w:rsid w:val="00CC59CD"/>
    <w:rsid w:val="00CD0C08"/>
    <w:rsid w:val="00CD3EEF"/>
    <w:rsid w:val="00CE03FB"/>
    <w:rsid w:val="00CE433C"/>
    <w:rsid w:val="00CE5413"/>
    <w:rsid w:val="00CF0161"/>
    <w:rsid w:val="00CF33F3"/>
    <w:rsid w:val="00CF7214"/>
    <w:rsid w:val="00D06183"/>
    <w:rsid w:val="00D06B20"/>
    <w:rsid w:val="00D163F6"/>
    <w:rsid w:val="00D22C42"/>
    <w:rsid w:val="00D30072"/>
    <w:rsid w:val="00D65041"/>
    <w:rsid w:val="00D836DC"/>
    <w:rsid w:val="00D8670D"/>
    <w:rsid w:val="00D906D6"/>
    <w:rsid w:val="00D911D8"/>
    <w:rsid w:val="00D92D4C"/>
    <w:rsid w:val="00DB1936"/>
    <w:rsid w:val="00DB384B"/>
    <w:rsid w:val="00DB7D33"/>
    <w:rsid w:val="00DD6066"/>
    <w:rsid w:val="00DF0189"/>
    <w:rsid w:val="00E01211"/>
    <w:rsid w:val="00E05C89"/>
    <w:rsid w:val="00E06FD5"/>
    <w:rsid w:val="00E10E80"/>
    <w:rsid w:val="00E124F0"/>
    <w:rsid w:val="00E125D6"/>
    <w:rsid w:val="00E13677"/>
    <w:rsid w:val="00E227F3"/>
    <w:rsid w:val="00E312BA"/>
    <w:rsid w:val="00E324CE"/>
    <w:rsid w:val="00E500CC"/>
    <w:rsid w:val="00E545C6"/>
    <w:rsid w:val="00E56CDD"/>
    <w:rsid w:val="00E60F04"/>
    <w:rsid w:val="00E65B24"/>
    <w:rsid w:val="00E739F4"/>
    <w:rsid w:val="00E83288"/>
    <w:rsid w:val="00E854E4"/>
    <w:rsid w:val="00E86A35"/>
    <w:rsid w:val="00E86DBF"/>
    <w:rsid w:val="00E9017F"/>
    <w:rsid w:val="00E960F5"/>
    <w:rsid w:val="00EA39F6"/>
    <w:rsid w:val="00EA6CCF"/>
    <w:rsid w:val="00EB0D6F"/>
    <w:rsid w:val="00EB2232"/>
    <w:rsid w:val="00EC1B0A"/>
    <w:rsid w:val="00EC5337"/>
    <w:rsid w:val="00ED2E25"/>
    <w:rsid w:val="00ED6227"/>
    <w:rsid w:val="00ED6EC6"/>
    <w:rsid w:val="00EE49E8"/>
    <w:rsid w:val="00EE787A"/>
    <w:rsid w:val="00EF1A38"/>
    <w:rsid w:val="00F03C64"/>
    <w:rsid w:val="00F10B19"/>
    <w:rsid w:val="00F16BAB"/>
    <w:rsid w:val="00F2150A"/>
    <w:rsid w:val="00F231D8"/>
    <w:rsid w:val="00F23CCA"/>
    <w:rsid w:val="00F32F85"/>
    <w:rsid w:val="00F36886"/>
    <w:rsid w:val="00F44C00"/>
    <w:rsid w:val="00F4561A"/>
    <w:rsid w:val="00F45D2C"/>
    <w:rsid w:val="00F46C5F"/>
    <w:rsid w:val="00F53943"/>
    <w:rsid w:val="00F54332"/>
    <w:rsid w:val="00F632C0"/>
    <w:rsid w:val="00F63AA7"/>
    <w:rsid w:val="00F65AF7"/>
    <w:rsid w:val="00F70830"/>
    <w:rsid w:val="00F859C3"/>
    <w:rsid w:val="00F94A63"/>
    <w:rsid w:val="00F94FA1"/>
    <w:rsid w:val="00F9505B"/>
    <w:rsid w:val="00FA1C28"/>
    <w:rsid w:val="00FB1279"/>
    <w:rsid w:val="00FB137C"/>
    <w:rsid w:val="00FB42B9"/>
    <w:rsid w:val="00FB6B76"/>
    <w:rsid w:val="00FB7596"/>
    <w:rsid w:val="00FC30A6"/>
    <w:rsid w:val="00FC7107"/>
    <w:rsid w:val="00FC7E32"/>
    <w:rsid w:val="00FE010F"/>
    <w:rsid w:val="00FE0FAC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A63BAA"/>
  <w15:docId w15:val="{0FC7CDD8-4422-4FC4-AF17-DE6D6C3B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ListParagraph">
    <w:name w:val="List Paragraph"/>
    <w:basedOn w:val="Normal"/>
    <w:uiPriority w:val="34"/>
    <w:qFormat/>
    <w:rsid w:val="004306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sz w:val="22"/>
    </w:rPr>
  </w:style>
  <w:style w:type="character" w:styleId="CommentReference">
    <w:name w:val="annotation reference"/>
    <w:basedOn w:val="DefaultParagraphFont"/>
    <w:semiHidden/>
    <w:unhideWhenUsed/>
    <w:rsid w:val="0034514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451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45142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5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5142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3-CL-INF-0011/en" TargetMode="External"/><Relationship Id="rId18" Type="http://schemas.openxmlformats.org/officeDocument/2006/relationships/hyperlink" Target="https://www.itu.int/md/S23-CL-C-0053/en" TargetMode="External"/><Relationship Id="rId26" Type="http://schemas.openxmlformats.org/officeDocument/2006/relationships/hyperlink" Target="https://www.itu.int/md/S23-CL-C-0052/en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itu.int/md/S23-CL-INF-0013/en" TargetMode="External"/><Relationship Id="rId34" Type="http://schemas.openxmlformats.org/officeDocument/2006/relationships/hyperlink" Target="https://www.itu.int/md/S23-CL-C-0036/en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3-CL-C-0050/en" TargetMode="External"/><Relationship Id="rId20" Type="http://schemas.openxmlformats.org/officeDocument/2006/relationships/hyperlink" Target="https://www.itu.int/md/S23-CL-INF-0011/en" TargetMode="External"/><Relationship Id="rId29" Type="http://schemas.openxmlformats.org/officeDocument/2006/relationships/hyperlink" Target="https://www.itu.int/md/S23-CL-C-0036/e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C-0053/en" TargetMode="External"/><Relationship Id="rId24" Type="http://schemas.openxmlformats.org/officeDocument/2006/relationships/hyperlink" Target="https://www.itu.int/md/S23-CL-C-0052/en" TargetMode="External"/><Relationship Id="rId32" Type="http://schemas.openxmlformats.org/officeDocument/2006/relationships/hyperlink" Target="https://www.itu.int/md/S23-CL-C-0052/en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3-CL-C-0036/en" TargetMode="External"/><Relationship Id="rId23" Type="http://schemas.openxmlformats.org/officeDocument/2006/relationships/hyperlink" Target="https://www.itu.int/md/S23-CL-C-0036/en" TargetMode="External"/><Relationship Id="rId28" Type="http://schemas.openxmlformats.org/officeDocument/2006/relationships/hyperlink" Target="https://www.itu.int/md/S23-CL-C-0052/en" TargetMode="External"/><Relationship Id="rId36" Type="http://schemas.openxmlformats.org/officeDocument/2006/relationships/hyperlink" Target="https://www.itu.int/md/S23-CL-C-0007/en" TargetMode="External"/><Relationship Id="rId10" Type="http://schemas.openxmlformats.org/officeDocument/2006/relationships/hyperlink" Target="https://www.itu.int/md/S23-CL-C-0052/en" TargetMode="External"/><Relationship Id="rId19" Type="http://schemas.openxmlformats.org/officeDocument/2006/relationships/hyperlink" Target="https://www.itu.int/md/S23-CL-C-0062/en" TargetMode="External"/><Relationship Id="rId31" Type="http://schemas.openxmlformats.org/officeDocument/2006/relationships/hyperlink" Target="https://www.itu.int/md/S23-CL-C-005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C-0050/en" TargetMode="External"/><Relationship Id="rId14" Type="http://schemas.openxmlformats.org/officeDocument/2006/relationships/hyperlink" Target="https://www.itu.int/md/S23-CL-INF-0013/en" TargetMode="External"/><Relationship Id="rId22" Type="http://schemas.openxmlformats.org/officeDocument/2006/relationships/hyperlink" Target="https://www.itu.int/md/S23-CL-C-0052/en" TargetMode="External"/><Relationship Id="rId27" Type="http://schemas.openxmlformats.org/officeDocument/2006/relationships/hyperlink" Target="https://www.itu.int/md/S23-CL-C-0036/en" TargetMode="External"/><Relationship Id="rId30" Type="http://schemas.openxmlformats.org/officeDocument/2006/relationships/hyperlink" Target="https://www.itu.int/md/S23-CL-C-0036/en" TargetMode="External"/><Relationship Id="rId35" Type="http://schemas.openxmlformats.org/officeDocument/2006/relationships/hyperlink" Target="https://www.itu.int/md/S23-CL-C-0036/en" TargetMode="External"/><Relationship Id="rId8" Type="http://schemas.openxmlformats.org/officeDocument/2006/relationships/hyperlink" Target="https://www.itu.int/md/S23-CL-C-0036/e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S23-CL-C-0062/en" TargetMode="External"/><Relationship Id="rId17" Type="http://schemas.openxmlformats.org/officeDocument/2006/relationships/hyperlink" Target="https://www.itu.int/md/S23-CL-C-0052/en" TargetMode="External"/><Relationship Id="rId25" Type="http://schemas.openxmlformats.org/officeDocument/2006/relationships/hyperlink" Target="https://www.itu.int/md/S21-CL-C-0070/en" TargetMode="External"/><Relationship Id="rId33" Type="http://schemas.openxmlformats.org/officeDocument/2006/relationships/hyperlink" Target="https://www.itu.int/md/S23-CL-C-0007/en" TargetMode="External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GS\PE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PE_Council23.dotx</Template>
  <TotalTime>3</TotalTime>
  <Pages>5</Pages>
  <Words>2077</Words>
  <Characters>11633</Characters>
  <Application>Microsoft Office Word</Application>
  <DocSecurity>0</DocSecurity>
  <Lines>184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C2022, C22, Council-22</vt:lpstr>
    </vt:vector>
  </TitlesOfParts>
  <Manager>General Secretariat - Pool</Manager>
  <Company>International Telecommunication Union (ITU)</Company>
  <LinksUpToDate>false</LinksUpToDate>
  <CharactersWithSpaces>13662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 - Comments on the Secretary-General's reports to the Council in documents C23/36, C23/52, C23/53, and C23/62</dc:title>
  <dc:subject>Council 2022</dc:subject>
  <dc:creator>English71</dc:creator>
  <cp:keywords>C2023, C23, Council-23</cp:keywords>
  <dc:description/>
  <cp:lastModifiedBy>Xue, Kun</cp:lastModifiedBy>
  <cp:revision>5</cp:revision>
  <cp:lastPrinted>2000-07-18T13:30:00Z</cp:lastPrinted>
  <dcterms:created xsi:type="dcterms:W3CDTF">2023-07-10T12:26:00Z</dcterms:created>
  <dcterms:modified xsi:type="dcterms:W3CDTF">2023-07-10T12:29:00Z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