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5D1328C3" w14:textId="77777777" w:rsidTr="00F363FE">
        <w:tc>
          <w:tcPr>
            <w:tcW w:w="6512" w:type="dxa"/>
          </w:tcPr>
          <w:p w14:paraId="32B8F353" w14:textId="6FF9C76D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2850D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850DB">
              <w:rPr>
                <w:b/>
                <w:bCs/>
                <w:lang w:bidi="ar-EG"/>
              </w:rPr>
              <w:t>ADM 3</w:t>
            </w:r>
          </w:p>
        </w:tc>
        <w:tc>
          <w:tcPr>
            <w:tcW w:w="3117" w:type="dxa"/>
          </w:tcPr>
          <w:p w14:paraId="7C5B7E8F" w14:textId="738969EC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2850DB">
              <w:rPr>
                <w:b/>
                <w:bCs/>
                <w:lang w:bidi="ar-EG"/>
              </w:rPr>
              <w:t>95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7167836E" w14:textId="77777777" w:rsidTr="00F363FE">
        <w:tc>
          <w:tcPr>
            <w:tcW w:w="6512" w:type="dxa"/>
          </w:tcPr>
          <w:p w14:paraId="430FA19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9B64AFC" w14:textId="60DB85E9" w:rsidR="007B0AA0" w:rsidRPr="007B0AA0" w:rsidRDefault="002850DB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27 يونيو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3D69FB7C" w14:textId="77777777" w:rsidTr="00F363FE">
        <w:tc>
          <w:tcPr>
            <w:tcW w:w="6512" w:type="dxa"/>
          </w:tcPr>
          <w:p w14:paraId="2B2A03A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5DAFEB4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5F3E7141" w14:textId="77777777" w:rsidTr="00F363FE">
        <w:tc>
          <w:tcPr>
            <w:tcW w:w="6512" w:type="dxa"/>
          </w:tcPr>
          <w:p w14:paraId="25E1917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995B49B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DA0E2C4" w14:textId="77777777" w:rsidTr="00EE7446">
        <w:tc>
          <w:tcPr>
            <w:tcW w:w="9629" w:type="dxa"/>
            <w:gridSpan w:val="2"/>
          </w:tcPr>
          <w:p w14:paraId="798BA75F" w14:textId="11ABE0BA" w:rsidR="007B0AA0" w:rsidRDefault="002850DB" w:rsidP="002850DB">
            <w:pPr>
              <w:pStyle w:val="Source"/>
              <w:jc w:val="left"/>
              <w:rPr>
                <w:rtl/>
                <w:lang w:bidi="ar-EG"/>
              </w:rPr>
            </w:pPr>
            <w:r w:rsidRPr="00A12BCA">
              <w:rPr>
                <w:rFonts w:hint="cs"/>
                <w:spacing w:val="-4"/>
                <w:rtl/>
                <w:lang w:bidi="ar-EG"/>
              </w:rPr>
              <w:t xml:space="preserve">مساهمة من </w:t>
            </w:r>
            <w:r w:rsidRPr="00A12BCA">
              <w:rPr>
                <w:spacing w:val="-4"/>
                <w:rtl/>
              </w:rPr>
              <w:t>الجمهورية الجزائرية الديمقراطية الشعبية</w:t>
            </w:r>
            <w:r w:rsidRPr="00A12BCA">
              <w:rPr>
                <w:rFonts w:hint="cs"/>
                <w:spacing w:val="-4"/>
                <w:rtl/>
              </w:rPr>
              <w:t xml:space="preserve"> والمملكة العربية السعودية</w:t>
            </w:r>
            <w:r>
              <w:rPr>
                <w:rFonts w:hint="cs"/>
                <w:rtl/>
              </w:rPr>
              <w:t xml:space="preserve"> </w:t>
            </w:r>
            <w:r w:rsidRPr="007549C2">
              <w:rPr>
                <w:rFonts w:hint="cs"/>
                <w:spacing w:val="-2"/>
                <w:rtl/>
              </w:rPr>
              <w:t xml:space="preserve">ومملكة البحرين وجمهورية مصر العربية والإمارات العربية المتحدة ودولة الكويت </w:t>
            </w:r>
            <w:r w:rsidR="005F7F44">
              <w:rPr>
                <w:rFonts w:hint="cs"/>
                <w:spacing w:val="-2"/>
                <w:rtl/>
              </w:rPr>
              <w:t>والمملكة المغربية</w:t>
            </w:r>
            <w:r w:rsidRPr="007549C2">
              <w:rPr>
                <w:rFonts w:hint="cs"/>
                <w:spacing w:val="-2"/>
                <w:rtl/>
              </w:rPr>
              <w:t xml:space="preserve"> وجمهورية جنوب إفريقيا وتونس</w:t>
            </w:r>
          </w:p>
        </w:tc>
      </w:tr>
      <w:tr w:rsidR="007B0AA0" w14:paraId="4AA129B8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02871C4" w14:textId="100D7929" w:rsidR="007B0AA0" w:rsidRDefault="00413A82" w:rsidP="007B0AA0">
            <w:pPr>
              <w:pStyle w:val="Subtitle0"/>
            </w:pPr>
            <w:r>
              <w:rPr>
                <w:rFonts w:hint="cs"/>
                <w:rtl/>
              </w:rPr>
              <w:t xml:space="preserve">مقترحات بشأن </w:t>
            </w:r>
            <w:r w:rsidRPr="00413A82">
              <w:rPr>
                <w:rtl/>
              </w:rPr>
              <w:t>مشروع مبنى مقر الاتحاد</w:t>
            </w:r>
          </w:p>
        </w:tc>
      </w:tr>
      <w:tr w:rsidR="007B0AA0" w14:paraId="24A07424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CA568E" w14:textId="6FEDC307" w:rsidR="007B0AA0" w:rsidRPr="008D1425" w:rsidRDefault="007B0AA0" w:rsidP="007B0AA0">
            <w:pPr>
              <w:rPr>
                <w:b/>
                <w:bCs/>
                <w:sz w:val="24"/>
                <w:szCs w:val="24"/>
                <w:rtl/>
              </w:rPr>
            </w:pPr>
            <w:r w:rsidRPr="008D1425">
              <w:rPr>
                <w:rFonts w:hint="cs"/>
                <w:b/>
                <w:bCs/>
                <w:sz w:val="24"/>
                <w:szCs w:val="24"/>
                <w:rtl/>
              </w:rPr>
              <w:t xml:space="preserve">الغرض </w:t>
            </w:r>
          </w:p>
          <w:p w14:paraId="24674FD8" w14:textId="7E89AC23" w:rsidR="007B0AA0" w:rsidRDefault="00413A82" w:rsidP="002850DB">
            <w:pPr>
              <w:rPr>
                <w:rtl/>
              </w:rPr>
            </w:pPr>
            <w:r w:rsidRPr="00413A82">
              <w:rPr>
                <w:rtl/>
              </w:rPr>
              <w:t xml:space="preserve">تناقش هذه المساهمة التطورات الأخيرة المتعلقة بمشروع </w:t>
            </w:r>
            <w:r>
              <w:rPr>
                <w:rFonts w:hint="cs"/>
                <w:rtl/>
              </w:rPr>
              <w:t xml:space="preserve">مبنى </w:t>
            </w:r>
            <w:r w:rsidRPr="00413A82">
              <w:rPr>
                <w:rtl/>
              </w:rPr>
              <w:t xml:space="preserve">مقر الاتحاد مع </w:t>
            </w:r>
            <w:r>
              <w:rPr>
                <w:rFonts w:hint="cs"/>
                <w:rtl/>
              </w:rPr>
              <w:t>إلقاء بعض الضوء</w:t>
            </w:r>
            <w:r w:rsidRPr="00413A82">
              <w:rPr>
                <w:rtl/>
              </w:rPr>
              <w:t xml:space="preserve"> على الأنشطة السابقة ذات الصلة التي بدأت منذ عام 2007 والتي يمكن أن تثري المناقشة </w:t>
            </w:r>
            <w:r>
              <w:rPr>
                <w:rFonts w:hint="cs"/>
                <w:rtl/>
              </w:rPr>
              <w:t>بشأن</w:t>
            </w:r>
            <w:r w:rsidRPr="00413A82">
              <w:rPr>
                <w:rtl/>
              </w:rPr>
              <w:t xml:space="preserve"> هذه المسألة واتخاذ قرارات م</w:t>
            </w:r>
            <w:r>
              <w:rPr>
                <w:rFonts w:hint="cs"/>
                <w:rtl/>
              </w:rPr>
              <w:t>ستنيرة</w:t>
            </w:r>
            <w:r w:rsidRPr="00413A82">
              <w:rPr>
                <w:rtl/>
              </w:rPr>
              <w:t xml:space="preserve"> وحكيمة. </w:t>
            </w:r>
            <w:r>
              <w:rPr>
                <w:rFonts w:hint="cs"/>
                <w:rtl/>
              </w:rPr>
              <w:t>و</w:t>
            </w:r>
            <w:r w:rsidRPr="00413A82">
              <w:rPr>
                <w:rtl/>
              </w:rPr>
              <w:t xml:space="preserve">في هذا الصدد، نقترح إجراءات يمكن أن تساعد في </w:t>
            </w:r>
            <w:r>
              <w:rPr>
                <w:rFonts w:hint="cs"/>
                <w:rtl/>
              </w:rPr>
              <w:t>تذليل المصاعب</w:t>
            </w:r>
            <w:r w:rsidRPr="00413A82">
              <w:rPr>
                <w:rtl/>
              </w:rPr>
              <w:t xml:space="preserve"> ومساعدة الاتحاد على المضي قدما</w:t>
            </w:r>
            <w:r>
              <w:rPr>
                <w:rFonts w:hint="cs"/>
                <w:rtl/>
              </w:rPr>
              <w:t>ً</w:t>
            </w:r>
            <w:r w:rsidRPr="00413A82">
              <w:rPr>
                <w:rtl/>
              </w:rPr>
              <w:t xml:space="preserve"> في الخيارات الأكثر</w:t>
            </w:r>
            <w:r w:rsidR="009E29AA">
              <w:rPr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ملاءمة</w:t>
            </w:r>
            <w:r w:rsidRPr="00413A82">
              <w:rPr>
                <w:rtl/>
              </w:rPr>
              <w:t>.</w:t>
            </w:r>
          </w:p>
          <w:p w14:paraId="2A6EC52C" w14:textId="77777777" w:rsidR="007B0AA0" w:rsidRPr="008D1425" w:rsidRDefault="007B0AA0" w:rsidP="007B0AA0">
            <w:pPr>
              <w:rPr>
                <w:b/>
                <w:bCs/>
                <w:sz w:val="24"/>
                <w:szCs w:val="24"/>
                <w:rtl/>
              </w:rPr>
            </w:pPr>
            <w:r w:rsidRPr="008D1425">
              <w:rPr>
                <w:rFonts w:hint="cs"/>
                <w:b/>
                <w:bCs/>
                <w:sz w:val="24"/>
                <w:szCs w:val="24"/>
                <w:rtl/>
              </w:rPr>
              <w:t>الإجراء المطلوب من المجلس</w:t>
            </w:r>
          </w:p>
          <w:p w14:paraId="768EE932" w14:textId="20FF7CA4" w:rsidR="007B0AA0" w:rsidRDefault="001244E3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يُدعى </w:t>
            </w:r>
            <w:r w:rsidRPr="001244E3">
              <w:rPr>
                <w:rtl/>
              </w:rPr>
              <w:t xml:space="preserve">المجلس </w:t>
            </w:r>
            <w:r>
              <w:rPr>
                <w:rFonts w:hint="cs"/>
                <w:rtl/>
              </w:rPr>
              <w:t xml:space="preserve">إلى </w:t>
            </w:r>
            <w:r w:rsidRPr="001244E3">
              <w:rPr>
                <w:rFonts w:hint="cs"/>
                <w:b/>
                <w:bCs/>
                <w:rtl/>
              </w:rPr>
              <w:t>النظر</w:t>
            </w:r>
            <w:r w:rsidRPr="001244E3">
              <w:rPr>
                <w:rtl/>
              </w:rPr>
              <w:t xml:space="preserve"> في هذه المساهمة و</w:t>
            </w:r>
            <w:r w:rsidRPr="001244E3">
              <w:rPr>
                <w:b/>
                <w:bCs/>
                <w:rtl/>
              </w:rPr>
              <w:t xml:space="preserve">اتخاذ الإجراءات اللازمة </w:t>
            </w:r>
            <w:r w:rsidRPr="001244E3">
              <w:rPr>
                <w:rtl/>
              </w:rPr>
              <w:t>وفقا</w:t>
            </w:r>
            <w:r>
              <w:rPr>
                <w:rFonts w:hint="cs"/>
                <w:rtl/>
              </w:rPr>
              <w:t>ً</w:t>
            </w:r>
            <w:r w:rsidRPr="001244E3">
              <w:rPr>
                <w:rtl/>
              </w:rPr>
              <w:t xml:space="preserve"> لذلك.</w:t>
            </w:r>
          </w:p>
          <w:p w14:paraId="6BA12457" w14:textId="77777777" w:rsidR="007B0AA0" w:rsidRPr="009E29AA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E29AA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1FFC0A07" w14:textId="77777777" w:rsidR="007B0AA0" w:rsidRPr="008D1425" w:rsidRDefault="007B0AA0" w:rsidP="007B0AA0">
            <w:pPr>
              <w:rPr>
                <w:b/>
                <w:bCs/>
                <w:sz w:val="24"/>
                <w:szCs w:val="24"/>
                <w:rtl/>
              </w:rPr>
            </w:pPr>
            <w:r w:rsidRPr="008D1425">
              <w:rPr>
                <w:rFonts w:hint="cs"/>
                <w:b/>
                <w:bCs/>
                <w:sz w:val="24"/>
                <w:szCs w:val="24"/>
                <w:rtl/>
              </w:rPr>
              <w:t>المراجع</w:t>
            </w:r>
          </w:p>
          <w:p w14:paraId="23198217" w14:textId="4D31444F" w:rsidR="007B0AA0" w:rsidRPr="002850DB" w:rsidRDefault="00000000" w:rsidP="005F7F44">
            <w:pPr>
              <w:spacing w:after="120"/>
              <w:rPr>
                <w:spacing w:val="-4"/>
                <w:rtl/>
              </w:rPr>
            </w:pPr>
            <w:hyperlink r:id="rId8" w:history="1">
              <w:r w:rsidR="002850DB" w:rsidRPr="00706316">
                <w:rPr>
                  <w:rStyle w:val="Hyperlink"/>
                  <w:rFonts w:hint="cs"/>
                  <w:spacing w:val="-6"/>
                  <w:rtl/>
                </w:rPr>
                <w:t>القرار 212</w:t>
              </w:r>
            </w:hyperlink>
            <w:r w:rsidR="002850DB" w:rsidRPr="00706316">
              <w:rPr>
                <w:rFonts w:hint="cs"/>
                <w:spacing w:val="-6"/>
                <w:rtl/>
              </w:rPr>
              <w:t xml:space="preserve"> (المراجَع في بوخارست، 2022) لمؤتمر المندوبين المفوضين، </w:t>
            </w:r>
            <w:hyperlink r:id="rId9" w:history="1">
              <w:r w:rsidR="002850DB" w:rsidRPr="00706316">
                <w:rPr>
                  <w:rStyle w:val="Hyperlink"/>
                  <w:rFonts w:hint="cs"/>
                  <w:spacing w:val="-6"/>
                  <w:rtl/>
                </w:rPr>
                <w:t xml:space="preserve">الوثيقة </w:t>
              </w:r>
              <w:r w:rsidR="002850DB" w:rsidRPr="00706316">
                <w:rPr>
                  <w:rStyle w:val="Hyperlink"/>
                  <w:spacing w:val="-6"/>
                  <w:lang w:val="en-GB"/>
                </w:rPr>
                <w:t>C13/INF/18</w:t>
              </w:r>
            </w:hyperlink>
            <w:r w:rsidR="002850DB" w:rsidRPr="00706316">
              <w:rPr>
                <w:rFonts w:hint="cs"/>
                <w:spacing w:val="-6"/>
                <w:rtl/>
                <w:lang w:val="en-GB"/>
              </w:rPr>
              <w:t xml:space="preserve"> و</w:t>
            </w:r>
            <w:hyperlink r:id="rId10" w:history="1">
              <w:r w:rsidR="002850DB" w:rsidRPr="00706316">
                <w:rPr>
                  <w:rStyle w:val="Hyperlink"/>
                  <w:rFonts w:hint="cs"/>
                  <w:spacing w:val="-6"/>
                  <w:rtl/>
                  <w:lang w:val="en-GB"/>
                </w:rPr>
                <w:t>الوثيقة</w:t>
              </w:r>
              <w:r w:rsidR="002850DB" w:rsidRPr="00706316">
                <w:rPr>
                  <w:rStyle w:val="Hyperlink"/>
                  <w:rFonts w:hint="cs"/>
                  <w:spacing w:val="-6"/>
                  <w:rtl/>
                  <w:lang w:val="en-GB" w:bidi="ar-EG"/>
                </w:rPr>
                <w:t xml:space="preserve"> </w:t>
              </w:r>
              <w:r w:rsidR="002850DB" w:rsidRPr="00706316">
                <w:rPr>
                  <w:rStyle w:val="Hyperlink"/>
                  <w:spacing w:val="-6"/>
                  <w:lang w:val="en-GB"/>
                </w:rPr>
                <w:t>C14/50</w:t>
              </w:r>
            </w:hyperlink>
            <w:r w:rsidR="002850DB" w:rsidRPr="00706316">
              <w:rPr>
                <w:rFonts w:hint="cs"/>
                <w:spacing w:val="-6"/>
                <w:rtl/>
              </w:rPr>
              <w:t xml:space="preserve"> و</w:t>
            </w:r>
            <w:hyperlink r:id="rId11" w:history="1">
              <w:r w:rsidR="002850DB" w:rsidRPr="00706316">
                <w:rPr>
                  <w:rStyle w:val="Hyperlink"/>
                  <w:rFonts w:hint="cs"/>
                  <w:spacing w:val="-6"/>
                  <w:rtl/>
                </w:rPr>
                <w:t>الوثيقة</w:t>
              </w:r>
              <w:r w:rsidR="002850DB" w:rsidRPr="00706316">
                <w:rPr>
                  <w:rStyle w:val="Hyperlink"/>
                  <w:rFonts w:hint="eastAsia"/>
                  <w:spacing w:val="-6"/>
                  <w:rtl/>
                </w:rPr>
                <w:t> </w:t>
              </w:r>
              <w:r w:rsidR="002850DB" w:rsidRPr="00706316">
                <w:rPr>
                  <w:rStyle w:val="Hyperlink"/>
                  <w:spacing w:val="-6"/>
                  <w:lang w:val="en-GB"/>
                </w:rPr>
                <w:t>C16/7</w:t>
              </w:r>
            </w:hyperlink>
            <w:r w:rsidR="002850DB" w:rsidRPr="002850DB">
              <w:rPr>
                <w:rFonts w:hint="cs"/>
                <w:spacing w:val="-4"/>
                <w:rtl/>
              </w:rPr>
              <w:t xml:space="preserve"> و</w:t>
            </w:r>
            <w:hyperlink r:id="rId12" w:history="1">
              <w:r w:rsidR="002850DB" w:rsidRPr="002850DB">
                <w:rPr>
                  <w:rStyle w:val="Hyperlink"/>
                  <w:rFonts w:hint="cs"/>
                  <w:spacing w:val="-4"/>
                  <w:rtl/>
                </w:rPr>
                <w:t>مقرر المجلس 588 (دورة المجلس لعام 2016)</w:t>
              </w:r>
            </w:hyperlink>
            <w:r w:rsidR="002850DB" w:rsidRPr="002850DB">
              <w:rPr>
                <w:rFonts w:hint="cs"/>
                <w:spacing w:val="-4"/>
                <w:rtl/>
              </w:rPr>
              <w:t>، و</w:t>
            </w:r>
            <w:hyperlink r:id="rId13" w:history="1">
              <w:r w:rsidR="002850DB" w:rsidRPr="002850DB">
                <w:rPr>
                  <w:rStyle w:val="Hyperlink"/>
                  <w:rFonts w:hint="cs"/>
                  <w:spacing w:val="-4"/>
                  <w:rtl/>
                </w:rPr>
                <w:t xml:space="preserve">الوثيقة </w:t>
              </w:r>
              <w:r w:rsidR="002850DB" w:rsidRPr="002850DB">
                <w:rPr>
                  <w:rStyle w:val="Hyperlink"/>
                  <w:spacing w:val="-4"/>
                </w:rPr>
                <w:t>C19-ADD/2</w:t>
              </w:r>
            </w:hyperlink>
            <w:r w:rsidR="002850DB" w:rsidRPr="002850DB">
              <w:rPr>
                <w:rFonts w:hint="cs"/>
                <w:spacing w:val="-4"/>
                <w:rtl/>
              </w:rPr>
              <w:t xml:space="preserve"> و</w:t>
            </w:r>
            <w:hyperlink r:id="rId14" w:history="1">
              <w:r w:rsidR="002850DB" w:rsidRPr="002850DB">
                <w:rPr>
                  <w:rStyle w:val="Hyperlink"/>
                  <w:rFonts w:hint="cs"/>
                  <w:spacing w:val="-4"/>
                  <w:rtl/>
                </w:rPr>
                <w:t xml:space="preserve">الوثيقة </w:t>
              </w:r>
              <w:r w:rsidR="002850DB" w:rsidRPr="002850DB">
                <w:rPr>
                  <w:rStyle w:val="Hyperlink"/>
                  <w:spacing w:val="-4"/>
                </w:rPr>
                <w:t>C23/48</w:t>
              </w:r>
            </w:hyperlink>
            <w:r w:rsidR="002850DB" w:rsidRPr="002850DB">
              <w:rPr>
                <w:rFonts w:hint="cs"/>
                <w:spacing w:val="-4"/>
                <w:rtl/>
              </w:rPr>
              <w:t xml:space="preserve"> و</w:t>
            </w:r>
            <w:hyperlink r:id="rId15" w:history="1">
              <w:r w:rsidR="002850DB" w:rsidRPr="002850DB">
                <w:rPr>
                  <w:rStyle w:val="Hyperlink"/>
                  <w:rFonts w:hint="cs"/>
                  <w:spacing w:val="-4"/>
                  <w:rtl/>
                </w:rPr>
                <w:t>الوثيقة</w:t>
              </w:r>
              <w:r w:rsidR="002850DB" w:rsidRPr="002850DB">
                <w:rPr>
                  <w:rStyle w:val="Hyperlink"/>
                  <w:rFonts w:hint="eastAsia"/>
                  <w:spacing w:val="-4"/>
                  <w:rtl/>
                </w:rPr>
                <w:t> </w:t>
              </w:r>
              <w:r w:rsidR="002850DB" w:rsidRPr="002850DB">
                <w:rPr>
                  <w:rStyle w:val="Hyperlink"/>
                  <w:spacing w:val="-4"/>
                </w:rPr>
                <w:t>C23/7</w:t>
              </w:r>
            </w:hyperlink>
          </w:p>
        </w:tc>
      </w:tr>
    </w:tbl>
    <w:p w14:paraId="3A943D01" w14:textId="77777777" w:rsidR="00E61BE8" w:rsidRDefault="00E61BE8" w:rsidP="00E61BE8">
      <w:pPr>
        <w:rPr>
          <w:rtl/>
          <w:lang w:bidi="ar-EG"/>
        </w:rPr>
      </w:pPr>
    </w:p>
    <w:p w14:paraId="63F5247B" w14:textId="77777777" w:rsidR="00F50E3F" w:rsidRDefault="00F50E3F" w:rsidP="009E29A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E8569B6" w14:textId="23659FEE" w:rsidR="00F50E3F" w:rsidRDefault="002850DB" w:rsidP="002850DB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1</w:t>
      </w:r>
      <w:r>
        <w:rPr>
          <w:rtl/>
          <w:lang w:bidi="ar-EG"/>
        </w:rPr>
        <w:tab/>
      </w:r>
      <w:r w:rsidRPr="009E29AA">
        <w:rPr>
          <w:rFonts w:hint="cs"/>
          <w:rtl/>
          <w:lang w:bidi="ar-EG"/>
        </w:rPr>
        <w:t>نظرة عامة</w:t>
      </w:r>
    </w:p>
    <w:p w14:paraId="0CB543B5" w14:textId="0C799C02" w:rsidR="002850DB" w:rsidRPr="002850DB" w:rsidRDefault="00F80A63" w:rsidP="00E61BE8">
      <w:pPr>
        <w:rPr>
          <w:rtl/>
          <w:lang w:bidi="ar-EG"/>
        </w:rPr>
      </w:pPr>
      <w:r w:rsidRPr="00F80A63">
        <w:rPr>
          <w:rtl/>
          <w:lang w:bidi="ar-EG"/>
        </w:rPr>
        <w:t xml:space="preserve">في عام 2007، بدأ الأمين العام للاتحاد مناقشات مع البلد المضيف (سويسرا) </w:t>
      </w:r>
      <w:r>
        <w:rPr>
          <w:rFonts w:hint="cs"/>
          <w:rtl/>
          <w:lang w:bidi="ar-EG"/>
        </w:rPr>
        <w:t>بشأن</w:t>
      </w:r>
      <w:r w:rsidRPr="00F80A63">
        <w:rPr>
          <w:rtl/>
          <w:lang w:bidi="ar-EG"/>
        </w:rPr>
        <w:t xml:space="preserve"> الحاجة إلى استبدال أقدم مباني الاتحاد. وهذا من شأنه أن يسمح للاتحاد بمواصلة عمله في ظروف مناسبة. </w:t>
      </w:r>
      <w:r>
        <w:rPr>
          <w:rFonts w:hint="cs"/>
          <w:rtl/>
          <w:lang w:bidi="ar-EG"/>
        </w:rPr>
        <w:t>و</w:t>
      </w:r>
      <w:r w:rsidRPr="00F80A63">
        <w:rPr>
          <w:rtl/>
          <w:lang w:bidi="ar-EG"/>
        </w:rPr>
        <w:t>في عام 2012، قام البلد المضيف وممثله ال</w:t>
      </w:r>
      <w:r>
        <w:rPr>
          <w:rFonts w:hint="cs"/>
          <w:rtl/>
          <w:lang w:bidi="ar-EG"/>
        </w:rPr>
        <w:t>تق</w:t>
      </w:r>
      <w:r w:rsidRPr="00F80A63">
        <w:rPr>
          <w:rtl/>
          <w:lang w:bidi="ar-EG"/>
        </w:rPr>
        <w:t xml:space="preserve">ني </w:t>
      </w:r>
      <w:r>
        <w:rPr>
          <w:rFonts w:hint="cs"/>
          <w:rtl/>
          <w:lang w:bidi="ar-EG"/>
        </w:rPr>
        <w:t xml:space="preserve">لدى </w:t>
      </w:r>
      <w:r w:rsidRPr="00F80A63">
        <w:rPr>
          <w:rtl/>
          <w:lang w:bidi="ar-EG"/>
        </w:rPr>
        <w:t>مؤسسة مباني المنظمات الدولية (</w:t>
      </w:r>
      <w:r w:rsidRPr="00F80A63">
        <w:rPr>
          <w:lang w:bidi="ar-EG"/>
        </w:rPr>
        <w:t>FIPOI</w:t>
      </w:r>
      <w:r w:rsidRPr="00F80A63">
        <w:rPr>
          <w:rtl/>
          <w:lang w:bidi="ar-EG"/>
        </w:rPr>
        <w:t xml:space="preserve">) </w:t>
      </w:r>
      <w:r w:rsidR="008E493D">
        <w:rPr>
          <w:rFonts w:hint="cs"/>
          <w:rtl/>
          <w:lang w:bidi="ar-EG"/>
        </w:rPr>
        <w:t>بتفحص</w:t>
      </w:r>
      <w:r w:rsidRPr="00F80A63">
        <w:rPr>
          <w:rtl/>
          <w:lang w:bidi="ar-EG"/>
        </w:rPr>
        <w:t xml:space="preserve"> مبنى فارامبيه و</w:t>
      </w:r>
      <w:r>
        <w:rPr>
          <w:rFonts w:hint="cs"/>
          <w:rtl/>
          <w:lang w:bidi="ar-EG"/>
        </w:rPr>
        <w:t>دراسة</w:t>
      </w:r>
      <w:r w:rsidRPr="00F80A63">
        <w:rPr>
          <w:rtl/>
          <w:lang w:bidi="ar-EG"/>
        </w:rPr>
        <w:t xml:space="preserve"> خيارات الإصلاح والاستبدال. </w:t>
      </w:r>
      <w:r>
        <w:rPr>
          <w:rFonts w:hint="cs"/>
          <w:rtl/>
          <w:lang w:bidi="ar-EG"/>
        </w:rPr>
        <w:t>و</w:t>
      </w:r>
      <w:r w:rsidRPr="00F80A63">
        <w:rPr>
          <w:rtl/>
          <w:lang w:bidi="ar-EG"/>
        </w:rPr>
        <w:t>أفادت</w:t>
      </w:r>
      <w:r>
        <w:rPr>
          <w:rFonts w:hint="cs"/>
          <w:rtl/>
          <w:lang w:bidi="ar-EG"/>
        </w:rPr>
        <w:t xml:space="preserve"> المؤسسة</w:t>
      </w:r>
      <w:r w:rsidR="009E29AA">
        <w:rPr>
          <w:rFonts w:hint="cs"/>
          <w:rtl/>
          <w:lang w:bidi="ar-EG"/>
        </w:rPr>
        <w:t> </w:t>
      </w:r>
      <w:r w:rsidRPr="00F80A63">
        <w:rPr>
          <w:lang w:bidi="ar-EG"/>
        </w:rPr>
        <w:t>FIPOI</w:t>
      </w:r>
      <w:r w:rsidRPr="00F80A63">
        <w:rPr>
          <w:rtl/>
          <w:lang w:bidi="ar-EG"/>
        </w:rPr>
        <w:t xml:space="preserve"> أن الاستبدال هو الخيار التقني المناسب</w:t>
      </w:r>
      <w:r w:rsidR="002850DB" w:rsidRPr="002850DB">
        <w:rPr>
          <w:rFonts w:hint="cs"/>
          <w:rtl/>
          <w:lang w:bidi="ar-EG"/>
        </w:rPr>
        <w:t xml:space="preserve"> (</w:t>
      </w:r>
      <w:hyperlink r:id="rId16" w:history="1">
        <w:r w:rsidR="002850DB" w:rsidRPr="002850DB">
          <w:rPr>
            <w:rStyle w:val="Hyperlink"/>
            <w:rFonts w:hint="cs"/>
            <w:rtl/>
            <w:lang w:bidi="ar-EG"/>
          </w:rPr>
          <w:t xml:space="preserve">الوثيقة </w:t>
        </w:r>
        <w:r w:rsidR="002850DB" w:rsidRPr="002850DB">
          <w:rPr>
            <w:rStyle w:val="Hyperlink"/>
            <w:lang w:bidi="ar-EG"/>
          </w:rPr>
          <w:t>C13/INF/18</w:t>
        </w:r>
      </w:hyperlink>
      <w:r w:rsidR="002850DB" w:rsidRPr="002850DB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>.</w:t>
      </w:r>
      <w:r w:rsidR="002850DB" w:rsidRPr="002850DB">
        <w:rPr>
          <w:rFonts w:hint="cs"/>
          <w:rtl/>
          <w:lang w:bidi="ar-EG"/>
        </w:rPr>
        <w:t xml:space="preserve"> </w:t>
      </w:r>
      <w:r w:rsidRPr="00F80A63">
        <w:rPr>
          <w:rtl/>
          <w:lang w:bidi="ar-EG"/>
        </w:rPr>
        <w:t>بالإضافة إلى ذلك، سيكون من المستحيل من الناحية العملية تجديد مبنى فارامبيه ليكون متوافقا</w:t>
      </w:r>
      <w:r>
        <w:rPr>
          <w:rFonts w:hint="cs"/>
          <w:rtl/>
          <w:lang w:bidi="ar-EG"/>
        </w:rPr>
        <w:t>ً</w:t>
      </w:r>
      <w:r w:rsidRPr="00F80A63">
        <w:rPr>
          <w:rtl/>
          <w:lang w:bidi="ar-EG"/>
        </w:rPr>
        <w:t xml:space="preserve"> مع إمكانية ال</w:t>
      </w:r>
      <w:r>
        <w:rPr>
          <w:rFonts w:hint="cs"/>
          <w:rtl/>
          <w:lang w:bidi="ar-EG"/>
        </w:rPr>
        <w:t>نفاذ</w:t>
      </w:r>
      <w:r w:rsidRPr="00F80A63">
        <w:rPr>
          <w:rtl/>
          <w:lang w:bidi="ar-EG"/>
        </w:rPr>
        <w:t xml:space="preserve"> والسلامة من الحرائق ومقاومة الزلازل. </w:t>
      </w:r>
      <w:r>
        <w:rPr>
          <w:rFonts w:hint="cs"/>
          <w:rtl/>
          <w:lang w:bidi="ar-EG"/>
        </w:rPr>
        <w:t>و</w:t>
      </w:r>
      <w:r w:rsidRPr="00F80A63">
        <w:rPr>
          <w:rtl/>
          <w:lang w:bidi="ar-EG"/>
        </w:rPr>
        <w:t>مبنى فارامبيه قديم ولا يفي بمعايير السلامة وإمكانية ال</w:t>
      </w:r>
      <w:r>
        <w:rPr>
          <w:rFonts w:hint="cs"/>
          <w:rtl/>
          <w:lang w:bidi="ar-EG"/>
        </w:rPr>
        <w:t>نفاذ</w:t>
      </w:r>
      <w:r w:rsidRPr="00F80A63">
        <w:rPr>
          <w:rtl/>
          <w:lang w:bidi="ar-EG"/>
        </w:rPr>
        <w:t xml:space="preserve"> الحالية </w:t>
      </w:r>
      <w:r w:rsidR="00440004">
        <w:rPr>
          <w:rFonts w:hint="cs"/>
          <w:rtl/>
          <w:lang w:bidi="ar-EG"/>
        </w:rPr>
        <w:t>وفقاً</w:t>
      </w:r>
      <w:r w:rsidRPr="00F80A63">
        <w:rPr>
          <w:rtl/>
          <w:lang w:bidi="ar-EG"/>
        </w:rPr>
        <w:t xml:space="preserve"> لتقرير الأمين العام</w:t>
      </w:r>
      <w:r w:rsidR="002850DB" w:rsidRPr="002850DB">
        <w:rPr>
          <w:rFonts w:hint="cs"/>
          <w:rtl/>
          <w:lang w:bidi="ar-EG"/>
        </w:rPr>
        <w:t xml:space="preserve"> (</w:t>
      </w:r>
      <w:hyperlink r:id="rId17" w:history="1">
        <w:r w:rsidR="002850DB" w:rsidRPr="002850DB">
          <w:rPr>
            <w:rStyle w:val="Hyperlink"/>
            <w:rFonts w:hint="cs"/>
            <w:rtl/>
            <w:lang w:bidi="ar-EG"/>
          </w:rPr>
          <w:t xml:space="preserve">الوثيقة </w:t>
        </w:r>
        <w:r w:rsidR="002850DB" w:rsidRPr="002850DB">
          <w:rPr>
            <w:rStyle w:val="Hyperlink"/>
            <w:lang w:bidi="ar-EG"/>
          </w:rPr>
          <w:t>C14/50</w:t>
        </w:r>
      </w:hyperlink>
      <w:r w:rsidR="002850DB" w:rsidRPr="002850DB">
        <w:rPr>
          <w:rFonts w:hint="cs"/>
          <w:rtl/>
          <w:lang w:bidi="ar-EG"/>
        </w:rPr>
        <w:t>).</w:t>
      </w:r>
    </w:p>
    <w:p w14:paraId="5D2237A5" w14:textId="42E50902" w:rsidR="002850DB" w:rsidRPr="002850DB" w:rsidRDefault="00F80A63" w:rsidP="002850DB">
      <w:pPr>
        <w:rPr>
          <w:rtl/>
          <w:lang w:bidi="ar-EG"/>
        </w:rPr>
      </w:pPr>
      <w:r w:rsidRPr="009E29AA">
        <w:rPr>
          <w:spacing w:val="-4"/>
          <w:rtl/>
          <w:lang w:bidi="ar-EG"/>
        </w:rPr>
        <w:t xml:space="preserve">منح مؤتمر المندوبين المفوضين للاتحاد الدولي للاتصالات مجلس الاتحاد </w:t>
      </w:r>
      <w:r w:rsidRPr="009E29AA">
        <w:rPr>
          <w:rFonts w:hint="cs"/>
          <w:spacing w:val="-4"/>
          <w:rtl/>
          <w:lang w:bidi="ar-EG"/>
        </w:rPr>
        <w:t>بموجب</w:t>
      </w:r>
      <w:r w:rsidRPr="009E29AA">
        <w:rPr>
          <w:spacing w:val="-4"/>
          <w:rtl/>
          <w:lang w:bidi="ar-EG"/>
        </w:rPr>
        <w:t xml:space="preserve"> </w:t>
      </w:r>
      <w:r w:rsidRPr="009E29AA">
        <w:rPr>
          <w:rFonts w:hint="cs"/>
          <w:spacing w:val="-4"/>
          <w:rtl/>
          <w:lang w:bidi="ar-EG"/>
        </w:rPr>
        <w:t>ا</w:t>
      </w:r>
      <w:r w:rsidRPr="009E29AA">
        <w:rPr>
          <w:spacing w:val="-4"/>
          <w:rtl/>
          <w:lang w:bidi="ar-EG"/>
        </w:rPr>
        <w:t>لقرار 194 (بوسان، 2014) الإذن بإنشاء فريق عمل تابع للمجلس يعنى بالخيارات المتاحة بشأن مباني مقر الاتحاد في الأجل الطويل (</w:t>
      </w:r>
      <w:r w:rsidRPr="009E29AA">
        <w:rPr>
          <w:spacing w:val="-4"/>
          <w:lang w:bidi="ar-EG"/>
        </w:rPr>
        <w:t>CWG-HQP</w:t>
      </w:r>
      <w:r w:rsidRPr="009E29AA">
        <w:rPr>
          <w:spacing w:val="-4"/>
          <w:rtl/>
          <w:lang w:bidi="ar-EG"/>
        </w:rPr>
        <w:t xml:space="preserve">). </w:t>
      </w:r>
      <w:r w:rsidRPr="009E29AA">
        <w:rPr>
          <w:rFonts w:hint="cs"/>
          <w:spacing w:val="-4"/>
          <w:rtl/>
          <w:lang w:bidi="ar-EG"/>
        </w:rPr>
        <w:t>و</w:t>
      </w:r>
      <w:r w:rsidRPr="009E29AA">
        <w:rPr>
          <w:spacing w:val="-4"/>
          <w:rtl/>
          <w:lang w:bidi="ar-EG"/>
        </w:rPr>
        <w:t xml:space="preserve">قام </w:t>
      </w:r>
      <w:r w:rsidRPr="009E29AA">
        <w:rPr>
          <w:rFonts w:hint="cs"/>
          <w:spacing w:val="-4"/>
          <w:rtl/>
          <w:lang w:bidi="ar-EG"/>
        </w:rPr>
        <w:t>ال</w:t>
      </w:r>
      <w:r w:rsidRPr="009E29AA">
        <w:rPr>
          <w:spacing w:val="-4"/>
          <w:rtl/>
          <w:lang w:bidi="ar-EG"/>
        </w:rPr>
        <w:t>فريق</w:t>
      </w:r>
      <w:r w:rsidR="009E29AA" w:rsidRPr="009E29AA">
        <w:rPr>
          <w:rFonts w:hint="cs"/>
          <w:spacing w:val="-4"/>
          <w:rtl/>
          <w:lang w:bidi="ar-EG"/>
        </w:rPr>
        <w:t> </w:t>
      </w:r>
      <w:r w:rsidRPr="009E29AA">
        <w:rPr>
          <w:spacing w:val="-4"/>
          <w:lang w:bidi="ar-EG"/>
        </w:rPr>
        <w:t>CWG</w:t>
      </w:r>
      <w:r w:rsidR="009E29AA" w:rsidRPr="009E29AA">
        <w:rPr>
          <w:spacing w:val="-4"/>
          <w:lang w:bidi="ar-EG"/>
        </w:rPr>
        <w:noBreakHyphen/>
      </w:r>
      <w:r w:rsidRPr="009E29AA">
        <w:rPr>
          <w:spacing w:val="-4"/>
          <w:lang w:bidi="ar-EG"/>
        </w:rPr>
        <w:t>HQP</w:t>
      </w:r>
      <w:r w:rsidRPr="00F80A63">
        <w:rPr>
          <w:rtl/>
          <w:lang w:bidi="ar-EG"/>
        </w:rPr>
        <w:t xml:space="preserve"> بتقييم حالة مقر </w:t>
      </w:r>
      <w:r>
        <w:rPr>
          <w:rFonts w:hint="cs"/>
          <w:rtl/>
          <w:lang w:bidi="ar-EG"/>
        </w:rPr>
        <w:t>ا</w:t>
      </w:r>
      <w:r w:rsidRPr="00F80A63">
        <w:rPr>
          <w:rtl/>
          <w:lang w:bidi="ar-EG"/>
        </w:rPr>
        <w:t>لاتحاد، وتحليل الخيارات التالية للتخطيط المستقبلي للمب</w:t>
      </w:r>
      <w:r w:rsidR="000D07A6">
        <w:rPr>
          <w:rFonts w:hint="cs"/>
          <w:rtl/>
          <w:lang w:bidi="ar-EG"/>
        </w:rPr>
        <w:t>ا</w:t>
      </w:r>
      <w:r w:rsidRPr="00F80A63">
        <w:rPr>
          <w:rtl/>
          <w:lang w:bidi="ar-EG"/>
        </w:rPr>
        <w:t>ن</w:t>
      </w:r>
      <w:r w:rsidR="000D07A6">
        <w:rPr>
          <w:rFonts w:hint="cs"/>
          <w:rtl/>
          <w:lang w:bidi="ar-EG"/>
        </w:rPr>
        <w:t>ي</w:t>
      </w:r>
      <w:r w:rsidRPr="00F80A63">
        <w:rPr>
          <w:rtl/>
          <w:lang w:bidi="ar-EG"/>
        </w:rPr>
        <w:t xml:space="preserve"> (الخيار 1: استبدال المبنى، الخيار 2: تجديد مباني المقر، الخيار 3: نقل المقر، الخيار 4 تأجير</w:t>
      </w:r>
      <w:r w:rsidR="000D07A6">
        <w:rPr>
          <w:rFonts w:hint="cs"/>
          <w:rtl/>
          <w:lang w:bidi="ar-EG"/>
        </w:rPr>
        <w:t xml:space="preserve"> مكاتب</w:t>
      </w:r>
      <w:r w:rsidRPr="00F80A63">
        <w:rPr>
          <w:rtl/>
          <w:lang w:bidi="ar-EG"/>
        </w:rPr>
        <w:t xml:space="preserve">). </w:t>
      </w:r>
      <w:r w:rsidR="000D07A6">
        <w:rPr>
          <w:rFonts w:hint="cs"/>
          <w:rtl/>
          <w:lang w:bidi="ar-EG"/>
        </w:rPr>
        <w:t>و</w:t>
      </w:r>
      <w:r w:rsidRPr="00F80A63">
        <w:rPr>
          <w:rtl/>
          <w:lang w:bidi="ar-EG"/>
        </w:rPr>
        <w:t xml:space="preserve">كانت توصية </w:t>
      </w:r>
      <w:r w:rsidR="000D07A6">
        <w:rPr>
          <w:rFonts w:hint="cs"/>
          <w:rtl/>
          <w:lang w:bidi="ar-EG"/>
        </w:rPr>
        <w:t>الفريق</w:t>
      </w:r>
      <w:r w:rsidRPr="00F80A63">
        <w:rPr>
          <w:rtl/>
          <w:lang w:bidi="ar-EG"/>
        </w:rPr>
        <w:t xml:space="preserve"> </w:t>
      </w:r>
      <w:r w:rsidRPr="00F80A63">
        <w:rPr>
          <w:lang w:bidi="ar-EG"/>
        </w:rPr>
        <w:t>CWG-HQP</w:t>
      </w:r>
      <w:r w:rsidRPr="00F80A63">
        <w:rPr>
          <w:rtl/>
          <w:lang w:bidi="ar-EG"/>
        </w:rPr>
        <w:t xml:space="preserve"> إلى الدورة العادية للمجلس في عام 2016 هي استبدال مبنى </w:t>
      </w:r>
      <w:r w:rsidR="000D07A6" w:rsidRPr="000D07A6">
        <w:rPr>
          <w:rtl/>
          <w:lang w:bidi="ar-EG"/>
        </w:rPr>
        <w:t>فارامبيه</w:t>
      </w:r>
      <w:r w:rsidR="002850DB" w:rsidRPr="002850DB">
        <w:rPr>
          <w:rFonts w:hint="cs"/>
          <w:rtl/>
          <w:lang w:bidi="ar-EG"/>
        </w:rPr>
        <w:t xml:space="preserve"> </w:t>
      </w:r>
      <w:r w:rsidR="002850DB" w:rsidRPr="002850DB">
        <w:rPr>
          <w:rFonts w:eastAsia="Times New Roman" w:hint="cs"/>
          <w:rtl/>
        </w:rPr>
        <w:t>(</w:t>
      </w:r>
      <w:hyperlink r:id="rId18" w:history="1">
        <w:r w:rsidR="002850DB" w:rsidRPr="002850DB">
          <w:rPr>
            <w:rFonts w:eastAsia="Times New Roman"/>
            <w:color w:val="0000FF"/>
            <w:u w:val="single"/>
            <w:rtl/>
          </w:rPr>
          <w:t xml:space="preserve">الوثيقة </w:t>
        </w:r>
        <w:r w:rsidR="002850DB" w:rsidRPr="002850DB">
          <w:rPr>
            <w:rFonts w:eastAsia="Times New Roman"/>
            <w:color w:val="0000FF"/>
            <w:u w:val="single"/>
          </w:rPr>
          <w:t>C16/7</w:t>
        </w:r>
      </w:hyperlink>
      <w:r w:rsidR="002850DB" w:rsidRPr="002850DB">
        <w:rPr>
          <w:rFonts w:eastAsia="Times New Roman" w:hint="cs"/>
          <w:rtl/>
          <w:lang w:bidi="ar-EG"/>
        </w:rPr>
        <w:t>)</w:t>
      </w:r>
      <w:r w:rsidR="002850DB" w:rsidRPr="002850DB">
        <w:rPr>
          <w:rFonts w:hint="cs"/>
          <w:rtl/>
        </w:rPr>
        <w:t xml:space="preserve">. </w:t>
      </w:r>
      <w:r w:rsidR="000D07A6">
        <w:rPr>
          <w:rFonts w:hint="cs"/>
          <w:rtl/>
        </w:rPr>
        <w:t>و</w:t>
      </w:r>
      <w:r w:rsidR="000D07A6" w:rsidRPr="000D07A6">
        <w:rPr>
          <w:rtl/>
        </w:rPr>
        <w:t>في عام 2016، قبلت الدورة العادية للمجلس توصية</w:t>
      </w:r>
      <w:r w:rsidR="000D07A6">
        <w:rPr>
          <w:rFonts w:hint="cs"/>
          <w:rtl/>
        </w:rPr>
        <w:t xml:space="preserve"> الفريق</w:t>
      </w:r>
      <w:r w:rsidR="000D07A6" w:rsidRPr="000D07A6">
        <w:rPr>
          <w:rtl/>
        </w:rPr>
        <w:t xml:space="preserve"> </w:t>
      </w:r>
      <w:r w:rsidR="000D07A6" w:rsidRPr="000D07A6">
        <w:t>CWG-HQP</w:t>
      </w:r>
      <w:r w:rsidR="000D07A6" w:rsidRPr="000D07A6">
        <w:rPr>
          <w:rtl/>
        </w:rPr>
        <w:t xml:space="preserve"> ووافقت على</w:t>
      </w:r>
      <w:r w:rsidR="002850DB" w:rsidRPr="002850DB">
        <w:rPr>
          <w:rFonts w:hint="cs"/>
          <w:rtl/>
        </w:rPr>
        <w:t xml:space="preserve"> </w:t>
      </w:r>
      <w:hyperlink r:id="rId19" w:history="1">
        <w:r w:rsidR="002850DB" w:rsidRPr="002850DB">
          <w:rPr>
            <w:rStyle w:val="Hyperlink"/>
            <w:rFonts w:hint="cs"/>
            <w:rtl/>
          </w:rPr>
          <w:t>مقرر المجلس 588</w:t>
        </w:r>
      </w:hyperlink>
      <w:r w:rsidR="000D07A6" w:rsidRPr="000D07A6">
        <w:rPr>
          <w:rtl/>
        </w:rPr>
        <w:t>، الذي يوثق قرارها، ب</w:t>
      </w:r>
      <w:r w:rsidR="000D07A6">
        <w:rPr>
          <w:rFonts w:hint="cs"/>
          <w:rtl/>
        </w:rPr>
        <w:t>الاستعاضة عن</w:t>
      </w:r>
      <w:r w:rsidR="000D07A6" w:rsidRPr="000D07A6">
        <w:rPr>
          <w:rtl/>
        </w:rPr>
        <w:t xml:space="preserve"> مبنى </w:t>
      </w:r>
      <w:bookmarkStart w:id="0" w:name="_Hlk139645326"/>
      <w:r w:rsidR="000D07A6" w:rsidRPr="000D07A6">
        <w:rPr>
          <w:rtl/>
        </w:rPr>
        <w:t>فارامبيه</w:t>
      </w:r>
      <w:bookmarkEnd w:id="0"/>
      <w:r w:rsidR="000D07A6" w:rsidRPr="000D07A6">
        <w:rPr>
          <w:rtl/>
        </w:rPr>
        <w:t xml:space="preserve"> بمبنى جديد.</w:t>
      </w:r>
    </w:p>
    <w:p w14:paraId="437C02DD" w14:textId="6CD8D871" w:rsidR="000A679C" w:rsidRDefault="000A679C" w:rsidP="002850DB">
      <w:pPr>
        <w:rPr>
          <w:rtl/>
          <w:lang w:bidi="ar-EG"/>
        </w:rPr>
      </w:pPr>
      <w:r w:rsidRPr="000A679C">
        <w:rPr>
          <w:rtl/>
          <w:lang w:bidi="ar-EG"/>
        </w:rPr>
        <w:t>ناقشت دورة المجلس لعام 2019 و</w:t>
      </w:r>
      <w:r>
        <w:rPr>
          <w:rFonts w:hint="cs"/>
          <w:rtl/>
          <w:lang w:bidi="ar-EG"/>
        </w:rPr>
        <w:t>دورته</w:t>
      </w:r>
      <w:r w:rsidRPr="000A679C">
        <w:rPr>
          <w:rtl/>
          <w:lang w:bidi="ar-EG"/>
        </w:rPr>
        <w:t xml:space="preserve"> الإضافية بالتفصيل تقرير الأمين العام عن التقدم المحرز في مشروع </w:t>
      </w:r>
      <w:r>
        <w:rPr>
          <w:rFonts w:hint="cs"/>
          <w:rtl/>
          <w:lang w:bidi="ar-EG"/>
        </w:rPr>
        <w:t xml:space="preserve">مبنى </w:t>
      </w:r>
      <w:r w:rsidRPr="000A679C">
        <w:rPr>
          <w:rtl/>
          <w:lang w:bidi="ar-EG"/>
        </w:rPr>
        <w:t>مقر الاتحاد، ووافق المجلس على مواصلة المشروع ووافق على الميزانية المخصصة</w:t>
      </w:r>
      <w:r w:rsidR="002850DB" w:rsidRPr="002850DB">
        <w:rPr>
          <w:rFonts w:hint="cs"/>
          <w:rtl/>
          <w:lang w:bidi="ar-EG"/>
        </w:rPr>
        <w:t xml:space="preserve"> (</w:t>
      </w:r>
      <w:hyperlink r:id="rId20" w:history="1">
        <w:r w:rsidR="002850DB" w:rsidRPr="002850DB">
          <w:rPr>
            <w:rStyle w:val="Hyperlink"/>
            <w:rtl/>
            <w:lang w:bidi="ar-EG"/>
          </w:rPr>
          <w:t xml:space="preserve">الوثيقة </w:t>
        </w:r>
        <w:r w:rsidR="002850DB" w:rsidRPr="002850DB">
          <w:rPr>
            <w:rStyle w:val="Hyperlink"/>
            <w:lang w:bidi="ar-EG"/>
          </w:rPr>
          <w:t>C19-ADD/2</w:t>
        </w:r>
      </w:hyperlink>
      <w:r w:rsidR="002850DB" w:rsidRPr="002850DB">
        <w:rPr>
          <w:rFonts w:hint="cs"/>
          <w:rtl/>
          <w:lang w:bidi="ar-EG"/>
        </w:rPr>
        <w:t>).</w:t>
      </w:r>
    </w:p>
    <w:p w14:paraId="331AAA37" w14:textId="1027A506" w:rsidR="002850DB" w:rsidRPr="00E448F0" w:rsidRDefault="000A679C" w:rsidP="002850DB">
      <w:pPr>
        <w:rPr>
          <w:rtl/>
          <w:lang w:bidi="ar-EG"/>
        </w:rPr>
      </w:pPr>
      <w:r w:rsidRPr="000A679C">
        <w:rPr>
          <w:spacing w:val="-4"/>
          <w:rtl/>
        </w:rPr>
        <w:t xml:space="preserve">واصلت الدول الأعضاء المناقشات </w:t>
      </w:r>
      <w:r>
        <w:rPr>
          <w:rFonts w:hint="cs"/>
          <w:spacing w:val="-4"/>
          <w:rtl/>
        </w:rPr>
        <w:t>بشأن</w:t>
      </w:r>
      <w:r w:rsidRPr="000A679C">
        <w:rPr>
          <w:spacing w:val="-4"/>
          <w:rtl/>
        </w:rPr>
        <w:t xml:space="preserve"> المسائل المتعلقة بالمبنى خلال مؤتمر المندوبين المفوضين</w:t>
      </w:r>
      <w:r>
        <w:rPr>
          <w:rFonts w:hint="cs"/>
          <w:spacing w:val="-4"/>
          <w:rtl/>
        </w:rPr>
        <w:t xml:space="preserve"> لعام</w:t>
      </w:r>
      <w:r w:rsidRPr="000A679C">
        <w:rPr>
          <w:spacing w:val="-4"/>
          <w:rtl/>
        </w:rPr>
        <w:t xml:space="preserve"> 2022 في بوخارست، </w:t>
      </w:r>
      <w:r w:rsidRPr="00E448F0">
        <w:rPr>
          <w:rtl/>
        </w:rPr>
        <w:t xml:space="preserve">ووافقت </w:t>
      </w:r>
      <w:r w:rsidRPr="00E448F0">
        <w:rPr>
          <w:rFonts w:hint="cs"/>
          <w:rtl/>
        </w:rPr>
        <w:t>بموجب</w:t>
      </w:r>
      <w:r w:rsidRPr="00E448F0">
        <w:rPr>
          <w:rtl/>
        </w:rPr>
        <w:t xml:space="preserve"> </w:t>
      </w:r>
      <w:hyperlink r:id="rId21" w:history="1">
        <w:r w:rsidR="002850DB" w:rsidRPr="00E448F0">
          <w:rPr>
            <w:rStyle w:val="Hyperlink"/>
            <w:rFonts w:hint="cs"/>
            <w:rtl/>
          </w:rPr>
          <w:t>القرار 212 (المراجَع في بوخارست، 2022)</w:t>
        </w:r>
      </w:hyperlink>
      <w:r w:rsidR="00AD1B64" w:rsidRPr="00E448F0">
        <w:rPr>
          <w:rFonts w:hint="cs"/>
          <w:rtl/>
        </w:rPr>
        <w:t xml:space="preserve">، </w:t>
      </w:r>
      <w:r w:rsidRPr="00E448F0">
        <w:rPr>
          <w:rtl/>
        </w:rPr>
        <w:t xml:space="preserve">على أنه يجب </w:t>
      </w:r>
      <w:r w:rsidR="004D1909" w:rsidRPr="00E448F0">
        <w:rPr>
          <w:rFonts w:hint="cs"/>
          <w:rtl/>
        </w:rPr>
        <w:t>تشييد</w:t>
      </w:r>
      <w:r w:rsidRPr="00E448F0">
        <w:rPr>
          <w:rtl/>
        </w:rPr>
        <w:t xml:space="preserve"> مبنى جديد </w:t>
      </w:r>
      <w:r w:rsidR="004D1909" w:rsidRPr="00E448F0">
        <w:rPr>
          <w:rFonts w:hint="cs"/>
          <w:rtl/>
        </w:rPr>
        <w:t xml:space="preserve">للمقر </w:t>
      </w:r>
      <w:r w:rsidRPr="00E448F0">
        <w:rPr>
          <w:rtl/>
        </w:rPr>
        <w:t>من أجل منح الاتحاد المساحة والمرافق التي تحتاجها لتلبية متطلباته.</w:t>
      </w:r>
    </w:p>
    <w:p w14:paraId="2CA8A72D" w14:textId="120DF762" w:rsidR="002850DB" w:rsidRPr="002850DB" w:rsidRDefault="002850DB" w:rsidP="002850DB">
      <w:pPr>
        <w:pStyle w:val="Heading1"/>
        <w:rPr>
          <w:lang w:bidi="ar-EG"/>
        </w:rPr>
      </w:pPr>
      <w:r w:rsidRPr="002850DB">
        <w:rPr>
          <w:rFonts w:hint="cs"/>
          <w:rtl/>
          <w:lang w:bidi="ar-EG"/>
        </w:rPr>
        <w:t>2</w:t>
      </w:r>
      <w:r w:rsidRPr="002850DB">
        <w:rPr>
          <w:rtl/>
          <w:lang w:bidi="ar-EG"/>
        </w:rPr>
        <w:tab/>
      </w:r>
      <w:r w:rsidR="00B82A04">
        <w:rPr>
          <w:rFonts w:hint="cs"/>
          <w:rtl/>
          <w:lang w:bidi="ar-EG"/>
        </w:rPr>
        <w:t>المناقشات</w:t>
      </w:r>
    </w:p>
    <w:p w14:paraId="072E148B" w14:textId="6DE3D328" w:rsidR="002850DB" w:rsidRPr="002850DB" w:rsidRDefault="000833C6" w:rsidP="00E61BE8">
      <w:pPr>
        <w:rPr>
          <w:rtl/>
          <w:lang w:bidi="ar-EG"/>
        </w:rPr>
      </w:pPr>
      <w:r>
        <w:rPr>
          <w:rFonts w:hint="cs"/>
          <w:rtl/>
          <w:lang w:bidi="ar-EG"/>
        </w:rPr>
        <w:t>مع أخذ ما ذُكر آنفاً في الاعتبار:</w:t>
      </w:r>
    </w:p>
    <w:p w14:paraId="5D07BB06" w14:textId="64165FD7" w:rsidR="002850DB" w:rsidRPr="002850DB" w:rsidRDefault="002850DB" w:rsidP="002850DB">
      <w:pPr>
        <w:pStyle w:val="enumlev1"/>
        <w:rPr>
          <w:rtl/>
        </w:rPr>
      </w:pPr>
      <w:r w:rsidRPr="002850DB">
        <w:sym w:font="Symbol" w:char="F0B7"/>
      </w:r>
      <w:r w:rsidRPr="002850DB">
        <w:rPr>
          <w:rtl/>
        </w:rPr>
        <w:tab/>
      </w:r>
      <w:r w:rsidR="000833C6" w:rsidRPr="000833C6">
        <w:rPr>
          <w:rtl/>
        </w:rPr>
        <w:t>يزيد عمر مبنى فارامبيه عن 60 عاما</w:t>
      </w:r>
      <w:r w:rsidR="000833C6">
        <w:rPr>
          <w:rFonts w:hint="cs"/>
          <w:rtl/>
        </w:rPr>
        <w:t>ً</w:t>
      </w:r>
      <w:r w:rsidR="000833C6" w:rsidRPr="000833C6">
        <w:rPr>
          <w:rtl/>
        </w:rPr>
        <w:t xml:space="preserve"> ولا يفي بمعايير السلامة الحالية بالإضافة إلى ارتفاع تكاليف التشغيل والصيانة. </w:t>
      </w:r>
      <w:r w:rsidR="000833C6">
        <w:rPr>
          <w:rFonts w:hint="cs"/>
          <w:rtl/>
        </w:rPr>
        <w:t>و</w:t>
      </w:r>
      <w:r w:rsidR="000833C6" w:rsidRPr="000833C6">
        <w:rPr>
          <w:rtl/>
        </w:rPr>
        <w:t>سيتم تصميم المبنى الجديد ليكون مستداما</w:t>
      </w:r>
      <w:r w:rsidR="000833C6">
        <w:rPr>
          <w:rFonts w:hint="cs"/>
          <w:rtl/>
        </w:rPr>
        <w:t>ً</w:t>
      </w:r>
      <w:r w:rsidR="000833C6" w:rsidRPr="000833C6">
        <w:rPr>
          <w:rtl/>
        </w:rPr>
        <w:t xml:space="preserve"> ومرنا</w:t>
      </w:r>
      <w:r w:rsidR="000833C6">
        <w:rPr>
          <w:rFonts w:hint="cs"/>
          <w:rtl/>
        </w:rPr>
        <w:t>ً</w:t>
      </w:r>
      <w:r w:rsidR="000833C6" w:rsidRPr="000833C6">
        <w:rPr>
          <w:rtl/>
        </w:rPr>
        <w:t xml:space="preserve"> وآمنا</w:t>
      </w:r>
      <w:r w:rsidR="000833C6">
        <w:rPr>
          <w:rFonts w:hint="cs"/>
          <w:rtl/>
        </w:rPr>
        <w:t>ً</w:t>
      </w:r>
      <w:r w:rsidR="000833C6" w:rsidRPr="000833C6">
        <w:rPr>
          <w:rtl/>
        </w:rPr>
        <w:t>. وس</w:t>
      </w:r>
      <w:r w:rsidR="000833C6">
        <w:rPr>
          <w:rFonts w:hint="cs"/>
          <w:rtl/>
        </w:rPr>
        <w:t>ي</w:t>
      </w:r>
      <w:r w:rsidR="000833C6" w:rsidRPr="000833C6">
        <w:rPr>
          <w:rtl/>
        </w:rPr>
        <w:t>كون قادر</w:t>
      </w:r>
      <w:r w:rsidR="000833C6">
        <w:rPr>
          <w:rFonts w:hint="cs"/>
          <w:rtl/>
        </w:rPr>
        <w:t>اً</w:t>
      </w:r>
      <w:r w:rsidR="000833C6" w:rsidRPr="000833C6">
        <w:rPr>
          <w:rtl/>
        </w:rPr>
        <w:t xml:space="preserve"> أيضا</w:t>
      </w:r>
      <w:r w:rsidR="000833C6">
        <w:rPr>
          <w:rFonts w:hint="cs"/>
          <w:rtl/>
        </w:rPr>
        <w:t>ً</w:t>
      </w:r>
      <w:r w:rsidR="000833C6" w:rsidRPr="000833C6">
        <w:rPr>
          <w:rtl/>
        </w:rPr>
        <w:t xml:space="preserve"> على استيعاب </w:t>
      </w:r>
      <w:r w:rsidR="000833C6">
        <w:rPr>
          <w:rFonts w:hint="cs"/>
          <w:rtl/>
        </w:rPr>
        <w:t>الزيادة في</w:t>
      </w:r>
      <w:r w:rsidR="000833C6" w:rsidRPr="000833C6">
        <w:rPr>
          <w:rtl/>
        </w:rPr>
        <w:t xml:space="preserve"> عدد أعضاء وموظفي الاتحاد وزيادة عدد الاجتماعات والأحداث التي تُعقد في مقر الاتحاد.</w:t>
      </w:r>
    </w:p>
    <w:p w14:paraId="677FA3F5" w14:textId="3062A336" w:rsidR="002850DB" w:rsidRPr="002850DB" w:rsidRDefault="002850DB" w:rsidP="002850DB">
      <w:pPr>
        <w:pStyle w:val="enumlev1"/>
        <w:rPr>
          <w:rtl/>
        </w:rPr>
      </w:pPr>
      <w:r w:rsidRPr="008E493D">
        <w:sym w:font="Symbol" w:char="F0B7"/>
      </w:r>
      <w:r w:rsidRPr="008E493D">
        <w:rPr>
          <w:rtl/>
        </w:rPr>
        <w:tab/>
      </w:r>
      <w:r w:rsidR="000833C6" w:rsidRPr="008E493D">
        <w:rPr>
          <w:rtl/>
        </w:rPr>
        <w:t>إذا تم إلغاء المشروع، ف</w:t>
      </w:r>
      <w:r w:rsidR="000833C6" w:rsidRPr="008E493D">
        <w:rPr>
          <w:rFonts w:hint="cs"/>
          <w:rtl/>
        </w:rPr>
        <w:t>سيتحتم</w:t>
      </w:r>
      <w:r w:rsidR="000833C6" w:rsidRPr="008E493D">
        <w:rPr>
          <w:rtl/>
        </w:rPr>
        <w:t xml:space="preserve"> سداد </w:t>
      </w:r>
      <w:r w:rsidR="00B972ED" w:rsidRPr="008E493D">
        <w:rPr>
          <w:rFonts w:hint="cs"/>
          <w:rtl/>
        </w:rPr>
        <w:t xml:space="preserve">مبالغ الرعاية والمِنح </w:t>
      </w:r>
      <w:r w:rsidR="000833C6" w:rsidRPr="008E493D">
        <w:rPr>
          <w:rtl/>
        </w:rPr>
        <w:t xml:space="preserve">على الفور وليس هناك ما يضمن إعادة أي أموال. </w:t>
      </w:r>
      <w:r w:rsidR="000833C6" w:rsidRPr="008E493D">
        <w:rPr>
          <w:rFonts w:hint="cs"/>
          <w:rtl/>
        </w:rPr>
        <w:t>و</w:t>
      </w:r>
      <w:r w:rsidR="000833C6" w:rsidRPr="008E493D">
        <w:rPr>
          <w:rtl/>
        </w:rPr>
        <w:t>العروض المالية من المقاولين العموميين سارية حتى نهاية عام 2023 (إذا لم يوقع الاتحاد عقدا</w:t>
      </w:r>
      <w:r w:rsidR="000833C6" w:rsidRPr="008E493D">
        <w:rPr>
          <w:rFonts w:hint="cs"/>
          <w:rtl/>
        </w:rPr>
        <w:t>ً</w:t>
      </w:r>
      <w:r w:rsidR="000833C6" w:rsidRPr="008E493D">
        <w:rPr>
          <w:rtl/>
        </w:rPr>
        <w:t xml:space="preserve"> مع </w:t>
      </w:r>
      <w:r w:rsidR="000833C6" w:rsidRPr="008E493D">
        <w:rPr>
          <w:rFonts w:hint="cs"/>
          <w:rtl/>
        </w:rPr>
        <w:t>ال</w:t>
      </w:r>
      <w:r w:rsidR="000833C6" w:rsidRPr="008E493D">
        <w:rPr>
          <w:rtl/>
        </w:rPr>
        <w:t>مقاول بحلول نهاية عام</w:t>
      </w:r>
      <w:r w:rsidR="00405807" w:rsidRPr="008E493D">
        <w:rPr>
          <w:rFonts w:hint="cs"/>
          <w:rtl/>
        </w:rPr>
        <w:t> </w:t>
      </w:r>
      <w:r w:rsidR="000833C6" w:rsidRPr="008E493D">
        <w:rPr>
          <w:rtl/>
        </w:rPr>
        <w:t xml:space="preserve">2023، فستنتهي العروض، وسيتعين على الاتحاد أن يبدأ عملية تقديم العطاءات مرة أخرى. </w:t>
      </w:r>
      <w:r w:rsidR="000833C6" w:rsidRPr="008E493D">
        <w:rPr>
          <w:rFonts w:hint="cs"/>
          <w:rtl/>
        </w:rPr>
        <w:t>و</w:t>
      </w:r>
      <w:r w:rsidR="000833C6" w:rsidRPr="008E493D">
        <w:rPr>
          <w:rtl/>
        </w:rPr>
        <w:t xml:space="preserve">سيؤدي ذلك إلى زيادة التكاليف وتأخير المشروع. </w:t>
      </w:r>
      <w:r w:rsidR="000833C6" w:rsidRPr="008E493D">
        <w:rPr>
          <w:rFonts w:hint="cs"/>
          <w:rtl/>
        </w:rPr>
        <w:t>و</w:t>
      </w:r>
      <w:r w:rsidR="000833C6" w:rsidRPr="008E493D">
        <w:rPr>
          <w:rtl/>
        </w:rPr>
        <w:t>وفقا</w:t>
      </w:r>
      <w:r w:rsidR="000833C6" w:rsidRPr="008E493D">
        <w:rPr>
          <w:rFonts w:hint="cs"/>
          <w:rtl/>
        </w:rPr>
        <w:t>ً</w:t>
      </w:r>
      <w:r w:rsidR="000833C6" w:rsidRPr="008E493D">
        <w:rPr>
          <w:rtl/>
        </w:rPr>
        <w:t xml:space="preserve"> لتقرير رئيس</w:t>
      </w:r>
      <w:r w:rsidR="00AF2803" w:rsidRPr="008E493D">
        <w:rPr>
          <w:rFonts w:hint="cs"/>
          <w:rtl/>
        </w:rPr>
        <w:t xml:space="preserve"> </w:t>
      </w:r>
      <w:r w:rsidR="00AF2803" w:rsidRPr="008E493D">
        <w:rPr>
          <w:rtl/>
        </w:rPr>
        <w:t>الفريق الاستشاري للدول الأعضاء المعني بمشروع مباني مقر الاتحاد</w:t>
      </w:r>
      <w:r w:rsidR="000833C6" w:rsidRPr="008E493D">
        <w:rPr>
          <w:rtl/>
        </w:rPr>
        <w:t xml:space="preserve"> </w:t>
      </w:r>
      <w:r w:rsidR="00AF2803" w:rsidRPr="008E493D">
        <w:t>(</w:t>
      </w:r>
      <w:r w:rsidR="000833C6" w:rsidRPr="008E493D">
        <w:t>MSAG</w:t>
      </w:r>
      <w:r w:rsidR="00AF2803" w:rsidRPr="008E493D">
        <w:t>)</w:t>
      </w:r>
      <w:r w:rsidR="000833C6" w:rsidRPr="008E493D">
        <w:rPr>
          <w:rtl/>
        </w:rPr>
        <w:t xml:space="preserve"> </w:t>
      </w:r>
      <w:r w:rsidRPr="008E493D">
        <w:rPr>
          <w:rFonts w:hint="cs"/>
          <w:rtl/>
        </w:rPr>
        <w:t>(</w:t>
      </w:r>
      <w:hyperlink r:id="rId22" w:history="1">
        <w:r w:rsidRPr="008E493D">
          <w:rPr>
            <w:rStyle w:val="Hyperlink"/>
            <w:rtl/>
            <w:lang w:bidi="ar-EG"/>
          </w:rPr>
          <w:t xml:space="preserve">الوثيقة </w:t>
        </w:r>
        <w:r w:rsidRPr="008E493D">
          <w:rPr>
            <w:rStyle w:val="Hyperlink"/>
            <w:lang w:bidi="ar-EG"/>
          </w:rPr>
          <w:t>C23/48</w:t>
        </w:r>
      </w:hyperlink>
      <w:r w:rsidRPr="008E493D">
        <w:rPr>
          <w:rFonts w:hint="cs"/>
          <w:rtl/>
        </w:rPr>
        <w:t>)</w:t>
      </w:r>
      <w:r w:rsidR="00AF2803" w:rsidRPr="008E493D">
        <w:rPr>
          <w:rFonts w:hint="cs"/>
          <w:rtl/>
        </w:rPr>
        <w:t xml:space="preserve">، </w:t>
      </w:r>
      <w:r w:rsidR="00AF2803" w:rsidRPr="008E493D">
        <w:rPr>
          <w:rtl/>
        </w:rPr>
        <w:t xml:space="preserve">"إيقاف المشروع الحالي والبدء في خطة جديدة تشمل أعمال تصميم جديدة والتكاليف المرتبطة بها وعملية أخرى </w:t>
      </w:r>
      <w:r w:rsidR="00AF2803" w:rsidRPr="008E493D">
        <w:rPr>
          <w:rFonts w:hint="cs"/>
          <w:rtl/>
        </w:rPr>
        <w:t>لتقديم العطاءات</w:t>
      </w:r>
      <w:r w:rsidR="00AF2803" w:rsidRPr="008E493D">
        <w:rPr>
          <w:rtl/>
        </w:rPr>
        <w:t>، يؤدي إلى تأخير من أربع إلى خمس سنوات".</w:t>
      </w:r>
    </w:p>
    <w:p w14:paraId="066EFF65" w14:textId="679567D1" w:rsidR="002850DB" w:rsidRPr="002850DB" w:rsidRDefault="002850DB" w:rsidP="002850DB">
      <w:pPr>
        <w:pStyle w:val="enumlev1"/>
        <w:rPr>
          <w:rtl/>
        </w:rPr>
      </w:pPr>
      <w:r w:rsidRPr="002850DB">
        <w:sym w:font="Symbol" w:char="F0B7"/>
      </w:r>
      <w:r w:rsidRPr="002850DB">
        <w:rPr>
          <w:rtl/>
        </w:rPr>
        <w:tab/>
      </w:r>
      <w:r w:rsidR="002E3AE4" w:rsidRPr="002E3AE4">
        <w:rPr>
          <w:rtl/>
        </w:rPr>
        <w:t>توجد بالفعل ميزانية مخصصة جزئيا</w:t>
      </w:r>
      <w:r w:rsidR="002E3AE4">
        <w:rPr>
          <w:rFonts w:hint="cs"/>
          <w:rtl/>
        </w:rPr>
        <w:t>ً</w:t>
      </w:r>
      <w:r w:rsidR="002E3AE4" w:rsidRPr="002E3AE4">
        <w:rPr>
          <w:rtl/>
        </w:rPr>
        <w:t xml:space="preserve"> وجدول مفصل لل</w:t>
      </w:r>
      <w:r w:rsidR="002E3AE4">
        <w:rPr>
          <w:rFonts w:hint="cs"/>
          <w:rtl/>
        </w:rPr>
        <w:t>نفقات</w:t>
      </w:r>
      <w:r w:rsidR="002E3AE4" w:rsidRPr="002E3AE4">
        <w:rPr>
          <w:rtl/>
        </w:rPr>
        <w:t xml:space="preserve"> يحدد المدفوعات السنوية للمشروع ويمكن للاتحاد أن يبدأ المشروع إذا أكدت الدول الأعضاء التزامها بتمويل الأموال المتبقية اللازمة لإكمال تنفيذ مشروع المبنى الجديد. </w:t>
      </w:r>
      <w:r w:rsidR="002E3AE4">
        <w:rPr>
          <w:rFonts w:hint="cs"/>
          <w:rtl/>
        </w:rPr>
        <w:t>و</w:t>
      </w:r>
      <w:r w:rsidR="002E3AE4" w:rsidRPr="002E3AE4">
        <w:rPr>
          <w:rtl/>
        </w:rPr>
        <w:t xml:space="preserve">يتوافق </w:t>
      </w:r>
      <w:r w:rsidR="002E3AE4">
        <w:rPr>
          <w:rFonts w:hint="cs"/>
          <w:rtl/>
        </w:rPr>
        <w:t xml:space="preserve">ذلك </w:t>
      </w:r>
      <w:r w:rsidR="002E3AE4" w:rsidRPr="002E3AE4">
        <w:rPr>
          <w:rtl/>
        </w:rPr>
        <w:t>مع قواعد ولوائح وإجراءات الاتحاد.</w:t>
      </w:r>
    </w:p>
    <w:p w14:paraId="6F353B96" w14:textId="4E93970F" w:rsidR="00F50E3F" w:rsidRPr="002850DB" w:rsidRDefault="002850DB" w:rsidP="002850DB">
      <w:pPr>
        <w:pStyle w:val="Heading1"/>
        <w:rPr>
          <w:rtl/>
          <w:lang w:bidi="ar-EG"/>
        </w:rPr>
      </w:pPr>
      <w:r w:rsidRPr="002850DB">
        <w:rPr>
          <w:rFonts w:hint="cs"/>
          <w:rtl/>
          <w:lang w:bidi="ar-EG"/>
        </w:rPr>
        <w:t>3</w:t>
      </w:r>
      <w:r w:rsidRPr="002850DB">
        <w:rPr>
          <w:rtl/>
          <w:lang w:bidi="ar-EG"/>
        </w:rPr>
        <w:tab/>
      </w:r>
      <w:r w:rsidRPr="002850DB">
        <w:rPr>
          <w:rFonts w:hint="cs"/>
          <w:rtl/>
          <w:lang w:bidi="ar-EG"/>
        </w:rPr>
        <w:t>المقترح</w:t>
      </w:r>
    </w:p>
    <w:p w14:paraId="0F16E9F4" w14:textId="0EBD1EF2" w:rsidR="002850DB" w:rsidRPr="002850DB" w:rsidRDefault="00D51B3C" w:rsidP="00E61BE8">
      <w:pPr>
        <w:rPr>
          <w:rtl/>
          <w:lang w:bidi="ar-EG"/>
        </w:rPr>
      </w:pPr>
      <w:r w:rsidRPr="00D51B3C">
        <w:rPr>
          <w:rtl/>
          <w:lang w:bidi="ar-EG"/>
        </w:rPr>
        <w:t>وفقا</w:t>
      </w:r>
      <w:r>
        <w:rPr>
          <w:rFonts w:hint="cs"/>
          <w:rtl/>
          <w:lang w:bidi="ar-EG"/>
        </w:rPr>
        <w:t>ً</w:t>
      </w:r>
      <w:r w:rsidRPr="00D51B3C">
        <w:rPr>
          <w:rtl/>
          <w:lang w:bidi="ar-EG"/>
        </w:rPr>
        <w:t xml:space="preserve"> للتحليلات أعلاه و</w:t>
      </w:r>
      <w:r>
        <w:rPr>
          <w:rFonts w:hint="cs"/>
          <w:rtl/>
          <w:lang w:bidi="ar-EG"/>
        </w:rPr>
        <w:t>طبقاً</w:t>
      </w:r>
      <w:r w:rsidRPr="00D51B3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D51B3C">
        <w:rPr>
          <w:rtl/>
          <w:lang w:bidi="ar-EG"/>
        </w:rPr>
        <w:t>لميزانية المخصصة جزئيا</w:t>
      </w:r>
      <w:r>
        <w:rPr>
          <w:rFonts w:hint="cs"/>
          <w:rtl/>
          <w:lang w:bidi="ar-EG"/>
        </w:rPr>
        <w:t>ً</w:t>
      </w:r>
      <w:r w:rsidRPr="00D51B3C">
        <w:rPr>
          <w:rtl/>
          <w:lang w:bidi="ar-EG"/>
        </w:rPr>
        <w:t xml:space="preserve"> بالفعل (تم استلام </w:t>
      </w:r>
      <w:r w:rsidR="00DB4843">
        <w:rPr>
          <w:lang w:bidi="ar-EG"/>
        </w:rPr>
        <w:t>%75</w:t>
      </w:r>
      <w:r w:rsidRPr="00D51B3C">
        <w:rPr>
          <w:rtl/>
          <w:lang w:bidi="ar-EG"/>
        </w:rPr>
        <w:t xml:space="preserve"> من الأموال وتأمينها) للمشروع، </w:t>
      </w:r>
      <w:r>
        <w:rPr>
          <w:rFonts w:hint="cs"/>
          <w:rtl/>
          <w:lang w:bidi="ar-EG"/>
        </w:rPr>
        <w:t>و</w:t>
      </w:r>
      <w:r w:rsidRPr="00D51B3C">
        <w:rPr>
          <w:rtl/>
          <w:lang w:bidi="ar-EG"/>
        </w:rPr>
        <w:t>مع مراعاة جدول نفقات مبنى الاتحاد واللوائح والقواعد المالية ذات الصلة، نقترح ما يلي.</w:t>
      </w:r>
    </w:p>
    <w:p w14:paraId="6C74CE50" w14:textId="60464E9F" w:rsidR="002850DB" w:rsidRPr="002850DB" w:rsidRDefault="002850DB" w:rsidP="004F79F7">
      <w:pPr>
        <w:pStyle w:val="enumlev1"/>
        <w:rPr>
          <w:rtl/>
          <w:lang w:bidi="ar-EG"/>
        </w:rPr>
      </w:pPr>
      <w:r w:rsidRPr="002850DB">
        <w:rPr>
          <w:rFonts w:hint="cs"/>
          <w:rtl/>
          <w:lang w:bidi="ar-EG"/>
        </w:rPr>
        <w:t>1</w:t>
      </w:r>
      <w:r w:rsidRPr="002850DB">
        <w:rPr>
          <w:rtl/>
          <w:lang w:bidi="ar-EG"/>
        </w:rPr>
        <w:tab/>
      </w:r>
      <w:r w:rsidR="00D51B3C" w:rsidRPr="00D51B3C">
        <w:rPr>
          <w:rtl/>
          <w:lang w:bidi="ar-EG"/>
        </w:rPr>
        <w:t xml:space="preserve">أن </w:t>
      </w:r>
      <w:r w:rsidR="00D51B3C">
        <w:rPr>
          <w:rFonts w:hint="cs"/>
          <w:rtl/>
          <w:lang w:bidi="ar-EG"/>
        </w:rPr>
        <w:t>تتفضل</w:t>
      </w:r>
      <w:r w:rsidR="00D51B3C" w:rsidRPr="00D51B3C">
        <w:rPr>
          <w:rtl/>
          <w:lang w:bidi="ar-EG"/>
        </w:rPr>
        <w:t xml:space="preserve"> الأمين</w:t>
      </w:r>
      <w:r w:rsidR="00D51B3C">
        <w:rPr>
          <w:rFonts w:hint="cs"/>
          <w:rtl/>
          <w:lang w:bidi="ar-EG"/>
        </w:rPr>
        <w:t>ة</w:t>
      </w:r>
      <w:r w:rsidR="00D51B3C" w:rsidRPr="00D51B3C">
        <w:rPr>
          <w:rtl/>
          <w:lang w:bidi="ar-EG"/>
        </w:rPr>
        <w:t xml:space="preserve"> العام</w:t>
      </w:r>
      <w:r w:rsidR="00D51B3C">
        <w:rPr>
          <w:rFonts w:hint="cs"/>
          <w:rtl/>
          <w:lang w:bidi="ar-EG"/>
        </w:rPr>
        <w:t>ة</w:t>
      </w:r>
      <w:r w:rsidR="00D51B3C" w:rsidRPr="00D51B3C">
        <w:rPr>
          <w:rtl/>
          <w:lang w:bidi="ar-EG"/>
        </w:rPr>
        <w:t xml:space="preserve"> </w:t>
      </w:r>
      <w:r w:rsidR="00D51B3C">
        <w:rPr>
          <w:rFonts w:hint="cs"/>
          <w:rtl/>
          <w:lang w:bidi="ar-EG"/>
        </w:rPr>
        <w:t>بالتفاوض</w:t>
      </w:r>
      <w:r w:rsidR="00D51B3C" w:rsidRPr="00D51B3C">
        <w:rPr>
          <w:rtl/>
          <w:lang w:bidi="ar-EG"/>
        </w:rPr>
        <w:t xml:space="preserve"> مع المقاول العام لإيجاد </w:t>
      </w:r>
      <w:r w:rsidR="00B44BDF">
        <w:rPr>
          <w:rFonts w:hint="cs"/>
          <w:rtl/>
          <w:lang w:bidi="ar-EG"/>
        </w:rPr>
        <w:t>سبل</w:t>
      </w:r>
      <w:r w:rsidR="00D51B3C" w:rsidRPr="00D51B3C">
        <w:rPr>
          <w:rtl/>
          <w:lang w:bidi="ar-EG"/>
        </w:rPr>
        <w:t xml:space="preserve"> لخفض التكلفة الإجمالية لمبالغ الزيادة في الميزانية المنقحة المذكورة في </w:t>
      </w:r>
      <w:r w:rsidR="00BD0AFA">
        <w:rPr>
          <w:rFonts w:hint="cs"/>
          <w:rtl/>
          <w:lang w:bidi="ar-EG"/>
        </w:rPr>
        <w:t>الملحق</w:t>
      </w:r>
      <w:r w:rsidR="00D51B3C" w:rsidRPr="00D51B3C">
        <w:rPr>
          <w:rtl/>
          <w:lang w:bidi="ar-EG"/>
        </w:rPr>
        <w:t xml:space="preserve"> </w:t>
      </w:r>
      <w:r w:rsidR="00B44BDF">
        <w:rPr>
          <w:lang w:bidi="ar-EG"/>
        </w:rPr>
        <w:t>A</w:t>
      </w:r>
      <w:r w:rsidR="00D51B3C" w:rsidRPr="00D51B3C">
        <w:rPr>
          <w:rtl/>
          <w:lang w:bidi="ar-EG"/>
        </w:rPr>
        <w:t xml:space="preserve"> من التقرير عن مشروع مباني مقر الاتحاد</w:t>
      </w:r>
      <w:r w:rsidRPr="002850DB">
        <w:rPr>
          <w:rFonts w:hint="cs"/>
          <w:rtl/>
          <w:lang w:bidi="ar-EG"/>
        </w:rPr>
        <w:t xml:space="preserve"> (</w:t>
      </w:r>
      <w:hyperlink r:id="rId23" w:history="1">
        <w:r w:rsidRPr="002850DB">
          <w:rPr>
            <w:rStyle w:val="Hyperlink"/>
            <w:rtl/>
            <w:lang w:bidi="ar-EG"/>
          </w:rPr>
          <w:t xml:space="preserve">الوثيقة </w:t>
        </w:r>
        <w:r w:rsidRPr="002850DB">
          <w:rPr>
            <w:rStyle w:val="Hyperlink"/>
            <w:lang w:bidi="ar-EG"/>
          </w:rPr>
          <w:t>C23/7</w:t>
        </w:r>
      </w:hyperlink>
      <w:r w:rsidRPr="002850DB">
        <w:rPr>
          <w:rFonts w:hint="cs"/>
          <w:rtl/>
          <w:lang w:bidi="ar-EG"/>
        </w:rPr>
        <w:t>)</w:t>
      </w:r>
      <w:r w:rsidR="00B44BDF">
        <w:rPr>
          <w:rFonts w:hint="cs"/>
          <w:rtl/>
          <w:lang w:bidi="ar-EG"/>
        </w:rPr>
        <w:t>.</w:t>
      </w:r>
      <w:r w:rsidRPr="002850DB">
        <w:rPr>
          <w:rFonts w:hint="cs"/>
          <w:rtl/>
          <w:lang w:bidi="ar-EG"/>
        </w:rPr>
        <w:t xml:space="preserve"> </w:t>
      </w:r>
      <w:r w:rsidR="00B44BDF">
        <w:rPr>
          <w:rFonts w:hint="cs"/>
          <w:rtl/>
          <w:lang w:bidi="ar-EG"/>
        </w:rPr>
        <w:t>و</w:t>
      </w:r>
      <w:r w:rsidR="00B44BDF" w:rsidRPr="00B44BDF">
        <w:rPr>
          <w:rtl/>
          <w:lang w:bidi="ar-EG"/>
        </w:rPr>
        <w:t xml:space="preserve">قد يشمل ذلك تحديد </w:t>
      </w:r>
      <w:r w:rsidR="00B44BDF" w:rsidRPr="00405807">
        <w:rPr>
          <w:spacing w:val="-4"/>
          <w:rtl/>
          <w:lang w:bidi="ar-EG"/>
        </w:rPr>
        <w:t xml:space="preserve">المناطق في المشروع التي يمكن استبدالها بتصميمات أو متطلبات منخفضة التكلفة. </w:t>
      </w:r>
      <w:r w:rsidR="00B44BDF" w:rsidRPr="00405807">
        <w:rPr>
          <w:rFonts w:hint="cs"/>
          <w:spacing w:val="-4"/>
          <w:rtl/>
          <w:lang w:bidi="ar-EG"/>
        </w:rPr>
        <w:t>و</w:t>
      </w:r>
      <w:r w:rsidR="00B44BDF" w:rsidRPr="00405807">
        <w:rPr>
          <w:spacing w:val="-4"/>
          <w:rtl/>
          <w:lang w:bidi="ar-EG"/>
        </w:rPr>
        <w:t>يجب الانتهاء من هذه</w:t>
      </w:r>
      <w:r w:rsidR="00405807" w:rsidRPr="00405807">
        <w:rPr>
          <w:rFonts w:hint="cs"/>
          <w:spacing w:val="-4"/>
          <w:rtl/>
          <w:lang w:bidi="ar-EG"/>
        </w:rPr>
        <w:t> </w:t>
      </w:r>
      <w:r w:rsidR="00B44BDF" w:rsidRPr="00405807">
        <w:rPr>
          <w:spacing w:val="-4"/>
          <w:rtl/>
          <w:lang w:bidi="ar-EG"/>
        </w:rPr>
        <w:t>المفاوضات قبل سبتمبر 2023.</w:t>
      </w:r>
    </w:p>
    <w:p w14:paraId="04A6135C" w14:textId="7290727F" w:rsidR="002850DB" w:rsidRPr="002850DB" w:rsidRDefault="002850DB" w:rsidP="00CA157C">
      <w:pPr>
        <w:pStyle w:val="enumlev1"/>
        <w:rPr>
          <w:rtl/>
          <w:lang w:bidi="ar-EG"/>
        </w:rPr>
      </w:pPr>
      <w:r w:rsidRPr="002850DB">
        <w:rPr>
          <w:rFonts w:hint="cs"/>
          <w:rtl/>
          <w:lang w:bidi="ar-EG"/>
        </w:rPr>
        <w:lastRenderedPageBreak/>
        <w:t>2</w:t>
      </w:r>
      <w:r w:rsidRPr="002850DB">
        <w:rPr>
          <w:rtl/>
          <w:lang w:bidi="ar-EG"/>
        </w:rPr>
        <w:tab/>
      </w:r>
      <w:r w:rsidR="00CA157C" w:rsidRPr="00CA157C">
        <w:rPr>
          <w:rtl/>
          <w:lang w:bidi="ar-EG"/>
        </w:rPr>
        <w:t xml:space="preserve">لا توجد تفسيرات كافية مذكورة في </w:t>
      </w:r>
      <w:hyperlink r:id="rId24" w:history="1">
        <w:r w:rsidRPr="002850DB">
          <w:rPr>
            <w:rStyle w:val="Hyperlink"/>
            <w:rtl/>
            <w:lang w:bidi="ar-EG"/>
          </w:rPr>
          <w:t xml:space="preserve">الوثيقة </w:t>
        </w:r>
        <w:r w:rsidRPr="002850DB">
          <w:rPr>
            <w:rStyle w:val="Hyperlink"/>
            <w:lang w:bidi="ar-EG"/>
          </w:rPr>
          <w:t>C23/7</w:t>
        </w:r>
      </w:hyperlink>
      <w:r w:rsidRPr="002850DB">
        <w:rPr>
          <w:rFonts w:hint="cs"/>
          <w:rtl/>
          <w:lang w:bidi="ar-EG"/>
        </w:rPr>
        <w:t xml:space="preserve"> </w:t>
      </w:r>
      <w:r w:rsidR="00CA157C" w:rsidRPr="00CA157C">
        <w:rPr>
          <w:rtl/>
          <w:lang w:bidi="ar-EG"/>
        </w:rPr>
        <w:t>لتبرير الأرقام الواردة في الميزانية الم</w:t>
      </w:r>
      <w:r w:rsidR="00CA157C">
        <w:rPr>
          <w:rFonts w:hint="cs"/>
          <w:rtl/>
          <w:lang w:bidi="ar-EG"/>
        </w:rPr>
        <w:t>نقحة</w:t>
      </w:r>
      <w:r w:rsidR="00CA157C" w:rsidRPr="00CA157C">
        <w:rPr>
          <w:rtl/>
          <w:lang w:bidi="ar-EG"/>
        </w:rPr>
        <w:t xml:space="preserve"> في الملحقين </w:t>
      </w:r>
      <w:r w:rsidR="00CA157C">
        <w:rPr>
          <w:lang w:bidi="ar-EG"/>
        </w:rPr>
        <w:t>A</w:t>
      </w:r>
      <w:r w:rsidR="00CA157C" w:rsidRPr="00CA157C">
        <w:rPr>
          <w:rtl/>
          <w:lang w:bidi="ar-EG"/>
        </w:rPr>
        <w:t xml:space="preserve"> و</w:t>
      </w:r>
      <w:r w:rsidR="00CA157C">
        <w:rPr>
          <w:lang w:bidi="ar-EG"/>
        </w:rPr>
        <w:t>B</w:t>
      </w:r>
      <w:r w:rsidR="00CA157C">
        <w:rPr>
          <w:rFonts w:hint="cs"/>
          <w:rtl/>
          <w:lang w:bidi="ar-EG"/>
        </w:rPr>
        <w:t>.</w:t>
      </w:r>
      <w:r w:rsidR="000749A5">
        <w:rPr>
          <w:rFonts w:hint="cs"/>
          <w:rtl/>
          <w:lang w:bidi="ar-EG"/>
        </w:rPr>
        <w:t xml:space="preserve"> ف</w:t>
      </w:r>
      <w:r w:rsidR="000749A5" w:rsidRPr="000749A5">
        <w:rPr>
          <w:rtl/>
          <w:lang w:bidi="ar-EG"/>
        </w:rPr>
        <w:t xml:space="preserve">على سبيل المثال، ليس من الواضح سبب زيادة ميزانية الوسائل السمعية والبصرية والأثاث والتركيبات والمعدات من </w:t>
      </w:r>
      <w:r w:rsidR="00626262">
        <w:rPr>
          <w:lang w:bidi="ar-EG"/>
        </w:rPr>
        <w:t>13 630 000</w:t>
      </w:r>
      <w:r w:rsidR="000749A5" w:rsidRPr="000749A5">
        <w:rPr>
          <w:rtl/>
          <w:lang w:bidi="ar-EG"/>
        </w:rPr>
        <w:t xml:space="preserve"> إلى</w:t>
      </w:r>
      <w:r w:rsidR="00626262">
        <w:rPr>
          <w:rFonts w:hint="cs"/>
          <w:rtl/>
          <w:lang w:bidi="ar-EG"/>
        </w:rPr>
        <w:t xml:space="preserve"> </w:t>
      </w:r>
      <w:r w:rsidR="00626262">
        <w:rPr>
          <w:lang w:bidi="ar-EG"/>
        </w:rPr>
        <w:t>18 355 000</w:t>
      </w:r>
      <w:r w:rsidR="00626262">
        <w:rPr>
          <w:rFonts w:hint="cs"/>
          <w:rtl/>
          <w:lang w:bidi="ar-EG"/>
        </w:rPr>
        <w:t>.</w:t>
      </w:r>
      <w:r w:rsidR="000749A5" w:rsidRPr="000749A5">
        <w:rPr>
          <w:rtl/>
          <w:lang w:bidi="ar-EG"/>
        </w:rPr>
        <w:t xml:space="preserve"> نرجو من أمانة الاتحاد أن تقدم، قبل سبتمبر 2023، معلومات مفصلة تساعد في</w:t>
      </w:r>
      <w:r w:rsidR="00626262">
        <w:rPr>
          <w:rFonts w:hint="cs"/>
          <w:rtl/>
          <w:lang w:bidi="ar-EG"/>
        </w:rPr>
        <w:t> </w:t>
      </w:r>
      <w:r w:rsidR="000749A5" w:rsidRPr="000749A5">
        <w:rPr>
          <w:rtl/>
          <w:lang w:bidi="ar-EG"/>
        </w:rPr>
        <w:t>تحديد أسباب هذه الزيادات.</w:t>
      </w:r>
    </w:p>
    <w:p w14:paraId="30E87EDE" w14:textId="59EE030B" w:rsidR="002850DB" w:rsidRDefault="002850DB" w:rsidP="004F79F7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0749A5" w:rsidRPr="000749A5">
        <w:rPr>
          <w:rtl/>
          <w:lang w:bidi="ar-EG"/>
        </w:rPr>
        <w:t xml:space="preserve">عقد </w:t>
      </w:r>
      <w:r w:rsidR="000749A5">
        <w:rPr>
          <w:rFonts w:hint="cs"/>
          <w:rtl/>
          <w:lang w:bidi="ar-EG"/>
        </w:rPr>
        <w:t xml:space="preserve">دورة </w:t>
      </w:r>
      <w:r w:rsidR="000749A5" w:rsidRPr="000749A5">
        <w:rPr>
          <w:rtl/>
          <w:lang w:bidi="ar-EG"/>
        </w:rPr>
        <w:t>إضافية للمجلس في سبتمبر 2023 لمناقشة نتائج</w:t>
      </w:r>
      <w:r w:rsidR="000749A5">
        <w:rPr>
          <w:rFonts w:hint="cs"/>
          <w:rtl/>
          <w:lang w:bidi="ar-EG"/>
        </w:rPr>
        <w:t xml:space="preserve"> البندين</w:t>
      </w:r>
      <w:r w:rsidR="000749A5" w:rsidRPr="000749A5">
        <w:rPr>
          <w:rtl/>
          <w:lang w:bidi="ar-EG"/>
        </w:rPr>
        <w:t xml:space="preserve"> (1) و(2) أعلاه والموافقة على تمويل إضافي (إن</w:t>
      </w:r>
      <w:r w:rsidR="00626262">
        <w:rPr>
          <w:rFonts w:hint="cs"/>
          <w:rtl/>
          <w:lang w:bidi="ar-EG"/>
        </w:rPr>
        <w:t> </w:t>
      </w:r>
      <w:r w:rsidR="000749A5" w:rsidRPr="000749A5">
        <w:rPr>
          <w:rtl/>
          <w:lang w:bidi="ar-EG"/>
        </w:rPr>
        <w:t>وجد) لتكاليف المشروع وتمويله.</w:t>
      </w:r>
    </w:p>
    <w:p w14:paraId="55C5B2E9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C772" w14:textId="77777777" w:rsidR="00DE163C" w:rsidRDefault="00DE163C" w:rsidP="006C3242">
      <w:pPr>
        <w:spacing w:before="0" w:line="240" w:lineRule="auto"/>
      </w:pPr>
      <w:r>
        <w:separator/>
      </w:r>
    </w:p>
  </w:endnote>
  <w:endnote w:type="continuationSeparator" w:id="0">
    <w:p w14:paraId="6E40A498" w14:textId="77777777" w:rsidR="00DE163C" w:rsidRDefault="00DE163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DDC0" w14:textId="77777777" w:rsidR="00C3541D" w:rsidRDefault="00C35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250B41BD" w14:textId="77777777" w:rsidTr="00357086">
      <w:trPr>
        <w:jc w:val="center"/>
      </w:trPr>
      <w:tc>
        <w:tcPr>
          <w:tcW w:w="868" w:type="pct"/>
          <w:vAlign w:val="center"/>
        </w:tcPr>
        <w:p w14:paraId="3F6D42BC" w14:textId="058D9052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2850DB">
            <w:rPr>
              <w:rFonts w:ascii="Calibri" w:hAnsi="Calibri" w:cs="Arial"/>
              <w:sz w:val="18"/>
              <w:szCs w:val="14"/>
            </w:rPr>
            <w:t>525366</w:t>
          </w:r>
        </w:p>
      </w:tc>
      <w:tc>
        <w:tcPr>
          <w:tcW w:w="3912" w:type="pct"/>
        </w:tcPr>
        <w:p w14:paraId="5DA5EF6D" w14:textId="1A4CD210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2850DB">
            <w:rPr>
              <w:rFonts w:ascii="Calibri" w:hAnsi="Calibri" w:cs="Arial"/>
              <w:bCs/>
              <w:color w:val="7F7F7F"/>
              <w:sz w:val="18"/>
            </w:rPr>
            <w:t>95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1DF0D3A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BE5B711" w14:textId="759E5878" w:rsidR="006C3242" w:rsidRPr="00705B43" w:rsidRDefault="00705B43" w:rsidP="00705B4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F210F9">
      <w:rPr>
        <w:color w:val="F2F2F2" w:themeColor="background1" w:themeShade="F2"/>
        <w:sz w:val="16"/>
        <w:szCs w:val="16"/>
        <w:lang w:val="fr-FR"/>
      </w:rPr>
      <w:fldChar w:fldCharType="begin"/>
    </w:r>
    <w:r w:rsidRPr="00F210F9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F210F9">
      <w:rPr>
        <w:color w:val="F2F2F2" w:themeColor="background1" w:themeShade="F2"/>
        <w:sz w:val="16"/>
        <w:szCs w:val="16"/>
        <w:lang w:val="fr-FR"/>
      </w:rPr>
      <w:fldChar w:fldCharType="separate"/>
    </w:r>
    <w:r w:rsidR="00405807" w:rsidRPr="00F210F9">
      <w:rPr>
        <w:noProof/>
        <w:color w:val="F2F2F2" w:themeColor="background1" w:themeShade="F2"/>
        <w:sz w:val="16"/>
        <w:szCs w:val="16"/>
        <w:lang w:val="fr-FR"/>
      </w:rPr>
      <w:t>P:\ARA\SG\CONSEIL\C23\000\095A.docx</w:t>
    </w:r>
    <w:r w:rsidRPr="00F210F9">
      <w:rPr>
        <w:color w:val="F2F2F2" w:themeColor="background1" w:themeShade="F2"/>
        <w:sz w:val="16"/>
        <w:szCs w:val="16"/>
      </w:rPr>
      <w:fldChar w:fldCharType="end"/>
    </w:r>
    <w:proofErr w:type="gramStart"/>
    <w:r w:rsidRPr="00F210F9">
      <w:rPr>
        <w:color w:val="F2F2F2" w:themeColor="background1" w:themeShade="F2"/>
        <w:sz w:val="16"/>
        <w:szCs w:val="16"/>
        <w:lang w:val="fr-CH"/>
      </w:rPr>
      <w:t xml:space="preserve">  </w:t>
    </w:r>
    <w:r w:rsidRPr="00F210F9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Pr="00F210F9">
      <w:rPr>
        <w:color w:val="F2F2F2" w:themeColor="background1" w:themeShade="F2"/>
        <w:sz w:val="16"/>
        <w:szCs w:val="16"/>
        <w:lang w:val="fr-FR"/>
      </w:rPr>
      <w:t>525366)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2F15B4F9" w14:textId="77777777" w:rsidTr="00F50E3F">
      <w:trPr>
        <w:jc w:val="center"/>
      </w:trPr>
      <w:tc>
        <w:tcPr>
          <w:tcW w:w="868" w:type="pct"/>
          <w:vAlign w:val="center"/>
        </w:tcPr>
        <w:p w14:paraId="0C743B4D" w14:textId="77777777" w:rsidR="007B0AA0" w:rsidRPr="009E29AA" w:rsidRDefault="00000000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0000FF"/>
              <w:sz w:val="18"/>
              <w:u w:val="single"/>
            </w:rPr>
          </w:pPr>
          <w:hyperlink r:id="rId1" w:history="1">
            <w:r w:rsidR="007B0AA0" w:rsidRPr="009E29AA">
              <w:rPr>
                <w:rFonts w:ascii="Calibri" w:hAnsi="Calibri" w:cs="Arial"/>
                <w:color w:val="0000FF"/>
                <w:sz w:val="18"/>
                <w:szCs w:val="14"/>
                <w:u w:val="single"/>
              </w:rPr>
              <w:t>www.itu.int/council</w:t>
            </w:r>
          </w:hyperlink>
        </w:p>
      </w:tc>
      <w:tc>
        <w:tcPr>
          <w:tcW w:w="3912" w:type="pct"/>
        </w:tcPr>
        <w:p w14:paraId="62139F8F" w14:textId="6CC7644B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2850DB">
            <w:rPr>
              <w:rFonts w:ascii="Calibri" w:hAnsi="Calibri" w:cs="Arial"/>
              <w:bCs/>
              <w:color w:val="7F7F7F"/>
              <w:sz w:val="18"/>
            </w:rPr>
            <w:t>95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5DD1FB2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ECC8EF8" w14:textId="3FDE0281" w:rsidR="0006468A" w:rsidRPr="00705B43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F210F9">
      <w:rPr>
        <w:color w:val="F2F2F2" w:themeColor="background1" w:themeShade="F2"/>
        <w:sz w:val="16"/>
        <w:szCs w:val="16"/>
        <w:lang w:val="fr-FR"/>
      </w:rPr>
      <w:fldChar w:fldCharType="begin"/>
    </w:r>
    <w:r w:rsidRPr="00F210F9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F210F9">
      <w:rPr>
        <w:color w:val="F2F2F2" w:themeColor="background1" w:themeShade="F2"/>
        <w:sz w:val="16"/>
        <w:szCs w:val="16"/>
        <w:lang w:val="fr-FR"/>
      </w:rPr>
      <w:fldChar w:fldCharType="separate"/>
    </w:r>
    <w:r w:rsidR="009E29AA" w:rsidRPr="00F210F9">
      <w:rPr>
        <w:noProof/>
        <w:color w:val="F2F2F2" w:themeColor="background1" w:themeShade="F2"/>
        <w:sz w:val="16"/>
        <w:szCs w:val="16"/>
        <w:lang w:val="fr-FR"/>
      </w:rPr>
      <w:t>P:\ARA\SG\CONSEIL\C23\000\095A.docx</w:t>
    </w:r>
    <w:r w:rsidRPr="00F210F9">
      <w:rPr>
        <w:color w:val="F2F2F2" w:themeColor="background1" w:themeShade="F2"/>
        <w:sz w:val="16"/>
        <w:szCs w:val="16"/>
      </w:rPr>
      <w:fldChar w:fldCharType="end"/>
    </w:r>
    <w:r w:rsidRPr="00F210F9">
      <w:rPr>
        <w:color w:val="F2F2F2" w:themeColor="background1" w:themeShade="F2"/>
        <w:sz w:val="16"/>
        <w:szCs w:val="16"/>
        <w:lang w:val="fr-CH"/>
      </w:rPr>
      <w:t xml:space="preserve">  </w:t>
    </w:r>
    <w:r w:rsidRPr="00F210F9">
      <w:rPr>
        <w:color w:val="F2F2F2" w:themeColor="background1" w:themeShade="F2"/>
        <w:sz w:val="16"/>
        <w:szCs w:val="16"/>
        <w:lang w:val="fr-FR"/>
      </w:rPr>
      <w:t xml:space="preserve"> (</w:t>
    </w:r>
    <w:r w:rsidR="00705B43" w:rsidRPr="00F210F9">
      <w:rPr>
        <w:color w:val="F2F2F2" w:themeColor="background1" w:themeShade="F2"/>
        <w:sz w:val="16"/>
        <w:szCs w:val="16"/>
        <w:lang w:val="fr-FR"/>
      </w:rPr>
      <w:t>525366</w:t>
    </w:r>
    <w:r w:rsidRPr="00F210F9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3042" w14:textId="77777777" w:rsidR="00DE163C" w:rsidRDefault="00DE163C" w:rsidP="006C3242">
      <w:pPr>
        <w:spacing w:before="0" w:line="240" w:lineRule="auto"/>
      </w:pPr>
      <w:r>
        <w:separator/>
      </w:r>
    </w:p>
  </w:footnote>
  <w:footnote w:type="continuationSeparator" w:id="0">
    <w:p w14:paraId="0F012798" w14:textId="77777777" w:rsidR="00DE163C" w:rsidRDefault="00DE163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64AA" w14:textId="77777777" w:rsidR="00C3541D" w:rsidRDefault="00C35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5A9F" w14:textId="77777777" w:rsidR="00C3541D" w:rsidRDefault="00C354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8145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45AD14C8" wp14:editId="1C030AF5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DB"/>
    <w:rsid w:val="0006468A"/>
    <w:rsid w:val="000749A5"/>
    <w:rsid w:val="000833C6"/>
    <w:rsid w:val="00090574"/>
    <w:rsid w:val="000933EF"/>
    <w:rsid w:val="000A679C"/>
    <w:rsid w:val="000C1C0E"/>
    <w:rsid w:val="000C548A"/>
    <w:rsid w:val="000D07A6"/>
    <w:rsid w:val="001244E3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850DB"/>
    <w:rsid w:val="00290728"/>
    <w:rsid w:val="002978F4"/>
    <w:rsid w:val="002B028D"/>
    <w:rsid w:val="002E3AE4"/>
    <w:rsid w:val="002E6541"/>
    <w:rsid w:val="00334924"/>
    <w:rsid w:val="003409BC"/>
    <w:rsid w:val="00357185"/>
    <w:rsid w:val="00383829"/>
    <w:rsid w:val="003F4B29"/>
    <w:rsid w:val="00405807"/>
    <w:rsid w:val="00413A82"/>
    <w:rsid w:val="0042686F"/>
    <w:rsid w:val="00430771"/>
    <w:rsid w:val="004317D8"/>
    <w:rsid w:val="00434183"/>
    <w:rsid w:val="00440004"/>
    <w:rsid w:val="00443869"/>
    <w:rsid w:val="00447F32"/>
    <w:rsid w:val="004B7334"/>
    <w:rsid w:val="004D1909"/>
    <w:rsid w:val="004E11DC"/>
    <w:rsid w:val="004F79F7"/>
    <w:rsid w:val="00525DDD"/>
    <w:rsid w:val="005409AC"/>
    <w:rsid w:val="0055516A"/>
    <w:rsid w:val="0058491B"/>
    <w:rsid w:val="00592EA5"/>
    <w:rsid w:val="00594CA9"/>
    <w:rsid w:val="005A3170"/>
    <w:rsid w:val="005F7F44"/>
    <w:rsid w:val="00600353"/>
    <w:rsid w:val="00626262"/>
    <w:rsid w:val="00677396"/>
    <w:rsid w:val="00682AF2"/>
    <w:rsid w:val="0069200F"/>
    <w:rsid w:val="006A65CB"/>
    <w:rsid w:val="006C3242"/>
    <w:rsid w:val="006C7CC0"/>
    <w:rsid w:val="006F63F7"/>
    <w:rsid w:val="007025C7"/>
    <w:rsid w:val="00705B43"/>
    <w:rsid w:val="00706316"/>
    <w:rsid w:val="00706D7A"/>
    <w:rsid w:val="00722F0D"/>
    <w:rsid w:val="0074420E"/>
    <w:rsid w:val="00750D58"/>
    <w:rsid w:val="007549C2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7F84"/>
    <w:rsid w:val="008D1425"/>
    <w:rsid w:val="008E493D"/>
    <w:rsid w:val="0091702E"/>
    <w:rsid w:val="00923B0C"/>
    <w:rsid w:val="0094021C"/>
    <w:rsid w:val="00952F86"/>
    <w:rsid w:val="00982B28"/>
    <w:rsid w:val="009D313F"/>
    <w:rsid w:val="009E29AA"/>
    <w:rsid w:val="009F6A7B"/>
    <w:rsid w:val="00A12BCA"/>
    <w:rsid w:val="00A47A5A"/>
    <w:rsid w:val="00A6683B"/>
    <w:rsid w:val="00A97F94"/>
    <w:rsid w:val="00AA7EA2"/>
    <w:rsid w:val="00AD1B64"/>
    <w:rsid w:val="00AF2803"/>
    <w:rsid w:val="00B03099"/>
    <w:rsid w:val="00B05BC8"/>
    <w:rsid w:val="00B269D3"/>
    <w:rsid w:val="00B44BDF"/>
    <w:rsid w:val="00B64B47"/>
    <w:rsid w:val="00B82A04"/>
    <w:rsid w:val="00B95654"/>
    <w:rsid w:val="00B972ED"/>
    <w:rsid w:val="00BD0AFA"/>
    <w:rsid w:val="00C002DE"/>
    <w:rsid w:val="00C25F68"/>
    <w:rsid w:val="00C3541D"/>
    <w:rsid w:val="00C53BF8"/>
    <w:rsid w:val="00C66157"/>
    <w:rsid w:val="00C674FE"/>
    <w:rsid w:val="00C67501"/>
    <w:rsid w:val="00C75633"/>
    <w:rsid w:val="00C9443D"/>
    <w:rsid w:val="00CA157C"/>
    <w:rsid w:val="00CE2EE1"/>
    <w:rsid w:val="00CE3349"/>
    <w:rsid w:val="00CE36E5"/>
    <w:rsid w:val="00CF27F5"/>
    <w:rsid w:val="00CF3FFD"/>
    <w:rsid w:val="00D10CCF"/>
    <w:rsid w:val="00D13941"/>
    <w:rsid w:val="00D51B3C"/>
    <w:rsid w:val="00D63735"/>
    <w:rsid w:val="00D77D0F"/>
    <w:rsid w:val="00DA1CF0"/>
    <w:rsid w:val="00DB1B6D"/>
    <w:rsid w:val="00DB4843"/>
    <w:rsid w:val="00DC1E02"/>
    <w:rsid w:val="00DC24B4"/>
    <w:rsid w:val="00DC5FB0"/>
    <w:rsid w:val="00DE163C"/>
    <w:rsid w:val="00DF16DC"/>
    <w:rsid w:val="00E448F0"/>
    <w:rsid w:val="00E45211"/>
    <w:rsid w:val="00E473C5"/>
    <w:rsid w:val="00E61BE8"/>
    <w:rsid w:val="00E92863"/>
    <w:rsid w:val="00EB796D"/>
    <w:rsid w:val="00F058DC"/>
    <w:rsid w:val="00F210F9"/>
    <w:rsid w:val="00F24FC4"/>
    <w:rsid w:val="00F2676C"/>
    <w:rsid w:val="00F363FE"/>
    <w:rsid w:val="00F50E3F"/>
    <w:rsid w:val="00F80A63"/>
    <w:rsid w:val="00F84366"/>
    <w:rsid w:val="00F85089"/>
    <w:rsid w:val="00F974C5"/>
    <w:rsid w:val="00FA6F46"/>
    <w:rsid w:val="00FC4592"/>
    <w:rsid w:val="00FC49A9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2466E"/>
  <w15:chartTrackingRefBased/>
  <w15:docId w15:val="{7DF0A002-FC95-455B-8B17-3AE20A7F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50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2ED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212-A.pdf" TargetMode="External"/><Relationship Id="rId13" Type="http://schemas.openxmlformats.org/officeDocument/2006/relationships/hyperlink" Target="https://www.itu.int/md/S19-CLADD-C-0002/en" TargetMode="External"/><Relationship Id="rId18" Type="http://schemas.openxmlformats.org/officeDocument/2006/relationships/hyperlink" Target="https://www.itu.int/md/S16-CL-C-0007/e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en/council/Documents/basic-texts-2023/RES-212-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CL-C-0124/en" TargetMode="External"/><Relationship Id="rId17" Type="http://schemas.openxmlformats.org/officeDocument/2006/relationships/hyperlink" Target="https://www.itu.int/md/S14-CL-C-0050/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3-CL-INF-0018/en" TargetMode="External"/><Relationship Id="rId20" Type="http://schemas.openxmlformats.org/officeDocument/2006/relationships/hyperlink" Target="https://www.itu.int/md/S19-CLADD-C-0002/e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007/en" TargetMode="External"/><Relationship Id="rId24" Type="http://schemas.openxmlformats.org/officeDocument/2006/relationships/hyperlink" Target="https://www.itu.int/md/S23-CL-C-0007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007/en" TargetMode="External"/><Relationship Id="rId23" Type="http://schemas.openxmlformats.org/officeDocument/2006/relationships/hyperlink" Target="https://www.itu.int/md/S23-CL-C-0007/en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md/S14-CL-C-0050/en" TargetMode="External"/><Relationship Id="rId19" Type="http://schemas.openxmlformats.org/officeDocument/2006/relationships/hyperlink" Target="https://www.itu.int/md/S16-CL-C-0124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3-CL-INF-0018/en" TargetMode="External"/><Relationship Id="rId14" Type="http://schemas.openxmlformats.org/officeDocument/2006/relationships/hyperlink" Target="https://www.itu.int/md/S23-CL-C-0048/en" TargetMode="External"/><Relationship Id="rId22" Type="http://schemas.openxmlformats.org/officeDocument/2006/relationships/hyperlink" Target="https://www.itu.int/md/S23-CL-C-0048/e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Arabic_GE</dc:creator>
  <cp:keywords>C2023, C23, Council-23</cp:keywords>
  <dc:description/>
  <cp:lastModifiedBy>Xue, Kun</cp:lastModifiedBy>
  <cp:revision>3</cp:revision>
  <dcterms:created xsi:type="dcterms:W3CDTF">2023-07-10T10:28:00Z</dcterms:created>
  <dcterms:modified xsi:type="dcterms:W3CDTF">2023-07-10T10:28:00Z</dcterms:modified>
  <cp:category>Conference document</cp:category>
</cp:coreProperties>
</file>