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57BC62E8"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Pr>
                <w:b/>
              </w:rPr>
              <w:t xml:space="preserve">Agenda item: </w:t>
            </w:r>
            <w:r w:rsidR="007B0FA1">
              <w:rPr>
                <w:b/>
              </w:rPr>
              <w:t>ADM 3</w:t>
            </w:r>
          </w:p>
        </w:tc>
        <w:tc>
          <w:tcPr>
            <w:tcW w:w="5245" w:type="dxa"/>
          </w:tcPr>
          <w:p w14:paraId="2F0CB53A" w14:textId="5BB97BBA" w:rsidR="00AD3606" w:rsidRPr="00E85629" w:rsidRDefault="00AD3606" w:rsidP="00472BAD">
            <w:pPr>
              <w:tabs>
                <w:tab w:val="left" w:pos="851"/>
              </w:tabs>
              <w:spacing w:before="0" w:line="240" w:lineRule="atLeast"/>
              <w:jc w:val="right"/>
              <w:rPr>
                <w:b/>
              </w:rPr>
            </w:pPr>
            <w:r>
              <w:rPr>
                <w:b/>
              </w:rPr>
              <w:t>Document C23/</w:t>
            </w:r>
            <w:r w:rsidR="00917890">
              <w:rPr>
                <w:b/>
              </w:rPr>
              <w:t>95</w:t>
            </w:r>
            <w:r>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27564C50" w:rsidR="00AD3606" w:rsidRPr="00E85629" w:rsidRDefault="00917890" w:rsidP="00AD3606">
            <w:pPr>
              <w:tabs>
                <w:tab w:val="left" w:pos="851"/>
              </w:tabs>
              <w:spacing w:before="0"/>
              <w:jc w:val="right"/>
              <w:rPr>
                <w:b/>
              </w:rPr>
            </w:pPr>
            <w:r>
              <w:rPr>
                <w:b/>
              </w:rPr>
              <w:t>27 June</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10ABA191" w:rsidR="00AD3606" w:rsidRPr="00E85629" w:rsidRDefault="00AD3606" w:rsidP="00AD3606">
            <w:pPr>
              <w:tabs>
                <w:tab w:val="left" w:pos="851"/>
              </w:tabs>
              <w:spacing w:before="0" w:line="240" w:lineRule="atLeast"/>
              <w:jc w:val="right"/>
              <w:rPr>
                <w:b/>
              </w:rPr>
            </w:pPr>
            <w:r>
              <w:rPr>
                <w:b/>
              </w:rPr>
              <w:t xml:space="preserve">Original: </w:t>
            </w:r>
            <w:r w:rsidR="00917890">
              <w:rPr>
                <w:rFonts w:eastAsia="Times New Roman"/>
                <w:b/>
              </w:rPr>
              <w:t>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7D3CA530" w:rsidR="00AD3606" w:rsidRPr="00813E5E" w:rsidRDefault="00917890" w:rsidP="00917890">
            <w:pPr>
              <w:pStyle w:val="Source"/>
              <w:framePr w:hSpace="0" w:wrap="auto" w:vAnchor="margin" w:hAnchor="text" w:xAlign="left" w:yAlign="inline"/>
            </w:pPr>
            <w:bookmarkStart w:id="4" w:name="dsource" w:colFirst="0" w:colLast="0"/>
            <w:bookmarkEnd w:id="3"/>
            <w:r w:rsidRPr="00917890">
              <w:t>Contribution from Algeria</w:t>
            </w:r>
            <w:r w:rsidRPr="004A4E1C">
              <w:t xml:space="preserve"> (People's Democratic Republic of), </w:t>
            </w:r>
            <w:r w:rsidRPr="00917890">
              <w:t>Saudi Arabia</w:t>
            </w:r>
            <w:r w:rsidRPr="004A4E1C">
              <w:t xml:space="preserve"> (Kingdom of)</w:t>
            </w:r>
            <w:r w:rsidRPr="00917890">
              <w:t xml:space="preserve">, </w:t>
            </w:r>
            <w:r w:rsidRPr="004A4E1C">
              <w:t xml:space="preserve">Bahrain (Kingdom of), Egypt (Arab Republic of), </w:t>
            </w:r>
            <w:r w:rsidRPr="00917890">
              <w:t xml:space="preserve">United Arab Emirates, </w:t>
            </w:r>
            <w:r w:rsidRPr="004A4E1C">
              <w:t xml:space="preserve">Kuwait (State of), Morocco (Kingdom of), </w:t>
            </w:r>
            <w:r w:rsidRPr="00917890">
              <w:t>South Africa</w:t>
            </w:r>
            <w:r w:rsidRPr="004A4E1C">
              <w:t xml:space="preserve"> (Republic of) and </w:t>
            </w:r>
            <w:r w:rsidRPr="00917890">
              <w:t>Tunisia</w:t>
            </w:r>
          </w:p>
        </w:tc>
      </w:tr>
      <w:tr w:rsidR="00AD3606" w:rsidRPr="00813E5E" w14:paraId="62B9C291" w14:textId="77777777" w:rsidTr="00AD3606">
        <w:trPr>
          <w:cantSplit/>
        </w:trPr>
        <w:tc>
          <w:tcPr>
            <w:tcW w:w="9214" w:type="dxa"/>
            <w:gridSpan w:val="2"/>
            <w:tcMar>
              <w:left w:w="0" w:type="dxa"/>
            </w:tcMar>
          </w:tcPr>
          <w:p w14:paraId="556A1BCF" w14:textId="29B92C14" w:rsidR="00AD3606" w:rsidRPr="00813E5E" w:rsidRDefault="00917890" w:rsidP="00917890">
            <w:pPr>
              <w:pStyle w:val="Subtitle"/>
              <w:framePr w:hSpace="0" w:wrap="auto" w:xAlign="left" w:yAlign="inline"/>
            </w:pPr>
            <w:bookmarkStart w:id="5" w:name="dtitle1" w:colFirst="0" w:colLast="0"/>
            <w:bookmarkEnd w:id="4"/>
            <w:r w:rsidRPr="00917890">
              <w:t>PROPOSALS ON THE UNION’S HEADQUARTERS PREMISES PROJECT</w:t>
            </w:r>
          </w:p>
        </w:tc>
      </w:tr>
      <w:tr w:rsidR="00AD3606" w:rsidRPr="007B0FA1"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12F160A0" w:rsidR="00AD3606" w:rsidRPr="00F16BAB" w:rsidRDefault="00F16BAB" w:rsidP="00F16BAB">
            <w:pPr>
              <w:spacing w:before="160"/>
              <w:rPr>
                <w:b/>
                <w:bCs/>
                <w:sz w:val="26"/>
                <w:szCs w:val="26"/>
              </w:rPr>
            </w:pPr>
            <w:r w:rsidRPr="00F16BAB">
              <w:rPr>
                <w:b/>
                <w:bCs/>
                <w:sz w:val="26"/>
                <w:szCs w:val="26"/>
              </w:rPr>
              <w:t xml:space="preserve">Purpose </w:t>
            </w:r>
          </w:p>
          <w:p w14:paraId="01EEEAC5" w14:textId="1C4B44A8" w:rsidR="00AD3606" w:rsidRPr="00813E5E" w:rsidRDefault="00917890" w:rsidP="00F16BAB">
            <w:r w:rsidRPr="00917890">
              <w:t>This contribution discuss</w:t>
            </w:r>
            <w:r w:rsidR="007B0FA1">
              <w:t>es</w:t>
            </w:r>
            <w:r w:rsidRPr="00917890">
              <w:t xml:space="preserve"> the recent developments related to the ITU HQ premises project while shade some lights on related previous activities that started since 2007 which could enrich the discussion on this matter and to take informative and wise decisions. In this regard, we are suggesting actions that could help to resolve the challenges and help the Union to proceed with options that are more feasible.</w:t>
            </w:r>
          </w:p>
          <w:p w14:paraId="45B1495A"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Council</w:t>
            </w:r>
          </w:p>
          <w:p w14:paraId="3D57EDF8" w14:textId="5FB7CC06" w:rsidR="00AD3606" w:rsidRPr="00484009" w:rsidRDefault="007B0FA1" w:rsidP="00AD3606">
            <w:r w:rsidRPr="007B0FA1">
              <w:t xml:space="preserve">The Council is invited </w:t>
            </w:r>
            <w:r w:rsidRPr="007B0FA1">
              <w:rPr>
                <w:b/>
                <w:bCs/>
              </w:rPr>
              <w:t>to consider</w:t>
            </w:r>
            <w:r w:rsidRPr="007B0FA1">
              <w:t xml:space="preserve"> this contribution and </w:t>
            </w:r>
            <w:r w:rsidRPr="007B0FA1">
              <w:rPr>
                <w:b/>
                <w:bCs/>
              </w:rPr>
              <w:t>take the necessary actions</w:t>
            </w:r>
            <w:r w:rsidRPr="007B0FA1">
              <w:t xml:space="preserve"> accordingly.</w:t>
            </w:r>
          </w:p>
          <w:p w14:paraId="6F1B8B4E" w14:textId="77777777" w:rsidR="00AD3606" w:rsidRPr="00813E5E" w:rsidRDefault="00AD3606" w:rsidP="00F16BAB">
            <w:pPr>
              <w:spacing w:before="160"/>
              <w:rPr>
                <w:caps/>
                <w:sz w:val="22"/>
              </w:rPr>
            </w:pPr>
            <w:r w:rsidRPr="00813E5E">
              <w:rPr>
                <w:sz w:val="22"/>
              </w:rPr>
              <w:t>____________</w:t>
            </w:r>
            <w:r>
              <w:rPr>
                <w:sz w:val="22"/>
              </w:rPr>
              <w:t>______</w:t>
            </w:r>
          </w:p>
          <w:p w14:paraId="0EBC340A" w14:textId="77777777" w:rsidR="00AD3606" w:rsidRDefault="00AD3606" w:rsidP="00F16BAB">
            <w:pPr>
              <w:spacing w:before="160"/>
              <w:rPr>
                <w:b/>
                <w:bCs/>
                <w:sz w:val="26"/>
                <w:szCs w:val="26"/>
              </w:rPr>
            </w:pPr>
            <w:r w:rsidRPr="00F16BAB">
              <w:rPr>
                <w:b/>
                <w:bCs/>
                <w:sz w:val="26"/>
                <w:szCs w:val="26"/>
              </w:rPr>
              <w:t>References</w:t>
            </w:r>
          </w:p>
          <w:p w14:paraId="65250B1E" w14:textId="53210739" w:rsidR="007B0FA1" w:rsidRPr="007B0FA1" w:rsidRDefault="005C7103" w:rsidP="007B0FA1">
            <w:pPr>
              <w:spacing w:after="120"/>
              <w:rPr>
                <w:rFonts w:asciiTheme="minorHAnsi" w:eastAsia="Calibri" w:hAnsiTheme="minorHAnsi" w:cstheme="minorHAnsi"/>
                <w:color w:val="0000FF"/>
                <w:szCs w:val="24"/>
                <w:u w:val="single"/>
              </w:rPr>
            </w:pPr>
            <w:hyperlink r:id="rId8" w:history="1">
              <w:r w:rsidR="007B0FA1" w:rsidRPr="007B0FA1">
                <w:rPr>
                  <w:rStyle w:val="Hyperlink"/>
                  <w:rFonts w:asciiTheme="minorHAnsi" w:eastAsia="Times New Roman" w:hAnsiTheme="minorHAnsi" w:cstheme="minorHAnsi"/>
                  <w:szCs w:val="24"/>
                </w:rPr>
                <w:t xml:space="preserve">Resolution </w:t>
              </w:r>
              <w:r w:rsidR="007B0FA1" w:rsidRPr="007B0FA1">
                <w:rPr>
                  <w:rStyle w:val="Hyperlink"/>
                  <w:rFonts w:asciiTheme="minorHAnsi" w:eastAsia="Times New Roman" w:hAnsiTheme="minorHAnsi" w:cstheme="minorHAnsi"/>
                  <w:caps/>
                  <w:szCs w:val="24"/>
                </w:rPr>
                <w:t>212</w:t>
              </w:r>
            </w:hyperlink>
            <w:r w:rsidR="007B0FA1" w:rsidRPr="007B0FA1">
              <w:rPr>
                <w:rFonts w:asciiTheme="minorHAnsi" w:eastAsia="Times New Roman" w:hAnsiTheme="minorHAnsi" w:cstheme="minorHAnsi"/>
                <w:caps/>
                <w:szCs w:val="24"/>
              </w:rPr>
              <w:t xml:space="preserve"> (</w:t>
            </w:r>
            <w:r w:rsidR="007B0FA1" w:rsidRPr="007B0FA1">
              <w:rPr>
                <w:rFonts w:asciiTheme="minorHAnsi" w:eastAsia="Times New Roman" w:hAnsiTheme="minorHAnsi" w:cstheme="minorHAnsi"/>
                <w:szCs w:val="24"/>
              </w:rPr>
              <w:t>Rev. Bucharest</w:t>
            </w:r>
            <w:r w:rsidR="007B0FA1" w:rsidRPr="007B0FA1">
              <w:rPr>
                <w:rFonts w:asciiTheme="minorHAnsi" w:eastAsia="Times New Roman" w:hAnsiTheme="minorHAnsi" w:cstheme="minorHAnsi"/>
                <w:caps/>
                <w:szCs w:val="24"/>
              </w:rPr>
              <w:t xml:space="preserve">, 2022) </w:t>
            </w:r>
            <w:r w:rsidR="007B0FA1" w:rsidRPr="007B0FA1">
              <w:rPr>
                <w:rFonts w:asciiTheme="minorHAnsi" w:eastAsia="Times New Roman" w:hAnsiTheme="minorHAnsi" w:cstheme="minorHAnsi"/>
                <w:szCs w:val="24"/>
              </w:rPr>
              <w:t>of th</w:t>
            </w:r>
            <w:r w:rsidR="007B0FA1">
              <w:rPr>
                <w:rFonts w:asciiTheme="minorHAnsi" w:eastAsia="Times New Roman" w:hAnsiTheme="minorHAnsi" w:cstheme="minorHAnsi"/>
                <w:szCs w:val="24"/>
              </w:rPr>
              <w:t>e Plenipotentiary Conference</w:t>
            </w:r>
            <w:r w:rsidR="007B0FA1" w:rsidRPr="007B0FA1">
              <w:rPr>
                <w:rFonts w:asciiTheme="minorHAnsi" w:eastAsia="Times New Roman" w:hAnsiTheme="minorHAnsi" w:cstheme="minorHAnsi"/>
                <w:caps/>
                <w:szCs w:val="24"/>
              </w:rPr>
              <w:t xml:space="preserve">, </w:t>
            </w:r>
            <w:hyperlink r:id="rId9" w:history="1">
              <w:r w:rsidR="007B0FA1" w:rsidRPr="007B0FA1">
                <w:rPr>
                  <w:rFonts w:asciiTheme="minorHAnsi" w:eastAsia="Times New Roman" w:hAnsiTheme="minorHAnsi" w:cstheme="minorHAnsi"/>
                  <w:color w:val="0000FF"/>
                  <w:szCs w:val="24"/>
                  <w:u w:val="single"/>
                </w:rPr>
                <w:t xml:space="preserve">Document </w:t>
              </w:r>
              <w:r w:rsidR="007B0FA1" w:rsidRPr="007B0FA1">
                <w:rPr>
                  <w:rFonts w:asciiTheme="minorHAnsi" w:eastAsia="Times New Roman" w:hAnsiTheme="minorHAnsi" w:cstheme="minorHAnsi"/>
                  <w:caps/>
                  <w:color w:val="0000FF"/>
                  <w:szCs w:val="24"/>
                  <w:u w:val="single"/>
                </w:rPr>
                <w:t>C13/INF/18</w:t>
              </w:r>
            </w:hyperlink>
            <w:r w:rsidR="007B0FA1" w:rsidRPr="007B0FA1">
              <w:rPr>
                <w:rFonts w:asciiTheme="minorHAnsi" w:eastAsia="Times New Roman" w:hAnsiTheme="minorHAnsi" w:cstheme="minorHAnsi"/>
                <w:caps/>
                <w:szCs w:val="24"/>
              </w:rPr>
              <w:t xml:space="preserve">, </w:t>
            </w:r>
            <w:hyperlink r:id="rId10" w:history="1">
              <w:r w:rsidR="007B0FA1" w:rsidRPr="007B0FA1">
                <w:rPr>
                  <w:rFonts w:asciiTheme="minorHAnsi" w:eastAsia="Times New Roman" w:hAnsiTheme="minorHAnsi" w:cstheme="minorHAnsi"/>
                  <w:caps/>
                  <w:color w:val="0000FF"/>
                  <w:szCs w:val="24"/>
                  <w:u w:val="single"/>
                </w:rPr>
                <w:t>D</w:t>
              </w:r>
              <w:r w:rsidR="007B0FA1" w:rsidRPr="007B0FA1">
                <w:rPr>
                  <w:rFonts w:asciiTheme="minorHAnsi" w:eastAsia="Times New Roman" w:hAnsiTheme="minorHAnsi" w:cstheme="minorHAnsi"/>
                  <w:color w:val="0000FF"/>
                  <w:szCs w:val="24"/>
                  <w:u w:val="single"/>
                </w:rPr>
                <w:t>ocument</w:t>
              </w:r>
              <w:r w:rsidR="007B0FA1" w:rsidRPr="007B0FA1">
                <w:rPr>
                  <w:rFonts w:asciiTheme="minorHAnsi" w:eastAsia="Times New Roman" w:hAnsiTheme="minorHAnsi" w:cstheme="minorHAnsi"/>
                  <w:caps/>
                  <w:color w:val="0000FF"/>
                  <w:szCs w:val="24"/>
                  <w:u w:val="single"/>
                </w:rPr>
                <w:t xml:space="preserve"> C14/50</w:t>
              </w:r>
            </w:hyperlink>
            <w:r w:rsidR="007B0FA1" w:rsidRPr="007B0FA1">
              <w:rPr>
                <w:rFonts w:asciiTheme="minorHAnsi" w:eastAsia="Times New Roman" w:hAnsiTheme="minorHAnsi" w:cstheme="minorHAnsi"/>
                <w:caps/>
                <w:color w:val="0000FF"/>
                <w:szCs w:val="24"/>
                <w:u w:val="single"/>
              </w:rPr>
              <w:t>,</w:t>
            </w:r>
            <w:r w:rsidR="007B0FA1" w:rsidRPr="007B0FA1">
              <w:rPr>
                <w:rFonts w:asciiTheme="minorHAnsi" w:eastAsia="Times New Roman" w:hAnsiTheme="minorHAnsi" w:cstheme="minorHAnsi"/>
                <w:caps/>
                <w:color w:val="000000"/>
                <w:szCs w:val="24"/>
              </w:rPr>
              <w:t xml:space="preserve"> </w:t>
            </w:r>
            <w:hyperlink r:id="rId11" w:history="1">
              <w:r w:rsidR="007B0FA1" w:rsidRPr="007B0FA1">
                <w:rPr>
                  <w:rFonts w:asciiTheme="minorHAnsi" w:eastAsia="Times New Roman" w:hAnsiTheme="minorHAnsi" w:cstheme="minorHAnsi"/>
                  <w:caps/>
                  <w:color w:val="0000FF"/>
                  <w:szCs w:val="24"/>
                  <w:u w:val="single"/>
                </w:rPr>
                <w:t>D</w:t>
              </w:r>
              <w:r w:rsidR="007B0FA1" w:rsidRPr="007B0FA1">
                <w:rPr>
                  <w:rFonts w:asciiTheme="minorHAnsi" w:eastAsia="Times New Roman" w:hAnsiTheme="minorHAnsi" w:cstheme="minorHAnsi"/>
                  <w:color w:val="0000FF"/>
                  <w:szCs w:val="24"/>
                  <w:u w:val="single"/>
                </w:rPr>
                <w:t>ocument</w:t>
              </w:r>
              <w:r w:rsidR="007B0FA1" w:rsidRPr="007B0FA1">
                <w:rPr>
                  <w:rFonts w:asciiTheme="minorHAnsi" w:eastAsia="Times New Roman" w:hAnsiTheme="minorHAnsi" w:cstheme="minorHAnsi"/>
                  <w:caps/>
                  <w:color w:val="0000FF"/>
                  <w:szCs w:val="24"/>
                  <w:u w:val="single"/>
                </w:rPr>
                <w:t xml:space="preserve"> C16/7</w:t>
              </w:r>
            </w:hyperlink>
            <w:r w:rsidR="007B0FA1" w:rsidRPr="007B0FA1">
              <w:rPr>
                <w:rFonts w:asciiTheme="minorHAnsi" w:eastAsia="Times New Roman" w:hAnsiTheme="minorHAnsi" w:cstheme="minorHAnsi"/>
                <w:caps/>
                <w:color w:val="0000FF"/>
                <w:szCs w:val="24"/>
                <w:u w:val="single"/>
              </w:rPr>
              <w:t>,</w:t>
            </w:r>
            <w:r w:rsidR="007B0FA1" w:rsidRPr="007B0FA1">
              <w:rPr>
                <w:rFonts w:asciiTheme="minorHAnsi" w:eastAsia="Times New Roman" w:hAnsiTheme="minorHAnsi" w:cstheme="minorHAnsi"/>
                <w:caps/>
                <w:szCs w:val="24"/>
              </w:rPr>
              <w:t xml:space="preserve"> </w:t>
            </w:r>
            <w:hyperlink r:id="rId12" w:history="1">
              <w:r w:rsidR="007B0FA1" w:rsidRPr="007B0FA1">
                <w:rPr>
                  <w:rStyle w:val="Hyperlink"/>
                  <w:rFonts w:asciiTheme="minorHAnsi" w:eastAsia="Times New Roman" w:hAnsiTheme="minorHAnsi" w:cstheme="minorHAnsi"/>
                  <w:caps/>
                  <w:szCs w:val="24"/>
                </w:rPr>
                <w:t>C</w:t>
              </w:r>
              <w:r w:rsidR="007B0FA1" w:rsidRPr="007B0FA1">
                <w:rPr>
                  <w:rStyle w:val="Hyperlink"/>
                  <w:rFonts w:asciiTheme="minorHAnsi" w:eastAsia="Times New Roman" w:hAnsiTheme="minorHAnsi" w:cstheme="minorHAnsi"/>
                  <w:szCs w:val="24"/>
                </w:rPr>
                <w:t xml:space="preserve">ouncil </w:t>
              </w:r>
              <w:r w:rsidR="007B0FA1" w:rsidRPr="007B0FA1">
                <w:rPr>
                  <w:rStyle w:val="Hyperlink"/>
                  <w:rFonts w:asciiTheme="minorHAnsi" w:eastAsia="Times New Roman" w:hAnsiTheme="minorHAnsi" w:cstheme="minorHAnsi"/>
                  <w:caps/>
                  <w:szCs w:val="24"/>
                </w:rPr>
                <w:t>D</w:t>
              </w:r>
              <w:r w:rsidR="007B0FA1" w:rsidRPr="007B0FA1">
                <w:rPr>
                  <w:rStyle w:val="Hyperlink"/>
                  <w:rFonts w:asciiTheme="minorHAnsi" w:eastAsia="Times New Roman" w:hAnsiTheme="minorHAnsi" w:cstheme="minorHAnsi"/>
                  <w:szCs w:val="24"/>
                </w:rPr>
                <w:t>ecision</w:t>
              </w:r>
              <w:r w:rsidR="007B0FA1" w:rsidRPr="007B0FA1">
                <w:rPr>
                  <w:rStyle w:val="Hyperlink"/>
                  <w:rFonts w:asciiTheme="minorHAnsi" w:eastAsia="Times New Roman" w:hAnsiTheme="minorHAnsi" w:cstheme="minorHAnsi"/>
                  <w:caps/>
                  <w:szCs w:val="24"/>
                </w:rPr>
                <w:t xml:space="preserve"> 588 (C16)</w:t>
              </w:r>
            </w:hyperlink>
            <w:r w:rsidR="007B0FA1" w:rsidRPr="007B0FA1">
              <w:rPr>
                <w:rFonts w:asciiTheme="minorHAnsi" w:eastAsia="Times New Roman" w:hAnsiTheme="minorHAnsi" w:cstheme="minorHAnsi"/>
                <w:caps/>
                <w:color w:val="0000FF"/>
                <w:szCs w:val="24"/>
                <w:u w:val="single"/>
              </w:rPr>
              <w:t xml:space="preserve">, </w:t>
            </w:r>
            <w:hyperlink r:id="rId13" w:history="1">
              <w:r w:rsidR="007B0FA1" w:rsidRPr="007B0FA1">
                <w:rPr>
                  <w:rStyle w:val="Hyperlink"/>
                  <w:rFonts w:asciiTheme="minorHAnsi" w:eastAsia="Calibri" w:hAnsiTheme="minorHAnsi" w:cstheme="minorHAnsi"/>
                  <w:szCs w:val="24"/>
                </w:rPr>
                <w:t>Document C19-ADD/2,</w:t>
              </w:r>
            </w:hyperlink>
            <w:r w:rsidR="007B0FA1" w:rsidRPr="007B0FA1">
              <w:rPr>
                <w:rFonts w:asciiTheme="minorHAnsi" w:eastAsia="Calibri" w:hAnsiTheme="minorHAnsi" w:cstheme="minorHAnsi"/>
                <w:color w:val="000000"/>
                <w:szCs w:val="24"/>
              </w:rPr>
              <w:t xml:space="preserve"> </w:t>
            </w:r>
            <w:hyperlink r:id="rId14" w:history="1">
              <w:r w:rsidR="007B0FA1" w:rsidRPr="007B0FA1">
                <w:rPr>
                  <w:rFonts w:asciiTheme="minorHAnsi" w:eastAsia="Calibri" w:hAnsiTheme="minorHAnsi" w:cstheme="minorHAnsi"/>
                  <w:color w:val="0000FF"/>
                  <w:szCs w:val="24"/>
                  <w:u w:val="single"/>
                </w:rPr>
                <w:t>Document C23/48</w:t>
              </w:r>
            </w:hyperlink>
            <w:r w:rsidR="007B0FA1" w:rsidRPr="007B0FA1">
              <w:rPr>
                <w:rFonts w:asciiTheme="minorHAnsi" w:eastAsia="Calibri" w:hAnsiTheme="minorHAnsi" w:cstheme="minorHAnsi"/>
                <w:color w:val="0000FF"/>
                <w:szCs w:val="24"/>
                <w:u w:val="single"/>
              </w:rPr>
              <w:t>,</w:t>
            </w:r>
            <w:r w:rsidR="007B0FA1" w:rsidRPr="007B0FA1">
              <w:rPr>
                <w:rFonts w:asciiTheme="minorHAnsi" w:eastAsia="Calibri" w:hAnsiTheme="minorHAnsi" w:cstheme="minorHAnsi"/>
                <w:szCs w:val="24"/>
              </w:rPr>
              <w:t xml:space="preserve"> </w:t>
            </w:r>
            <w:hyperlink r:id="rId15" w:history="1">
              <w:r w:rsidR="007B0FA1" w:rsidRPr="007B0FA1">
                <w:rPr>
                  <w:rFonts w:asciiTheme="minorHAnsi" w:eastAsia="Calibri" w:hAnsiTheme="minorHAnsi" w:cstheme="minorHAnsi"/>
                  <w:color w:val="0000FF"/>
                  <w:szCs w:val="24"/>
                  <w:u w:val="single"/>
                </w:rPr>
                <w:t>Document C23/7</w:t>
              </w:r>
            </w:hyperlink>
          </w:p>
        </w:tc>
      </w:tr>
      <w:bookmarkEnd w:id="5"/>
    </w:tbl>
    <w:p w14:paraId="7FE52F59" w14:textId="77777777" w:rsidR="0090147A" w:rsidRPr="007B0FA1"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7B0FA1">
        <w:br w:type="page"/>
      </w:r>
    </w:p>
    <w:p w14:paraId="0EB03929" w14:textId="77777777" w:rsidR="00881896" w:rsidRPr="00881896" w:rsidRDefault="00881896" w:rsidP="005C7103">
      <w:pPr>
        <w:numPr>
          <w:ilvl w:val="0"/>
          <w:numId w:val="3"/>
        </w:numPr>
        <w:tabs>
          <w:tab w:val="clear" w:pos="567"/>
          <w:tab w:val="clear" w:pos="1134"/>
          <w:tab w:val="clear" w:pos="1701"/>
          <w:tab w:val="clear" w:pos="2268"/>
          <w:tab w:val="clear" w:pos="2835"/>
        </w:tabs>
        <w:overflowPunct/>
        <w:autoSpaceDE/>
        <w:autoSpaceDN/>
        <w:adjustRightInd/>
        <w:spacing w:before="240"/>
        <w:ind w:left="567" w:hanging="567"/>
        <w:textAlignment w:val="auto"/>
        <w:rPr>
          <w:rFonts w:eastAsia="Times New Roman" w:cs="Calibri"/>
          <w:b/>
          <w:bCs/>
          <w:szCs w:val="24"/>
          <w:lang w:val="en-US"/>
        </w:rPr>
      </w:pPr>
      <w:r w:rsidRPr="00881896">
        <w:rPr>
          <w:rFonts w:eastAsia="Times New Roman" w:cs="Calibri"/>
          <w:b/>
          <w:bCs/>
          <w:szCs w:val="24"/>
          <w:lang w:val="en-US"/>
        </w:rPr>
        <w:lastRenderedPageBreak/>
        <w:t>Overview</w:t>
      </w:r>
    </w:p>
    <w:p w14:paraId="198D9D68" w14:textId="0C9479C3" w:rsidR="00881896" w:rsidRPr="00881896" w:rsidRDefault="00881896" w:rsidP="00881896">
      <w:pPr>
        <w:tabs>
          <w:tab w:val="clear" w:pos="567"/>
          <w:tab w:val="clear" w:pos="1134"/>
          <w:tab w:val="clear" w:pos="1701"/>
          <w:tab w:val="clear" w:pos="2268"/>
          <w:tab w:val="clear" w:pos="2835"/>
        </w:tabs>
        <w:overflowPunct/>
        <w:autoSpaceDE/>
        <w:autoSpaceDN/>
        <w:adjustRightInd/>
        <w:jc w:val="both"/>
        <w:textAlignment w:val="auto"/>
        <w:rPr>
          <w:rFonts w:asciiTheme="minorHAnsi" w:eastAsia="Times New Roman" w:hAnsiTheme="minorHAnsi" w:cstheme="minorHAnsi"/>
          <w:szCs w:val="24"/>
          <w:lang w:val="en-US"/>
        </w:rPr>
      </w:pPr>
      <w:r w:rsidRPr="00881896">
        <w:rPr>
          <w:rFonts w:asciiTheme="minorHAnsi" w:eastAsia="Times New Roman" w:hAnsiTheme="minorHAnsi" w:cstheme="minorHAnsi"/>
          <w:szCs w:val="24"/>
          <w:lang w:val="en-US"/>
        </w:rPr>
        <w:t>In 2007, the ITU Secretary-General has initiated discussions with the host country (Switzerland) about the need to replace the oldest of the ITU's buildings. This would allow the ITU to continue its work in suitable conditions. In 2012, the Host Country and its technical representative on International Organization buildings (FIPOI) inspected the Varembé building and considered repair and replacement options. FIPOI has reported that replacement is the appropriate technical option. (</w:t>
      </w:r>
      <w:hyperlink r:id="rId16" w:history="1">
        <w:r w:rsidRPr="00881896">
          <w:rPr>
            <w:rFonts w:asciiTheme="minorHAnsi" w:eastAsia="Times New Roman" w:hAnsiTheme="minorHAnsi" w:cstheme="minorHAnsi"/>
            <w:color w:val="0000FF"/>
            <w:szCs w:val="24"/>
            <w:u w:val="single"/>
            <w:lang w:val="en-US"/>
          </w:rPr>
          <w:t>Document C13/INF/18</w:t>
        </w:r>
      </w:hyperlink>
      <w:r w:rsidRPr="00881896">
        <w:rPr>
          <w:rFonts w:asciiTheme="minorHAnsi" w:eastAsia="Times New Roman" w:hAnsiTheme="minorHAnsi" w:cstheme="minorHAnsi"/>
          <w:szCs w:val="24"/>
          <w:lang w:val="en-US"/>
        </w:rPr>
        <w:t xml:space="preserve">). In addition, It would be impossible in practice to renovate Varembé to be compliant in accessibility, fire safety, and seismic resistance </w:t>
      </w:r>
      <w:r w:rsidR="00FA2D17">
        <w:rPr>
          <w:rFonts w:asciiTheme="minorHAnsi" w:eastAsia="Times New Roman" w:hAnsiTheme="minorHAnsi" w:cstheme="minorHAnsi"/>
          <w:szCs w:val="24"/>
          <w:lang w:val="en-US"/>
        </w:rPr>
        <w:t>T</w:t>
      </w:r>
      <w:r w:rsidRPr="00881896">
        <w:rPr>
          <w:rFonts w:asciiTheme="minorHAnsi" w:eastAsia="Times New Roman" w:hAnsiTheme="minorHAnsi" w:cstheme="minorHAnsi"/>
          <w:szCs w:val="24"/>
          <w:lang w:val="en-US"/>
        </w:rPr>
        <w:t>he Varembé building is old and does not meet current safety and accessibility standards according to the Report by the Secretary-Genera</w:t>
      </w:r>
      <w:r w:rsidRPr="00881896">
        <w:rPr>
          <w:rFonts w:asciiTheme="minorHAnsi" w:eastAsia="Times New Roman" w:hAnsiTheme="minorHAnsi" w:cstheme="minorHAnsi"/>
          <w:color w:val="000000"/>
          <w:szCs w:val="24"/>
          <w:lang w:val="en-US"/>
        </w:rPr>
        <w:t>l (</w:t>
      </w:r>
      <w:hyperlink r:id="rId17" w:history="1">
        <w:r w:rsidRPr="00881896">
          <w:rPr>
            <w:rFonts w:asciiTheme="minorHAnsi" w:eastAsia="Times New Roman" w:hAnsiTheme="minorHAnsi" w:cstheme="minorHAnsi"/>
            <w:color w:val="0000FF"/>
            <w:szCs w:val="24"/>
            <w:u w:val="single"/>
            <w:lang w:val="en-US"/>
          </w:rPr>
          <w:t>Document C14/50</w:t>
        </w:r>
      </w:hyperlink>
      <w:r w:rsidRPr="00881896">
        <w:rPr>
          <w:rFonts w:asciiTheme="minorHAnsi" w:eastAsia="Times New Roman" w:hAnsiTheme="minorHAnsi" w:cstheme="minorHAnsi"/>
          <w:color w:val="000000"/>
          <w:szCs w:val="24"/>
          <w:lang w:val="en-US"/>
        </w:rPr>
        <w:t>).</w:t>
      </w:r>
    </w:p>
    <w:p w14:paraId="68DC6B81" w14:textId="7990F795" w:rsidR="00881896" w:rsidRPr="00881896" w:rsidRDefault="00881896" w:rsidP="00881896">
      <w:pPr>
        <w:tabs>
          <w:tab w:val="clear" w:pos="567"/>
          <w:tab w:val="clear" w:pos="1134"/>
          <w:tab w:val="clear" w:pos="1701"/>
          <w:tab w:val="clear" w:pos="2268"/>
          <w:tab w:val="clear" w:pos="2835"/>
        </w:tabs>
        <w:overflowPunct/>
        <w:autoSpaceDE/>
        <w:autoSpaceDN/>
        <w:adjustRightInd/>
        <w:jc w:val="both"/>
        <w:textAlignment w:val="auto"/>
        <w:rPr>
          <w:rFonts w:asciiTheme="minorHAnsi" w:eastAsia="Times New Roman" w:hAnsiTheme="minorHAnsi" w:cstheme="minorHAnsi"/>
          <w:szCs w:val="24"/>
          <w:lang w:val="en-US"/>
        </w:rPr>
      </w:pPr>
      <w:r w:rsidRPr="00881896">
        <w:rPr>
          <w:rFonts w:asciiTheme="minorHAnsi" w:eastAsia="Times New Roman" w:hAnsiTheme="minorHAnsi" w:cstheme="minorHAnsi"/>
          <w:szCs w:val="24"/>
          <w:lang w:val="en-US"/>
        </w:rPr>
        <w:t>The ITU Plenipotentiary Conference gave the ITU Council as per Resolution 194 (Busan, 2014) permission to establish a Council Working Group on options for the Union's long-term headquarters (CWG-HQP). The CWG-HQP assessed the status of the ITU's headquarters, analyzed the following options for future planning of the premises (Option 1: replacement building, Option 2: renovation of HQ buildings, Option 3: HQ relocation</w:t>
      </w:r>
      <w:r w:rsidR="00876FA4">
        <w:rPr>
          <w:rFonts w:asciiTheme="minorHAnsi" w:eastAsia="Times New Roman" w:hAnsiTheme="minorHAnsi" w:cstheme="minorHAnsi"/>
          <w:szCs w:val="24"/>
          <w:lang w:val="en-US"/>
        </w:rPr>
        <w:t>,</w:t>
      </w:r>
      <w:r w:rsidRPr="00881896">
        <w:rPr>
          <w:rFonts w:asciiTheme="minorHAnsi" w:eastAsia="Times New Roman" w:hAnsiTheme="minorHAnsi" w:cstheme="minorHAnsi"/>
          <w:szCs w:val="24"/>
          <w:lang w:val="en-US"/>
        </w:rPr>
        <w:t xml:space="preserve"> Option 4 Rental offices). CWG-HQP’s recommendation to the Council's ordinary session in 2016 was to replace the </w:t>
      </w:r>
      <w:r>
        <w:rPr>
          <w:rFonts w:asciiTheme="minorHAnsi" w:eastAsia="Times New Roman" w:hAnsiTheme="minorHAnsi" w:cstheme="minorHAnsi"/>
          <w:szCs w:val="24"/>
          <w:lang w:val="en-US"/>
        </w:rPr>
        <w:t>V</w:t>
      </w:r>
      <w:r w:rsidRPr="00881896">
        <w:rPr>
          <w:rFonts w:asciiTheme="minorHAnsi" w:eastAsia="Times New Roman" w:hAnsiTheme="minorHAnsi" w:cstheme="minorHAnsi"/>
          <w:szCs w:val="24"/>
          <w:lang w:val="en-US"/>
        </w:rPr>
        <w:t>arembé building. (</w:t>
      </w:r>
      <w:hyperlink r:id="rId18" w:history="1">
        <w:r w:rsidRPr="00881896">
          <w:rPr>
            <w:rFonts w:asciiTheme="minorHAnsi" w:eastAsia="Times New Roman" w:hAnsiTheme="minorHAnsi" w:cstheme="minorHAnsi"/>
            <w:color w:val="0000FF"/>
            <w:szCs w:val="24"/>
            <w:u w:val="single"/>
            <w:lang w:val="en-US"/>
          </w:rPr>
          <w:t>Document C16/7</w:t>
        </w:r>
      </w:hyperlink>
      <w:r w:rsidRPr="00881896">
        <w:rPr>
          <w:rFonts w:asciiTheme="minorHAnsi" w:eastAsia="Times New Roman" w:hAnsiTheme="minorHAnsi" w:cstheme="minorHAnsi"/>
          <w:szCs w:val="24"/>
          <w:lang w:val="en-US"/>
        </w:rPr>
        <w:t xml:space="preserve">). In 2016, the ordinary session of the Council has accepted the recommendation of CWG-HQP and approved Council </w:t>
      </w:r>
      <w:hyperlink r:id="rId19" w:history="1">
        <w:r w:rsidRPr="00881896">
          <w:rPr>
            <w:rFonts w:asciiTheme="minorHAnsi" w:eastAsia="Times New Roman" w:hAnsiTheme="minorHAnsi" w:cstheme="minorHAnsi"/>
            <w:color w:val="0000FF"/>
            <w:szCs w:val="24"/>
            <w:u w:val="single"/>
            <w:lang w:val="en-US"/>
          </w:rPr>
          <w:t>Decision 588</w:t>
        </w:r>
      </w:hyperlink>
      <w:r w:rsidRPr="00881896">
        <w:rPr>
          <w:rFonts w:asciiTheme="minorHAnsi" w:eastAsia="Times New Roman" w:hAnsiTheme="minorHAnsi" w:cstheme="minorHAnsi"/>
          <w:szCs w:val="24"/>
          <w:lang w:val="en-US"/>
        </w:rPr>
        <w:t>, documenting its decision, to replace the Varembé building by a new construction.</w:t>
      </w:r>
    </w:p>
    <w:p w14:paraId="6B153410" w14:textId="49770E0F" w:rsidR="00881896" w:rsidRPr="00881896" w:rsidRDefault="00881896" w:rsidP="00881896">
      <w:pPr>
        <w:tabs>
          <w:tab w:val="clear" w:pos="567"/>
          <w:tab w:val="clear" w:pos="1134"/>
          <w:tab w:val="clear" w:pos="1701"/>
          <w:tab w:val="clear" w:pos="2268"/>
          <w:tab w:val="clear" w:pos="2835"/>
        </w:tabs>
        <w:overflowPunct/>
        <w:autoSpaceDE/>
        <w:autoSpaceDN/>
        <w:adjustRightInd/>
        <w:jc w:val="both"/>
        <w:textAlignment w:val="auto"/>
        <w:rPr>
          <w:rFonts w:asciiTheme="minorHAnsi" w:eastAsia="Times New Roman" w:hAnsiTheme="minorHAnsi" w:cstheme="minorHAnsi"/>
          <w:color w:val="000000"/>
          <w:szCs w:val="24"/>
          <w:lang w:val="en-US"/>
        </w:rPr>
      </w:pPr>
      <w:r w:rsidRPr="00881896">
        <w:rPr>
          <w:rFonts w:asciiTheme="minorHAnsi" w:eastAsia="Times New Roman" w:hAnsiTheme="minorHAnsi" w:cstheme="minorHAnsi"/>
          <w:color w:val="000000"/>
          <w:szCs w:val="24"/>
          <w:lang w:val="en-US"/>
        </w:rPr>
        <w:t xml:space="preserve">The Council Session of 2019 and its Additional Session discussed in detail the Report of the Secretary-General on progress on the </w:t>
      </w:r>
      <w:r w:rsidRPr="00881896">
        <w:rPr>
          <w:rFonts w:asciiTheme="minorHAnsi" w:eastAsia="Times New Roman" w:hAnsiTheme="minorHAnsi" w:cstheme="minorHAnsi"/>
          <w:snapToGrid w:val="0"/>
          <w:szCs w:val="24"/>
          <w:lang w:val="en-US"/>
        </w:rPr>
        <w:t>Union’s headquarters premises project</w:t>
      </w:r>
      <w:r w:rsidRPr="00881896">
        <w:rPr>
          <w:rFonts w:asciiTheme="minorHAnsi" w:eastAsia="Times New Roman" w:hAnsiTheme="minorHAnsi" w:cstheme="minorHAnsi"/>
          <w:color w:val="000000"/>
          <w:szCs w:val="24"/>
          <w:lang w:val="en-US"/>
        </w:rPr>
        <w:t>, the Council agreed to continue with the project and approved the allocated Budget. (</w:t>
      </w:r>
      <w:hyperlink r:id="rId20" w:history="1">
        <w:r w:rsidRPr="00881896">
          <w:rPr>
            <w:rFonts w:asciiTheme="minorHAnsi" w:eastAsia="Times New Roman" w:hAnsiTheme="minorHAnsi" w:cstheme="minorHAnsi"/>
            <w:color w:val="0000FF"/>
            <w:szCs w:val="24"/>
            <w:u w:val="single"/>
            <w:lang w:val="en-US"/>
          </w:rPr>
          <w:t>Document C19-ADD/2</w:t>
        </w:r>
      </w:hyperlink>
      <w:r w:rsidRPr="00881896">
        <w:rPr>
          <w:rFonts w:asciiTheme="minorHAnsi" w:eastAsia="Times New Roman" w:hAnsiTheme="minorHAnsi" w:cstheme="minorHAnsi"/>
          <w:color w:val="000000"/>
          <w:szCs w:val="24"/>
          <w:lang w:val="en-US"/>
        </w:rPr>
        <w:t>)</w:t>
      </w:r>
      <w:r>
        <w:rPr>
          <w:rFonts w:asciiTheme="minorHAnsi" w:eastAsia="Times New Roman" w:hAnsiTheme="minorHAnsi" w:cstheme="minorHAnsi"/>
          <w:color w:val="000000"/>
          <w:szCs w:val="24"/>
          <w:lang w:val="en-US"/>
        </w:rPr>
        <w:t>.</w:t>
      </w:r>
    </w:p>
    <w:p w14:paraId="277B41D9" w14:textId="43350255" w:rsidR="00881896" w:rsidRPr="00881896" w:rsidRDefault="00881896" w:rsidP="00881896">
      <w:pPr>
        <w:tabs>
          <w:tab w:val="clear" w:pos="567"/>
          <w:tab w:val="clear" w:pos="1134"/>
          <w:tab w:val="clear" w:pos="1701"/>
          <w:tab w:val="clear" w:pos="2268"/>
          <w:tab w:val="clear" w:pos="2835"/>
        </w:tabs>
        <w:overflowPunct/>
        <w:autoSpaceDE/>
        <w:autoSpaceDN/>
        <w:adjustRightInd/>
        <w:jc w:val="both"/>
        <w:textAlignment w:val="auto"/>
        <w:rPr>
          <w:rFonts w:asciiTheme="minorHAnsi" w:eastAsia="Times New Roman" w:hAnsiTheme="minorHAnsi" w:cstheme="minorHAnsi"/>
          <w:szCs w:val="24"/>
          <w:lang w:val="en-US"/>
        </w:rPr>
      </w:pPr>
      <w:r w:rsidRPr="00881896">
        <w:rPr>
          <w:rFonts w:asciiTheme="minorHAnsi" w:eastAsia="Times New Roman" w:hAnsiTheme="minorHAnsi" w:cstheme="minorHAnsi"/>
          <w:szCs w:val="24"/>
          <w:lang w:val="en-US"/>
        </w:rPr>
        <w:t xml:space="preserve">Member States continued the discussions on matters related to the building during the Plenipotentiary Conference 2022 in Bucharest, and agreed as per </w:t>
      </w:r>
      <w:hyperlink r:id="rId21" w:history="1">
        <w:r w:rsidRPr="00881896">
          <w:rPr>
            <w:rStyle w:val="Hyperlink"/>
            <w:rFonts w:asciiTheme="minorHAnsi" w:eastAsia="Times New Roman" w:hAnsiTheme="minorHAnsi" w:cstheme="minorHAnsi"/>
            <w:szCs w:val="24"/>
            <w:lang w:val="en-US"/>
          </w:rPr>
          <w:t>Resolution 212 (Rev. Bucharest, 2022)</w:t>
        </w:r>
      </w:hyperlink>
      <w:r w:rsidRPr="00881896">
        <w:rPr>
          <w:rFonts w:asciiTheme="minorHAnsi" w:eastAsia="Times New Roman" w:hAnsiTheme="minorHAnsi" w:cstheme="minorHAnsi"/>
          <w:szCs w:val="24"/>
          <w:lang w:val="en-US"/>
        </w:rPr>
        <w:t>, that a new headquarters building must be built in order to give the Union the space and facilities it needs to meet its requirements.</w:t>
      </w:r>
    </w:p>
    <w:p w14:paraId="3E99FB5F" w14:textId="77777777" w:rsidR="00881896" w:rsidRPr="00881896" w:rsidRDefault="00881896" w:rsidP="005C7103">
      <w:pPr>
        <w:numPr>
          <w:ilvl w:val="0"/>
          <w:numId w:val="3"/>
        </w:numPr>
        <w:tabs>
          <w:tab w:val="clear" w:pos="567"/>
          <w:tab w:val="clear" w:pos="1134"/>
          <w:tab w:val="clear" w:pos="1701"/>
          <w:tab w:val="clear" w:pos="2268"/>
          <w:tab w:val="clear" w:pos="2835"/>
        </w:tabs>
        <w:overflowPunct/>
        <w:autoSpaceDE/>
        <w:autoSpaceDN/>
        <w:adjustRightInd/>
        <w:spacing w:before="240"/>
        <w:ind w:left="567" w:hanging="567"/>
        <w:textAlignment w:val="auto"/>
        <w:rPr>
          <w:rFonts w:eastAsia="Times New Roman" w:cs="Calibri"/>
          <w:szCs w:val="24"/>
          <w:lang w:val="en-US"/>
        </w:rPr>
      </w:pPr>
      <w:r w:rsidRPr="00881896">
        <w:rPr>
          <w:rFonts w:eastAsia="Times New Roman" w:cs="Calibri"/>
          <w:b/>
          <w:bCs/>
          <w:szCs w:val="24"/>
          <w:lang w:val="en-US"/>
        </w:rPr>
        <w:t>Discussions</w:t>
      </w:r>
    </w:p>
    <w:p w14:paraId="344D47AD" w14:textId="31650F37" w:rsidR="00881896" w:rsidRPr="00881896" w:rsidRDefault="00881896" w:rsidP="00881896">
      <w:pPr>
        <w:tabs>
          <w:tab w:val="clear" w:pos="567"/>
          <w:tab w:val="clear" w:pos="1134"/>
          <w:tab w:val="clear" w:pos="1701"/>
          <w:tab w:val="clear" w:pos="2268"/>
          <w:tab w:val="clear" w:pos="2835"/>
        </w:tabs>
        <w:overflowPunct/>
        <w:autoSpaceDE/>
        <w:autoSpaceDN/>
        <w:adjustRightInd/>
        <w:jc w:val="both"/>
        <w:textAlignment w:val="auto"/>
        <w:rPr>
          <w:rFonts w:asciiTheme="minorHAnsi" w:eastAsia="Times New Roman" w:hAnsiTheme="minorHAnsi" w:cstheme="minorHAnsi"/>
          <w:b/>
          <w:bCs/>
          <w:szCs w:val="24"/>
          <w:lang w:val="en-US"/>
        </w:rPr>
      </w:pPr>
      <w:r w:rsidRPr="00881896">
        <w:rPr>
          <w:rFonts w:asciiTheme="minorHAnsi" w:eastAsia="Times New Roman" w:hAnsiTheme="minorHAnsi" w:cstheme="minorHAnsi"/>
          <w:szCs w:val="24"/>
          <w:lang w:val="en-US"/>
        </w:rPr>
        <w:t>Taking into consideration what have been mention</w:t>
      </w:r>
      <w:r w:rsidR="00876FA4">
        <w:rPr>
          <w:rFonts w:asciiTheme="minorHAnsi" w:eastAsia="Times New Roman" w:hAnsiTheme="minorHAnsi" w:cstheme="minorHAnsi"/>
          <w:szCs w:val="24"/>
          <w:lang w:val="en-US"/>
        </w:rPr>
        <w:t>ed</w:t>
      </w:r>
      <w:r w:rsidRPr="00881896">
        <w:rPr>
          <w:rFonts w:asciiTheme="minorHAnsi" w:eastAsia="Times New Roman" w:hAnsiTheme="minorHAnsi" w:cstheme="minorHAnsi"/>
          <w:szCs w:val="24"/>
          <w:lang w:val="en-US"/>
        </w:rPr>
        <w:t xml:space="preserve"> above:</w:t>
      </w:r>
    </w:p>
    <w:p w14:paraId="13C37B5C" w14:textId="77777777" w:rsidR="00881896" w:rsidRPr="00881896" w:rsidRDefault="00881896" w:rsidP="00881896">
      <w:pPr>
        <w:numPr>
          <w:ilvl w:val="0"/>
          <w:numId w:val="2"/>
        </w:numPr>
        <w:tabs>
          <w:tab w:val="clear" w:pos="567"/>
          <w:tab w:val="clear" w:pos="1134"/>
          <w:tab w:val="clear" w:pos="1701"/>
          <w:tab w:val="clear" w:pos="2268"/>
          <w:tab w:val="clear" w:pos="2835"/>
        </w:tabs>
        <w:overflowPunct/>
        <w:autoSpaceDE/>
        <w:autoSpaceDN/>
        <w:adjustRightInd/>
        <w:jc w:val="both"/>
        <w:textAlignment w:val="auto"/>
        <w:rPr>
          <w:rFonts w:asciiTheme="minorHAnsi" w:eastAsia="Calibri" w:hAnsiTheme="minorHAnsi" w:cstheme="minorHAnsi"/>
          <w:szCs w:val="24"/>
          <w:lang w:val="en-US"/>
        </w:rPr>
      </w:pPr>
      <w:r w:rsidRPr="00881896">
        <w:rPr>
          <w:rFonts w:asciiTheme="minorHAnsi" w:eastAsia="Calibri" w:hAnsiTheme="minorHAnsi" w:cstheme="minorHAnsi"/>
          <w:szCs w:val="24"/>
          <w:lang w:val="en-US"/>
        </w:rPr>
        <w:t xml:space="preserve">The Varembé building is over 60 years old and does not meet current safety and standards besides the high costs of operating and maintenance. The new building will be designed to be sustainable, flexible, and secure. It will also be able to accommodate the ITU's growing membership and staff and the increasing number of meetings and events that are held at the ITU's headquarters. </w:t>
      </w:r>
    </w:p>
    <w:p w14:paraId="4D604526" w14:textId="67342A0D" w:rsidR="00881896" w:rsidRPr="00881896" w:rsidRDefault="00881896" w:rsidP="00881896">
      <w:pPr>
        <w:numPr>
          <w:ilvl w:val="0"/>
          <w:numId w:val="2"/>
        </w:numPr>
        <w:tabs>
          <w:tab w:val="clear" w:pos="567"/>
          <w:tab w:val="clear" w:pos="1134"/>
          <w:tab w:val="clear" w:pos="1701"/>
          <w:tab w:val="clear" w:pos="2268"/>
          <w:tab w:val="clear" w:pos="2835"/>
        </w:tabs>
        <w:overflowPunct/>
        <w:autoSpaceDE/>
        <w:autoSpaceDN/>
        <w:adjustRightInd/>
        <w:jc w:val="both"/>
        <w:textAlignment w:val="auto"/>
        <w:rPr>
          <w:rFonts w:asciiTheme="minorHAnsi" w:eastAsia="Calibri" w:hAnsiTheme="minorHAnsi" w:cstheme="minorHAnsi"/>
          <w:szCs w:val="24"/>
          <w:lang w:val="en-US"/>
        </w:rPr>
      </w:pPr>
      <w:r w:rsidRPr="00881896">
        <w:rPr>
          <w:rFonts w:asciiTheme="minorHAnsi" w:eastAsia="Calibri" w:hAnsiTheme="minorHAnsi" w:cstheme="minorHAnsi"/>
          <w:szCs w:val="24"/>
          <w:lang w:val="en-US"/>
        </w:rPr>
        <w:t>If the project is cancelled, sponsorships and donations must be reimbursed immediately and there is no guarantee that any funds will be returned. Financial offers from general contractors are valid until the end of 2023 (If ITU does not sign a contract with a contractor by the end of 2023, the offers will expire, and ITU will have to start the bidding process over again. This will increase costs and delay the project). According to the report by MSAG chairman (</w:t>
      </w:r>
      <w:hyperlink r:id="rId22" w:history="1">
        <w:r w:rsidRPr="00881896">
          <w:rPr>
            <w:rFonts w:asciiTheme="minorHAnsi" w:eastAsia="Calibri" w:hAnsiTheme="minorHAnsi" w:cstheme="minorHAnsi"/>
            <w:color w:val="0000FF"/>
            <w:szCs w:val="24"/>
            <w:u w:val="single"/>
            <w:lang w:val="en-US"/>
          </w:rPr>
          <w:t>Document C23/48</w:t>
        </w:r>
      </w:hyperlink>
      <w:r w:rsidRPr="00881896">
        <w:rPr>
          <w:rFonts w:asciiTheme="minorHAnsi" w:eastAsia="Calibri" w:hAnsiTheme="minorHAnsi" w:cstheme="minorHAnsi"/>
          <w:szCs w:val="24"/>
          <w:lang w:val="en-US"/>
        </w:rPr>
        <w:t>), “stopping the current project and initiating a new plan, which would involve new design work and its associated costs and another tender process, resulting in a delay of four to five years”</w:t>
      </w:r>
      <w:r w:rsidRPr="00881896">
        <w:rPr>
          <w:rFonts w:asciiTheme="minorHAnsi" w:eastAsia="Calibri" w:hAnsiTheme="minorHAnsi" w:cstheme="minorHAnsi"/>
          <w:szCs w:val="24"/>
          <w:rtl/>
          <w:lang w:val="en-US"/>
        </w:rPr>
        <w:t>.</w:t>
      </w:r>
    </w:p>
    <w:p w14:paraId="01499CA6" w14:textId="77777777" w:rsidR="00881896" w:rsidRPr="00881896" w:rsidRDefault="00881896" w:rsidP="00881896">
      <w:pPr>
        <w:numPr>
          <w:ilvl w:val="0"/>
          <w:numId w:val="2"/>
        </w:numPr>
        <w:shd w:val="clear" w:color="auto" w:fill="FFFFFF"/>
        <w:tabs>
          <w:tab w:val="clear" w:pos="567"/>
          <w:tab w:val="clear" w:pos="1134"/>
          <w:tab w:val="clear" w:pos="1701"/>
          <w:tab w:val="clear" w:pos="2268"/>
          <w:tab w:val="clear" w:pos="2835"/>
        </w:tabs>
        <w:overflowPunct/>
        <w:autoSpaceDE/>
        <w:autoSpaceDN/>
        <w:adjustRightInd/>
        <w:jc w:val="both"/>
        <w:textAlignment w:val="auto"/>
        <w:rPr>
          <w:rFonts w:asciiTheme="minorHAnsi" w:eastAsia="Calibri" w:hAnsiTheme="minorHAnsi" w:cstheme="minorHAnsi"/>
          <w:szCs w:val="24"/>
          <w:lang w:val="en-US"/>
        </w:rPr>
      </w:pPr>
      <w:r w:rsidRPr="00881896">
        <w:rPr>
          <w:rFonts w:asciiTheme="minorHAnsi" w:eastAsia="Calibri" w:hAnsiTheme="minorHAnsi" w:cstheme="minorHAnsi"/>
          <w:szCs w:val="24"/>
          <w:lang w:val="en-US"/>
        </w:rPr>
        <w:lastRenderedPageBreak/>
        <w:t>There is already partially allocated budget and a detailed schedule of expenses that outlines the annual payments for the project and the ITU can commence the project if the Member States confirm their commitment to financing the remaining funds needed to complete the implementation of the new building project. This is in conformity with ITU rules, regulations and procedure.</w:t>
      </w:r>
    </w:p>
    <w:p w14:paraId="000B379E" w14:textId="77777777" w:rsidR="00881896" w:rsidRPr="00881896" w:rsidRDefault="00881896" w:rsidP="005C7103">
      <w:pPr>
        <w:numPr>
          <w:ilvl w:val="0"/>
          <w:numId w:val="3"/>
        </w:numPr>
        <w:shd w:val="clear" w:color="auto" w:fill="FFFFFF"/>
        <w:tabs>
          <w:tab w:val="clear" w:pos="567"/>
          <w:tab w:val="clear" w:pos="1134"/>
          <w:tab w:val="clear" w:pos="1701"/>
          <w:tab w:val="clear" w:pos="2268"/>
          <w:tab w:val="clear" w:pos="2835"/>
        </w:tabs>
        <w:overflowPunct/>
        <w:autoSpaceDE/>
        <w:autoSpaceDN/>
        <w:adjustRightInd/>
        <w:spacing w:before="240"/>
        <w:ind w:left="567" w:hanging="539"/>
        <w:jc w:val="both"/>
        <w:textAlignment w:val="auto"/>
        <w:rPr>
          <w:rFonts w:eastAsia="Calibri" w:cs="Calibri"/>
          <w:b/>
          <w:bCs/>
          <w:szCs w:val="24"/>
          <w:lang w:val="en-US"/>
        </w:rPr>
      </w:pPr>
      <w:r w:rsidRPr="00881896">
        <w:rPr>
          <w:rFonts w:eastAsia="Calibri" w:cs="Calibri"/>
          <w:b/>
          <w:bCs/>
          <w:szCs w:val="24"/>
          <w:lang w:val="en-US"/>
        </w:rPr>
        <w:t>Proposal</w:t>
      </w:r>
    </w:p>
    <w:p w14:paraId="49615B6D" w14:textId="77777777" w:rsidR="00881896" w:rsidRPr="00881896" w:rsidRDefault="00881896" w:rsidP="00881896">
      <w:pPr>
        <w:shd w:val="clear" w:color="auto" w:fill="FFFFFF"/>
        <w:tabs>
          <w:tab w:val="clear" w:pos="567"/>
          <w:tab w:val="clear" w:pos="1134"/>
          <w:tab w:val="clear" w:pos="1701"/>
          <w:tab w:val="clear" w:pos="2268"/>
          <w:tab w:val="clear" w:pos="2835"/>
        </w:tabs>
        <w:overflowPunct/>
        <w:autoSpaceDE/>
        <w:autoSpaceDN/>
        <w:adjustRightInd/>
        <w:jc w:val="both"/>
        <w:textAlignment w:val="auto"/>
        <w:rPr>
          <w:rFonts w:asciiTheme="minorHAnsi" w:eastAsia="Calibri" w:hAnsiTheme="minorHAnsi" w:cstheme="minorHAnsi"/>
          <w:szCs w:val="24"/>
          <w:lang w:val="en-US"/>
        </w:rPr>
      </w:pPr>
      <w:r w:rsidRPr="00881896">
        <w:rPr>
          <w:rFonts w:asciiTheme="minorHAnsi" w:eastAsia="Calibri" w:hAnsiTheme="minorHAnsi" w:cstheme="minorHAnsi"/>
          <w:szCs w:val="24"/>
          <w:lang w:val="en-US"/>
        </w:rPr>
        <w:t>As per analyses above and with already partially allocated budget (almost 75% of funds are received and secured) for the project, while considering the schedule of expenses of ITU building and relevant financial regulations and rules, we propose the following.</w:t>
      </w:r>
    </w:p>
    <w:p w14:paraId="36FD3E53" w14:textId="5AFA0060" w:rsidR="00881896" w:rsidRPr="00881896" w:rsidRDefault="00881896" w:rsidP="00881896">
      <w:pPr>
        <w:numPr>
          <w:ilvl w:val="0"/>
          <w:numId w:val="4"/>
        </w:numPr>
        <w:shd w:val="clear" w:color="auto" w:fill="FFFFFF"/>
        <w:tabs>
          <w:tab w:val="clear" w:pos="567"/>
          <w:tab w:val="clear" w:pos="1134"/>
          <w:tab w:val="clear" w:pos="1701"/>
          <w:tab w:val="clear" w:pos="2268"/>
          <w:tab w:val="clear" w:pos="2835"/>
        </w:tabs>
        <w:overflowPunct/>
        <w:autoSpaceDE/>
        <w:autoSpaceDN/>
        <w:adjustRightInd/>
        <w:jc w:val="both"/>
        <w:textAlignment w:val="auto"/>
        <w:rPr>
          <w:rFonts w:asciiTheme="minorHAnsi" w:eastAsia="Times New Roman" w:hAnsiTheme="minorHAnsi" w:cstheme="minorHAnsi"/>
          <w:szCs w:val="24"/>
          <w:lang w:val="en-US"/>
        </w:rPr>
      </w:pPr>
      <w:r w:rsidRPr="00881896">
        <w:rPr>
          <w:rFonts w:asciiTheme="minorHAnsi" w:eastAsia="Times New Roman" w:hAnsiTheme="minorHAnsi" w:cstheme="minorHAnsi"/>
          <w:szCs w:val="24"/>
          <w:lang w:val="en-US"/>
        </w:rPr>
        <w:t xml:space="preserve">To </w:t>
      </w:r>
      <w:r w:rsidRPr="00881896">
        <w:rPr>
          <w:rFonts w:asciiTheme="minorHAnsi" w:eastAsia="Calibri" w:hAnsiTheme="minorHAnsi" w:cstheme="minorHAnsi"/>
          <w:szCs w:val="24"/>
          <w:lang w:val="en-US"/>
        </w:rPr>
        <w:t>kindly</w:t>
      </w:r>
      <w:r w:rsidRPr="00881896">
        <w:rPr>
          <w:rFonts w:asciiTheme="minorHAnsi" w:eastAsia="Times New Roman" w:hAnsiTheme="minorHAnsi" w:cstheme="minorHAnsi"/>
          <w:szCs w:val="24"/>
          <w:lang w:val="en-US"/>
        </w:rPr>
        <w:t xml:space="preserve"> request the Secretary-General to negotiate with the General Contractor to find ways to </w:t>
      </w:r>
      <w:r w:rsidRPr="00881896">
        <w:rPr>
          <w:rFonts w:asciiTheme="minorHAnsi" w:eastAsia="Calibri" w:hAnsiTheme="minorHAnsi" w:cstheme="minorHAnsi"/>
          <w:szCs w:val="24"/>
          <w:lang w:val="en-US"/>
        </w:rPr>
        <w:t>reduce</w:t>
      </w:r>
      <w:r w:rsidRPr="00881896">
        <w:rPr>
          <w:rFonts w:asciiTheme="minorHAnsi" w:eastAsia="Times New Roman" w:hAnsiTheme="minorHAnsi" w:cstheme="minorHAnsi"/>
          <w:szCs w:val="24"/>
          <w:lang w:val="en-US"/>
        </w:rPr>
        <w:t xml:space="preserve"> the total cost of the increase amounts in the revised budget mentioned in Annex A of the Report on The Union’s Headquarters Premises Project (</w:t>
      </w:r>
      <w:hyperlink r:id="rId23" w:history="1">
        <w:r w:rsidRPr="00881896">
          <w:rPr>
            <w:rFonts w:asciiTheme="minorHAnsi" w:eastAsia="Times New Roman" w:hAnsiTheme="minorHAnsi" w:cstheme="minorHAnsi"/>
            <w:color w:val="0000FF"/>
            <w:szCs w:val="24"/>
            <w:u w:val="single"/>
            <w:lang w:val="en-US"/>
          </w:rPr>
          <w:t>Document C23/7</w:t>
        </w:r>
      </w:hyperlink>
      <w:r w:rsidRPr="00881896">
        <w:rPr>
          <w:rFonts w:asciiTheme="minorHAnsi" w:eastAsia="Times New Roman" w:hAnsiTheme="minorHAnsi" w:cstheme="minorHAnsi"/>
          <w:szCs w:val="24"/>
          <w:lang w:val="en-US"/>
        </w:rPr>
        <w:t>). This may include identifying areas in project which could be replaced by lower cost designs or requirements. These negotiations need to be concluded before September 2023.</w:t>
      </w:r>
    </w:p>
    <w:p w14:paraId="2C4CBBB0" w14:textId="6BA1A3CE" w:rsidR="00881896" w:rsidRPr="00881896" w:rsidRDefault="00881896" w:rsidP="00881896">
      <w:pPr>
        <w:numPr>
          <w:ilvl w:val="0"/>
          <w:numId w:val="4"/>
        </w:numPr>
        <w:shd w:val="clear" w:color="auto" w:fill="FFFFFF"/>
        <w:tabs>
          <w:tab w:val="clear" w:pos="567"/>
          <w:tab w:val="clear" w:pos="1134"/>
          <w:tab w:val="clear" w:pos="1701"/>
          <w:tab w:val="clear" w:pos="2268"/>
          <w:tab w:val="clear" w:pos="2835"/>
        </w:tabs>
        <w:overflowPunct/>
        <w:autoSpaceDE/>
        <w:autoSpaceDN/>
        <w:adjustRightInd/>
        <w:jc w:val="both"/>
        <w:textAlignment w:val="auto"/>
        <w:rPr>
          <w:rFonts w:asciiTheme="minorHAnsi" w:eastAsia="Calibri" w:hAnsiTheme="minorHAnsi" w:cstheme="minorHAnsi"/>
          <w:szCs w:val="24"/>
          <w:lang w:val="en-US"/>
        </w:rPr>
      </w:pPr>
      <w:r w:rsidRPr="00881896">
        <w:rPr>
          <w:rFonts w:asciiTheme="minorHAnsi" w:eastAsia="Calibri" w:hAnsiTheme="minorHAnsi" w:cstheme="minorHAnsi"/>
          <w:szCs w:val="24"/>
          <w:lang w:val="en-US"/>
        </w:rPr>
        <w:t xml:space="preserve">There are </w:t>
      </w:r>
      <w:r w:rsidR="00876FA4" w:rsidRPr="00881896">
        <w:rPr>
          <w:rFonts w:asciiTheme="minorHAnsi" w:eastAsia="Calibri" w:hAnsiTheme="minorHAnsi" w:cstheme="minorHAnsi"/>
          <w:szCs w:val="24"/>
          <w:lang w:val="en-US"/>
        </w:rPr>
        <w:t>not</w:t>
      </w:r>
      <w:r w:rsidRPr="00881896">
        <w:rPr>
          <w:rFonts w:asciiTheme="minorHAnsi" w:eastAsia="Calibri" w:hAnsiTheme="minorHAnsi" w:cstheme="minorHAnsi"/>
          <w:szCs w:val="24"/>
          <w:lang w:val="en-US"/>
        </w:rPr>
        <w:t xml:space="preserve"> enough explanations mentioned in </w:t>
      </w:r>
      <w:hyperlink r:id="rId24" w:history="1">
        <w:r w:rsidRPr="00881896">
          <w:rPr>
            <w:rFonts w:asciiTheme="minorHAnsi" w:eastAsia="Calibri" w:hAnsiTheme="minorHAnsi" w:cstheme="minorHAnsi"/>
            <w:color w:val="0000FF"/>
            <w:szCs w:val="24"/>
            <w:u w:val="single"/>
            <w:lang w:val="en-US"/>
          </w:rPr>
          <w:t>Document C23/7</w:t>
        </w:r>
      </w:hyperlink>
      <w:r w:rsidRPr="00881896">
        <w:rPr>
          <w:rFonts w:asciiTheme="minorHAnsi" w:eastAsia="Calibri" w:hAnsiTheme="minorHAnsi" w:cstheme="minorHAnsi"/>
          <w:color w:val="0000FF"/>
          <w:szCs w:val="24"/>
          <w:u w:val="single"/>
          <w:lang w:val="en-US"/>
        </w:rPr>
        <w:t xml:space="preserve"> </w:t>
      </w:r>
      <w:r w:rsidRPr="00881896">
        <w:rPr>
          <w:rFonts w:asciiTheme="minorHAnsi" w:eastAsia="Calibri" w:hAnsiTheme="minorHAnsi" w:cstheme="minorHAnsi"/>
          <w:szCs w:val="24"/>
          <w:lang w:val="en-US"/>
        </w:rPr>
        <w:t>to justify the figures in revised budget in Annex A and B. For instance, it is not clear why the budget for audiovisual, furniture, fixtures, and equipment have increased from 13,630,000 to 18,355,000. We kindly ask ITU Secretariat to provide, before September 2023, detailed information that help to identify the causes of these increases.</w:t>
      </w:r>
    </w:p>
    <w:p w14:paraId="16C917FF" w14:textId="77777777" w:rsidR="00881896" w:rsidRPr="00881896" w:rsidRDefault="00881896" w:rsidP="00881896">
      <w:pPr>
        <w:numPr>
          <w:ilvl w:val="0"/>
          <w:numId w:val="4"/>
        </w:numPr>
        <w:shd w:val="clear" w:color="auto" w:fill="FFFFFF"/>
        <w:tabs>
          <w:tab w:val="clear" w:pos="567"/>
          <w:tab w:val="clear" w:pos="1134"/>
          <w:tab w:val="clear" w:pos="1701"/>
          <w:tab w:val="clear" w:pos="2268"/>
          <w:tab w:val="clear" w:pos="2835"/>
        </w:tabs>
        <w:overflowPunct/>
        <w:autoSpaceDE/>
        <w:autoSpaceDN/>
        <w:adjustRightInd/>
        <w:jc w:val="both"/>
        <w:textAlignment w:val="auto"/>
        <w:rPr>
          <w:rFonts w:asciiTheme="minorHAnsi" w:eastAsia="Calibri" w:hAnsiTheme="minorHAnsi" w:cstheme="minorHAnsi"/>
          <w:szCs w:val="24"/>
          <w:rtl/>
          <w:lang w:val="en-US"/>
        </w:rPr>
      </w:pPr>
      <w:r w:rsidRPr="00881896">
        <w:rPr>
          <w:rFonts w:asciiTheme="minorHAnsi" w:eastAsia="Calibri" w:hAnsiTheme="minorHAnsi" w:cstheme="minorHAnsi"/>
          <w:szCs w:val="24"/>
          <w:lang w:val="en-US"/>
        </w:rPr>
        <w:t xml:space="preserve">To hold </w:t>
      </w:r>
      <w:r w:rsidRPr="00881896">
        <w:rPr>
          <w:rFonts w:asciiTheme="minorHAnsi" w:eastAsia="Times New Roman" w:hAnsiTheme="minorHAnsi" w:cstheme="minorHAnsi"/>
          <w:color w:val="000000"/>
          <w:szCs w:val="24"/>
          <w:lang w:val="en-US"/>
        </w:rPr>
        <w:t>Additional Session</w:t>
      </w:r>
      <w:r w:rsidRPr="00881896">
        <w:rPr>
          <w:rFonts w:asciiTheme="minorHAnsi" w:eastAsia="Calibri" w:hAnsiTheme="minorHAnsi" w:cstheme="minorHAnsi"/>
          <w:szCs w:val="24"/>
          <w:lang w:val="en-US"/>
        </w:rPr>
        <w:t xml:space="preserve"> of Council in September 2023 to discuss the outcomes of (1) and (2) above and to approve additional funding (if any) for the project costs and financing.</w:t>
      </w:r>
    </w:p>
    <w:p w14:paraId="16566EB5" w14:textId="41EC5C24" w:rsidR="00A514A4" w:rsidRPr="007B0FA1" w:rsidRDefault="00881896" w:rsidP="00881896">
      <w:pPr>
        <w:tabs>
          <w:tab w:val="clear" w:pos="567"/>
          <w:tab w:val="clear" w:pos="1134"/>
          <w:tab w:val="clear" w:pos="1701"/>
          <w:tab w:val="clear" w:pos="2268"/>
          <w:tab w:val="clear" w:pos="2835"/>
        </w:tabs>
        <w:overflowPunct/>
        <w:autoSpaceDE/>
        <w:autoSpaceDN/>
        <w:adjustRightInd/>
        <w:spacing w:before="840"/>
        <w:jc w:val="center"/>
        <w:textAlignment w:val="auto"/>
      </w:pPr>
      <w:r>
        <w:t>________________</w:t>
      </w:r>
    </w:p>
    <w:sectPr w:rsidR="00A514A4" w:rsidRPr="007B0FA1" w:rsidSect="00AD3606">
      <w:footerReference w:type="default" r:id="rId25"/>
      <w:headerReference w:type="first" r:id="rId26"/>
      <w:footerReference w:type="first" r:id="rId2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4D63" w14:textId="77777777" w:rsidR="00A54171" w:rsidRDefault="00A54171">
      <w:r>
        <w:separator/>
      </w:r>
    </w:p>
  </w:endnote>
  <w:endnote w:type="continuationSeparator" w:id="0">
    <w:p w14:paraId="4A51B857" w14:textId="77777777" w:rsidR="00A54171" w:rsidRDefault="00A5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67D32B81" w:rsidR="00EE49E8" w:rsidRDefault="007B0FA1" w:rsidP="00EE49E8">
          <w:pPr>
            <w:pStyle w:val="Header"/>
            <w:jc w:val="left"/>
            <w:rPr>
              <w:noProof/>
            </w:rPr>
          </w:pPr>
          <w:r>
            <w:rPr>
              <w:noProof/>
            </w:rPr>
            <w:t xml:space="preserve">DPS </w:t>
          </w:r>
          <w:r w:rsidR="00881896">
            <w:rPr>
              <w:noProof/>
            </w:rPr>
            <w:t>525366</w:t>
          </w:r>
        </w:p>
      </w:tc>
      <w:tc>
        <w:tcPr>
          <w:tcW w:w="8261" w:type="dxa"/>
        </w:tcPr>
        <w:p w14:paraId="35709C74" w14:textId="0ACAA624"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7B0FA1">
            <w:rPr>
              <w:bCs/>
            </w:rPr>
            <w:t>95</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5C7103"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239DCA05"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7B0FA1">
            <w:rPr>
              <w:bCs/>
            </w:rPr>
            <w:t>95</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D585" w14:textId="77777777" w:rsidR="00A54171" w:rsidRDefault="00A54171">
      <w:r>
        <w:t>____________________</w:t>
      </w:r>
    </w:p>
  </w:footnote>
  <w:footnote w:type="continuationSeparator" w:id="0">
    <w:p w14:paraId="13CCF145" w14:textId="77777777" w:rsidR="00A54171" w:rsidRDefault="00A5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1065E2F"/>
    <w:multiLevelType w:val="hybridMultilevel"/>
    <w:tmpl w:val="C374C250"/>
    <w:lvl w:ilvl="0" w:tplc="156E8D4C">
      <w:start w:val="1"/>
      <w:numFmt w:val="decimal"/>
      <w:lvlText w:val="%1."/>
      <w:lvlJc w:val="left"/>
      <w:pPr>
        <w:ind w:left="81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F042B8"/>
    <w:multiLevelType w:val="hybridMultilevel"/>
    <w:tmpl w:val="7B24A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7150CE"/>
    <w:multiLevelType w:val="hybridMultilevel"/>
    <w:tmpl w:val="7A802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4816267">
    <w:abstractNumId w:val="0"/>
  </w:num>
  <w:num w:numId="2" w16cid:durableId="685837023">
    <w:abstractNumId w:val="3"/>
  </w:num>
  <w:num w:numId="3" w16cid:durableId="1052074026">
    <w:abstractNumId w:val="2"/>
  </w:num>
  <w:num w:numId="4" w16cid:durableId="146749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63016"/>
    <w:rsid w:val="00066795"/>
    <w:rsid w:val="00076AF6"/>
    <w:rsid w:val="00085CF2"/>
    <w:rsid w:val="000B1705"/>
    <w:rsid w:val="000D75B2"/>
    <w:rsid w:val="001121F5"/>
    <w:rsid w:val="001400DC"/>
    <w:rsid w:val="00140CE1"/>
    <w:rsid w:val="00146BAF"/>
    <w:rsid w:val="0017539C"/>
    <w:rsid w:val="00175AC2"/>
    <w:rsid w:val="0017609F"/>
    <w:rsid w:val="001A7D1D"/>
    <w:rsid w:val="001B51DD"/>
    <w:rsid w:val="001C628E"/>
    <w:rsid w:val="001E0F7B"/>
    <w:rsid w:val="002119FD"/>
    <w:rsid w:val="002130E0"/>
    <w:rsid w:val="00226DDE"/>
    <w:rsid w:val="00264425"/>
    <w:rsid w:val="00265875"/>
    <w:rsid w:val="0027303B"/>
    <w:rsid w:val="0028109B"/>
    <w:rsid w:val="002A2188"/>
    <w:rsid w:val="002B1F58"/>
    <w:rsid w:val="002C1C7A"/>
    <w:rsid w:val="002C54E2"/>
    <w:rsid w:val="002F6124"/>
    <w:rsid w:val="0030160F"/>
    <w:rsid w:val="00320223"/>
    <w:rsid w:val="00322D0D"/>
    <w:rsid w:val="00361465"/>
    <w:rsid w:val="003877F5"/>
    <w:rsid w:val="003942D4"/>
    <w:rsid w:val="003958A8"/>
    <w:rsid w:val="003C2533"/>
    <w:rsid w:val="003D5A7F"/>
    <w:rsid w:val="0040435A"/>
    <w:rsid w:val="00416A24"/>
    <w:rsid w:val="00431D9E"/>
    <w:rsid w:val="00433CE8"/>
    <w:rsid w:val="00434A5C"/>
    <w:rsid w:val="004544D9"/>
    <w:rsid w:val="00472BAD"/>
    <w:rsid w:val="00484009"/>
    <w:rsid w:val="00490E72"/>
    <w:rsid w:val="00491157"/>
    <w:rsid w:val="004921C8"/>
    <w:rsid w:val="00495B0B"/>
    <w:rsid w:val="004A1B8B"/>
    <w:rsid w:val="004A4E1C"/>
    <w:rsid w:val="004D1851"/>
    <w:rsid w:val="004D599D"/>
    <w:rsid w:val="004E2EA5"/>
    <w:rsid w:val="004E3AEB"/>
    <w:rsid w:val="0050223C"/>
    <w:rsid w:val="005243FF"/>
    <w:rsid w:val="00564FBC"/>
    <w:rsid w:val="005800BC"/>
    <w:rsid w:val="00582442"/>
    <w:rsid w:val="005C11D3"/>
    <w:rsid w:val="005C7103"/>
    <w:rsid w:val="005F3269"/>
    <w:rsid w:val="00623AE3"/>
    <w:rsid w:val="0064737F"/>
    <w:rsid w:val="006535F1"/>
    <w:rsid w:val="0065557D"/>
    <w:rsid w:val="00660D50"/>
    <w:rsid w:val="00661C03"/>
    <w:rsid w:val="00662984"/>
    <w:rsid w:val="006716BB"/>
    <w:rsid w:val="006B1859"/>
    <w:rsid w:val="006B6680"/>
    <w:rsid w:val="006B6DCC"/>
    <w:rsid w:val="00702DEF"/>
    <w:rsid w:val="00706861"/>
    <w:rsid w:val="0075051B"/>
    <w:rsid w:val="00793188"/>
    <w:rsid w:val="00794D34"/>
    <w:rsid w:val="007B0FA1"/>
    <w:rsid w:val="00813E5E"/>
    <w:rsid w:val="0083581B"/>
    <w:rsid w:val="00863874"/>
    <w:rsid w:val="00864AFF"/>
    <w:rsid w:val="00865925"/>
    <w:rsid w:val="00876FA4"/>
    <w:rsid w:val="00881896"/>
    <w:rsid w:val="008B4A6A"/>
    <w:rsid w:val="008C7E27"/>
    <w:rsid w:val="008F7448"/>
    <w:rsid w:val="0090147A"/>
    <w:rsid w:val="009173EF"/>
    <w:rsid w:val="00917890"/>
    <w:rsid w:val="00932906"/>
    <w:rsid w:val="00961B0B"/>
    <w:rsid w:val="009B38C3"/>
    <w:rsid w:val="009E17BD"/>
    <w:rsid w:val="009E485A"/>
    <w:rsid w:val="00A04CEC"/>
    <w:rsid w:val="00A27F92"/>
    <w:rsid w:val="00A32257"/>
    <w:rsid w:val="00A36D20"/>
    <w:rsid w:val="00A44716"/>
    <w:rsid w:val="00A514A4"/>
    <w:rsid w:val="00A54171"/>
    <w:rsid w:val="00A55622"/>
    <w:rsid w:val="00A83502"/>
    <w:rsid w:val="00AD15B3"/>
    <w:rsid w:val="00AD3606"/>
    <w:rsid w:val="00AD4A3D"/>
    <w:rsid w:val="00AF6E49"/>
    <w:rsid w:val="00B04A67"/>
    <w:rsid w:val="00B0583C"/>
    <w:rsid w:val="00B40A81"/>
    <w:rsid w:val="00B44910"/>
    <w:rsid w:val="00B72267"/>
    <w:rsid w:val="00B76EB6"/>
    <w:rsid w:val="00B7737B"/>
    <w:rsid w:val="00B824C8"/>
    <w:rsid w:val="00B84B9D"/>
    <w:rsid w:val="00BC251A"/>
    <w:rsid w:val="00BD032B"/>
    <w:rsid w:val="00BE2640"/>
    <w:rsid w:val="00C01189"/>
    <w:rsid w:val="00C374DE"/>
    <w:rsid w:val="00C45268"/>
    <w:rsid w:val="00C47AD4"/>
    <w:rsid w:val="00C52D81"/>
    <w:rsid w:val="00C55198"/>
    <w:rsid w:val="00CA6393"/>
    <w:rsid w:val="00CB18FF"/>
    <w:rsid w:val="00CD0C08"/>
    <w:rsid w:val="00CE03FB"/>
    <w:rsid w:val="00CE433C"/>
    <w:rsid w:val="00CF0161"/>
    <w:rsid w:val="00CF33F3"/>
    <w:rsid w:val="00D06183"/>
    <w:rsid w:val="00D22C42"/>
    <w:rsid w:val="00D65041"/>
    <w:rsid w:val="00D95B39"/>
    <w:rsid w:val="00DB1936"/>
    <w:rsid w:val="00DB384B"/>
    <w:rsid w:val="00DF0189"/>
    <w:rsid w:val="00E06FD5"/>
    <w:rsid w:val="00E10E80"/>
    <w:rsid w:val="00E124F0"/>
    <w:rsid w:val="00E60F04"/>
    <w:rsid w:val="00E65B24"/>
    <w:rsid w:val="00E854E4"/>
    <w:rsid w:val="00E86DBF"/>
    <w:rsid w:val="00EB0D6F"/>
    <w:rsid w:val="00EB2232"/>
    <w:rsid w:val="00EC5337"/>
    <w:rsid w:val="00EE49E8"/>
    <w:rsid w:val="00F16BAB"/>
    <w:rsid w:val="00F2150A"/>
    <w:rsid w:val="00F231D8"/>
    <w:rsid w:val="00F44C00"/>
    <w:rsid w:val="00F46C5F"/>
    <w:rsid w:val="00F632C0"/>
    <w:rsid w:val="00F94A63"/>
    <w:rsid w:val="00FA1C28"/>
    <w:rsid w:val="00FA2D17"/>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17890"/>
    <w:pPr>
      <w:framePr w:hSpace="180" w:wrap="around" w:vAnchor="page" w:hAnchor="page" w:x="1821" w:y="2317"/>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7B0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212-E.pdf" TargetMode="External"/><Relationship Id="rId13" Type="http://schemas.openxmlformats.org/officeDocument/2006/relationships/hyperlink" Target="https://www.itu.int/md/S19-CLADD-C-0002/en" TargetMode="External"/><Relationship Id="rId18" Type="http://schemas.openxmlformats.org/officeDocument/2006/relationships/hyperlink" Target="https://www.itu.int/md/S16-CL-C-0007/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en/council/Documents/basic-texts-2023/RES-212-E.pdf" TargetMode="External"/><Relationship Id="rId7" Type="http://schemas.openxmlformats.org/officeDocument/2006/relationships/endnotes" Target="endnotes.xml"/><Relationship Id="rId12" Type="http://schemas.openxmlformats.org/officeDocument/2006/relationships/hyperlink" Target="https://www.itu.int/md/S16-CL-C-0124/en" TargetMode="External"/><Relationship Id="rId17" Type="http://schemas.openxmlformats.org/officeDocument/2006/relationships/hyperlink" Target="https://www.itu.int/md/S14-CL-C-0050/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S13-CL-INF-0018/en" TargetMode="External"/><Relationship Id="rId20" Type="http://schemas.openxmlformats.org/officeDocument/2006/relationships/hyperlink" Target="https://www.itu.int/md/S19-CLADD-C-0002/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CL-C-0007/en" TargetMode="External"/><Relationship Id="rId24" Type="http://schemas.openxmlformats.org/officeDocument/2006/relationships/hyperlink" Target="https://www.itu.int/md/S23-CL-C-0007/en" TargetMode="External"/><Relationship Id="rId5" Type="http://schemas.openxmlformats.org/officeDocument/2006/relationships/webSettings" Target="webSettings.xml"/><Relationship Id="rId15" Type="http://schemas.openxmlformats.org/officeDocument/2006/relationships/hyperlink" Target="https://www.itu.int/md/S23-CL-C-0007/en" TargetMode="External"/><Relationship Id="rId23" Type="http://schemas.openxmlformats.org/officeDocument/2006/relationships/hyperlink" Target="https://www.itu.int/md/S23-CL-C-0007/en" TargetMode="External"/><Relationship Id="rId28" Type="http://schemas.openxmlformats.org/officeDocument/2006/relationships/fontTable" Target="fontTable.xml"/><Relationship Id="rId10" Type="http://schemas.openxmlformats.org/officeDocument/2006/relationships/hyperlink" Target="https://www.itu.int/md/S14-CL-C-0050/en" TargetMode="External"/><Relationship Id="rId19" Type="http://schemas.openxmlformats.org/officeDocument/2006/relationships/hyperlink" Target="https://www.itu.int/md/S16-CL-C-0124/en" TargetMode="External"/><Relationship Id="rId4" Type="http://schemas.openxmlformats.org/officeDocument/2006/relationships/settings" Target="settings.xml"/><Relationship Id="rId9" Type="http://schemas.openxmlformats.org/officeDocument/2006/relationships/hyperlink" Target="https://www.itu.int/md/S13-CL-INF-0018/en" TargetMode="External"/><Relationship Id="rId14" Type="http://schemas.openxmlformats.org/officeDocument/2006/relationships/hyperlink" Target="https://www.itu.int/md/S23-CL-C-0048/en" TargetMode="External"/><Relationship Id="rId22" Type="http://schemas.openxmlformats.org/officeDocument/2006/relationships/hyperlink" Target="https://www.itu.int/md/S23-CL-C-0048/en"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942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Multi-country contribution - Proposals on the Union's headquarters project</vt:lpstr>
    </vt:vector>
  </TitlesOfParts>
  <Manager>General Secretariat - Pool</Manager>
  <Company>International Telecommunication Union (ITU)</Company>
  <LinksUpToDate>false</LinksUpToDate>
  <CharactersWithSpaces>7153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Proposals on the Union's headquarters project</dc:title>
  <dc:subject>Council 2023</dc:subject>
  <dc:creator>Pluchon, Beatrice</dc:creator>
  <cp:keywords>C2023, C23, Council-23</cp:keywords>
  <dc:description/>
  <cp:lastModifiedBy>Xue, Kun</cp:lastModifiedBy>
  <cp:revision>5</cp:revision>
  <cp:lastPrinted>2000-07-18T13:30:00Z</cp:lastPrinted>
  <dcterms:created xsi:type="dcterms:W3CDTF">2023-06-28T17:29:00Z</dcterms:created>
  <dcterms:modified xsi:type="dcterms:W3CDTF">2023-06-29T09:47:00Z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