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F13B523" w14:textId="77777777" w:rsidTr="00C538FC">
        <w:trPr>
          <w:cantSplit/>
          <w:trHeight w:val="23"/>
        </w:trPr>
        <w:tc>
          <w:tcPr>
            <w:tcW w:w="3969" w:type="dxa"/>
            <w:vMerge w:val="restart"/>
            <w:tcMar>
              <w:left w:w="0" w:type="dxa"/>
            </w:tcMar>
          </w:tcPr>
          <w:p w14:paraId="275266EC" w14:textId="375789DE" w:rsidR="00FE57F6" w:rsidRPr="00E85629" w:rsidRDefault="001E1D08" w:rsidP="00C538FC">
            <w:pPr>
              <w:tabs>
                <w:tab w:val="left" w:pos="851"/>
              </w:tabs>
              <w:spacing w:before="0" w:line="240" w:lineRule="atLeast"/>
              <w:rPr>
                <w:b/>
              </w:rPr>
            </w:pPr>
            <w:bookmarkStart w:id="0" w:name="_Hlk133421839"/>
            <w:r w:rsidRPr="00C52674">
              <w:rPr>
                <w:b/>
              </w:rPr>
              <w:t>Punto del orden del día: ADM 3</w:t>
            </w:r>
          </w:p>
        </w:tc>
        <w:tc>
          <w:tcPr>
            <w:tcW w:w="5245" w:type="dxa"/>
          </w:tcPr>
          <w:p w14:paraId="1F432CA0" w14:textId="73C851A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1E1D08">
              <w:rPr>
                <w:b/>
              </w:rPr>
              <w:t>95</w:t>
            </w:r>
            <w:r>
              <w:rPr>
                <w:b/>
              </w:rPr>
              <w:t>-</w:t>
            </w:r>
            <w:r w:rsidR="00F24B71">
              <w:rPr>
                <w:b/>
              </w:rPr>
              <w:t>S</w:t>
            </w:r>
          </w:p>
        </w:tc>
      </w:tr>
      <w:tr w:rsidR="00FE57F6" w:rsidRPr="00813E5E" w14:paraId="5BE61AD5" w14:textId="77777777" w:rsidTr="00C538FC">
        <w:trPr>
          <w:cantSplit/>
        </w:trPr>
        <w:tc>
          <w:tcPr>
            <w:tcW w:w="3969" w:type="dxa"/>
            <w:vMerge/>
          </w:tcPr>
          <w:p w14:paraId="6218F6B3" w14:textId="77777777" w:rsidR="00FE57F6" w:rsidRPr="00813E5E" w:rsidRDefault="00FE57F6" w:rsidP="00C538FC">
            <w:pPr>
              <w:tabs>
                <w:tab w:val="left" w:pos="851"/>
              </w:tabs>
              <w:spacing w:line="240" w:lineRule="atLeast"/>
              <w:rPr>
                <w:b/>
              </w:rPr>
            </w:pPr>
          </w:p>
        </w:tc>
        <w:tc>
          <w:tcPr>
            <w:tcW w:w="5245" w:type="dxa"/>
          </w:tcPr>
          <w:p w14:paraId="72BD1BF2" w14:textId="28F5ED0F" w:rsidR="00FE57F6" w:rsidRPr="00E85629" w:rsidRDefault="001E1D08" w:rsidP="00C538FC">
            <w:pPr>
              <w:tabs>
                <w:tab w:val="left" w:pos="851"/>
              </w:tabs>
              <w:spacing w:before="0"/>
              <w:jc w:val="right"/>
              <w:rPr>
                <w:b/>
              </w:rPr>
            </w:pPr>
            <w:r w:rsidRPr="00C52674">
              <w:rPr>
                <w:b/>
              </w:rPr>
              <w:t>27 de junio de 2023</w:t>
            </w:r>
          </w:p>
        </w:tc>
      </w:tr>
      <w:tr w:rsidR="00FE57F6" w:rsidRPr="00F24B71" w14:paraId="3A9623DA" w14:textId="77777777" w:rsidTr="00C538FC">
        <w:trPr>
          <w:cantSplit/>
          <w:trHeight w:val="23"/>
        </w:trPr>
        <w:tc>
          <w:tcPr>
            <w:tcW w:w="3969" w:type="dxa"/>
            <w:vMerge/>
          </w:tcPr>
          <w:p w14:paraId="25A04A67" w14:textId="77777777" w:rsidR="00FE57F6" w:rsidRPr="00813E5E" w:rsidRDefault="00FE57F6" w:rsidP="00C538FC">
            <w:pPr>
              <w:tabs>
                <w:tab w:val="left" w:pos="851"/>
              </w:tabs>
              <w:spacing w:line="240" w:lineRule="atLeast"/>
              <w:rPr>
                <w:b/>
              </w:rPr>
            </w:pPr>
          </w:p>
        </w:tc>
        <w:tc>
          <w:tcPr>
            <w:tcW w:w="5245" w:type="dxa"/>
          </w:tcPr>
          <w:p w14:paraId="11530FE9"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018F1BE7" w14:textId="77777777" w:rsidTr="00C538FC">
        <w:trPr>
          <w:cantSplit/>
          <w:trHeight w:val="23"/>
        </w:trPr>
        <w:tc>
          <w:tcPr>
            <w:tcW w:w="3969" w:type="dxa"/>
          </w:tcPr>
          <w:p w14:paraId="2CEA439B" w14:textId="77777777" w:rsidR="00FE57F6" w:rsidRPr="00813E5E" w:rsidRDefault="00FE57F6" w:rsidP="00C538FC">
            <w:pPr>
              <w:tabs>
                <w:tab w:val="left" w:pos="851"/>
              </w:tabs>
              <w:spacing w:line="240" w:lineRule="atLeast"/>
              <w:rPr>
                <w:b/>
              </w:rPr>
            </w:pPr>
          </w:p>
        </w:tc>
        <w:tc>
          <w:tcPr>
            <w:tcW w:w="5245" w:type="dxa"/>
          </w:tcPr>
          <w:p w14:paraId="323049E1" w14:textId="77777777" w:rsidR="00FE57F6" w:rsidRDefault="00FE57F6" w:rsidP="00C538FC">
            <w:pPr>
              <w:tabs>
                <w:tab w:val="left" w:pos="851"/>
              </w:tabs>
              <w:spacing w:before="0" w:line="240" w:lineRule="atLeast"/>
              <w:jc w:val="right"/>
              <w:rPr>
                <w:b/>
              </w:rPr>
            </w:pPr>
          </w:p>
        </w:tc>
      </w:tr>
      <w:tr w:rsidR="00FE57F6" w:rsidRPr="00FE57F6" w14:paraId="04CBE952" w14:textId="77777777" w:rsidTr="00C538FC">
        <w:trPr>
          <w:cantSplit/>
        </w:trPr>
        <w:tc>
          <w:tcPr>
            <w:tcW w:w="9214" w:type="dxa"/>
            <w:gridSpan w:val="2"/>
            <w:tcMar>
              <w:left w:w="0" w:type="dxa"/>
            </w:tcMar>
          </w:tcPr>
          <w:p w14:paraId="6A2E1441" w14:textId="4BD2A636" w:rsidR="00FE57F6" w:rsidRPr="004B5D49" w:rsidRDefault="001E1D08" w:rsidP="00C538FC">
            <w:pPr>
              <w:pStyle w:val="Source"/>
              <w:jc w:val="left"/>
              <w:rPr>
                <w:sz w:val="34"/>
                <w:szCs w:val="34"/>
                <w:lang w:val="es-ES"/>
              </w:rPr>
            </w:pPr>
            <w:r w:rsidRPr="001E1D08">
              <w:rPr>
                <w:rFonts w:cstheme="minorHAnsi"/>
                <w:sz w:val="34"/>
                <w:szCs w:val="34"/>
              </w:rPr>
              <w:t>Contribución de Argelia (República Argelina Democrática y Popular), Arabia Saudita (Reino de), Bahrain (Reino de), Egipto (República Árabe de), Emiratos Árabes Unidos, Kuwait (Estado</w:t>
            </w:r>
            <w:r w:rsidR="00D94722">
              <w:rPr>
                <w:rFonts w:cstheme="minorHAnsi"/>
                <w:sz w:val="34"/>
                <w:szCs w:val="34"/>
              </w:rPr>
              <w:t> </w:t>
            </w:r>
            <w:r w:rsidRPr="001E1D08">
              <w:rPr>
                <w:rFonts w:cstheme="minorHAnsi"/>
                <w:sz w:val="34"/>
                <w:szCs w:val="34"/>
              </w:rPr>
              <w:t>de), Marruecos (Reino de), Sudafricana (República) y Túnez</w:t>
            </w:r>
          </w:p>
        </w:tc>
      </w:tr>
      <w:tr w:rsidR="00FE57F6" w:rsidRPr="00813E5E" w14:paraId="4D0ED0F0" w14:textId="77777777" w:rsidTr="00C538FC">
        <w:trPr>
          <w:cantSplit/>
        </w:trPr>
        <w:tc>
          <w:tcPr>
            <w:tcW w:w="9214" w:type="dxa"/>
            <w:gridSpan w:val="2"/>
            <w:tcMar>
              <w:left w:w="0" w:type="dxa"/>
            </w:tcMar>
          </w:tcPr>
          <w:p w14:paraId="1DC2965B" w14:textId="63555D57" w:rsidR="00FE57F6" w:rsidRPr="001E1D08" w:rsidRDefault="001E1D08" w:rsidP="00C538FC">
            <w:pPr>
              <w:pStyle w:val="Subtitle"/>
              <w:framePr w:hSpace="0" w:wrap="auto" w:hAnchor="text" w:xAlign="left" w:yAlign="inline"/>
              <w:rPr>
                <w:lang w:val="es-ES"/>
              </w:rPr>
            </w:pPr>
            <w:r w:rsidRPr="00C52674">
              <w:rPr>
                <w:lang w:val="es-ES_tradnl"/>
              </w:rPr>
              <w:t>PROPUESTAS SOBRE EL PROYECTO DE SEDE DE LA UNIÓN</w:t>
            </w:r>
          </w:p>
        </w:tc>
      </w:tr>
      <w:tr w:rsidR="00FE57F6" w:rsidRPr="00813E5E" w14:paraId="53A06CCF" w14:textId="77777777" w:rsidTr="00C538FC">
        <w:trPr>
          <w:cantSplit/>
        </w:trPr>
        <w:tc>
          <w:tcPr>
            <w:tcW w:w="9214" w:type="dxa"/>
            <w:gridSpan w:val="2"/>
            <w:tcBorders>
              <w:top w:val="single" w:sz="4" w:space="0" w:color="auto"/>
              <w:bottom w:val="single" w:sz="4" w:space="0" w:color="auto"/>
            </w:tcBorders>
            <w:tcMar>
              <w:left w:w="0" w:type="dxa"/>
            </w:tcMar>
          </w:tcPr>
          <w:p w14:paraId="4C7263A6" w14:textId="623517B7" w:rsidR="00FE57F6" w:rsidRPr="00F24B71" w:rsidRDefault="00F24B71" w:rsidP="00C538FC">
            <w:pPr>
              <w:spacing w:before="160"/>
              <w:rPr>
                <w:b/>
                <w:bCs/>
                <w:sz w:val="26"/>
                <w:szCs w:val="26"/>
                <w:lang w:val="es-ES"/>
              </w:rPr>
            </w:pPr>
            <w:r w:rsidRPr="00F24B71">
              <w:rPr>
                <w:b/>
                <w:bCs/>
                <w:sz w:val="26"/>
                <w:szCs w:val="26"/>
                <w:lang w:val="es-ES"/>
              </w:rPr>
              <w:t>Finalidad</w:t>
            </w:r>
          </w:p>
          <w:p w14:paraId="5B65B6B0" w14:textId="594E6ECA" w:rsidR="00FE57F6" w:rsidRPr="00F24B71" w:rsidRDefault="001E1D08" w:rsidP="00C538FC">
            <w:pPr>
              <w:rPr>
                <w:lang w:val="es-ES"/>
              </w:rPr>
            </w:pPr>
            <w:r w:rsidRPr="00C52674">
              <w:t>En la presente contribución se analizan las últimas novedades relacionadas con el proyecto de sede de la UIT</w:t>
            </w:r>
            <w:r>
              <w:t xml:space="preserve">, al tiempo que se evocan </w:t>
            </w:r>
            <w:r w:rsidRPr="00C52674">
              <w:t>algunas de las actividades conexas</w:t>
            </w:r>
            <w:r>
              <w:t xml:space="preserve"> emprendidas a partir del año</w:t>
            </w:r>
            <w:r w:rsidRPr="00C52674">
              <w:t xml:space="preserve"> 2007</w:t>
            </w:r>
            <w:r>
              <w:t>,</w:t>
            </w:r>
            <w:r w:rsidRPr="00C52674">
              <w:t xml:space="preserve"> que podrían enriquecer el debate en la materia y propiciar una toma de decisiones fundamentada y cabal. </w:t>
            </w:r>
            <w:r>
              <w:t>A ese respecto</w:t>
            </w:r>
            <w:r w:rsidRPr="00C52674">
              <w:t>, proponemos medidas que podrían facilitar la resolución de los problemas existentes y ayudar a la Unión a proceder con opciones más factibles.</w:t>
            </w:r>
          </w:p>
          <w:p w14:paraId="681E608A"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06A8FD5" w14:textId="03CC7D4B" w:rsidR="00FE57F6" w:rsidRPr="00F24B71" w:rsidRDefault="001E1D08" w:rsidP="00C538FC">
            <w:pPr>
              <w:rPr>
                <w:lang w:val="es-ES"/>
              </w:rPr>
            </w:pPr>
            <w:r w:rsidRPr="00C52674">
              <w:t>Se invita al Consejo a</w:t>
            </w:r>
            <w:r w:rsidRPr="00C52674">
              <w:rPr>
                <w:b/>
                <w:bCs/>
              </w:rPr>
              <w:t xml:space="preserve"> considerar </w:t>
            </w:r>
            <w:r w:rsidRPr="00C52674">
              <w:t xml:space="preserve">la presente contribución y a </w:t>
            </w:r>
            <w:r w:rsidRPr="00C52674">
              <w:rPr>
                <w:b/>
                <w:bCs/>
              </w:rPr>
              <w:t xml:space="preserve">tomar las medidas necesarias </w:t>
            </w:r>
            <w:r w:rsidRPr="00C52674">
              <w:t>en consecuencia.</w:t>
            </w:r>
          </w:p>
          <w:p w14:paraId="2D74C412" w14:textId="77777777" w:rsidR="00FE57F6" w:rsidRPr="00813E5E" w:rsidRDefault="00FE57F6" w:rsidP="00C538FC">
            <w:pPr>
              <w:spacing w:before="160"/>
              <w:rPr>
                <w:caps/>
                <w:sz w:val="22"/>
              </w:rPr>
            </w:pPr>
            <w:r w:rsidRPr="00813E5E">
              <w:rPr>
                <w:sz w:val="22"/>
              </w:rPr>
              <w:t>____________</w:t>
            </w:r>
            <w:r>
              <w:rPr>
                <w:sz w:val="22"/>
              </w:rPr>
              <w:t>______</w:t>
            </w:r>
          </w:p>
          <w:p w14:paraId="7392BD27" w14:textId="77777777" w:rsidR="00FE57F6" w:rsidRDefault="00F24B71" w:rsidP="00C538FC">
            <w:pPr>
              <w:spacing w:before="160"/>
              <w:rPr>
                <w:b/>
                <w:bCs/>
                <w:sz w:val="26"/>
                <w:szCs w:val="26"/>
              </w:rPr>
            </w:pPr>
            <w:r w:rsidRPr="00F24B71">
              <w:rPr>
                <w:b/>
                <w:bCs/>
                <w:sz w:val="26"/>
                <w:szCs w:val="26"/>
              </w:rPr>
              <w:t>Referencia</w:t>
            </w:r>
          </w:p>
          <w:p w14:paraId="5F6F8078" w14:textId="260B210F" w:rsidR="00FE57F6" w:rsidRDefault="001543F0" w:rsidP="00C538FC">
            <w:pPr>
              <w:spacing w:after="160"/>
            </w:pPr>
            <w:hyperlink r:id="rId7" w:history="1">
              <w:r w:rsidR="001E1D08" w:rsidRPr="00C52674">
                <w:rPr>
                  <w:rStyle w:val="Hyperlink"/>
                  <w:rFonts w:asciiTheme="minorHAnsi" w:hAnsiTheme="minorHAnsi" w:cstheme="minorHAnsi"/>
                  <w:szCs w:val="24"/>
                </w:rPr>
                <w:t xml:space="preserve">Resolución </w:t>
              </w:r>
              <w:r w:rsidR="001E1D08" w:rsidRPr="00C52674">
                <w:rPr>
                  <w:rStyle w:val="Hyperlink"/>
                  <w:rFonts w:asciiTheme="minorHAnsi" w:hAnsiTheme="minorHAnsi" w:cstheme="minorHAnsi"/>
                  <w:caps/>
                  <w:szCs w:val="24"/>
                </w:rPr>
                <w:t>212</w:t>
              </w:r>
            </w:hyperlink>
            <w:r w:rsidR="001E1D08" w:rsidRPr="00C52674">
              <w:rPr>
                <w:rFonts w:asciiTheme="minorHAnsi" w:hAnsiTheme="minorHAnsi" w:cstheme="minorHAnsi"/>
                <w:caps/>
                <w:szCs w:val="24"/>
              </w:rPr>
              <w:t xml:space="preserve"> (</w:t>
            </w:r>
            <w:r w:rsidR="001E1D08" w:rsidRPr="00C52674">
              <w:rPr>
                <w:rFonts w:asciiTheme="minorHAnsi" w:hAnsiTheme="minorHAnsi" w:cstheme="minorHAnsi"/>
                <w:szCs w:val="24"/>
              </w:rPr>
              <w:t>Rev. Bucarest</w:t>
            </w:r>
            <w:r w:rsidR="001E1D08" w:rsidRPr="00C52674">
              <w:rPr>
                <w:rFonts w:asciiTheme="minorHAnsi" w:hAnsiTheme="minorHAnsi" w:cstheme="minorHAnsi"/>
                <w:caps/>
                <w:szCs w:val="24"/>
              </w:rPr>
              <w:t xml:space="preserve">, 2022) </w:t>
            </w:r>
            <w:r w:rsidR="001E1D08" w:rsidRPr="00C52674">
              <w:rPr>
                <w:rFonts w:asciiTheme="minorHAnsi" w:hAnsiTheme="minorHAnsi" w:cstheme="minorHAnsi"/>
                <w:szCs w:val="24"/>
              </w:rPr>
              <w:t>de la Conferencia de Plenipotenciarios</w:t>
            </w:r>
            <w:r w:rsidR="001E1D08" w:rsidRPr="00C52674">
              <w:rPr>
                <w:rFonts w:asciiTheme="minorHAnsi" w:hAnsiTheme="minorHAnsi" w:cstheme="minorHAnsi"/>
                <w:caps/>
                <w:szCs w:val="24"/>
              </w:rPr>
              <w:t xml:space="preserve">, </w:t>
            </w:r>
            <w:hyperlink r:id="rId8" w:history="1">
              <w:r w:rsidR="001E1D08" w:rsidRPr="00C52674">
                <w:rPr>
                  <w:rFonts w:asciiTheme="minorHAnsi" w:hAnsiTheme="minorHAnsi" w:cstheme="minorHAnsi"/>
                  <w:color w:val="0000FF"/>
                  <w:szCs w:val="24"/>
                  <w:u w:val="single"/>
                </w:rPr>
                <w:t>Documento</w:t>
              </w:r>
              <w:r w:rsidR="00D94722">
                <w:rPr>
                  <w:rFonts w:asciiTheme="minorHAnsi" w:hAnsiTheme="minorHAnsi" w:cstheme="minorHAnsi"/>
                  <w:color w:val="0000FF"/>
                  <w:szCs w:val="24"/>
                  <w:u w:val="single"/>
                </w:rPr>
                <w:t> </w:t>
              </w:r>
              <w:r w:rsidR="001E1D08" w:rsidRPr="00C52674">
                <w:rPr>
                  <w:rFonts w:asciiTheme="minorHAnsi" w:hAnsiTheme="minorHAnsi" w:cstheme="minorHAnsi"/>
                  <w:caps/>
                  <w:color w:val="0000FF"/>
                  <w:szCs w:val="24"/>
                  <w:u w:val="single"/>
                </w:rPr>
                <w:t>C13/INF/18</w:t>
              </w:r>
            </w:hyperlink>
            <w:r w:rsidR="001E1D08" w:rsidRPr="00C52674">
              <w:rPr>
                <w:rFonts w:asciiTheme="minorHAnsi" w:hAnsiTheme="minorHAnsi" w:cstheme="minorHAnsi"/>
                <w:caps/>
                <w:szCs w:val="24"/>
              </w:rPr>
              <w:t xml:space="preserve">, </w:t>
            </w:r>
            <w:hyperlink r:id="rId9" w:history="1">
              <w:r w:rsidR="001E1D08" w:rsidRPr="00C52674">
                <w:rPr>
                  <w:rFonts w:asciiTheme="minorHAnsi" w:hAnsiTheme="minorHAnsi" w:cstheme="minorHAnsi"/>
                  <w:color w:val="0000FF"/>
                  <w:szCs w:val="24"/>
                  <w:u w:val="single"/>
                </w:rPr>
                <w:t xml:space="preserve">Documento </w:t>
              </w:r>
            </w:hyperlink>
            <w:hyperlink r:id="rId10" w:history="1">
              <w:r w:rsidR="001E1D08" w:rsidRPr="00C52674">
                <w:rPr>
                  <w:rFonts w:asciiTheme="minorHAnsi" w:hAnsiTheme="minorHAnsi" w:cstheme="minorHAnsi"/>
                  <w:caps/>
                  <w:color w:val="0000FF"/>
                  <w:szCs w:val="24"/>
                  <w:u w:val="single"/>
                </w:rPr>
                <w:t>C14/50</w:t>
              </w:r>
            </w:hyperlink>
            <w:r w:rsidR="001E1D08" w:rsidRPr="00D94722">
              <w:t xml:space="preserve">, </w:t>
            </w:r>
            <w:hyperlink r:id="rId11" w:history="1">
              <w:r w:rsidR="001E1D08" w:rsidRPr="00C52674">
                <w:rPr>
                  <w:rFonts w:asciiTheme="minorHAnsi" w:hAnsiTheme="minorHAnsi" w:cstheme="minorHAnsi"/>
                  <w:color w:val="0000FF"/>
                  <w:szCs w:val="24"/>
                  <w:u w:val="single"/>
                </w:rPr>
                <w:t xml:space="preserve">Documento </w:t>
              </w:r>
              <w:r w:rsidR="001E1D08" w:rsidRPr="00C52674">
                <w:rPr>
                  <w:rFonts w:asciiTheme="minorHAnsi" w:hAnsiTheme="minorHAnsi" w:cstheme="minorHAnsi"/>
                  <w:caps/>
                  <w:color w:val="0000FF"/>
                  <w:szCs w:val="24"/>
                  <w:u w:val="single"/>
                </w:rPr>
                <w:t>C16/7</w:t>
              </w:r>
            </w:hyperlink>
            <w:r w:rsidR="001E1D08" w:rsidRPr="00D94722">
              <w:t xml:space="preserve">, </w:t>
            </w:r>
            <w:hyperlink r:id="rId12" w:history="1">
              <w:r w:rsidR="001E1D08" w:rsidRPr="00C52674">
                <w:rPr>
                  <w:rStyle w:val="Hyperlink"/>
                  <w:rFonts w:asciiTheme="minorHAnsi" w:hAnsiTheme="minorHAnsi" w:cstheme="minorHAnsi"/>
                  <w:szCs w:val="24"/>
                </w:rPr>
                <w:t xml:space="preserve">Acuerdo </w:t>
              </w:r>
              <w:r w:rsidR="001E1D08" w:rsidRPr="00C52674">
                <w:rPr>
                  <w:rStyle w:val="Hyperlink"/>
                  <w:rFonts w:asciiTheme="minorHAnsi" w:hAnsiTheme="minorHAnsi" w:cstheme="minorHAnsi"/>
                  <w:caps/>
                  <w:szCs w:val="24"/>
                </w:rPr>
                <w:t>588 (C16)</w:t>
              </w:r>
            </w:hyperlink>
            <w:r w:rsidR="001E1D08" w:rsidRPr="00C52674">
              <w:rPr>
                <w:rStyle w:val="Hyperlink"/>
                <w:rFonts w:asciiTheme="minorHAnsi" w:hAnsiTheme="minorHAnsi" w:cstheme="minorHAnsi"/>
                <w:szCs w:val="24"/>
              </w:rPr>
              <w:t xml:space="preserve"> del</w:t>
            </w:r>
            <w:r w:rsidR="00D94722">
              <w:rPr>
                <w:rStyle w:val="Hyperlink"/>
                <w:rFonts w:asciiTheme="minorHAnsi" w:hAnsiTheme="minorHAnsi" w:cstheme="minorHAnsi"/>
                <w:szCs w:val="24"/>
              </w:rPr>
              <w:t> </w:t>
            </w:r>
            <w:r w:rsidR="001E1D08" w:rsidRPr="00C52674">
              <w:rPr>
                <w:rStyle w:val="Hyperlink"/>
                <w:rFonts w:asciiTheme="minorHAnsi" w:hAnsiTheme="minorHAnsi" w:cstheme="minorHAnsi"/>
                <w:szCs w:val="24"/>
              </w:rPr>
              <w:t>Consejo</w:t>
            </w:r>
            <w:r w:rsidR="001E1D08" w:rsidRPr="00D94722">
              <w:t xml:space="preserve">, </w:t>
            </w:r>
            <w:hyperlink r:id="rId13" w:history="1">
              <w:r w:rsidR="001E1D08" w:rsidRPr="00C52674">
                <w:rPr>
                  <w:rStyle w:val="Hyperlink"/>
                  <w:rFonts w:asciiTheme="minorHAnsi" w:eastAsia="Calibri" w:hAnsiTheme="minorHAnsi" w:cstheme="minorHAnsi"/>
                  <w:szCs w:val="24"/>
                </w:rPr>
                <w:t>Documento C19-ADD/2</w:t>
              </w:r>
              <w:r w:rsidR="001E1D08" w:rsidRPr="00D94722">
                <w:rPr>
                  <w:rFonts w:eastAsia="Calibri"/>
                </w:rPr>
                <w:t xml:space="preserve">, </w:t>
              </w:r>
            </w:hyperlink>
            <w:hyperlink r:id="rId14" w:history="1">
              <w:r w:rsidR="001E1D08" w:rsidRPr="00C52674">
                <w:rPr>
                  <w:rFonts w:asciiTheme="minorHAnsi" w:eastAsia="Calibri" w:hAnsiTheme="minorHAnsi" w:cstheme="minorHAnsi"/>
                  <w:color w:val="0000FF"/>
                  <w:szCs w:val="24"/>
                  <w:u w:val="single"/>
                </w:rPr>
                <w:t>Documento C23/48</w:t>
              </w:r>
            </w:hyperlink>
            <w:r w:rsidR="001E1D08" w:rsidRPr="00D94722">
              <w:rPr>
                <w:rFonts w:eastAsia="Calibri"/>
              </w:rPr>
              <w:t xml:space="preserve">, </w:t>
            </w:r>
            <w:hyperlink r:id="rId15" w:history="1">
              <w:r w:rsidR="001E1D08" w:rsidRPr="00C52674">
                <w:rPr>
                  <w:rFonts w:asciiTheme="minorHAnsi" w:eastAsia="Calibri" w:hAnsiTheme="minorHAnsi" w:cstheme="minorHAnsi"/>
                  <w:color w:val="0000FF"/>
                  <w:szCs w:val="24"/>
                  <w:u w:val="single"/>
                </w:rPr>
                <w:t>Documento C23/7</w:t>
              </w:r>
              <w:r w:rsidR="001E1D08" w:rsidRPr="00D94722">
                <w:rPr>
                  <w:rFonts w:eastAsia="Calibri"/>
                </w:rPr>
                <w:t>.</w:t>
              </w:r>
            </w:hyperlink>
          </w:p>
        </w:tc>
      </w:tr>
      <w:bookmarkEnd w:id="0"/>
    </w:tbl>
    <w:p w14:paraId="4C7B2CA5" w14:textId="77777777" w:rsidR="00093EEB" w:rsidRDefault="00093EEB"/>
    <w:p w14:paraId="2C6CA1EA"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2D32AF2" w14:textId="53F56301" w:rsidR="001E1D08" w:rsidRPr="00C52674" w:rsidRDefault="001E1D08" w:rsidP="001E1D08">
      <w:pPr>
        <w:pStyle w:val="Heading1"/>
      </w:pPr>
      <w:r>
        <w:lastRenderedPageBreak/>
        <w:t>1</w:t>
      </w:r>
      <w:r>
        <w:tab/>
      </w:r>
      <w:r w:rsidRPr="00C52674">
        <w:t>Consideraciones generales</w:t>
      </w:r>
    </w:p>
    <w:p w14:paraId="1A234F59" w14:textId="77777777" w:rsidR="001E1D08" w:rsidRPr="00C52674" w:rsidRDefault="001E1D08" w:rsidP="001E1D08">
      <w:r w:rsidRPr="00C52674">
        <w:t>En 2007, el Secretario General de la UIT entabló un diálogo con el país anfitrión (Suiza) sobre la necesidad de sustituir el edifico más antiguo de la UIT, para que esta pudiera proseguir sus actividades en</w:t>
      </w:r>
      <w:r>
        <w:t xml:space="preserve"> las</w:t>
      </w:r>
      <w:r w:rsidRPr="00C52674">
        <w:t xml:space="preserve"> condiciones adecuadas. En 2012, el país anfitrión y su representante técnico sobre edificios de organizaciones internacionales (FIPOI) inspeccionaron el edificio de Varembé y estudiaron varias opciones de reparación y sustitución. A la sazón, la FIPOI indicó que la sustitución era la opción técnica adecuada (véase el </w:t>
      </w:r>
      <w:hyperlink r:id="rId16" w:history="1">
        <w:r w:rsidRPr="00C52674">
          <w:rPr>
            <w:color w:val="0000FF"/>
            <w:u w:val="single"/>
          </w:rPr>
          <w:t>Documento C13/INF/18</w:t>
        </w:r>
      </w:hyperlink>
      <w:r w:rsidRPr="00C52674">
        <w:t xml:space="preserve">). De hecho, en la práctica, sería imposible renovar el edificio de Varembé de tal manera que cumpliese las normas en materia de accesibilidad, prevención de incendios y resistencia sísmica. Dicho edificio es antiguo y no cumple las normas de seguridad y accesibilidad en vigor, según el </w:t>
      </w:r>
      <w:r>
        <w:t>i</w:t>
      </w:r>
      <w:r w:rsidRPr="00C52674">
        <w:t xml:space="preserve">nforme del </w:t>
      </w:r>
      <w:r w:rsidRPr="00C52674">
        <w:rPr>
          <w:color w:val="000000"/>
        </w:rPr>
        <w:t>Secretario General (</w:t>
      </w:r>
      <w:r w:rsidRPr="00C52674">
        <w:t xml:space="preserve">véase el </w:t>
      </w:r>
      <w:r w:rsidRPr="00C52674">
        <w:rPr>
          <w:color w:val="0000FF"/>
          <w:u w:val="single"/>
        </w:rPr>
        <w:t xml:space="preserve">Documento </w:t>
      </w:r>
      <w:hyperlink r:id="rId17" w:history="1">
        <w:r w:rsidRPr="00C52674">
          <w:rPr>
            <w:color w:val="0000FF"/>
            <w:u w:val="single"/>
          </w:rPr>
          <w:t>C14/50</w:t>
        </w:r>
      </w:hyperlink>
      <w:r w:rsidRPr="00C52674">
        <w:rPr>
          <w:color w:val="000000"/>
        </w:rPr>
        <w:t>).</w:t>
      </w:r>
    </w:p>
    <w:p w14:paraId="57A7BD1B" w14:textId="6E61649C" w:rsidR="001E1D08" w:rsidRPr="00C52674" w:rsidRDefault="001E1D08" w:rsidP="001E1D08">
      <w:r w:rsidRPr="00C52674">
        <w:t xml:space="preserve">En virtud de la Resolución 194 (Busán, 2014), la Conferencia de Plenipotenciarios de la UIT autorizó al Consejo de la Unión a crear un Grupo de Trabajo del Consejo encargado de estudiar opciones para la sede de la Unión a largo plazo (GTC-‎Sede). El GTC-‎Sede evaluó la situación de la sede de la UIT y analizó las siguientes opciones para </w:t>
      </w:r>
      <w:r>
        <w:t>la</w:t>
      </w:r>
      <w:r w:rsidRPr="00C52674">
        <w:t xml:space="preserve"> planificación futura</w:t>
      </w:r>
      <w:r>
        <w:t xml:space="preserve"> de las instalaciones</w:t>
      </w:r>
      <w:r w:rsidRPr="00C52674">
        <w:t>: opción 1) sustitución del edificio; opción 2) renovación del edificio de la sede; opción 3) traslado de la sede; y opción 4) alquiler de oficinas. En la reunión ordinaria de 2016</w:t>
      </w:r>
      <w:r>
        <w:t xml:space="preserve"> </w:t>
      </w:r>
      <w:r w:rsidRPr="00C52674">
        <w:t>del Consejo, el GTC-‎Sede recomendó sustituir el edificio de Varembé (véase el</w:t>
      </w:r>
      <w:r w:rsidR="00D94722">
        <w:t> </w:t>
      </w:r>
      <w:hyperlink r:id="rId18" w:history="1">
        <w:r w:rsidRPr="00C52674">
          <w:rPr>
            <w:color w:val="0000FF"/>
            <w:u w:val="single"/>
          </w:rPr>
          <w:t>Documento C16/7</w:t>
        </w:r>
      </w:hyperlink>
      <w:r w:rsidRPr="00C52674">
        <w:t xml:space="preserve">). En esa misma reunión, el Consejo decidió aceptar la recomendación del GTC-Sede y aprobar el </w:t>
      </w:r>
      <w:hyperlink r:id="rId19" w:history="1">
        <w:r w:rsidRPr="00C52674">
          <w:rPr>
            <w:color w:val="0000FF"/>
            <w:u w:val="single"/>
          </w:rPr>
          <w:t>Acuerdo 588</w:t>
        </w:r>
      </w:hyperlink>
      <w:r w:rsidRPr="00C52674">
        <w:t>, en el que se documenta su decisión de sustituir el edificio Varembé por una nueva construcción.</w:t>
      </w:r>
    </w:p>
    <w:p w14:paraId="590EA25A" w14:textId="77777777" w:rsidR="001E1D08" w:rsidRPr="00C52674" w:rsidRDefault="001E1D08" w:rsidP="001E1D08">
      <w:pPr>
        <w:rPr>
          <w:color w:val="000000"/>
        </w:rPr>
      </w:pPr>
      <w:r w:rsidRPr="00C52674">
        <w:rPr>
          <w:color w:val="000000"/>
        </w:rPr>
        <w:t>En su reunión de 2019 y</w:t>
      </w:r>
      <w:r>
        <w:rPr>
          <w:color w:val="000000"/>
        </w:rPr>
        <w:t xml:space="preserve"> en</w:t>
      </w:r>
      <w:r w:rsidRPr="00C52674">
        <w:rPr>
          <w:color w:val="000000"/>
        </w:rPr>
        <w:t xml:space="preserve"> su reunión adicional, el Consejo debatió en detalle el </w:t>
      </w:r>
      <w:r>
        <w:rPr>
          <w:color w:val="000000"/>
        </w:rPr>
        <w:t>i</w:t>
      </w:r>
      <w:r w:rsidRPr="00C52674">
        <w:rPr>
          <w:color w:val="000000"/>
        </w:rPr>
        <w:t xml:space="preserve">nforme del Secretario General sobre los avances del proyecto de sede de la UIT, acordó continuar con el proyecto y aprobó el presupuesto asignado (véase el </w:t>
      </w:r>
      <w:hyperlink r:id="rId20" w:history="1">
        <w:r w:rsidRPr="00C52674">
          <w:rPr>
            <w:color w:val="0000FF"/>
            <w:u w:val="single"/>
          </w:rPr>
          <w:t>Documento C19-ADD/2</w:t>
        </w:r>
      </w:hyperlink>
      <w:r w:rsidRPr="00C52674">
        <w:rPr>
          <w:color w:val="000000"/>
        </w:rPr>
        <w:t>).</w:t>
      </w:r>
    </w:p>
    <w:p w14:paraId="217745F7" w14:textId="74E895C7" w:rsidR="001E1D08" w:rsidRPr="00C52674" w:rsidRDefault="001E1D08" w:rsidP="001E1D08">
      <w:r w:rsidRPr="00C52674">
        <w:t xml:space="preserve">Los Estados Miembros siguieron debatiendo los distintos aspectos relacionados con el edificio durante la Conferencia de Plenipotenciarios de 2022 en Bucarest y acordaron, conforme a lo estipulado en </w:t>
      </w:r>
      <w:hyperlink r:id="rId21" w:history="1">
        <w:r w:rsidRPr="00C52674">
          <w:t xml:space="preserve">la </w:t>
        </w:r>
        <w:r w:rsidRPr="00C52674">
          <w:rPr>
            <w:rStyle w:val="Hyperlink"/>
            <w:rFonts w:asciiTheme="minorHAnsi" w:hAnsiTheme="minorHAnsi" w:cstheme="minorHAnsi"/>
            <w:szCs w:val="24"/>
          </w:rPr>
          <w:t>Resolución 212 (Rev. Bucarest, 2022)</w:t>
        </w:r>
      </w:hyperlink>
      <w:r w:rsidRPr="00C52674">
        <w:t xml:space="preserve">, construir un nuevo edificio para la sede con el fin de dotar a la Unión del espacio y las instalaciones </w:t>
      </w:r>
      <w:r>
        <w:t>necesarias</w:t>
      </w:r>
      <w:r w:rsidRPr="00C52674">
        <w:t xml:space="preserve"> para satisfacer sus necesidades.</w:t>
      </w:r>
    </w:p>
    <w:p w14:paraId="77C3E473" w14:textId="50640DFE" w:rsidR="001E1D08" w:rsidRPr="00C52674" w:rsidRDefault="001E1D08" w:rsidP="001E1D08">
      <w:pPr>
        <w:pStyle w:val="Heading1"/>
      </w:pPr>
      <w:r>
        <w:t>2</w:t>
      </w:r>
      <w:r>
        <w:tab/>
      </w:r>
      <w:r w:rsidRPr="00C52674">
        <w:t>Debates</w:t>
      </w:r>
    </w:p>
    <w:p w14:paraId="31201A2C" w14:textId="77777777" w:rsidR="001E1D08" w:rsidRPr="00C52674" w:rsidRDefault="001E1D08" w:rsidP="001E1D08">
      <w:pPr>
        <w:rPr>
          <w:b/>
          <w:bCs/>
        </w:rPr>
      </w:pPr>
      <w:r w:rsidRPr="00C52674">
        <w:t>A la luz de las consideraciones que anteceden</w:t>
      </w:r>
      <w:r>
        <w:t>, cabe señalar lo siguiente</w:t>
      </w:r>
      <w:r w:rsidRPr="00C52674">
        <w:t>:</w:t>
      </w:r>
    </w:p>
    <w:p w14:paraId="3798D058" w14:textId="3AACDE9F" w:rsidR="001E1D08" w:rsidRPr="00C52674" w:rsidRDefault="001E1D08" w:rsidP="001E1D08">
      <w:pPr>
        <w:pStyle w:val="enumlev1"/>
        <w:rPr>
          <w:rFonts w:eastAsia="Calibri"/>
        </w:rPr>
      </w:pPr>
      <w:r w:rsidRPr="001E1D08">
        <w:rPr>
          <w:rFonts w:eastAsia="Calibri"/>
        </w:rPr>
        <w:t>•</w:t>
      </w:r>
      <w:r>
        <w:rPr>
          <w:rFonts w:eastAsia="Calibri"/>
        </w:rPr>
        <w:tab/>
      </w:r>
      <w:r w:rsidRPr="00C52674">
        <w:rPr>
          <w:rFonts w:eastAsia="Calibri"/>
        </w:rPr>
        <w:t xml:space="preserve">El edificio de Varembé tiene más de 60 años, no cumple las normas de seguridad en vigor y entraña elevados costes de funcionamiento y mantenimiento. El nuevo edificio se diseñará de tal </w:t>
      </w:r>
      <w:r>
        <w:rPr>
          <w:rFonts w:eastAsia="Calibri"/>
        </w:rPr>
        <w:t>manera</w:t>
      </w:r>
      <w:r w:rsidRPr="00C52674">
        <w:rPr>
          <w:rFonts w:eastAsia="Calibri"/>
        </w:rPr>
        <w:t xml:space="preserve"> que sea sostenible, flexible y seguro. Además, podrá albergar al creciente número de miembros y funcionarios de la UIT, así como al número cada vez mayor de reuniones y eventos que se celebran en la sede de la UIT. </w:t>
      </w:r>
    </w:p>
    <w:p w14:paraId="7C7D88F2" w14:textId="3BD95739" w:rsidR="001E1D08" w:rsidRPr="00C52674" w:rsidRDefault="001E1D08" w:rsidP="001E1D08">
      <w:pPr>
        <w:pStyle w:val="enumlev1"/>
        <w:rPr>
          <w:rFonts w:eastAsia="Calibri"/>
        </w:rPr>
      </w:pPr>
      <w:r w:rsidRPr="001E1D08">
        <w:rPr>
          <w:rFonts w:eastAsia="Calibri"/>
        </w:rPr>
        <w:t>•</w:t>
      </w:r>
      <w:r>
        <w:rPr>
          <w:rFonts w:eastAsia="Calibri"/>
        </w:rPr>
        <w:tab/>
      </w:r>
      <w:r w:rsidRPr="00C52674">
        <w:rPr>
          <w:rFonts w:eastAsia="Calibri"/>
        </w:rPr>
        <w:t>Si se cancela el proyecto, las sumas recibidas en concepto de patrocinios y donaciones deberán reembolsarse inmediatamente y no existen garantías de que los fondos</w:t>
      </w:r>
      <w:r>
        <w:rPr>
          <w:rFonts w:eastAsia="Calibri"/>
        </w:rPr>
        <w:t xml:space="preserve"> puedan devolverse</w:t>
      </w:r>
      <w:r w:rsidRPr="00C52674">
        <w:rPr>
          <w:rFonts w:eastAsia="Calibri"/>
        </w:rPr>
        <w:t>. Las ofertas financieras de los contratistas generales son válidas hasta finales de 2023 (si la UIT no firma un contrato con un contratista antes de finales de 2023, las ofertas expirarán y la Unión tendrá que iniciar el proceso de licitación</w:t>
      </w:r>
      <w:r w:rsidRPr="000C56B8">
        <w:rPr>
          <w:rFonts w:eastAsia="Calibri"/>
        </w:rPr>
        <w:t xml:space="preserve"> </w:t>
      </w:r>
      <w:r w:rsidRPr="00C52674">
        <w:rPr>
          <w:rFonts w:eastAsia="Calibri"/>
        </w:rPr>
        <w:t>desde cero, lo que aumentará los costes y retrasará el proyecto). De acuerdo con el informe del Presidente del GAEM (</w:t>
      </w:r>
      <w:r w:rsidRPr="00C52674">
        <w:t xml:space="preserve">véase el </w:t>
      </w:r>
      <w:hyperlink r:id="rId22" w:history="1">
        <w:r w:rsidRPr="00C52674">
          <w:rPr>
            <w:rFonts w:eastAsia="Calibri"/>
            <w:color w:val="0000FF"/>
            <w:u w:val="single"/>
          </w:rPr>
          <w:t>Documento C23/48</w:t>
        </w:r>
      </w:hyperlink>
      <w:r w:rsidRPr="00C52674">
        <w:rPr>
          <w:rFonts w:eastAsia="Calibri"/>
        </w:rPr>
        <w:t>),</w:t>
      </w:r>
      <w:r w:rsidRPr="00C52674">
        <w:t xml:space="preserve"> detener el proyecto </w:t>
      </w:r>
      <w:r w:rsidRPr="00C52674">
        <w:lastRenderedPageBreak/>
        <w:t>actual e iniciar un nuevo plan implicaría nuevas actividades de diseño con sus correspondientes costes y otro proceso de licitación, lo que daría lugar a un retraso de entre cuatro y cinco años</w:t>
      </w:r>
      <w:r w:rsidRPr="00C52674">
        <w:rPr>
          <w:rFonts w:eastAsia="Calibri"/>
          <w:rtl/>
        </w:rPr>
        <w:t>.</w:t>
      </w:r>
    </w:p>
    <w:p w14:paraId="76FBA8F7" w14:textId="79747CFA" w:rsidR="001E1D08" w:rsidRPr="00C52674" w:rsidRDefault="001E1D08" w:rsidP="001E1D08">
      <w:pPr>
        <w:pStyle w:val="enumlev1"/>
        <w:rPr>
          <w:rFonts w:eastAsia="Calibri"/>
        </w:rPr>
      </w:pPr>
      <w:r w:rsidRPr="001E1D08">
        <w:rPr>
          <w:rFonts w:eastAsia="Calibri"/>
        </w:rPr>
        <w:t>•</w:t>
      </w:r>
      <w:r>
        <w:rPr>
          <w:rFonts w:eastAsia="Calibri"/>
        </w:rPr>
        <w:tab/>
      </w:r>
      <w:r w:rsidRPr="00C52674">
        <w:rPr>
          <w:rFonts w:eastAsia="Calibri"/>
        </w:rPr>
        <w:t>Ya existe un presupuesto parcialmente asignado y un programa detallado de gastos en el que se recogen los pagos anuales del proyecto, y la UIT podría poner en marcha el proyecto si los Estados Miembros confirmasen su compromiso de financiar los fondos restantes necesarios para completar la ejecución del proyecto de nuevo edificio. Todo ello de conformidad con las normas, reglamentos y procedimientos de la UIT.</w:t>
      </w:r>
    </w:p>
    <w:p w14:paraId="2F8E1214" w14:textId="5AFA0452" w:rsidR="001E1D08" w:rsidRPr="00C52674" w:rsidRDefault="001E1D08" w:rsidP="001E1D08">
      <w:pPr>
        <w:pStyle w:val="Heading1"/>
        <w:rPr>
          <w:rFonts w:eastAsia="Calibri"/>
        </w:rPr>
      </w:pPr>
      <w:r>
        <w:rPr>
          <w:rFonts w:eastAsia="Calibri"/>
        </w:rPr>
        <w:t>3</w:t>
      </w:r>
      <w:r>
        <w:rPr>
          <w:rFonts w:eastAsia="Calibri"/>
        </w:rPr>
        <w:tab/>
      </w:r>
      <w:r w:rsidRPr="00C52674">
        <w:rPr>
          <w:rFonts w:eastAsia="Calibri"/>
        </w:rPr>
        <w:t>Propuesta</w:t>
      </w:r>
    </w:p>
    <w:p w14:paraId="785856F7" w14:textId="20C45311" w:rsidR="001E1D08" w:rsidRPr="00C52674" w:rsidRDefault="001E1D08" w:rsidP="001E1D08">
      <w:pPr>
        <w:rPr>
          <w:rFonts w:eastAsia="Calibri"/>
        </w:rPr>
      </w:pPr>
      <w:r w:rsidRPr="00C52674">
        <w:rPr>
          <w:rFonts w:eastAsia="Calibri"/>
        </w:rPr>
        <w:t xml:space="preserve">Conforme a los análisis anteriores y al presupuesto parcialmente asignado </w:t>
      </w:r>
      <w:r>
        <w:rPr>
          <w:rFonts w:eastAsia="Calibri"/>
        </w:rPr>
        <w:t>a</w:t>
      </w:r>
      <w:r w:rsidRPr="00C52674">
        <w:rPr>
          <w:rFonts w:eastAsia="Calibri"/>
        </w:rPr>
        <w:t>l proyecto (casi el 75% de los fondos han sido recibidos y consignados), y teniendo en cuenta el programa de gastos del edificio de la UIT y el Reglamento Financiero y las Reglas Financieras pertinentes, proponemos lo siguiente</w:t>
      </w:r>
      <w:r w:rsidR="00D94722">
        <w:rPr>
          <w:rFonts w:eastAsia="Calibri"/>
        </w:rPr>
        <w:t>:</w:t>
      </w:r>
    </w:p>
    <w:p w14:paraId="700D296E" w14:textId="7CE2FD0E" w:rsidR="001E1D08" w:rsidRPr="00C52674" w:rsidRDefault="001E1D08" w:rsidP="001E1D08">
      <w:pPr>
        <w:pStyle w:val="enumlev1"/>
      </w:pPr>
      <w:r>
        <w:t>1)</w:t>
      </w:r>
      <w:r>
        <w:tab/>
      </w:r>
      <w:r w:rsidRPr="00C52674">
        <w:t xml:space="preserve">Solicitar </w:t>
      </w:r>
      <w:r w:rsidRPr="00C52674">
        <w:rPr>
          <w:rFonts w:eastAsia="Calibri"/>
        </w:rPr>
        <w:t xml:space="preserve">amablemente </w:t>
      </w:r>
      <w:r w:rsidRPr="00C52674">
        <w:t xml:space="preserve">a la Secretaria General que negocie con el contratista general para encontrar formas de </w:t>
      </w:r>
      <w:r w:rsidRPr="00C52674">
        <w:rPr>
          <w:rFonts w:eastAsia="Calibri"/>
        </w:rPr>
        <w:t xml:space="preserve">reducir </w:t>
      </w:r>
      <w:r w:rsidRPr="00C52674">
        <w:t>el coste total de los importes</w:t>
      </w:r>
      <w:r>
        <w:t xml:space="preserve"> revisados al alza según los presupuestos</w:t>
      </w:r>
      <w:r w:rsidRPr="00C52674">
        <w:t xml:space="preserve"> que figura</w:t>
      </w:r>
      <w:r>
        <w:t>n</w:t>
      </w:r>
      <w:r w:rsidRPr="00C52674">
        <w:t xml:space="preserve"> en el Anexo A al </w:t>
      </w:r>
      <w:bookmarkStart w:id="1" w:name="_Hlk136243170"/>
      <w:r w:rsidRPr="00C52674">
        <w:t>informe sobre el proyecto de la sede de la Unión</w:t>
      </w:r>
      <w:bookmarkEnd w:id="1"/>
      <w:r w:rsidRPr="00C52674">
        <w:t xml:space="preserve"> (véase el </w:t>
      </w:r>
      <w:hyperlink r:id="rId23" w:history="1">
        <w:r w:rsidRPr="00C52674">
          <w:rPr>
            <w:color w:val="0000FF"/>
            <w:u w:val="single"/>
          </w:rPr>
          <w:t>Documento C23/7</w:t>
        </w:r>
      </w:hyperlink>
      <w:r w:rsidRPr="00C52674">
        <w:t>). A tal efecto, podrían identificarse diseños o requisitos del proyecto que pudieran ser sustituidos por otros de menor coste. Estas negociaciones deben concluir antes de septiembre de 2023.</w:t>
      </w:r>
    </w:p>
    <w:p w14:paraId="43FB49C9" w14:textId="6DCDCA9D" w:rsidR="001E1D08" w:rsidRPr="00C52674" w:rsidRDefault="001E1D08" w:rsidP="001E1D08">
      <w:pPr>
        <w:pStyle w:val="enumlev1"/>
        <w:rPr>
          <w:rFonts w:eastAsia="Calibri"/>
        </w:rPr>
      </w:pPr>
      <w:r>
        <w:rPr>
          <w:rFonts w:eastAsia="Calibri"/>
        </w:rPr>
        <w:t>2)</w:t>
      </w:r>
      <w:r>
        <w:rPr>
          <w:rFonts w:eastAsia="Calibri"/>
        </w:rPr>
        <w:tab/>
      </w:r>
      <w:r w:rsidRPr="00C52674">
        <w:rPr>
          <w:rFonts w:eastAsia="Calibri"/>
        </w:rPr>
        <w:t xml:space="preserve">En el </w:t>
      </w:r>
      <w:hyperlink r:id="rId24" w:history="1">
        <w:r w:rsidRPr="00C52674">
          <w:rPr>
            <w:rFonts w:eastAsia="Calibri"/>
            <w:color w:val="0000FF"/>
            <w:u w:val="single"/>
          </w:rPr>
          <w:t>Documento C23/7</w:t>
        </w:r>
      </w:hyperlink>
      <w:r w:rsidRPr="00C52674">
        <w:rPr>
          <w:rFonts w:eastAsia="Calibri"/>
        </w:rPr>
        <w:t xml:space="preserve"> no se </w:t>
      </w:r>
      <w:r>
        <w:rPr>
          <w:rFonts w:eastAsia="Calibri"/>
        </w:rPr>
        <w:t>argumentan lo</w:t>
      </w:r>
      <w:r w:rsidRPr="00C52674">
        <w:rPr>
          <w:rFonts w:eastAsia="Calibri"/>
        </w:rPr>
        <w:t xml:space="preserve"> suficiente las cifras de los presupuestos revisados que figuran en los Anexos A y B. Por ejemplo, no queda claro por qué el presupuesto para sistemas audiovisuales, equipos, mobiliario y accesorios ha aumentado de 13 630 000 a 18 355 000. Rogamos a la Secretaría de la UIT que facilite, antes de septiembre de 2023, información detallada que permita identificar las causas de estos aumentos.</w:t>
      </w:r>
    </w:p>
    <w:p w14:paraId="5E8C5E08" w14:textId="1A4A825B" w:rsidR="00927F93" w:rsidRDefault="001E1D08" w:rsidP="001E1D08">
      <w:pPr>
        <w:rPr>
          <w:rFonts w:eastAsia="Calibri"/>
        </w:rPr>
      </w:pPr>
      <w:r w:rsidRPr="00C52674">
        <w:rPr>
          <w:rFonts w:eastAsia="Calibri"/>
        </w:rPr>
        <w:t xml:space="preserve">Celebrar </w:t>
      </w:r>
      <w:r w:rsidRPr="00C52674">
        <w:rPr>
          <w:color w:val="000000"/>
        </w:rPr>
        <w:t xml:space="preserve">una reunión adicional </w:t>
      </w:r>
      <w:r w:rsidRPr="00C52674">
        <w:rPr>
          <w:rFonts w:eastAsia="Calibri"/>
        </w:rPr>
        <w:t>del Consejo en septiembre de 2023 para debatir los resultados de las propuestas (1) y (2) anteriores y aprobar fondos adicionales (en su caso) para los costes y la financiación del proyecto.</w:t>
      </w:r>
    </w:p>
    <w:p w14:paraId="2C34483C" w14:textId="77777777" w:rsidR="00D94722" w:rsidRDefault="00D94722" w:rsidP="00411C49">
      <w:pPr>
        <w:pStyle w:val="Reasons"/>
      </w:pPr>
    </w:p>
    <w:p w14:paraId="4CF9F4E1" w14:textId="17B1600D" w:rsidR="00D94722" w:rsidRPr="000B0D00" w:rsidRDefault="00D94722" w:rsidP="00D94722">
      <w:pPr>
        <w:jc w:val="center"/>
      </w:pPr>
      <w:r>
        <w:t>______________</w:t>
      </w:r>
    </w:p>
    <w:sectPr w:rsidR="00D94722" w:rsidRPr="000B0D00"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3828" w14:textId="77777777" w:rsidR="001E1D08" w:rsidRDefault="001E1D08">
      <w:r>
        <w:separator/>
      </w:r>
    </w:p>
  </w:endnote>
  <w:endnote w:type="continuationSeparator" w:id="0">
    <w:p w14:paraId="33FB2C48" w14:textId="77777777" w:rsidR="001E1D08" w:rsidRDefault="001E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47E0426" w14:textId="77777777" w:rsidTr="00E31DCE">
      <w:trPr>
        <w:jc w:val="center"/>
      </w:trPr>
      <w:tc>
        <w:tcPr>
          <w:tcW w:w="1803" w:type="dxa"/>
          <w:vAlign w:val="center"/>
        </w:tcPr>
        <w:p w14:paraId="06EF3F5C" w14:textId="0F939A52" w:rsidR="003273A4" w:rsidRDefault="003273A4" w:rsidP="003273A4">
          <w:pPr>
            <w:pStyle w:val="Header"/>
            <w:jc w:val="left"/>
            <w:rPr>
              <w:noProof/>
            </w:rPr>
          </w:pPr>
          <w:r>
            <w:rPr>
              <w:noProof/>
            </w:rPr>
            <w:t xml:space="preserve">DPS </w:t>
          </w:r>
          <w:r w:rsidR="001E1D08">
            <w:rPr>
              <w:noProof/>
            </w:rPr>
            <w:t>525366</w:t>
          </w:r>
        </w:p>
      </w:tc>
      <w:tc>
        <w:tcPr>
          <w:tcW w:w="8261" w:type="dxa"/>
        </w:tcPr>
        <w:p w14:paraId="235E520A" w14:textId="16C235D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E1D08">
            <w:rPr>
              <w:bCs/>
            </w:rPr>
            <w:t>95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7220B0" w14:textId="75F36408" w:rsidR="00760F1C" w:rsidRPr="00381092" w:rsidRDefault="00381092" w:rsidP="00381092">
    <w:pPr>
      <w:pStyle w:val="Footer"/>
      <w:rPr>
        <w:lang w:val="fr-FR"/>
      </w:rPr>
    </w:pPr>
    <w:r w:rsidRPr="00C85337">
      <w:rPr>
        <w:color w:val="F2F2F2" w:themeColor="background1" w:themeShade="F2"/>
      </w:rPr>
      <w:fldChar w:fldCharType="begin"/>
    </w:r>
    <w:r w:rsidRPr="00C85337">
      <w:rPr>
        <w:color w:val="F2F2F2" w:themeColor="background1" w:themeShade="F2"/>
        <w:lang w:val="fr-FR"/>
      </w:rPr>
      <w:instrText xml:space="preserve"> FILENAME \p  \* MERGEFORMAT </w:instrText>
    </w:r>
    <w:r w:rsidRPr="00C85337">
      <w:rPr>
        <w:color w:val="F2F2F2" w:themeColor="background1" w:themeShade="F2"/>
      </w:rPr>
      <w:fldChar w:fldCharType="separate"/>
    </w:r>
    <w:r w:rsidRPr="00C85337">
      <w:rPr>
        <w:color w:val="F2F2F2" w:themeColor="background1" w:themeShade="F2"/>
        <w:lang w:val="fr-FR"/>
      </w:rPr>
      <w:t>P:\ESP\SG\CONSEIL\C23\000\095S.docx</w:t>
    </w:r>
    <w:r w:rsidRPr="00C85337">
      <w:rPr>
        <w:color w:val="F2F2F2" w:themeColor="background1" w:themeShade="F2"/>
      </w:rPr>
      <w:fldChar w:fldCharType="end"/>
    </w:r>
    <w:r w:rsidRPr="00C85337">
      <w:rPr>
        <w:color w:val="F2F2F2" w:themeColor="background1" w:themeShade="F2"/>
        <w:lang w:val="fr-FR"/>
      </w:rPr>
      <w:t xml:space="preserve"> (525366)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2642463" w14:textId="77777777" w:rsidTr="00E31DCE">
      <w:trPr>
        <w:jc w:val="center"/>
      </w:trPr>
      <w:tc>
        <w:tcPr>
          <w:tcW w:w="1803" w:type="dxa"/>
          <w:vAlign w:val="center"/>
        </w:tcPr>
        <w:p w14:paraId="5E9F17FD" w14:textId="77777777" w:rsidR="00F24B71" w:rsidRDefault="001543F0" w:rsidP="00F24B71">
          <w:pPr>
            <w:pStyle w:val="Header"/>
            <w:jc w:val="left"/>
            <w:rPr>
              <w:noProof/>
            </w:rPr>
          </w:pPr>
          <w:hyperlink r:id="rId1" w:history="1">
            <w:r w:rsidR="00F24B71" w:rsidRPr="00A514A4">
              <w:rPr>
                <w:rStyle w:val="Hyperlink"/>
                <w:szCs w:val="14"/>
              </w:rPr>
              <w:t>www.itu.int/council</w:t>
            </w:r>
          </w:hyperlink>
        </w:p>
      </w:tc>
      <w:tc>
        <w:tcPr>
          <w:tcW w:w="8261" w:type="dxa"/>
        </w:tcPr>
        <w:p w14:paraId="18683FCC" w14:textId="571EA9F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E1D08">
            <w:rPr>
              <w:bCs/>
            </w:rPr>
            <w:t>95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6D4DB69" w14:textId="1DFAA229" w:rsidR="00760F1C" w:rsidRPr="00381092" w:rsidRDefault="00381092" w:rsidP="00F24B71">
    <w:pPr>
      <w:pStyle w:val="Footer"/>
      <w:rPr>
        <w:lang w:val="fr-FR"/>
      </w:rPr>
    </w:pPr>
    <w:r w:rsidRPr="00C85337">
      <w:rPr>
        <w:color w:val="F2F2F2" w:themeColor="background1" w:themeShade="F2"/>
      </w:rPr>
      <w:fldChar w:fldCharType="begin"/>
    </w:r>
    <w:r w:rsidRPr="00C85337">
      <w:rPr>
        <w:color w:val="F2F2F2" w:themeColor="background1" w:themeShade="F2"/>
        <w:lang w:val="fr-FR"/>
      </w:rPr>
      <w:instrText xml:space="preserve"> FILENAME \p  \* MERGEFORMAT </w:instrText>
    </w:r>
    <w:r w:rsidRPr="00C85337">
      <w:rPr>
        <w:color w:val="F2F2F2" w:themeColor="background1" w:themeShade="F2"/>
      </w:rPr>
      <w:fldChar w:fldCharType="separate"/>
    </w:r>
    <w:r w:rsidRPr="00C85337">
      <w:rPr>
        <w:color w:val="F2F2F2" w:themeColor="background1" w:themeShade="F2"/>
        <w:lang w:val="fr-FR"/>
      </w:rPr>
      <w:t>P:\ESP\SG\CONSEIL\C23\000\095S.docx</w:t>
    </w:r>
    <w:r w:rsidRPr="00C85337">
      <w:rPr>
        <w:color w:val="F2F2F2" w:themeColor="background1" w:themeShade="F2"/>
      </w:rPr>
      <w:fldChar w:fldCharType="end"/>
    </w:r>
    <w:r w:rsidRPr="00C85337">
      <w:rPr>
        <w:color w:val="F2F2F2" w:themeColor="background1" w:themeShade="F2"/>
        <w:lang w:val="fr-FR"/>
      </w:rPr>
      <w:t xml:space="preserve"> (525366)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3272" w14:textId="77777777" w:rsidR="001E1D08" w:rsidRDefault="001E1D08">
      <w:r>
        <w:t>____________________</w:t>
      </w:r>
    </w:p>
  </w:footnote>
  <w:footnote w:type="continuationSeparator" w:id="0">
    <w:p w14:paraId="73DAC046" w14:textId="77777777" w:rsidR="001E1D08" w:rsidRDefault="001E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323138C" w14:textId="77777777" w:rsidTr="00E31DCE">
      <w:trPr>
        <w:trHeight w:val="1104"/>
        <w:jc w:val="center"/>
      </w:trPr>
      <w:tc>
        <w:tcPr>
          <w:tcW w:w="4390" w:type="dxa"/>
          <w:vAlign w:val="center"/>
        </w:tcPr>
        <w:p w14:paraId="2E7A8035"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278B8247" wp14:editId="2E11AD8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C954B3F" w14:textId="77777777" w:rsidR="001559F5" w:rsidRDefault="001559F5" w:rsidP="001559F5">
          <w:pPr>
            <w:pStyle w:val="Header"/>
            <w:jc w:val="right"/>
            <w:rPr>
              <w:rFonts w:ascii="Arial" w:hAnsi="Arial" w:cs="Arial"/>
              <w:b/>
              <w:bCs/>
              <w:color w:val="009CD6"/>
              <w:szCs w:val="18"/>
            </w:rPr>
          </w:pPr>
        </w:p>
        <w:p w14:paraId="76746921" w14:textId="77777777" w:rsidR="001559F5" w:rsidRDefault="001559F5" w:rsidP="001559F5">
          <w:pPr>
            <w:pStyle w:val="Header"/>
            <w:jc w:val="right"/>
            <w:rPr>
              <w:rFonts w:ascii="Arial" w:hAnsi="Arial" w:cs="Arial"/>
              <w:b/>
              <w:bCs/>
              <w:color w:val="009CD6"/>
              <w:szCs w:val="18"/>
            </w:rPr>
          </w:pPr>
        </w:p>
        <w:p w14:paraId="6AF20E7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3B1D3F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3A84FB" wp14:editId="1B0C7DD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0E4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5E2F"/>
    <w:multiLevelType w:val="hybridMultilevel"/>
    <w:tmpl w:val="C374C250"/>
    <w:lvl w:ilvl="0" w:tplc="156E8D4C">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042B8"/>
    <w:multiLevelType w:val="hybridMultilevel"/>
    <w:tmpl w:val="7B24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150CE"/>
    <w:multiLevelType w:val="hybridMultilevel"/>
    <w:tmpl w:val="7A802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0546913">
    <w:abstractNumId w:val="2"/>
  </w:num>
  <w:num w:numId="2" w16cid:durableId="1579902714">
    <w:abstractNumId w:val="1"/>
  </w:num>
  <w:num w:numId="3" w16cid:durableId="12121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08"/>
    <w:rsid w:val="000007D1"/>
    <w:rsid w:val="00093EEB"/>
    <w:rsid w:val="000B0D00"/>
    <w:rsid w:val="000B7C15"/>
    <w:rsid w:val="000D1D0F"/>
    <w:rsid w:val="000F5290"/>
    <w:rsid w:val="0010165C"/>
    <w:rsid w:val="00146BFB"/>
    <w:rsid w:val="001543F0"/>
    <w:rsid w:val="001559F5"/>
    <w:rsid w:val="001E1D08"/>
    <w:rsid w:val="001F14A2"/>
    <w:rsid w:val="002801AA"/>
    <w:rsid w:val="002C4676"/>
    <w:rsid w:val="002C70B0"/>
    <w:rsid w:val="002F3CC4"/>
    <w:rsid w:val="003273A4"/>
    <w:rsid w:val="00356895"/>
    <w:rsid w:val="00381092"/>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AF4A34"/>
    <w:rsid w:val="00B0200A"/>
    <w:rsid w:val="00B574DB"/>
    <w:rsid w:val="00B826C2"/>
    <w:rsid w:val="00B8298E"/>
    <w:rsid w:val="00BD0723"/>
    <w:rsid w:val="00BD2518"/>
    <w:rsid w:val="00BF1D1C"/>
    <w:rsid w:val="00C20C59"/>
    <w:rsid w:val="00C2727F"/>
    <w:rsid w:val="00C538FC"/>
    <w:rsid w:val="00C55B1F"/>
    <w:rsid w:val="00C85337"/>
    <w:rsid w:val="00CF1A67"/>
    <w:rsid w:val="00D2750E"/>
    <w:rsid w:val="00D50A36"/>
    <w:rsid w:val="00D62446"/>
    <w:rsid w:val="00D94722"/>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194E2"/>
  <w15:docId w15:val="{72811B55-7DB5-4CA3-A8D4-52FC9438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3-CL-INF-0018/en" TargetMode="External"/><Relationship Id="rId13" Type="http://schemas.openxmlformats.org/officeDocument/2006/relationships/hyperlink" Target="https://www.itu.int/md/S19-CLADD-C-0002/en" TargetMode="External"/><Relationship Id="rId18" Type="http://schemas.openxmlformats.org/officeDocument/2006/relationships/hyperlink" Target="https://www.itu.int/md/S16-CL-C-0007/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en/council/Documents/basic-texts-2023/RES-212-S.pdf" TargetMode="External"/><Relationship Id="rId7" Type="http://schemas.openxmlformats.org/officeDocument/2006/relationships/hyperlink" Target="https://www.itu.int/en/council/Documents/basic-texts-2023/RES-212-S.pdf" TargetMode="External"/><Relationship Id="rId12" Type="http://schemas.openxmlformats.org/officeDocument/2006/relationships/hyperlink" Target="https://www.itu.int/md/S16-CL-C-0124/en" TargetMode="External"/><Relationship Id="rId17" Type="http://schemas.openxmlformats.org/officeDocument/2006/relationships/hyperlink" Target="https://www.itu.int/md/S14-CL-C-0050/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13-CL-INF-0018/en" TargetMode="External"/><Relationship Id="rId20" Type="http://schemas.openxmlformats.org/officeDocument/2006/relationships/hyperlink" Target="https://www.itu.int/md/S19-CLADD-C-0002/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07/en" TargetMode="External"/><Relationship Id="rId24" Type="http://schemas.openxmlformats.org/officeDocument/2006/relationships/hyperlink" Target="https://www.itu.int/md/S23-CL-C-0007/en" TargetMode="External"/><Relationship Id="rId5" Type="http://schemas.openxmlformats.org/officeDocument/2006/relationships/footnotes" Target="footnotes.xml"/><Relationship Id="rId15" Type="http://schemas.openxmlformats.org/officeDocument/2006/relationships/hyperlink" Target="https://www.itu.int/md/S23-CL-C-0007/en" TargetMode="External"/><Relationship Id="rId23" Type="http://schemas.openxmlformats.org/officeDocument/2006/relationships/hyperlink" Target="https://www.itu.int/md/S23-CL-C-0007/en" TargetMode="External"/><Relationship Id="rId28" Type="http://schemas.openxmlformats.org/officeDocument/2006/relationships/fontTable" Target="fontTable.xml"/><Relationship Id="rId10" Type="http://schemas.openxmlformats.org/officeDocument/2006/relationships/hyperlink" Target="https://www.itu.int/md/S14-CL-C-0050/en" TargetMode="External"/><Relationship Id="rId19" Type="http://schemas.openxmlformats.org/officeDocument/2006/relationships/hyperlink" Target="https://www.itu.int/md/S16-CL-C-0124/en" TargetMode="External"/><Relationship Id="rId4" Type="http://schemas.openxmlformats.org/officeDocument/2006/relationships/webSettings" Target="webSettings.xml"/><Relationship Id="rId9" Type="http://schemas.openxmlformats.org/officeDocument/2006/relationships/hyperlink" Target="https://www.itu.int/md/S14-CL-C-0050/en" TargetMode="External"/><Relationship Id="rId14" Type="http://schemas.openxmlformats.org/officeDocument/2006/relationships/hyperlink" Target="https://www.itu.int/md/S23-CL-C-0048/en" TargetMode="External"/><Relationship Id="rId22" Type="http://schemas.openxmlformats.org/officeDocument/2006/relationships/hyperlink" Target="https://www.itu.int/md/S23-CL-C-0048/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3</Pages>
  <Words>1093</Words>
  <Characters>6843</Characters>
  <Application>Microsoft Office Word</Application>
  <DocSecurity>0</DocSecurity>
  <Lines>57</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7921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sobre el proyecto de sede de la Unión</dc:title>
  <dc:subject>Council 2023</dc:subject>
  <dc:creator>Spanish</dc:creator>
  <cp:keywords>C2023, C23, Council-23</cp:keywords>
  <dc:description/>
  <cp:lastModifiedBy>Xue, Kun</cp:lastModifiedBy>
  <cp:revision>4</cp:revision>
  <cp:lastPrinted>2006-03-24T09:51:00Z</cp:lastPrinted>
  <dcterms:created xsi:type="dcterms:W3CDTF">2023-07-05T13:59:00Z</dcterms:created>
  <dcterms:modified xsi:type="dcterms:W3CDTF">2023-07-05T14:01:00Z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