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00AD3606">
        <w:trPr>
          <w:cantSplit/>
          <w:trHeight w:val="23"/>
        </w:trPr>
        <w:tc>
          <w:tcPr>
            <w:tcW w:w="3969" w:type="dxa"/>
            <w:vMerge w:val="restart"/>
            <w:tcMar>
              <w:left w:w="0" w:type="dxa"/>
            </w:tcMar>
          </w:tcPr>
          <w:p w14:paraId="4F2DE73B" w14:textId="2D165A40" w:rsidR="00AD3606" w:rsidRPr="00E85629" w:rsidRDefault="00AD3606" w:rsidP="00472BAD">
            <w:pPr>
              <w:tabs>
                <w:tab w:val="left" w:pos="851"/>
              </w:tabs>
              <w:spacing w:before="0" w:line="240" w:lineRule="atLeast"/>
              <w:rPr>
                <w:b/>
              </w:rPr>
            </w:pPr>
            <w:bookmarkStart w:id="0" w:name="dmeeting" w:colFirst="0" w:colLast="0"/>
            <w:bookmarkStart w:id="1" w:name="dnum" w:colFirst="1" w:colLast="1"/>
          </w:p>
        </w:tc>
        <w:tc>
          <w:tcPr>
            <w:tcW w:w="5245" w:type="dxa"/>
          </w:tcPr>
          <w:p w14:paraId="2F0CB53A" w14:textId="2EFE2AF9" w:rsidR="00AD3606" w:rsidRPr="00E85629" w:rsidRDefault="00AD3606" w:rsidP="00472BAD">
            <w:pPr>
              <w:tabs>
                <w:tab w:val="left" w:pos="851"/>
              </w:tabs>
              <w:spacing w:before="0" w:line="240" w:lineRule="atLeast"/>
              <w:jc w:val="right"/>
              <w:rPr>
                <w:b/>
              </w:rPr>
            </w:pPr>
            <w:r>
              <w:rPr>
                <w:b/>
              </w:rPr>
              <w:t>Document C23/</w:t>
            </w:r>
            <w:r w:rsidR="00C74E7E">
              <w:rPr>
                <w:b/>
              </w:rPr>
              <w:t>10</w:t>
            </w:r>
            <w:r w:rsidR="00606F98">
              <w:rPr>
                <w:b/>
              </w:rPr>
              <w:t>6</w:t>
            </w:r>
            <w:r>
              <w:rPr>
                <w:b/>
              </w:rPr>
              <w:t>-E</w:t>
            </w:r>
          </w:p>
        </w:tc>
      </w:tr>
      <w:tr w:rsidR="00AD3606" w:rsidRPr="00813E5E" w14:paraId="777833CB" w14:textId="77777777" w:rsidTr="00AD3606">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416F7290" w:rsidR="00AD3606" w:rsidRPr="00E85629" w:rsidRDefault="00AF392C" w:rsidP="00AD3606">
            <w:pPr>
              <w:tabs>
                <w:tab w:val="left" w:pos="851"/>
              </w:tabs>
              <w:spacing w:before="0"/>
              <w:jc w:val="right"/>
              <w:rPr>
                <w:b/>
              </w:rPr>
            </w:pPr>
            <w:r>
              <w:rPr>
                <w:b/>
              </w:rPr>
              <w:t>1 September</w:t>
            </w:r>
            <w:r w:rsidR="00AD3606">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14672AA5" w:rsidR="00AD3606" w:rsidRPr="00E85629" w:rsidRDefault="00AD3606" w:rsidP="00AD3606">
            <w:pPr>
              <w:tabs>
                <w:tab w:val="left" w:pos="851"/>
              </w:tabs>
              <w:spacing w:before="0" w:line="240" w:lineRule="atLeast"/>
              <w:jc w:val="right"/>
              <w:rPr>
                <w:b/>
              </w:rPr>
            </w:pPr>
            <w:r>
              <w:rPr>
                <w:b/>
              </w:rPr>
              <w:t xml:space="preserve">Original: </w:t>
            </w:r>
            <w:r w:rsidR="00C74E7E">
              <w:rPr>
                <w:rFonts w:eastAsia="Times New Roman"/>
                <w:b/>
              </w:rPr>
              <w:t>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78E218A2" w14:textId="3915B0B0" w:rsidR="00915F63" w:rsidRPr="00915F63" w:rsidRDefault="00915F63" w:rsidP="00915F63">
            <w:pPr>
              <w:pStyle w:val="Title1"/>
              <w:framePr w:hSpace="0" w:wrap="auto" w:vAnchor="margin" w:hAnchor="text" w:yAlign="inline"/>
              <w:spacing w:before="120"/>
              <w:jc w:val="center"/>
              <w:rPr>
                <w:lang w:val="en-CA"/>
              </w:rPr>
            </w:pPr>
            <w:bookmarkStart w:id="4" w:name="dsource" w:colFirst="0" w:colLast="0"/>
            <w:bookmarkEnd w:id="3"/>
            <w:r w:rsidRPr="00915F63">
              <w:rPr>
                <w:lang w:val="en-CA"/>
              </w:rPr>
              <w:t>SUMMARY RECORD</w:t>
            </w:r>
          </w:p>
          <w:p w14:paraId="14D7FFA8" w14:textId="10282728" w:rsidR="00915F63" w:rsidRPr="00915F63" w:rsidRDefault="00915F63" w:rsidP="00915F63">
            <w:pPr>
              <w:pStyle w:val="Title1"/>
              <w:framePr w:hSpace="0" w:wrap="auto" w:vAnchor="margin" w:hAnchor="text" w:yAlign="inline"/>
              <w:spacing w:before="120"/>
              <w:jc w:val="center"/>
              <w:rPr>
                <w:lang w:val="en-CA"/>
              </w:rPr>
            </w:pPr>
            <w:r w:rsidRPr="00915F63">
              <w:rPr>
                <w:lang w:val="en-CA"/>
              </w:rPr>
              <w:t>OF THE</w:t>
            </w:r>
          </w:p>
          <w:p w14:paraId="598EF21A" w14:textId="2C773C7D" w:rsidR="00915F63" w:rsidRPr="00915F63" w:rsidRDefault="00606F98" w:rsidP="00915F63">
            <w:pPr>
              <w:pStyle w:val="Source"/>
              <w:framePr w:hSpace="0" w:wrap="auto" w:vAnchor="margin" w:hAnchor="text" w:yAlign="inline"/>
              <w:spacing w:before="120"/>
              <w:jc w:val="center"/>
              <w:rPr>
                <w:lang w:val="en-CA"/>
              </w:rPr>
            </w:pPr>
            <w:r w:rsidRPr="00606F98">
              <w:rPr>
                <w:b w:val="0"/>
                <w:lang w:val="en-CA"/>
              </w:rPr>
              <w:t>FIRST PLENARY MEETING</w:t>
            </w:r>
          </w:p>
        </w:tc>
      </w:tr>
      <w:tr w:rsidR="00AD3606" w:rsidRPr="00813E5E" w14:paraId="62B9C291" w14:textId="77777777" w:rsidTr="00AD3606">
        <w:trPr>
          <w:cantSplit/>
        </w:trPr>
        <w:tc>
          <w:tcPr>
            <w:tcW w:w="9214" w:type="dxa"/>
            <w:gridSpan w:val="2"/>
            <w:tcMar>
              <w:left w:w="0" w:type="dxa"/>
            </w:tcMar>
          </w:tcPr>
          <w:p w14:paraId="55473F77" w14:textId="4E58A565" w:rsidR="00915F63" w:rsidRPr="00915F63" w:rsidRDefault="00606F98" w:rsidP="00915F63">
            <w:pPr>
              <w:pStyle w:val="Subtitle"/>
              <w:framePr w:hSpace="0" w:wrap="auto" w:hAnchor="text" w:xAlign="left" w:yAlign="inline"/>
              <w:spacing w:after="240"/>
              <w:jc w:val="center"/>
              <w:rPr>
                <w:b/>
                <w:bCs/>
                <w:sz w:val="24"/>
                <w:szCs w:val="24"/>
                <w:lang w:val="en-CA"/>
              </w:rPr>
            </w:pPr>
            <w:bookmarkStart w:id="5" w:name="dtitle1" w:colFirst="0" w:colLast="0"/>
            <w:bookmarkEnd w:id="4"/>
            <w:r w:rsidRPr="00606F98">
              <w:rPr>
                <w:sz w:val="24"/>
                <w:szCs w:val="24"/>
                <w:lang w:val="en-CA"/>
              </w:rPr>
              <w:t>Wednesday, 12 July 2023, from 1430 to 1735 hours</w:t>
            </w:r>
          </w:p>
          <w:p w14:paraId="556A1BCF" w14:textId="5DEC8215" w:rsidR="00AD3606" w:rsidRPr="00813E5E" w:rsidRDefault="00915F63" w:rsidP="00915F63">
            <w:pPr>
              <w:pStyle w:val="Subtitle"/>
              <w:framePr w:hSpace="0" w:wrap="auto" w:hAnchor="text" w:xAlign="left" w:yAlign="inline"/>
              <w:spacing w:after="240"/>
              <w:jc w:val="center"/>
            </w:pPr>
            <w:r w:rsidRPr="00915F63">
              <w:rPr>
                <w:b/>
                <w:bCs/>
                <w:sz w:val="24"/>
                <w:szCs w:val="24"/>
                <w:lang w:val="en-CA"/>
              </w:rPr>
              <w:t xml:space="preserve">Chairman: </w:t>
            </w:r>
            <w:r w:rsidRPr="00915F63">
              <w:rPr>
                <w:sz w:val="24"/>
                <w:szCs w:val="24"/>
                <w:lang w:val="en-CA"/>
              </w:rPr>
              <w:t xml:space="preserve"> </w:t>
            </w:r>
            <w:proofErr w:type="spellStart"/>
            <w:r w:rsidRPr="00915F63">
              <w:rPr>
                <w:sz w:val="24"/>
                <w:szCs w:val="24"/>
                <w:lang w:val="en-CA"/>
              </w:rPr>
              <w:t>Mr</w:t>
            </w:r>
            <w:proofErr w:type="spellEnd"/>
            <w:r w:rsidRPr="00915F63">
              <w:rPr>
                <w:sz w:val="24"/>
                <w:szCs w:val="24"/>
                <w:lang w:val="en-CA"/>
              </w:rPr>
              <w:t xml:space="preserve"> C. MARTINEZ (Paraguay)</w:t>
            </w:r>
          </w:p>
        </w:tc>
      </w:tr>
      <w:tr w:rsidR="00AD3606" w:rsidRPr="00813E5E" w14:paraId="59287389" w14:textId="77777777" w:rsidTr="00AD3606">
        <w:trPr>
          <w:cantSplit/>
        </w:trPr>
        <w:tc>
          <w:tcPr>
            <w:tcW w:w="9214" w:type="dxa"/>
            <w:gridSpan w:val="2"/>
            <w:tcBorders>
              <w:top w:val="single" w:sz="4" w:space="0" w:color="auto"/>
              <w:bottom w:val="single" w:sz="4" w:space="0" w:color="auto"/>
            </w:tcBorders>
            <w:tcMar>
              <w:left w:w="0" w:type="dxa"/>
            </w:tcMar>
          </w:tcPr>
          <w:tbl>
            <w:tblPr>
              <w:tblW w:w="9639" w:type="dxa"/>
              <w:tblLayout w:type="fixed"/>
              <w:tblLook w:val="0000" w:firstRow="0" w:lastRow="0" w:firstColumn="0" w:lastColumn="0" w:noHBand="0" w:noVBand="0"/>
            </w:tblPr>
            <w:tblGrid>
              <w:gridCol w:w="484"/>
              <w:gridCol w:w="6342"/>
              <w:gridCol w:w="2813"/>
            </w:tblGrid>
            <w:tr w:rsidR="00915F63" w:rsidRPr="00DF2340" w14:paraId="2D0B4307" w14:textId="77777777" w:rsidTr="00C617E2">
              <w:tc>
                <w:tcPr>
                  <w:tcW w:w="251" w:type="pct"/>
                </w:tcPr>
                <w:p w14:paraId="4F797EE7" w14:textId="77777777" w:rsidR="00DF2340" w:rsidRPr="00DF2340" w:rsidRDefault="00DF2340" w:rsidP="00915F63">
                  <w:pPr>
                    <w:framePr w:hSpace="180" w:wrap="around" w:vAnchor="page" w:hAnchor="page" w:x="1821" w:y="2317"/>
                    <w:spacing w:before="480"/>
                    <w:rPr>
                      <w:b/>
                      <w:bCs/>
                      <w:sz w:val="22"/>
                      <w:szCs w:val="22"/>
                      <w:lang w:val="en-CA"/>
                    </w:rPr>
                  </w:pPr>
                  <w:bookmarkStart w:id="6" w:name="_Hlk141438382"/>
                  <w:r w:rsidRPr="00DF2340">
                    <w:rPr>
                      <w:b/>
                      <w:bCs/>
                      <w:sz w:val="22"/>
                      <w:szCs w:val="22"/>
                      <w:lang w:val="en-CA"/>
                    </w:rPr>
                    <w:br w:type="page"/>
                  </w:r>
                  <w:r w:rsidRPr="00DF2340">
                    <w:rPr>
                      <w:b/>
                      <w:bCs/>
                      <w:sz w:val="22"/>
                      <w:szCs w:val="22"/>
                      <w:lang w:val="en-CA"/>
                    </w:rPr>
                    <w:br w:type="page"/>
                  </w:r>
                </w:p>
              </w:tc>
              <w:tc>
                <w:tcPr>
                  <w:tcW w:w="3290" w:type="pct"/>
                </w:tcPr>
                <w:p w14:paraId="03063FEF" w14:textId="77777777" w:rsidR="00DF2340" w:rsidRPr="00DF2340" w:rsidRDefault="00DF2340" w:rsidP="00143BBD">
                  <w:pPr>
                    <w:framePr w:hSpace="180" w:wrap="around" w:vAnchor="page" w:hAnchor="page" w:x="1821" w:y="2317"/>
                    <w:spacing w:before="480" w:after="120"/>
                    <w:rPr>
                      <w:b/>
                      <w:bCs/>
                      <w:sz w:val="22"/>
                      <w:szCs w:val="22"/>
                      <w:lang w:val="en-CA"/>
                    </w:rPr>
                  </w:pPr>
                  <w:r w:rsidRPr="00DF2340">
                    <w:rPr>
                      <w:b/>
                      <w:bCs/>
                      <w:sz w:val="22"/>
                      <w:szCs w:val="22"/>
                      <w:lang w:val="en-CA"/>
                    </w:rPr>
                    <w:t>Subjects discussed</w:t>
                  </w:r>
                </w:p>
              </w:tc>
              <w:tc>
                <w:tcPr>
                  <w:tcW w:w="1459" w:type="pct"/>
                </w:tcPr>
                <w:p w14:paraId="21CF6966" w14:textId="77777777" w:rsidR="00DF2340" w:rsidRPr="00DF2340" w:rsidRDefault="00DF2340" w:rsidP="00143BBD">
                  <w:pPr>
                    <w:framePr w:hSpace="180" w:wrap="around" w:vAnchor="page" w:hAnchor="page" w:x="1821" w:y="2317"/>
                    <w:spacing w:before="480"/>
                    <w:jc w:val="center"/>
                    <w:rPr>
                      <w:b/>
                      <w:bCs/>
                      <w:sz w:val="22"/>
                      <w:szCs w:val="22"/>
                      <w:lang w:val="en-CA"/>
                    </w:rPr>
                  </w:pPr>
                  <w:r w:rsidRPr="00DF2340">
                    <w:rPr>
                      <w:b/>
                      <w:bCs/>
                      <w:sz w:val="22"/>
                      <w:szCs w:val="22"/>
                      <w:lang w:val="en-CA"/>
                    </w:rPr>
                    <w:t>Documents</w:t>
                  </w:r>
                </w:p>
              </w:tc>
            </w:tr>
            <w:tr w:rsidR="00606F98" w:rsidRPr="00DF2340" w14:paraId="1D44A2EC" w14:textId="77777777" w:rsidTr="00C617E2">
              <w:trPr>
                <w:trHeight w:val="20"/>
              </w:trPr>
              <w:tc>
                <w:tcPr>
                  <w:tcW w:w="251" w:type="pct"/>
                </w:tcPr>
                <w:p w14:paraId="24172D46" w14:textId="77777777" w:rsidR="00606F98" w:rsidRPr="00DF2340" w:rsidRDefault="00606F98" w:rsidP="00606F98">
                  <w:pPr>
                    <w:framePr w:hSpace="180" w:wrap="around" w:vAnchor="page" w:hAnchor="page" w:x="1821" w:y="2317"/>
                    <w:spacing w:before="80" w:after="80"/>
                    <w:rPr>
                      <w:sz w:val="22"/>
                      <w:szCs w:val="22"/>
                      <w:lang w:val="en-CA"/>
                    </w:rPr>
                  </w:pPr>
                  <w:r w:rsidRPr="00DF2340">
                    <w:rPr>
                      <w:sz w:val="22"/>
                      <w:szCs w:val="22"/>
                      <w:lang w:val="en-CA"/>
                    </w:rPr>
                    <w:t>1</w:t>
                  </w:r>
                </w:p>
              </w:tc>
              <w:tc>
                <w:tcPr>
                  <w:tcW w:w="3290" w:type="pct"/>
                </w:tcPr>
                <w:p w14:paraId="2830A615" w14:textId="2C586C9B" w:rsidR="00606F98" w:rsidRPr="00606F98" w:rsidRDefault="00606F98" w:rsidP="00606F98">
                  <w:pPr>
                    <w:framePr w:hSpace="180" w:wrap="around" w:vAnchor="page" w:hAnchor="page" w:x="1821" w:y="2317"/>
                    <w:spacing w:before="80" w:after="80"/>
                    <w:rPr>
                      <w:sz w:val="22"/>
                      <w:szCs w:val="22"/>
                      <w:lang w:val="en-CA"/>
                    </w:rPr>
                  </w:pPr>
                  <w:r w:rsidRPr="00606F98">
                    <w:rPr>
                      <w:rFonts w:asciiTheme="minorHAnsi" w:hAnsiTheme="minorHAnsi" w:cstheme="minorHAnsi"/>
                      <w:bCs/>
                      <w:sz w:val="22"/>
                      <w:szCs w:val="22"/>
                      <w:lang w:val="en-CA"/>
                    </w:rPr>
                    <w:t>Accelerating the implementation of the ITU strategic plan for 2024-2027, and the transformation roadmap to achieve organizational excellence (continued)</w:t>
                  </w:r>
                </w:p>
              </w:tc>
              <w:tc>
                <w:tcPr>
                  <w:tcW w:w="1459" w:type="pct"/>
                </w:tcPr>
                <w:p w14:paraId="6D602A53" w14:textId="530B3DE1" w:rsidR="00606F98" w:rsidRPr="00606F98" w:rsidRDefault="00AF392C" w:rsidP="00606F98">
                  <w:pPr>
                    <w:framePr w:hSpace="180" w:wrap="around" w:vAnchor="page" w:hAnchor="page" w:x="1821" w:y="2317"/>
                    <w:spacing w:before="80" w:after="80"/>
                    <w:jc w:val="center"/>
                    <w:rPr>
                      <w:sz w:val="22"/>
                      <w:szCs w:val="22"/>
                      <w:lang w:val="en-CA"/>
                    </w:rPr>
                  </w:pPr>
                  <w:hyperlink r:id="rId8" w:history="1">
                    <w:r w:rsidR="00606F98" w:rsidRPr="00606F98">
                      <w:rPr>
                        <w:rStyle w:val="Hyperlink"/>
                        <w:sz w:val="22"/>
                        <w:szCs w:val="22"/>
                      </w:rPr>
                      <w:t>C23/36</w:t>
                    </w:r>
                  </w:hyperlink>
                  <w:r w:rsidR="00606F98" w:rsidRPr="00606F98">
                    <w:rPr>
                      <w:sz w:val="22"/>
                      <w:szCs w:val="22"/>
                    </w:rPr>
                    <w:t xml:space="preserve">, </w:t>
                  </w:r>
                  <w:hyperlink r:id="rId9" w:history="1">
                    <w:r w:rsidR="00606F98" w:rsidRPr="00606F98">
                      <w:rPr>
                        <w:rStyle w:val="Hyperlink"/>
                        <w:sz w:val="22"/>
                        <w:szCs w:val="22"/>
                      </w:rPr>
                      <w:t>C23/52</w:t>
                    </w:r>
                  </w:hyperlink>
                  <w:r w:rsidR="00606F98" w:rsidRPr="00606F98">
                    <w:rPr>
                      <w:sz w:val="22"/>
                      <w:szCs w:val="22"/>
                    </w:rPr>
                    <w:t xml:space="preserve">, </w:t>
                  </w:r>
                  <w:hyperlink r:id="rId10" w:history="1">
                    <w:r w:rsidR="00606F98" w:rsidRPr="00606F98">
                      <w:rPr>
                        <w:rStyle w:val="Hyperlink"/>
                        <w:sz w:val="22"/>
                        <w:szCs w:val="22"/>
                      </w:rPr>
                      <w:t>C23/72(Rev.1)+Corr.1</w:t>
                    </w:r>
                  </w:hyperlink>
                  <w:r w:rsidR="00606F98" w:rsidRPr="00606F98">
                    <w:rPr>
                      <w:sz w:val="22"/>
                      <w:szCs w:val="22"/>
                    </w:rPr>
                    <w:t xml:space="preserve">, </w:t>
                  </w:r>
                  <w:hyperlink r:id="rId11" w:history="1">
                    <w:r w:rsidR="00606F98" w:rsidRPr="00606F98">
                      <w:rPr>
                        <w:rStyle w:val="Hyperlink"/>
                        <w:sz w:val="22"/>
                        <w:szCs w:val="22"/>
                      </w:rPr>
                      <w:t>C23/90</w:t>
                    </w:r>
                  </w:hyperlink>
                </w:p>
              </w:tc>
            </w:tr>
            <w:tr w:rsidR="00606F98" w:rsidRPr="00DF2340" w14:paraId="57EB8A2E" w14:textId="77777777" w:rsidTr="00BD41DB">
              <w:trPr>
                <w:trHeight w:val="20"/>
              </w:trPr>
              <w:tc>
                <w:tcPr>
                  <w:tcW w:w="251" w:type="pct"/>
                </w:tcPr>
                <w:p w14:paraId="6D2AF972" w14:textId="77777777" w:rsidR="00606F98" w:rsidRPr="00DF2340" w:rsidRDefault="00606F98" w:rsidP="00606F98">
                  <w:pPr>
                    <w:framePr w:hSpace="180" w:wrap="around" w:vAnchor="page" w:hAnchor="page" w:x="1821" w:y="2317"/>
                    <w:spacing w:before="80" w:after="80"/>
                    <w:rPr>
                      <w:sz w:val="22"/>
                      <w:szCs w:val="22"/>
                      <w:lang w:val="en-CA"/>
                    </w:rPr>
                  </w:pPr>
                  <w:r w:rsidRPr="00DF2340">
                    <w:rPr>
                      <w:sz w:val="22"/>
                      <w:szCs w:val="22"/>
                      <w:lang w:val="en-CA"/>
                    </w:rPr>
                    <w:t>2</w:t>
                  </w:r>
                </w:p>
              </w:tc>
              <w:tc>
                <w:tcPr>
                  <w:tcW w:w="3290" w:type="pct"/>
                  <w:vAlign w:val="center"/>
                </w:tcPr>
                <w:p w14:paraId="24B06FB8" w14:textId="574B3493" w:rsidR="00606F98" w:rsidRPr="00606F98" w:rsidRDefault="00606F98" w:rsidP="00606F98">
                  <w:pPr>
                    <w:framePr w:hSpace="180" w:wrap="around" w:vAnchor="page" w:hAnchor="page" w:x="1821" w:y="2317"/>
                    <w:spacing w:before="80" w:after="80"/>
                    <w:rPr>
                      <w:sz w:val="22"/>
                      <w:szCs w:val="22"/>
                      <w:lang w:val="en-CA"/>
                    </w:rPr>
                  </w:pPr>
                  <w:r w:rsidRPr="00606F98">
                    <w:rPr>
                      <w:rFonts w:cstheme="minorHAnsi"/>
                      <w:spacing w:val="-2"/>
                      <w:sz w:val="22"/>
                      <w:szCs w:val="22"/>
                      <w:lang w:val="en-CA"/>
                    </w:rPr>
                    <w:t xml:space="preserve">Precise place and exact dates of the </w:t>
                  </w:r>
                  <w:bookmarkStart w:id="7" w:name="_Hlk140071948"/>
                  <w:r w:rsidRPr="00606F98">
                    <w:rPr>
                      <w:rFonts w:cstheme="minorHAnsi"/>
                      <w:spacing w:val="-2"/>
                      <w:sz w:val="22"/>
                      <w:szCs w:val="22"/>
                      <w:lang w:val="en-CA"/>
                    </w:rPr>
                    <w:t>2024 world telecommunication standardization assembly</w:t>
                  </w:r>
                  <w:bookmarkEnd w:id="7"/>
                  <w:r w:rsidRPr="00606F98">
                    <w:rPr>
                      <w:rFonts w:cstheme="minorHAnsi"/>
                      <w:spacing w:val="-2"/>
                      <w:sz w:val="22"/>
                      <w:szCs w:val="22"/>
                      <w:lang w:val="en-CA"/>
                    </w:rPr>
                    <w:t xml:space="preserve"> and update on preparations </w:t>
                  </w:r>
                </w:p>
              </w:tc>
              <w:tc>
                <w:tcPr>
                  <w:tcW w:w="1459" w:type="pct"/>
                </w:tcPr>
                <w:p w14:paraId="1FBAAF80" w14:textId="7E70DB68" w:rsidR="00606F98" w:rsidRPr="00606F98" w:rsidRDefault="00AF392C" w:rsidP="00606F98">
                  <w:pPr>
                    <w:framePr w:hSpace="180" w:wrap="around" w:vAnchor="page" w:hAnchor="page" w:x="1821" w:y="2317"/>
                    <w:spacing w:before="80" w:after="80"/>
                    <w:jc w:val="center"/>
                    <w:rPr>
                      <w:sz w:val="22"/>
                      <w:szCs w:val="22"/>
                      <w:lang w:val="en-CA"/>
                    </w:rPr>
                  </w:pPr>
                  <w:hyperlink r:id="rId12" w:history="1">
                    <w:r w:rsidR="00606F98" w:rsidRPr="00606F98">
                      <w:rPr>
                        <w:rStyle w:val="Hyperlink"/>
                        <w:sz w:val="22"/>
                        <w:szCs w:val="22"/>
                      </w:rPr>
                      <w:t>C23/24</w:t>
                    </w:r>
                  </w:hyperlink>
                </w:p>
              </w:tc>
            </w:tr>
            <w:tr w:rsidR="00606F98" w:rsidRPr="00DF2340" w14:paraId="03AD913B" w14:textId="77777777" w:rsidTr="00C617E2">
              <w:trPr>
                <w:trHeight w:val="20"/>
              </w:trPr>
              <w:tc>
                <w:tcPr>
                  <w:tcW w:w="251" w:type="pct"/>
                </w:tcPr>
                <w:p w14:paraId="0220E7E6" w14:textId="77777777" w:rsidR="00606F98" w:rsidRPr="00DF2340" w:rsidRDefault="00606F98" w:rsidP="00606F98">
                  <w:pPr>
                    <w:framePr w:hSpace="180" w:wrap="around" w:vAnchor="page" w:hAnchor="page" w:x="1821" w:y="2317"/>
                    <w:spacing w:before="80" w:after="80"/>
                    <w:rPr>
                      <w:sz w:val="22"/>
                      <w:szCs w:val="22"/>
                      <w:lang w:val="en-CA"/>
                    </w:rPr>
                  </w:pPr>
                  <w:r w:rsidRPr="00DF2340">
                    <w:rPr>
                      <w:sz w:val="22"/>
                      <w:szCs w:val="22"/>
                      <w:lang w:val="en-CA"/>
                    </w:rPr>
                    <w:t>3</w:t>
                  </w:r>
                </w:p>
              </w:tc>
              <w:tc>
                <w:tcPr>
                  <w:tcW w:w="3290" w:type="pct"/>
                </w:tcPr>
                <w:p w14:paraId="436D0638" w14:textId="7B2CC311" w:rsidR="00606F98" w:rsidRPr="00606F98" w:rsidRDefault="00606F98" w:rsidP="00606F98">
                  <w:pPr>
                    <w:framePr w:hSpace="180" w:wrap="around" w:vAnchor="page" w:hAnchor="page" w:x="1821" w:y="2317"/>
                    <w:spacing w:before="80" w:after="80"/>
                    <w:rPr>
                      <w:sz w:val="22"/>
                      <w:szCs w:val="22"/>
                      <w:lang w:val="en-CA"/>
                    </w:rPr>
                  </w:pPr>
                  <w:r w:rsidRPr="00606F98">
                    <w:rPr>
                      <w:rStyle w:val="ui-provider"/>
                      <w:rFonts w:cstheme="minorHAnsi"/>
                      <w:sz w:val="22"/>
                      <w:szCs w:val="22"/>
                    </w:rPr>
                    <w:t>Preparations for the 2023 radiocommunication assembly and the 2023 world radiocommunication conference</w:t>
                  </w:r>
                </w:p>
              </w:tc>
              <w:tc>
                <w:tcPr>
                  <w:tcW w:w="1459" w:type="pct"/>
                </w:tcPr>
                <w:p w14:paraId="48947DDE" w14:textId="01243036" w:rsidR="00606F98" w:rsidRPr="00606F98" w:rsidRDefault="00AF392C" w:rsidP="00606F98">
                  <w:pPr>
                    <w:framePr w:hSpace="180" w:wrap="around" w:vAnchor="page" w:hAnchor="page" w:x="1821" w:y="2317"/>
                    <w:spacing w:before="80" w:after="80"/>
                    <w:jc w:val="center"/>
                    <w:rPr>
                      <w:sz w:val="22"/>
                      <w:szCs w:val="22"/>
                      <w:lang w:val="en-CA"/>
                    </w:rPr>
                  </w:pPr>
                  <w:hyperlink r:id="rId13" w:history="1">
                    <w:r w:rsidR="00606F98" w:rsidRPr="00606F98">
                      <w:rPr>
                        <w:rStyle w:val="Hyperlink"/>
                        <w:sz w:val="22"/>
                        <w:szCs w:val="22"/>
                      </w:rPr>
                      <w:t>C23/31</w:t>
                    </w:r>
                  </w:hyperlink>
                </w:p>
              </w:tc>
            </w:tr>
            <w:tr w:rsidR="00606F98" w:rsidRPr="00DF2340" w14:paraId="365094B8" w14:textId="77777777" w:rsidTr="00C617E2">
              <w:trPr>
                <w:trHeight w:val="20"/>
              </w:trPr>
              <w:tc>
                <w:tcPr>
                  <w:tcW w:w="251" w:type="pct"/>
                </w:tcPr>
                <w:p w14:paraId="34A94745" w14:textId="77777777" w:rsidR="00606F98" w:rsidRPr="00DF2340" w:rsidRDefault="00606F98" w:rsidP="00606F98">
                  <w:pPr>
                    <w:framePr w:hSpace="180" w:wrap="around" w:vAnchor="page" w:hAnchor="page" w:x="1821" w:y="2317"/>
                    <w:spacing w:before="80" w:after="80"/>
                    <w:rPr>
                      <w:sz w:val="22"/>
                      <w:szCs w:val="22"/>
                      <w:lang w:val="en-CA"/>
                    </w:rPr>
                  </w:pPr>
                  <w:r w:rsidRPr="00DF2340">
                    <w:rPr>
                      <w:sz w:val="22"/>
                      <w:szCs w:val="22"/>
                      <w:lang w:val="en-CA"/>
                    </w:rPr>
                    <w:t>4</w:t>
                  </w:r>
                </w:p>
              </w:tc>
              <w:tc>
                <w:tcPr>
                  <w:tcW w:w="3290" w:type="pct"/>
                </w:tcPr>
                <w:p w14:paraId="5D1FFCCE" w14:textId="7F4450F1" w:rsidR="00606F98" w:rsidRPr="00606F98" w:rsidRDefault="00606F98" w:rsidP="00606F98">
                  <w:pPr>
                    <w:framePr w:hSpace="180" w:wrap="around" w:vAnchor="page" w:hAnchor="page" w:x="1821" w:y="2317"/>
                    <w:spacing w:before="80" w:after="80"/>
                    <w:rPr>
                      <w:sz w:val="22"/>
                      <w:szCs w:val="22"/>
                      <w:lang w:val="en-CA"/>
                    </w:rPr>
                  </w:pPr>
                  <w:r w:rsidRPr="00606F98">
                    <w:rPr>
                      <w:rStyle w:val="ui-provider"/>
                      <w:rFonts w:cstheme="minorHAnsi"/>
                      <w:sz w:val="22"/>
                      <w:szCs w:val="22"/>
                    </w:rPr>
                    <w:t>Transfer of the area office from Tegucigalpa to Panama City</w:t>
                  </w:r>
                </w:p>
              </w:tc>
              <w:tc>
                <w:tcPr>
                  <w:tcW w:w="1459" w:type="pct"/>
                </w:tcPr>
                <w:p w14:paraId="2F324367" w14:textId="4873EB6C" w:rsidR="00606F98" w:rsidRPr="00606F98" w:rsidRDefault="00AF392C" w:rsidP="00606F98">
                  <w:pPr>
                    <w:framePr w:hSpace="180" w:wrap="around" w:vAnchor="page" w:hAnchor="page" w:x="1821" w:y="2317"/>
                    <w:spacing w:before="80" w:after="80"/>
                    <w:jc w:val="center"/>
                    <w:rPr>
                      <w:sz w:val="22"/>
                      <w:szCs w:val="22"/>
                      <w:lang w:val="en-CA"/>
                    </w:rPr>
                  </w:pPr>
                  <w:hyperlink r:id="rId14" w:history="1">
                    <w:r w:rsidR="00606F98" w:rsidRPr="00606F98">
                      <w:rPr>
                        <w:rStyle w:val="Hyperlink"/>
                        <w:sz w:val="22"/>
                        <w:szCs w:val="22"/>
                      </w:rPr>
                      <w:t>C23/64</w:t>
                    </w:r>
                  </w:hyperlink>
                  <w:r w:rsidR="00606F98" w:rsidRPr="00606F98">
                    <w:rPr>
                      <w:sz w:val="22"/>
                      <w:szCs w:val="22"/>
                    </w:rPr>
                    <w:t xml:space="preserve">, </w:t>
                  </w:r>
                  <w:hyperlink r:id="rId15" w:history="1">
                    <w:r w:rsidR="00606F98" w:rsidRPr="00606F98">
                      <w:rPr>
                        <w:rStyle w:val="Hyperlink"/>
                        <w:sz w:val="22"/>
                        <w:szCs w:val="22"/>
                      </w:rPr>
                      <w:t>C23/65</w:t>
                    </w:r>
                  </w:hyperlink>
                </w:p>
              </w:tc>
            </w:tr>
            <w:bookmarkEnd w:id="6"/>
          </w:tbl>
          <w:p w14:paraId="65250B1E" w14:textId="77777777" w:rsidR="00AD3606" w:rsidRDefault="00AD3606" w:rsidP="00F16BAB">
            <w:pPr>
              <w:spacing w:after="160"/>
            </w:pPr>
          </w:p>
        </w:tc>
      </w:tr>
      <w:bookmarkEnd w:id="5"/>
    </w:tbl>
    <w:p w14:paraId="7FE52F59"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p w14:paraId="17E15268" w14:textId="20D8087E" w:rsidR="00606F98" w:rsidRPr="00606F98" w:rsidRDefault="00606F98" w:rsidP="00606F98">
      <w:pPr>
        <w:tabs>
          <w:tab w:val="clear" w:pos="567"/>
          <w:tab w:val="clear" w:pos="1134"/>
          <w:tab w:val="clear" w:pos="1701"/>
          <w:tab w:val="clear" w:pos="2268"/>
          <w:tab w:val="clear" w:pos="2835"/>
        </w:tabs>
        <w:spacing w:after="120"/>
        <w:ind w:left="720" w:hanging="720"/>
        <w:jc w:val="both"/>
        <w:rPr>
          <w:rFonts w:asciiTheme="minorHAnsi" w:hAnsiTheme="minorHAnsi" w:cstheme="minorHAnsi"/>
          <w:b/>
          <w:bCs/>
          <w:szCs w:val="24"/>
          <w:lang w:val="en-CA"/>
        </w:rPr>
      </w:pPr>
      <w:r w:rsidRPr="00606F98">
        <w:rPr>
          <w:rFonts w:asciiTheme="minorHAnsi" w:hAnsiTheme="minorHAnsi" w:cstheme="minorHAnsi"/>
          <w:b/>
          <w:bCs/>
          <w:szCs w:val="24"/>
          <w:lang w:val="en-CA"/>
        </w:rPr>
        <w:lastRenderedPageBreak/>
        <w:t>1</w:t>
      </w:r>
      <w:r w:rsidRPr="00606F98">
        <w:rPr>
          <w:rFonts w:asciiTheme="minorHAnsi" w:hAnsiTheme="minorHAnsi" w:cstheme="minorHAnsi"/>
          <w:b/>
          <w:bCs/>
          <w:szCs w:val="24"/>
          <w:lang w:val="en-CA"/>
        </w:rPr>
        <w:tab/>
        <w:t>Accelerating the implementation of the ITU strategic plan for 2024-2027</w:t>
      </w:r>
      <w:bookmarkStart w:id="8" w:name="_Hlk141100482"/>
      <w:r w:rsidRPr="00606F98">
        <w:rPr>
          <w:rFonts w:asciiTheme="minorHAnsi" w:hAnsiTheme="minorHAnsi" w:cstheme="minorHAnsi"/>
          <w:b/>
          <w:bCs/>
          <w:szCs w:val="24"/>
          <w:lang w:val="en-CA"/>
        </w:rPr>
        <w:t xml:space="preserve">, and </w:t>
      </w:r>
      <w:r>
        <w:rPr>
          <w:rFonts w:asciiTheme="minorHAnsi" w:hAnsiTheme="minorHAnsi" w:cstheme="minorHAnsi"/>
          <w:b/>
          <w:bCs/>
          <w:szCs w:val="24"/>
          <w:lang w:val="en-CA"/>
        </w:rPr>
        <w:br/>
      </w:r>
      <w:r w:rsidRPr="00606F98">
        <w:rPr>
          <w:rFonts w:asciiTheme="minorHAnsi" w:hAnsiTheme="minorHAnsi" w:cstheme="minorHAnsi"/>
          <w:b/>
          <w:bCs/>
          <w:szCs w:val="24"/>
          <w:lang w:val="en-CA"/>
        </w:rPr>
        <w:t>the transformation roadmap to achieve organizational excellence</w:t>
      </w:r>
      <w:bookmarkEnd w:id="8"/>
      <w:r w:rsidRPr="00606F98">
        <w:rPr>
          <w:rFonts w:asciiTheme="minorHAnsi" w:hAnsiTheme="minorHAnsi" w:cstheme="minorHAnsi"/>
          <w:b/>
          <w:bCs/>
          <w:szCs w:val="24"/>
          <w:lang w:val="en-CA"/>
        </w:rPr>
        <w:t xml:space="preserve"> (continued)</w:t>
      </w:r>
      <w:r>
        <w:rPr>
          <w:rFonts w:asciiTheme="minorHAnsi" w:hAnsiTheme="minorHAnsi" w:cstheme="minorHAnsi"/>
          <w:b/>
          <w:bCs/>
          <w:szCs w:val="24"/>
          <w:lang w:val="en-CA"/>
        </w:rPr>
        <w:br/>
      </w:r>
      <w:r w:rsidRPr="00606F98">
        <w:rPr>
          <w:rFonts w:asciiTheme="minorHAnsi" w:hAnsiTheme="minorHAnsi" w:cstheme="minorHAnsi"/>
          <w:b/>
          <w:bCs/>
          <w:szCs w:val="24"/>
          <w:lang w:val="en-CA"/>
        </w:rPr>
        <w:t>(Documents </w:t>
      </w:r>
      <w:hyperlink r:id="rId16" w:history="1">
        <w:r w:rsidRPr="00606F98">
          <w:rPr>
            <w:rStyle w:val="Hyperlink"/>
            <w:rFonts w:asciiTheme="minorHAnsi" w:hAnsiTheme="minorHAnsi" w:cstheme="minorHAnsi"/>
            <w:b/>
            <w:bCs/>
            <w:szCs w:val="24"/>
            <w:lang w:val="en-CA"/>
          </w:rPr>
          <w:t>C23/36</w:t>
        </w:r>
      </w:hyperlink>
      <w:r w:rsidRPr="00606F98">
        <w:rPr>
          <w:rFonts w:asciiTheme="minorHAnsi" w:hAnsiTheme="minorHAnsi" w:cstheme="minorHAnsi"/>
          <w:b/>
          <w:bCs/>
          <w:szCs w:val="24"/>
          <w:lang w:val="en-CA"/>
        </w:rPr>
        <w:t xml:space="preserve">, </w:t>
      </w:r>
      <w:hyperlink r:id="rId17" w:history="1">
        <w:r w:rsidRPr="00606F98">
          <w:rPr>
            <w:rStyle w:val="Hyperlink"/>
            <w:rFonts w:asciiTheme="minorHAnsi" w:hAnsiTheme="minorHAnsi" w:cstheme="minorHAnsi"/>
            <w:b/>
            <w:bCs/>
            <w:szCs w:val="24"/>
            <w:lang w:val="en-CA"/>
          </w:rPr>
          <w:t>C23/52</w:t>
        </w:r>
      </w:hyperlink>
      <w:r w:rsidRPr="00606F98">
        <w:rPr>
          <w:rFonts w:asciiTheme="minorHAnsi" w:hAnsiTheme="minorHAnsi" w:cstheme="minorHAnsi"/>
          <w:b/>
          <w:bCs/>
          <w:szCs w:val="24"/>
          <w:lang w:val="en-CA"/>
        </w:rPr>
        <w:t xml:space="preserve">, </w:t>
      </w:r>
      <w:hyperlink r:id="rId18" w:history="1">
        <w:r w:rsidRPr="00606F98">
          <w:rPr>
            <w:rStyle w:val="Hyperlink"/>
            <w:rFonts w:asciiTheme="minorHAnsi" w:hAnsiTheme="minorHAnsi" w:cstheme="minorHAnsi"/>
            <w:b/>
            <w:bCs/>
            <w:szCs w:val="24"/>
            <w:lang w:val="en-CA"/>
          </w:rPr>
          <w:t>C23/72(Rev.1)+Corr.1</w:t>
        </w:r>
      </w:hyperlink>
      <w:r w:rsidRPr="00606F98">
        <w:rPr>
          <w:rFonts w:asciiTheme="minorHAnsi" w:hAnsiTheme="minorHAnsi" w:cstheme="minorHAnsi"/>
          <w:b/>
          <w:bCs/>
          <w:szCs w:val="24"/>
          <w:lang w:val="en-CA"/>
        </w:rPr>
        <w:t xml:space="preserve"> and </w:t>
      </w:r>
      <w:hyperlink r:id="rId19" w:history="1">
        <w:r w:rsidRPr="00606F98">
          <w:rPr>
            <w:rStyle w:val="Hyperlink"/>
            <w:rFonts w:asciiTheme="minorHAnsi" w:hAnsiTheme="minorHAnsi" w:cstheme="minorHAnsi"/>
            <w:b/>
            <w:bCs/>
            <w:szCs w:val="24"/>
            <w:lang w:val="en-CA"/>
          </w:rPr>
          <w:t>C23/90</w:t>
        </w:r>
      </w:hyperlink>
      <w:r w:rsidRPr="00606F98">
        <w:rPr>
          <w:rFonts w:asciiTheme="minorHAnsi" w:hAnsiTheme="minorHAnsi" w:cstheme="minorHAnsi"/>
          <w:b/>
          <w:bCs/>
          <w:szCs w:val="24"/>
          <w:lang w:val="en-CA"/>
        </w:rPr>
        <w:t xml:space="preserve">) </w:t>
      </w:r>
    </w:p>
    <w:p w14:paraId="3A2310B6" w14:textId="77777777" w:rsidR="00606F98" w:rsidRPr="00606F98" w:rsidRDefault="00606F98" w:rsidP="00606F98">
      <w:pPr>
        <w:pStyle w:val="paragraph"/>
        <w:spacing w:before="120" w:beforeAutospacing="0" w:after="120" w:afterAutospacing="0"/>
        <w:jc w:val="both"/>
        <w:rPr>
          <w:rFonts w:asciiTheme="minorHAnsi" w:hAnsiTheme="minorHAnsi" w:cstheme="minorHAnsi"/>
        </w:rPr>
      </w:pPr>
      <w:r w:rsidRPr="00606F98">
        <w:rPr>
          <w:rFonts w:asciiTheme="minorHAnsi" w:hAnsiTheme="minorHAnsi" w:cstheme="minorHAnsi"/>
        </w:rPr>
        <w:t>1.1</w:t>
      </w:r>
      <w:r w:rsidRPr="00606F98">
        <w:rPr>
          <w:rFonts w:asciiTheme="minorHAnsi" w:hAnsiTheme="minorHAnsi" w:cstheme="minorHAnsi"/>
        </w:rPr>
        <w:tab/>
        <w:t xml:space="preserve">Several councillors expressed support for the transformation roadmap proposed in Document C23/52 as timely and important, with long-term benefits for all. Improved transparency, efficiency, </w:t>
      </w:r>
      <w:proofErr w:type="gramStart"/>
      <w:r w:rsidRPr="00606F98">
        <w:rPr>
          <w:rFonts w:asciiTheme="minorHAnsi" w:hAnsiTheme="minorHAnsi" w:cstheme="minorHAnsi"/>
        </w:rPr>
        <w:t>accountability</w:t>
      </w:r>
      <w:proofErr w:type="gramEnd"/>
      <w:r w:rsidRPr="00606F98">
        <w:rPr>
          <w:rFonts w:asciiTheme="minorHAnsi" w:hAnsiTheme="minorHAnsi" w:cstheme="minorHAnsi"/>
        </w:rPr>
        <w:t xml:space="preserve"> and management, including financial management, would better serve Member States and help them fulfil their goals. Organizations must adapt to remain relevant and survive; Member States must be included in crafting the necessary changes, through exchanges with management in Council working groups.</w:t>
      </w:r>
    </w:p>
    <w:p w14:paraId="6E44E10B" w14:textId="77777777" w:rsidR="00606F98" w:rsidRPr="00606F98" w:rsidRDefault="00606F98" w:rsidP="00606F98">
      <w:pPr>
        <w:pStyle w:val="paragraph"/>
        <w:spacing w:before="120" w:beforeAutospacing="0" w:after="120" w:afterAutospacing="0"/>
        <w:jc w:val="both"/>
        <w:rPr>
          <w:rFonts w:asciiTheme="minorHAnsi" w:hAnsiTheme="minorHAnsi" w:cstheme="minorHAnsi"/>
        </w:rPr>
      </w:pPr>
      <w:r w:rsidRPr="00606F98">
        <w:rPr>
          <w:rFonts w:asciiTheme="minorHAnsi" w:hAnsiTheme="minorHAnsi" w:cstheme="minorHAnsi"/>
        </w:rPr>
        <w:t>1.2</w:t>
      </w:r>
      <w:r w:rsidRPr="00606F98">
        <w:rPr>
          <w:rFonts w:asciiTheme="minorHAnsi" w:hAnsiTheme="minorHAnsi" w:cstheme="minorHAnsi"/>
        </w:rPr>
        <w:tab/>
        <w:t>One councillor, referring to § 1 of the document, said that the ITU Culture and Skills Project had to be considered in the light of the interim external audit report. Concerning § 3, BDT was well positioned to discharge ITU’s dual responsibility to execute and monitor projects thanks to Resolution 157 (Rev. Dubai, 2018). On § 6, he questioned why ITU did not have recourse to United Nations bodies such as the International Computing Centre (ICC). An ICT governance committee should be established to oversee and report on the enterprise resource planning (ERP) system, and a permanent Council agenda item introduced on the ERP project and IT governance. Furthermore, the secretariat should report to the Council on ITU’s engagement in the Digital and Technology Network under the High-Level Committee on Management of the United Nations Chief Executives Board.</w:t>
      </w:r>
    </w:p>
    <w:p w14:paraId="637A5569" w14:textId="77777777" w:rsidR="00606F98" w:rsidRPr="00606F98" w:rsidRDefault="00606F98" w:rsidP="00606F98">
      <w:pPr>
        <w:pStyle w:val="paragraph"/>
        <w:spacing w:before="120" w:beforeAutospacing="0" w:after="120" w:afterAutospacing="0"/>
        <w:jc w:val="both"/>
        <w:rPr>
          <w:rFonts w:asciiTheme="minorHAnsi" w:hAnsiTheme="minorHAnsi" w:cstheme="minorHAnsi"/>
        </w:rPr>
      </w:pPr>
      <w:r w:rsidRPr="00606F98">
        <w:rPr>
          <w:rFonts w:asciiTheme="minorHAnsi" w:hAnsiTheme="minorHAnsi" w:cstheme="minorHAnsi"/>
        </w:rPr>
        <w:t>1.3</w:t>
      </w:r>
      <w:r w:rsidRPr="00606F98">
        <w:rPr>
          <w:rFonts w:asciiTheme="minorHAnsi" w:hAnsiTheme="minorHAnsi" w:cstheme="minorHAnsi"/>
        </w:rPr>
        <w:tab/>
        <w:t xml:space="preserve">Several councillors expressed support for the creation of a transformation office to deliver the proposed changes and increase the Union’s impact. Other councillors raised questions concerning the financial implications of doing so, the availability of funding and the impact on ITU’s structure; they considered that more time and information were needed before the proposal could be approved. </w:t>
      </w:r>
    </w:p>
    <w:p w14:paraId="672B8511" w14:textId="77777777" w:rsidR="00606F98" w:rsidRPr="00606F98" w:rsidRDefault="00606F98" w:rsidP="00606F98">
      <w:pPr>
        <w:pStyle w:val="paragraph"/>
        <w:spacing w:before="120" w:beforeAutospacing="0" w:after="120" w:afterAutospacing="0"/>
        <w:jc w:val="both"/>
        <w:rPr>
          <w:rFonts w:asciiTheme="minorHAnsi" w:hAnsiTheme="minorHAnsi" w:cstheme="minorHAnsi"/>
        </w:rPr>
      </w:pPr>
      <w:r w:rsidRPr="00606F98">
        <w:rPr>
          <w:rFonts w:asciiTheme="minorHAnsi" w:hAnsiTheme="minorHAnsi" w:cstheme="minorHAnsi"/>
        </w:rPr>
        <w:t>1.4</w:t>
      </w:r>
      <w:r w:rsidRPr="00606F98">
        <w:rPr>
          <w:rFonts w:asciiTheme="minorHAnsi" w:hAnsiTheme="minorHAnsi" w:cstheme="minorHAnsi"/>
        </w:rPr>
        <w:tab/>
        <w:t xml:space="preserve">Several councillors expressed concern at the potential for overlap with activities already under way and asked how any overlaps would be addressed once the project was on course. For an efficient transformation, the </w:t>
      </w:r>
      <w:proofErr w:type="gramStart"/>
      <w:r w:rsidRPr="00606F98">
        <w:rPr>
          <w:rFonts w:asciiTheme="minorHAnsi" w:hAnsiTheme="minorHAnsi" w:cstheme="minorHAnsi"/>
        </w:rPr>
        <w:t>structures</w:t>
      </w:r>
      <w:proofErr w:type="gramEnd"/>
      <w:r w:rsidRPr="00606F98">
        <w:rPr>
          <w:rFonts w:asciiTheme="minorHAnsi" w:hAnsiTheme="minorHAnsi" w:cstheme="minorHAnsi"/>
        </w:rPr>
        <w:t xml:space="preserve"> and mandates of existing ITU departments should first be reviewed and optimized.</w:t>
      </w:r>
    </w:p>
    <w:p w14:paraId="0B9CDAE9" w14:textId="77777777" w:rsidR="00606F98" w:rsidRPr="00606F98" w:rsidRDefault="00606F98" w:rsidP="00606F98">
      <w:pPr>
        <w:pStyle w:val="paragraph"/>
        <w:spacing w:before="120" w:beforeAutospacing="0" w:after="120" w:afterAutospacing="0"/>
        <w:jc w:val="both"/>
        <w:rPr>
          <w:rFonts w:asciiTheme="minorHAnsi" w:hAnsiTheme="minorHAnsi" w:cstheme="minorHAnsi"/>
        </w:rPr>
      </w:pPr>
      <w:r w:rsidRPr="00606F98">
        <w:rPr>
          <w:rFonts w:asciiTheme="minorHAnsi" w:hAnsiTheme="minorHAnsi" w:cstheme="minorHAnsi"/>
        </w:rPr>
        <w:t>1.5</w:t>
      </w:r>
      <w:r w:rsidRPr="00606F98">
        <w:rPr>
          <w:rFonts w:asciiTheme="minorHAnsi" w:hAnsiTheme="minorHAnsi" w:cstheme="minorHAnsi"/>
        </w:rPr>
        <w:tab/>
        <w:t xml:space="preserve">One councillor observed, with reference to Document C23/36, that flagship initiatives and events addressing emerging themes, such as AI for Good, drew positive public attention to the Union, built broader support and garnered political engagement. More such activities would be welcome. Another councillor said that Member States should collaborate to ensure that the ITU strategic plan for 2024-2027 had a tangible global impact. </w:t>
      </w:r>
    </w:p>
    <w:p w14:paraId="1B86C82E" w14:textId="77777777" w:rsidR="00606F98" w:rsidRPr="00606F98" w:rsidRDefault="00606F98" w:rsidP="00606F98">
      <w:pPr>
        <w:pStyle w:val="paragraph"/>
        <w:spacing w:before="120" w:beforeAutospacing="0" w:after="120" w:afterAutospacing="0"/>
        <w:jc w:val="both"/>
        <w:rPr>
          <w:rFonts w:asciiTheme="minorHAnsi" w:hAnsiTheme="minorHAnsi" w:cstheme="minorHAnsi"/>
        </w:rPr>
      </w:pPr>
      <w:r w:rsidRPr="00606F98">
        <w:rPr>
          <w:rFonts w:asciiTheme="minorHAnsi" w:hAnsiTheme="minorHAnsi" w:cstheme="minorHAnsi"/>
        </w:rPr>
        <w:t>1.6</w:t>
      </w:r>
      <w:r w:rsidRPr="00606F98">
        <w:rPr>
          <w:rFonts w:asciiTheme="minorHAnsi" w:hAnsiTheme="minorHAnsi" w:cstheme="minorHAnsi"/>
        </w:rPr>
        <w:tab/>
        <w:t xml:space="preserve">A third councillor noted the emphasis on internal transformation. Projects and programmes co-designed with countries and regional offices would ensure their relevance to countries, build a stronger sense of inclusion and co-ownership with stakeholders, yield resource-sharing benefits and bring the “One ITU” brand closer to the citizens of every region. More than a mere organization, ITU was a community that could catalyse, </w:t>
      </w:r>
      <w:proofErr w:type="gramStart"/>
      <w:r w:rsidRPr="00606F98">
        <w:rPr>
          <w:rFonts w:asciiTheme="minorHAnsi" w:hAnsiTheme="minorHAnsi" w:cstheme="minorHAnsi"/>
        </w:rPr>
        <w:t>drive</w:t>
      </w:r>
      <w:proofErr w:type="gramEnd"/>
      <w:r w:rsidRPr="00606F98">
        <w:rPr>
          <w:rFonts w:asciiTheme="minorHAnsi" w:hAnsiTheme="minorHAnsi" w:cstheme="minorHAnsi"/>
        </w:rPr>
        <w:t xml:space="preserve"> and lead digital transformation across the world.</w:t>
      </w:r>
    </w:p>
    <w:p w14:paraId="1CBA54A5" w14:textId="77777777" w:rsidR="00606F98" w:rsidRPr="00606F98" w:rsidRDefault="00606F98" w:rsidP="00606F98">
      <w:pPr>
        <w:pStyle w:val="paragraph"/>
        <w:spacing w:before="120" w:beforeAutospacing="0" w:after="120" w:afterAutospacing="0"/>
        <w:jc w:val="both"/>
        <w:rPr>
          <w:rFonts w:asciiTheme="minorHAnsi" w:hAnsiTheme="minorHAnsi" w:cstheme="minorHAnsi"/>
        </w:rPr>
      </w:pPr>
      <w:r w:rsidRPr="00606F98">
        <w:rPr>
          <w:rFonts w:asciiTheme="minorHAnsi" w:hAnsiTheme="minorHAnsi" w:cstheme="minorHAnsi"/>
        </w:rPr>
        <w:t>1.7</w:t>
      </w:r>
      <w:r w:rsidRPr="00606F98">
        <w:rPr>
          <w:rFonts w:asciiTheme="minorHAnsi" w:hAnsiTheme="minorHAnsi" w:cstheme="minorHAnsi"/>
        </w:rPr>
        <w:tab/>
        <w:t xml:space="preserve">Another councillor observed that the advent of artificial intelligence was revolutionary and would cause profound social upheaval; much was expected of ITU in terms of managing the risks and reaping the benefits of the new technology. A more agile, less bureaucratic ITU would better achieve its goals. The Union faced budget difficulties and was struggling to </w:t>
      </w:r>
      <w:r w:rsidRPr="00606F98">
        <w:rPr>
          <w:rFonts w:asciiTheme="minorHAnsi" w:hAnsiTheme="minorHAnsi" w:cstheme="minorHAnsi"/>
        </w:rPr>
        <w:lastRenderedPageBreak/>
        <w:t xml:space="preserve">respond to Member States’ connectivity needs; the proposed transformation was urgently needed to equip it to face the challenges ahead. </w:t>
      </w:r>
    </w:p>
    <w:p w14:paraId="334DFFCE" w14:textId="77777777" w:rsidR="00606F98" w:rsidRPr="00606F98" w:rsidRDefault="00606F98" w:rsidP="00606F98">
      <w:pPr>
        <w:pStyle w:val="paragraph"/>
        <w:spacing w:before="120" w:beforeAutospacing="0" w:after="120" w:afterAutospacing="0"/>
        <w:jc w:val="both"/>
        <w:rPr>
          <w:rFonts w:asciiTheme="minorHAnsi" w:hAnsiTheme="minorHAnsi" w:cstheme="minorHAnsi"/>
        </w:rPr>
      </w:pPr>
      <w:r w:rsidRPr="00606F98">
        <w:rPr>
          <w:rFonts w:asciiTheme="minorHAnsi" w:hAnsiTheme="minorHAnsi" w:cstheme="minorHAnsi"/>
        </w:rPr>
        <w:t>1.8</w:t>
      </w:r>
      <w:r w:rsidRPr="00606F98">
        <w:rPr>
          <w:rFonts w:asciiTheme="minorHAnsi" w:hAnsiTheme="minorHAnsi" w:cstheme="minorHAnsi"/>
        </w:rPr>
        <w:tab/>
        <w:t>One councillor, referring to pillar 1 of the new leadership team’s visioning process, expressed the hope that ITU, more than providing mere opinion leadership, would help Member States achieve development. He asked which entities would participate in the proposed observatory and noted that, as an intergovernmental organization, ITU should consult councillors before engaging external parties to mobilize resources.</w:t>
      </w:r>
    </w:p>
    <w:p w14:paraId="525B4EB6" w14:textId="77777777" w:rsidR="00606F98" w:rsidRPr="00606F98" w:rsidRDefault="00606F98" w:rsidP="00606F98">
      <w:pPr>
        <w:pStyle w:val="paragraph"/>
        <w:spacing w:before="120" w:beforeAutospacing="0" w:after="120" w:afterAutospacing="0"/>
        <w:jc w:val="both"/>
        <w:rPr>
          <w:rFonts w:asciiTheme="minorHAnsi" w:hAnsiTheme="minorHAnsi" w:cstheme="minorHAnsi"/>
        </w:rPr>
      </w:pPr>
      <w:r w:rsidRPr="00606F98">
        <w:rPr>
          <w:rFonts w:asciiTheme="minorHAnsi" w:hAnsiTheme="minorHAnsi" w:cstheme="minorHAnsi"/>
        </w:rPr>
        <w:t>1.9</w:t>
      </w:r>
      <w:r w:rsidRPr="00606F98">
        <w:rPr>
          <w:rFonts w:asciiTheme="minorHAnsi" w:hAnsiTheme="minorHAnsi" w:cstheme="minorHAnsi"/>
        </w:rPr>
        <w:tab/>
        <w:t>Two councillors, emphasizing that the cost of the transformation must be controlled, asked for information on the financial cost of the initiative and how the results would be measured. The proposed creation of a D.1 and other positions would be expensive.</w:t>
      </w:r>
    </w:p>
    <w:p w14:paraId="13E783E5" w14:textId="77777777" w:rsidR="00606F98" w:rsidRPr="00606F98" w:rsidRDefault="00606F98" w:rsidP="00606F98">
      <w:pPr>
        <w:pStyle w:val="paragraph"/>
        <w:spacing w:before="120" w:beforeAutospacing="0" w:after="120" w:afterAutospacing="0"/>
        <w:jc w:val="both"/>
        <w:rPr>
          <w:rFonts w:asciiTheme="minorHAnsi" w:hAnsiTheme="minorHAnsi" w:cstheme="minorHAnsi"/>
        </w:rPr>
      </w:pPr>
      <w:r w:rsidRPr="00606F98">
        <w:rPr>
          <w:rFonts w:asciiTheme="minorHAnsi" w:hAnsiTheme="minorHAnsi" w:cstheme="minorHAnsi"/>
        </w:rPr>
        <w:t>1.10</w:t>
      </w:r>
      <w:r w:rsidRPr="00606F98">
        <w:rPr>
          <w:rFonts w:asciiTheme="minorHAnsi" w:hAnsiTheme="minorHAnsi" w:cstheme="minorHAnsi"/>
        </w:rPr>
        <w:tab/>
        <w:t xml:space="preserve">One councillor said that the principles embedded in the ITU Constitution and Convention should be highlighted in the document. </w:t>
      </w:r>
    </w:p>
    <w:p w14:paraId="33BBB19F" w14:textId="77777777" w:rsidR="00606F98" w:rsidRPr="00606F98" w:rsidRDefault="00606F98" w:rsidP="00606F98">
      <w:pPr>
        <w:pStyle w:val="paragraph"/>
        <w:spacing w:before="120" w:beforeAutospacing="0" w:after="120" w:afterAutospacing="0"/>
        <w:jc w:val="both"/>
        <w:rPr>
          <w:rFonts w:asciiTheme="minorHAnsi" w:hAnsiTheme="minorHAnsi" w:cstheme="minorHAnsi"/>
        </w:rPr>
      </w:pPr>
      <w:r w:rsidRPr="00606F98">
        <w:rPr>
          <w:rFonts w:asciiTheme="minorHAnsi" w:hAnsiTheme="minorHAnsi" w:cstheme="minorHAnsi"/>
        </w:rPr>
        <w:t>1.11</w:t>
      </w:r>
      <w:r w:rsidRPr="00606F98">
        <w:rPr>
          <w:rFonts w:asciiTheme="minorHAnsi" w:hAnsiTheme="minorHAnsi" w:cstheme="minorHAnsi"/>
        </w:rPr>
        <w:tab/>
        <w:t xml:space="preserve">The Deputy Secretary-General, responding to the questions raised, said that the proposed changes and creation of a transformation office would not impinge upon or interfere with the structure established in the ITU Constitution and Convention. The Secretary-General would remain fully responsible for transformation initiatives and </w:t>
      </w:r>
      <w:proofErr w:type="gramStart"/>
      <w:r w:rsidRPr="00606F98">
        <w:rPr>
          <w:rFonts w:asciiTheme="minorHAnsi" w:hAnsiTheme="minorHAnsi" w:cstheme="minorHAnsi"/>
        </w:rPr>
        <w:t>reform, but</w:t>
      </w:r>
      <w:proofErr w:type="gramEnd"/>
      <w:r w:rsidRPr="00606F98">
        <w:rPr>
          <w:rFonts w:asciiTheme="minorHAnsi" w:hAnsiTheme="minorHAnsi" w:cstheme="minorHAnsi"/>
        </w:rPr>
        <w:t xml:space="preserve"> would need support to keep the transformation on track. </w:t>
      </w:r>
      <w:proofErr w:type="gramStart"/>
      <w:r w:rsidRPr="00606F98">
        <w:rPr>
          <w:rFonts w:asciiTheme="minorHAnsi" w:hAnsiTheme="minorHAnsi" w:cstheme="minorHAnsi"/>
        </w:rPr>
        <w:t>In order to</w:t>
      </w:r>
      <w:proofErr w:type="gramEnd"/>
      <w:r w:rsidRPr="00606F98">
        <w:rPr>
          <w:rFonts w:asciiTheme="minorHAnsi" w:hAnsiTheme="minorHAnsi" w:cstheme="minorHAnsi"/>
        </w:rPr>
        <w:t xml:space="preserve"> avoid duplication, the secretariat needed a single space overseeing all actions; under its purview, departments would be responsible for their respective specific functions. The financial costs of creating a transformation office were included in Document C23/52 for information. Sufficient savings were available from previous years to fund it; the proposed one-year budget would be discussed in the Standing Committee on Administration and Management (ADM) and, hopefully, approved in plenary. </w:t>
      </w:r>
    </w:p>
    <w:p w14:paraId="4299FAE7" w14:textId="77777777" w:rsidR="00606F98" w:rsidRPr="00606F98" w:rsidRDefault="00606F98" w:rsidP="00606F98">
      <w:pPr>
        <w:pStyle w:val="paragraph"/>
        <w:spacing w:before="120" w:beforeAutospacing="0" w:after="120" w:afterAutospacing="0"/>
        <w:jc w:val="both"/>
        <w:rPr>
          <w:rFonts w:asciiTheme="minorHAnsi" w:hAnsiTheme="minorHAnsi" w:cstheme="minorHAnsi"/>
        </w:rPr>
      </w:pPr>
      <w:r w:rsidRPr="00606F98">
        <w:rPr>
          <w:rFonts w:asciiTheme="minorHAnsi" w:hAnsiTheme="minorHAnsi" w:cstheme="minorHAnsi"/>
        </w:rPr>
        <w:t>1.12</w:t>
      </w:r>
      <w:r w:rsidRPr="00606F98">
        <w:rPr>
          <w:rFonts w:asciiTheme="minorHAnsi" w:hAnsiTheme="minorHAnsi" w:cstheme="minorHAnsi"/>
        </w:rPr>
        <w:tab/>
        <w:t>Contributions from Member States on the role of the Council Working Group on financial and human resources (CWG-FHR) would be welcome. The working group could contribute to the development of key performance indicators for organizational excellence, based on which the secretariat could report to the Council on follow-up and implementation of the transformation process. Member States’ support for the document would enable the secretariat to launch the transformation initiatives and make available the resources required to implement the projects needed to ensure a programmatic and consolidated transformation while maintaining financial stability.</w:t>
      </w:r>
    </w:p>
    <w:p w14:paraId="283B371A" w14:textId="77777777" w:rsidR="00606F98" w:rsidRPr="00606F98" w:rsidRDefault="00606F98" w:rsidP="00606F98">
      <w:pPr>
        <w:pStyle w:val="paragraph"/>
        <w:spacing w:before="120" w:beforeAutospacing="0" w:after="120" w:afterAutospacing="0"/>
        <w:jc w:val="both"/>
        <w:rPr>
          <w:rFonts w:asciiTheme="minorHAnsi" w:hAnsiTheme="minorHAnsi" w:cstheme="minorHAnsi"/>
        </w:rPr>
      </w:pPr>
      <w:r w:rsidRPr="00606F98">
        <w:rPr>
          <w:rFonts w:asciiTheme="minorHAnsi" w:hAnsiTheme="minorHAnsi" w:cstheme="minorHAnsi"/>
        </w:rPr>
        <w:t>1.13</w:t>
      </w:r>
      <w:r w:rsidRPr="00606F98">
        <w:rPr>
          <w:rFonts w:asciiTheme="minorHAnsi" w:hAnsiTheme="minorHAnsi" w:cstheme="minorHAnsi"/>
        </w:rPr>
        <w:tab/>
        <w:t xml:space="preserve">One councillor said that the Council Member States were responsible for managing the Union’s financial resources and contributions from countries, and in view of the critical financial situation and other pressing funding requirements, including for the building project and the regional initiatives adopted by WTDC, and the needs of Member States, it would be reasonable and prudent before taking a decision entailing expenses of CHF 1 million per year to submit the document to ADM, and preferably to CWG-FHR. </w:t>
      </w:r>
    </w:p>
    <w:p w14:paraId="02BDA95B" w14:textId="68BE664B" w:rsidR="00606F98" w:rsidRPr="00606F98" w:rsidRDefault="00606F98" w:rsidP="00606F98">
      <w:pPr>
        <w:pStyle w:val="paragraph"/>
        <w:spacing w:before="120" w:beforeAutospacing="0" w:after="120" w:afterAutospacing="0"/>
        <w:jc w:val="both"/>
        <w:rPr>
          <w:rFonts w:asciiTheme="minorHAnsi" w:hAnsiTheme="minorHAnsi" w:cstheme="minorHAnsi"/>
        </w:rPr>
      </w:pPr>
      <w:r w:rsidRPr="00606F98">
        <w:rPr>
          <w:rFonts w:asciiTheme="minorHAnsi" w:hAnsiTheme="minorHAnsi" w:cstheme="minorHAnsi"/>
        </w:rPr>
        <w:t>1.14</w:t>
      </w:r>
      <w:r w:rsidRPr="00606F98">
        <w:rPr>
          <w:rFonts w:asciiTheme="minorHAnsi" w:hAnsiTheme="minorHAnsi" w:cstheme="minorHAnsi"/>
        </w:rPr>
        <w:tab/>
        <w:t xml:space="preserve">Several councillors said that they were in favour of referring the matter to ADM for further consideration, </w:t>
      </w:r>
      <w:proofErr w:type="gramStart"/>
      <w:r w:rsidRPr="00606F98">
        <w:rPr>
          <w:rFonts w:asciiTheme="minorHAnsi" w:hAnsiTheme="minorHAnsi" w:cstheme="minorHAnsi"/>
        </w:rPr>
        <w:t>clarification</w:t>
      </w:r>
      <w:proofErr w:type="gramEnd"/>
      <w:r w:rsidRPr="00606F98">
        <w:rPr>
          <w:rFonts w:asciiTheme="minorHAnsi" w:hAnsiTheme="minorHAnsi" w:cstheme="minorHAnsi"/>
        </w:rPr>
        <w:t xml:space="preserve"> and a decision, while other councillors proposed that CWG-FHR conduct a proper analysis of the financial implications of the proposal and consider how to implement it in accordance with the Constitution and Convention.</w:t>
      </w:r>
    </w:p>
    <w:p w14:paraId="4116B16B" w14:textId="77777777" w:rsidR="00606F98" w:rsidRPr="00606F98" w:rsidRDefault="00606F98" w:rsidP="00606F98">
      <w:pPr>
        <w:pStyle w:val="paragraph"/>
        <w:spacing w:before="120" w:beforeAutospacing="0" w:after="120" w:afterAutospacing="0"/>
        <w:jc w:val="both"/>
        <w:rPr>
          <w:rFonts w:asciiTheme="minorHAnsi" w:hAnsiTheme="minorHAnsi" w:cstheme="minorHAnsi"/>
        </w:rPr>
      </w:pPr>
      <w:r w:rsidRPr="00606F98">
        <w:rPr>
          <w:rFonts w:asciiTheme="minorHAnsi" w:hAnsiTheme="minorHAnsi" w:cstheme="minorHAnsi"/>
        </w:rPr>
        <w:t>1.15</w:t>
      </w:r>
      <w:r w:rsidRPr="00606F98">
        <w:rPr>
          <w:rFonts w:asciiTheme="minorHAnsi" w:hAnsiTheme="minorHAnsi" w:cstheme="minorHAnsi"/>
        </w:rPr>
        <w:tab/>
        <w:t>The Chairman proposed that the Council note Document C23/36 and refer Document C23/52 to the Standing Committee on Administration and Management for further discussion.</w:t>
      </w:r>
    </w:p>
    <w:p w14:paraId="1EA139E8" w14:textId="77777777" w:rsidR="00606F98" w:rsidRPr="00606F98" w:rsidRDefault="00606F98" w:rsidP="00606F98">
      <w:pPr>
        <w:pStyle w:val="paragraph"/>
        <w:spacing w:before="120" w:beforeAutospacing="0" w:after="120" w:afterAutospacing="0"/>
        <w:jc w:val="both"/>
        <w:rPr>
          <w:rFonts w:asciiTheme="minorHAnsi" w:hAnsiTheme="minorHAnsi" w:cstheme="minorHAnsi"/>
          <w:u w:val="single"/>
        </w:rPr>
      </w:pPr>
      <w:r w:rsidRPr="00606F98">
        <w:rPr>
          <w:rFonts w:asciiTheme="minorHAnsi" w:hAnsiTheme="minorHAnsi" w:cstheme="minorHAnsi"/>
        </w:rPr>
        <w:lastRenderedPageBreak/>
        <w:t>1.16</w:t>
      </w:r>
      <w:r w:rsidRPr="00606F98">
        <w:rPr>
          <w:rFonts w:asciiTheme="minorHAnsi" w:hAnsiTheme="minorHAnsi" w:cstheme="minorHAnsi"/>
        </w:rPr>
        <w:tab/>
        <w:t xml:space="preserve">It was so </w:t>
      </w:r>
      <w:r w:rsidRPr="00606F98">
        <w:rPr>
          <w:rFonts w:asciiTheme="minorHAnsi" w:hAnsiTheme="minorHAnsi" w:cstheme="minorHAnsi"/>
          <w:b/>
          <w:bCs/>
        </w:rPr>
        <w:t>agreed</w:t>
      </w:r>
      <w:r w:rsidRPr="00606F98">
        <w:rPr>
          <w:rFonts w:asciiTheme="minorHAnsi" w:hAnsiTheme="minorHAnsi" w:cstheme="minorHAnsi"/>
        </w:rPr>
        <w:t>.</w:t>
      </w:r>
    </w:p>
    <w:p w14:paraId="2A373035" w14:textId="375DDC6A" w:rsidR="00606F98" w:rsidRPr="00606F98" w:rsidRDefault="00606F98" w:rsidP="00D07C2D">
      <w:pPr>
        <w:tabs>
          <w:tab w:val="clear" w:pos="567"/>
          <w:tab w:val="clear" w:pos="1134"/>
          <w:tab w:val="clear" w:pos="1701"/>
          <w:tab w:val="clear" w:pos="2268"/>
          <w:tab w:val="clear" w:pos="2835"/>
        </w:tabs>
        <w:spacing w:before="240" w:after="120"/>
        <w:ind w:left="720" w:hanging="720"/>
        <w:jc w:val="both"/>
        <w:rPr>
          <w:rFonts w:asciiTheme="minorHAnsi" w:hAnsiTheme="minorHAnsi" w:cstheme="minorHAnsi"/>
          <w:b/>
          <w:bCs/>
          <w:szCs w:val="24"/>
          <w:lang w:val="en-CA"/>
        </w:rPr>
      </w:pPr>
      <w:r w:rsidRPr="00606F98">
        <w:rPr>
          <w:rFonts w:asciiTheme="minorHAnsi" w:hAnsiTheme="minorHAnsi" w:cstheme="minorHAnsi"/>
          <w:b/>
          <w:bCs/>
          <w:color w:val="000000"/>
          <w:szCs w:val="24"/>
        </w:rPr>
        <w:t>2</w:t>
      </w:r>
      <w:r w:rsidRPr="00606F98">
        <w:rPr>
          <w:rFonts w:asciiTheme="minorHAnsi" w:hAnsiTheme="minorHAnsi" w:cstheme="minorHAnsi"/>
          <w:b/>
          <w:bCs/>
          <w:color w:val="000000"/>
          <w:szCs w:val="24"/>
        </w:rPr>
        <w:tab/>
        <w:t xml:space="preserve">Precise place and exact dates </w:t>
      </w:r>
      <w:bookmarkStart w:id="9" w:name="_Hlk140159256"/>
      <w:r w:rsidRPr="00606F98">
        <w:rPr>
          <w:rFonts w:asciiTheme="minorHAnsi" w:hAnsiTheme="minorHAnsi" w:cstheme="minorHAnsi"/>
          <w:b/>
          <w:bCs/>
          <w:color w:val="000000"/>
          <w:szCs w:val="24"/>
        </w:rPr>
        <w:t xml:space="preserve">of the 2024 world telecommunication standardization assembly and update on preparations </w:t>
      </w:r>
      <w:bookmarkEnd w:id="9"/>
      <w:r w:rsidRPr="00606F98">
        <w:rPr>
          <w:rFonts w:asciiTheme="minorHAnsi" w:hAnsiTheme="minorHAnsi" w:cstheme="minorHAnsi"/>
          <w:b/>
          <w:bCs/>
          <w:color w:val="000000"/>
          <w:szCs w:val="24"/>
        </w:rPr>
        <w:t>(Document </w:t>
      </w:r>
      <w:hyperlink r:id="rId20" w:history="1">
        <w:r w:rsidRPr="00606F98">
          <w:rPr>
            <w:rStyle w:val="Hyperlink"/>
            <w:rFonts w:asciiTheme="minorHAnsi" w:hAnsiTheme="minorHAnsi" w:cstheme="minorHAnsi"/>
            <w:b/>
            <w:bCs/>
            <w:szCs w:val="24"/>
          </w:rPr>
          <w:t>C23/24</w:t>
        </w:r>
      </w:hyperlink>
      <w:r w:rsidRPr="00606F98">
        <w:rPr>
          <w:rFonts w:asciiTheme="minorHAnsi" w:hAnsiTheme="minorHAnsi" w:cstheme="minorHAnsi"/>
          <w:b/>
          <w:bCs/>
          <w:color w:val="000000"/>
          <w:szCs w:val="24"/>
        </w:rPr>
        <w:t>)</w:t>
      </w:r>
    </w:p>
    <w:p w14:paraId="22411A34" w14:textId="3D7AA7A9" w:rsidR="00606F98" w:rsidRPr="00606F98" w:rsidRDefault="00606F98" w:rsidP="00606F98">
      <w:pPr>
        <w:tabs>
          <w:tab w:val="clear" w:pos="567"/>
          <w:tab w:val="clear" w:pos="1134"/>
          <w:tab w:val="clear" w:pos="1701"/>
          <w:tab w:val="clear" w:pos="2268"/>
          <w:tab w:val="clear" w:pos="2835"/>
        </w:tabs>
        <w:spacing w:after="120"/>
        <w:jc w:val="both"/>
        <w:rPr>
          <w:rFonts w:asciiTheme="minorHAnsi" w:hAnsiTheme="minorHAnsi" w:cstheme="minorHAnsi"/>
          <w:szCs w:val="24"/>
          <w:lang w:val="en-CA"/>
        </w:rPr>
      </w:pPr>
      <w:r w:rsidRPr="00606F98">
        <w:rPr>
          <w:rFonts w:asciiTheme="minorHAnsi" w:hAnsiTheme="minorHAnsi" w:cstheme="minorHAnsi"/>
          <w:szCs w:val="24"/>
          <w:lang w:val="en-CA"/>
        </w:rPr>
        <w:t>2.1</w:t>
      </w:r>
      <w:r w:rsidRPr="00606F98">
        <w:rPr>
          <w:rFonts w:asciiTheme="minorHAnsi" w:hAnsiTheme="minorHAnsi" w:cstheme="minorHAnsi"/>
          <w:szCs w:val="24"/>
          <w:lang w:val="en-CA"/>
        </w:rPr>
        <w:tab/>
        <w:t xml:space="preserve">The </w:t>
      </w:r>
      <w:r w:rsidR="00E57D09">
        <w:rPr>
          <w:rFonts w:asciiTheme="minorHAnsi" w:hAnsiTheme="minorHAnsi" w:cstheme="minorHAnsi"/>
          <w:szCs w:val="24"/>
          <w:lang w:val="en-CA"/>
        </w:rPr>
        <w:t>Chief of the Study Groups Department</w:t>
      </w:r>
      <w:r w:rsidRPr="00606F98">
        <w:rPr>
          <w:rFonts w:asciiTheme="minorHAnsi" w:hAnsiTheme="minorHAnsi" w:cstheme="minorHAnsi"/>
          <w:szCs w:val="24"/>
          <w:lang w:val="en-CA"/>
        </w:rPr>
        <w:t xml:space="preserve"> of TSB introduced Document C23/24, which informed the Council of the precise place and exact dates of the World Telecommunication Standardization Assembly (WTSA-24) and on the relevant preparations, adding that an onsite visit to the conference venue was planned for the first week of October 2023.</w:t>
      </w:r>
    </w:p>
    <w:p w14:paraId="3696F22A" w14:textId="034BA049" w:rsidR="00606F98" w:rsidRPr="00606F98" w:rsidRDefault="00606F98" w:rsidP="00606F98">
      <w:pPr>
        <w:tabs>
          <w:tab w:val="clear" w:pos="567"/>
          <w:tab w:val="clear" w:pos="1134"/>
          <w:tab w:val="clear" w:pos="1701"/>
          <w:tab w:val="clear" w:pos="2268"/>
          <w:tab w:val="clear" w:pos="2835"/>
        </w:tabs>
        <w:spacing w:after="120"/>
        <w:jc w:val="both"/>
        <w:rPr>
          <w:rFonts w:asciiTheme="minorHAnsi" w:eastAsiaTheme="majorEastAsia" w:hAnsiTheme="minorHAnsi" w:cstheme="minorHAnsi"/>
          <w:szCs w:val="24"/>
        </w:rPr>
      </w:pPr>
      <w:r w:rsidRPr="00606F98">
        <w:rPr>
          <w:rFonts w:asciiTheme="minorHAnsi" w:eastAsiaTheme="majorEastAsia" w:hAnsiTheme="minorHAnsi" w:cstheme="minorHAnsi"/>
          <w:szCs w:val="24"/>
        </w:rPr>
        <w:t>2.2</w:t>
      </w:r>
      <w:r w:rsidRPr="00606F98">
        <w:rPr>
          <w:rFonts w:asciiTheme="minorHAnsi" w:eastAsiaTheme="majorEastAsia" w:hAnsiTheme="minorHAnsi" w:cstheme="minorHAnsi"/>
          <w:szCs w:val="24"/>
        </w:rPr>
        <w:tab/>
        <w:t xml:space="preserve">Mr Rajaraman, </w:t>
      </w:r>
      <w:r w:rsidR="00E57D09">
        <w:rPr>
          <w:rFonts w:asciiTheme="minorHAnsi" w:eastAsiaTheme="majorEastAsia" w:hAnsiTheme="minorHAnsi" w:cstheme="minorHAnsi"/>
          <w:szCs w:val="24"/>
        </w:rPr>
        <w:t>Secretary of Department of Telecommunications (DoT)</w:t>
      </w:r>
      <w:r w:rsidRPr="00606F98">
        <w:rPr>
          <w:rFonts w:asciiTheme="minorHAnsi" w:eastAsiaTheme="majorEastAsia" w:hAnsiTheme="minorHAnsi" w:cstheme="minorHAnsi"/>
          <w:szCs w:val="24"/>
        </w:rPr>
        <w:t>, Ministry of Communications (India) said that his country would be honoured to host WTSA-24, particularly since it had been unable to host WTSA-20 owing to the COVID-19 pandemic. It was proposed to hold the event at the International Exhibition cum Convention Centre in Pragati Maidan, New Delhi, from 15</w:t>
      </w:r>
      <w:r w:rsidRPr="00606F98">
        <w:rPr>
          <w:rFonts w:asciiTheme="minorHAnsi" w:hAnsiTheme="minorHAnsi" w:cstheme="minorHAnsi"/>
          <w:szCs w:val="24"/>
          <w:shd w:val="clear" w:color="auto" w:fill="FFFFFF"/>
        </w:rPr>
        <w:t xml:space="preserve"> to </w:t>
      </w:r>
      <w:r w:rsidRPr="00606F98">
        <w:rPr>
          <w:rFonts w:asciiTheme="minorHAnsi" w:eastAsiaTheme="majorEastAsia" w:hAnsiTheme="minorHAnsi" w:cstheme="minorHAnsi"/>
          <w:szCs w:val="24"/>
        </w:rPr>
        <w:t>24 October 2024. The Global Standards Symposium (GSS-24) would be held at the same venue on 14 October 2024. His statement was accompanied by two short video presentations, one unveiling the WTSA-24 logo, which had been conceptualized based on the wheel of time, and the other showcasing the proposed venue. It was also accompanied by a slide presentation on India’s preparations for WTSA-24 and related aspects.</w:t>
      </w:r>
    </w:p>
    <w:p w14:paraId="57D514B7" w14:textId="77777777" w:rsidR="00606F98" w:rsidRPr="00606F98" w:rsidRDefault="00606F98" w:rsidP="00606F98">
      <w:pPr>
        <w:tabs>
          <w:tab w:val="clear" w:pos="567"/>
          <w:tab w:val="clear" w:pos="1134"/>
          <w:tab w:val="clear" w:pos="1701"/>
          <w:tab w:val="clear" w:pos="2268"/>
          <w:tab w:val="clear" w:pos="2835"/>
        </w:tabs>
        <w:spacing w:after="120"/>
        <w:jc w:val="both"/>
        <w:rPr>
          <w:rFonts w:asciiTheme="minorHAnsi" w:eastAsiaTheme="majorEastAsia" w:hAnsiTheme="minorHAnsi" w:cstheme="minorHAnsi"/>
          <w:szCs w:val="24"/>
        </w:rPr>
      </w:pPr>
      <w:r w:rsidRPr="00606F98">
        <w:rPr>
          <w:rFonts w:asciiTheme="minorHAnsi" w:eastAsiaTheme="majorEastAsia" w:hAnsiTheme="minorHAnsi" w:cstheme="minorHAnsi"/>
          <w:szCs w:val="24"/>
        </w:rPr>
        <w:t>2.3</w:t>
      </w:r>
      <w:r w:rsidRPr="00606F98">
        <w:rPr>
          <w:rFonts w:asciiTheme="minorHAnsi" w:eastAsiaTheme="majorEastAsia" w:hAnsiTheme="minorHAnsi" w:cstheme="minorHAnsi"/>
          <w:szCs w:val="24"/>
        </w:rPr>
        <w:tab/>
        <w:t>Councillors thanked India for its proposal to host WTSA-24, with one councillor emphasizing the need for seamless visa procedures for such events.</w:t>
      </w:r>
    </w:p>
    <w:p w14:paraId="24889A0E" w14:textId="77777777" w:rsidR="00606F98" w:rsidRPr="00606F98" w:rsidRDefault="00606F98" w:rsidP="00606F98">
      <w:pPr>
        <w:tabs>
          <w:tab w:val="clear" w:pos="567"/>
          <w:tab w:val="clear" w:pos="1134"/>
          <w:tab w:val="clear" w:pos="1701"/>
          <w:tab w:val="clear" w:pos="2268"/>
          <w:tab w:val="clear" w:pos="2835"/>
        </w:tabs>
        <w:spacing w:after="120"/>
        <w:jc w:val="both"/>
        <w:rPr>
          <w:rFonts w:asciiTheme="minorHAnsi" w:eastAsiaTheme="majorEastAsia" w:hAnsiTheme="minorHAnsi" w:cstheme="minorHAnsi"/>
          <w:szCs w:val="24"/>
        </w:rPr>
      </w:pPr>
      <w:r w:rsidRPr="00606F98">
        <w:rPr>
          <w:rFonts w:asciiTheme="minorHAnsi" w:eastAsiaTheme="majorEastAsia" w:hAnsiTheme="minorHAnsi" w:cstheme="minorHAnsi"/>
          <w:szCs w:val="24"/>
        </w:rPr>
        <w:t>2.4</w:t>
      </w:r>
      <w:r w:rsidRPr="00606F98">
        <w:rPr>
          <w:rFonts w:asciiTheme="minorHAnsi" w:eastAsiaTheme="majorEastAsia" w:hAnsiTheme="minorHAnsi" w:cstheme="minorHAnsi"/>
          <w:szCs w:val="24"/>
        </w:rPr>
        <w:tab/>
        <w:t xml:space="preserve">The Council </w:t>
      </w:r>
      <w:r w:rsidRPr="00606F98">
        <w:rPr>
          <w:rFonts w:asciiTheme="minorHAnsi" w:eastAsiaTheme="majorEastAsia" w:hAnsiTheme="minorHAnsi" w:cstheme="minorHAnsi"/>
          <w:b/>
          <w:bCs/>
          <w:szCs w:val="24"/>
        </w:rPr>
        <w:t>noted</w:t>
      </w:r>
      <w:r w:rsidRPr="00606F98">
        <w:rPr>
          <w:rFonts w:asciiTheme="minorHAnsi" w:eastAsiaTheme="majorEastAsia" w:hAnsiTheme="minorHAnsi" w:cstheme="minorHAnsi"/>
          <w:szCs w:val="24"/>
        </w:rPr>
        <w:t xml:space="preserve"> Document C23/24 and </w:t>
      </w:r>
      <w:r w:rsidRPr="00606F98">
        <w:rPr>
          <w:rFonts w:asciiTheme="minorHAnsi" w:eastAsiaTheme="majorEastAsia" w:hAnsiTheme="minorHAnsi" w:cstheme="minorHAnsi"/>
          <w:b/>
          <w:bCs/>
          <w:szCs w:val="24"/>
        </w:rPr>
        <w:t xml:space="preserve">adopted </w:t>
      </w:r>
      <w:r w:rsidRPr="00606F98">
        <w:rPr>
          <w:rFonts w:asciiTheme="minorHAnsi" w:eastAsiaTheme="majorEastAsia" w:hAnsiTheme="minorHAnsi" w:cstheme="minorHAnsi"/>
          <w:szCs w:val="24"/>
        </w:rPr>
        <w:t>the draft decision contained in Annex 2 thereto, instructing the Secretary-General to carry out a consultation with all Member States on the precise place and exact dates of WTSA-24.</w:t>
      </w:r>
    </w:p>
    <w:p w14:paraId="278AE24E" w14:textId="77777777" w:rsidR="00606F98" w:rsidRPr="00606F98" w:rsidRDefault="00606F98" w:rsidP="00606F98">
      <w:pPr>
        <w:tabs>
          <w:tab w:val="clear" w:pos="567"/>
          <w:tab w:val="clear" w:pos="1134"/>
          <w:tab w:val="clear" w:pos="1701"/>
          <w:tab w:val="clear" w:pos="2268"/>
          <w:tab w:val="clear" w:pos="2835"/>
        </w:tabs>
        <w:spacing w:after="120"/>
        <w:jc w:val="both"/>
        <w:rPr>
          <w:rFonts w:asciiTheme="minorHAnsi" w:eastAsiaTheme="majorEastAsia" w:hAnsiTheme="minorHAnsi" w:cstheme="minorHAnsi"/>
          <w:szCs w:val="24"/>
        </w:rPr>
      </w:pPr>
      <w:r w:rsidRPr="00606F98">
        <w:rPr>
          <w:rFonts w:asciiTheme="minorHAnsi" w:eastAsiaTheme="majorEastAsia" w:hAnsiTheme="minorHAnsi" w:cstheme="minorHAnsi"/>
          <w:szCs w:val="24"/>
        </w:rPr>
        <w:t>2.5</w:t>
      </w:r>
      <w:r w:rsidRPr="00606F98">
        <w:rPr>
          <w:rFonts w:asciiTheme="minorHAnsi" w:eastAsiaTheme="majorEastAsia" w:hAnsiTheme="minorHAnsi" w:cstheme="minorHAnsi"/>
          <w:szCs w:val="24"/>
        </w:rPr>
        <w:tab/>
        <w:t xml:space="preserve">The Secretary-General expressed gratitude to India for its proposal to host WTSA-24, which she was sure would be a huge success. </w:t>
      </w:r>
    </w:p>
    <w:p w14:paraId="16188E4C" w14:textId="1DD437BA" w:rsidR="00606F98" w:rsidRPr="00606F98" w:rsidRDefault="00606F98" w:rsidP="00D07C2D">
      <w:pPr>
        <w:tabs>
          <w:tab w:val="clear" w:pos="567"/>
          <w:tab w:val="clear" w:pos="1134"/>
          <w:tab w:val="clear" w:pos="1701"/>
          <w:tab w:val="clear" w:pos="2268"/>
          <w:tab w:val="clear" w:pos="2835"/>
        </w:tabs>
        <w:spacing w:before="240" w:after="120"/>
        <w:ind w:left="720" w:hanging="720"/>
        <w:jc w:val="both"/>
        <w:rPr>
          <w:rFonts w:asciiTheme="minorHAnsi" w:hAnsiTheme="minorHAnsi" w:cstheme="minorHAnsi"/>
          <w:b/>
          <w:bCs/>
          <w:szCs w:val="24"/>
        </w:rPr>
      </w:pPr>
      <w:r w:rsidRPr="00606F98">
        <w:rPr>
          <w:rFonts w:asciiTheme="minorHAnsi" w:hAnsiTheme="minorHAnsi" w:cstheme="minorHAnsi"/>
          <w:b/>
          <w:bCs/>
          <w:color w:val="000000"/>
          <w:szCs w:val="24"/>
        </w:rPr>
        <w:t>3</w:t>
      </w:r>
      <w:r w:rsidRPr="00606F98">
        <w:rPr>
          <w:rFonts w:asciiTheme="minorHAnsi" w:hAnsiTheme="minorHAnsi" w:cstheme="minorHAnsi"/>
          <w:b/>
          <w:bCs/>
          <w:color w:val="000000"/>
          <w:szCs w:val="24"/>
        </w:rPr>
        <w:tab/>
        <w:t xml:space="preserve">Preparations for the </w:t>
      </w:r>
      <w:bookmarkStart w:id="10" w:name="_Hlk140134811"/>
      <w:r w:rsidRPr="00606F98">
        <w:rPr>
          <w:rFonts w:asciiTheme="minorHAnsi" w:hAnsiTheme="minorHAnsi" w:cstheme="minorHAnsi"/>
          <w:b/>
          <w:bCs/>
          <w:color w:val="000000"/>
          <w:szCs w:val="24"/>
        </w:rPr>
        <w:t xml:space="preserve">2023 radiocommunication assembly </w:t>
      </w:r>
      <w:bookmarkEnd w:id="10"/>
      <w:r w:rsidRPr="00606F98">
        <w:rPr>
          <w:rFonts w:asciiTheme="minorHAnsi" w:hAnsiTheme="minorHAnsi" w:cstheme="minorHAnsi"/>
          <w:b/>
          <w:bCs/>
          <w:color w:val="000000"/>
          <w:szCs w:val="24"/>
        </w:rPr>
        <w:t xml:space="preserve">and the </w:t>
      </w:r>
      <w:bookmarkStart w:id="11" w:name="_Hlk140134822"/>
      <w:r w:rsidRPr="00606F98">
        <w:rPr>
          <w:rFonts w:asciiTheme="minorHAnsi" w:hAnsiTheme="minorHAnsi" w:cstheme="minorHAnsi"/>
          <w:b/>
          <w:bCs/>
          <w:color w:val="000000"/>
          <w:szCs w:val="24"/>
        </w:rPr>
        <w:t xml:space="preserve">2023 world radiocommunication conference (Document </w:t>
      </w:r>
      <w:hyperlink r:id="rId21" w:history="1">
        <w:r w:rsidRPr="00606F98">
          <w:rPr>
            <w:rStyle w:val="Hyperlink"/>
            <w:rFonts w:asciiTheme="minorHAnsi" w:hAnsiTheme="minorHAnsi" w:cstheme="minorHAnsi"/>
            <w:b/>
            <w:bCs/>
            <w:szCs w:val="24"/>
          </w:rPr>
          <w:t>C23/31</w:t>
        </w:r>
      </w:hyperlink>
      <w:r w:rsidRPr="00606F98">
        <w:rPr>
          <w:rFonts w:asciiTheme="minorHAnsi" w:hAnsiTheme="minorHAnsi" w:cstheme="minorHAnsi"/>
          <w:b/>
          <w:bCs/>
          <w:color w:val="000000"/>
          <w:szCs w:val="24"/>
        </w:rPr>
        <w:t>)</w:t>
      </w:r>
      <w:r w:rsidRPr="00606F98">
        <w:rPr>
          <w:rFonts w:asciiTheme="minorHAnsi" w:hAnsiTheme="minorHAnsi" w:cstheme="minorHAnsi"/>
          <w:b/>
          <w:bCs/>
          <w:szCs w:val="24"/>
        </w:rPr>
        <w:t xml:space="preserve"> </w:t>
      </w:r>
    </w:p>
    <w:bookmarkEnd w:id="11"/>
    <w:p w14:paraId="4717C9C8" w14:textId="2DD4FA83" w:rsidR="00606F98" w:rsidRPr="00606F98" w:rsidRDefault="00606F98" w:rsidP="00606F98">
      <w:pPr>
        <w:tabs>
          <w:tab w:val="clear" w:pos="567"/>
          <w:tab w:val="clear" w:pos="1134"/>
          <w:tab w:val="clear" w:pos="1701"/>
          <w:tab w:val="clear" w:pos="2268"/>
          <w:tab w:val="clear" w:pos="2835"/>
        </w:tabs>
        <w:spacing w:after="120"/>
        <w:jc w:val="both"/>
        <w:rPr>
          <w:rFonts w:asciiTheme="minorHAnsi" w:hAnsiTheme="minorHAnsi" w:cstheme="minorHAnsi"/>
          <w:szCs w:val="24"/>
          <w:shd w:val="clear" w:color="auto" w:fill="FFFFFF"/>
        </w:rPr>
      </w:pPr>
      <w:r w:rsidRPr="00606F98">
        <w:rPr>
          <w:rFonts w:asciiTheme="minorHAnsi" w:hAnsiTheme="minorHAnsi" w:cstheme="minorHAnsi"/>
          <w:szCs w:val="24"/>
          <w:shd w:val="clear" w:color="auto" w:fill="FFFFFF"/>
        </w:rPr>
        <w:t>3.1</w:t>
      </w:r>
      <w:r w:rsidRPr="00606F98">
        <w:rPr>
          <w:rFonts w:asciiTheme="minorHAnsi" w:hAnsiTheme="minorHAnsi" w:cstheme="minorHAnsi"/>
          <w:szCs w:val="24"/>
          <w:shd w:val="clear" w:color="auto" w:fill="FFFFFF"/>
        </w:rPr>
        <w:tab/>
        <w:t>The Deputy to the Director of BR introduced Document C23/31, which reported on the ongoing preparations for the Radiocommunication Assembly (RA-23), which would be held in Dubai, United Arab Emirates, from 13 to 17 November 2023, followed directly by the World Radiocommunication Conference (WRC-23) from 20 November</w:t>
      </w:r>
      <w:r w:rsidRPr="00606F98">
        <w:rPr>
          <w:rFonts w:asciiTheme="minorHAnsi" w:hAnsiTheme="minorHAnsi" w:cstheme="minorHAnsi"/>
          <w:szCs w:val="24"/>
          <w:shd w:val="clear" w:color="auto" w:fill="FFFFFF"/>
        </w:rPr>
        <w:softHyphen/>
      </w:r>
      <w:r w:rsidRPr="00606F98">
        <w:rPr>
          <w:rFonts w:asciiTheme="minorHAnsi" w:hAnsiTheme="minorHAnsi" w:cstheme="minorHAnsi"/>
          <w:szCs w:val="24"/>
          <w:shd w:val="clear" w:color="auto" w:fill="FFFFFF"/>
        </w:rPr>
        <w:softHyphen/>
        <w:t xml:space="preserve"> to 15 December 2023 and the first Conference Preparatory Meeting for WRC-27. Since the Plenipotentiary Conference (Bucharest, 2022), ITU had conducted two site visits to Dubai to coordinate planning.</w:t>
      </w:r>
    </w:p>
    <w:p w14:paraId="76A4E521" w14:textId="1F05E6F9" w:rsidR="00606F98" w:rsidRDefault="00606F98" w:rsidP="00A66CF1">
      <w:pPr>
        <w:tabs>
          <w:tab w:val="clear" w:pos="567"/>
          <w:tab w:val="clear" w:pos="1134"/>
          <w:tab w:val="clear" w:pos="1701"/>
          <w:tab w:val="clear" w:pos="2268"/>
          <w:tab w:val="clear" w:pos="2835"/>
        </w:tabs>
        <w:spacing w:after="120"/>
        <w:rPr>
          <w:rFonts w:asciiTheme="minorHAnsi" w:hAnsiTheme="minorHAnsi" w:cstheme="minorHAnsi"/>
          <w:szCs w:val="24"/>
        </w:rPr>
      </w:pPr>
      <w:r w:rsidRPr="00606F98">
        <w:rPr>
          <w:rFonts w:asciiTheme="minorHAnsi" w:hAnsiTheme="minorHAnsi" w:cstheme="minorHAnsi"/>
          <w:szCs w:val="24"/>
          <w:shd w:val="clear" w:color="auto" w:fill="FFFFFF"/>
        </w:rPr>
        <w:t>3.2</w:t>
      </w:r>
      <w:r w:rsidRPr="00606F98">
        <w:rPr>
          <w:rFonts w:asciiTheme="minorHAnsi" w:hAnsiTheme="minorHAnsi" w:cstheme="minorHAnsi"/>
          <w:szCs w:val="24"/>
          <w:shd w:val="clear" w:color="auto" w:fill="FFFFFF"/>
        </w:rPr>
        <w:tab/>
        <w:t xml:space="preserve">Mr Majed Sultan Al </w:t>
      </w:r>
      <w:proofErr w:type="spellStart"/>
      <w:r w:rsidRPr="00606F98">
        <w:rPr>
          <w:rFonts w:asciiTheme="minorHAnsi" w:hAnsiTheme="minorHAnsi" w:cstheme="minorHAnsi"/>
          <w:szCs w:val="24"/>
          <w:shd w:val="clear" w:color="auto" w:fill="FFFFFF"/>
        </w:rPr>
        <w:t>Mesmar</w:t>
      </w:r>
      <w:proofErr w:type="spellEnd"/>
      <w:r w:rsidRPr="00606F98">
        <w:rPr>
          <w:rFonts w:asciiTheme="minorHAnsi" w:hAnsiTheme="minorHAnsi" w:cstheme="minorHAnsi"/>
          <w:szCs w:val="24"/>
          <w:shd w:val="clear" w:color="auto" w:fill="FFFFFF"/>
        </w:rPr>
        <w:t>, Director General of the United Arab Emirates Telecommunications and Digital Government Regulatory Authority (TDRA),</w:t>
      </w:r>
      <w:r w:rsidRPr="00606F98">
        <w:rPr>
          <w:rFonts w:asciiTheme="minorHAnsi" w:hAnsiTheme="minorHAnsi" w:cstheme="minorHAnsi"/>
          <w:b/>
          <w:bCs/>
          <w:szCs w:val="24"/>
          <w:shd w:val="clear" w:color="auto" w:fill="FFFFFF"/>
        </w:rPr>
        <w:t xml:space="preserve"> </w:t>
      </w:r>
      <w:r w:rsidRPr="00606F98">
        <w:rPr>
          <w:rFonts w:asciiTheme="minorHAnsi" w:hAnsiTheme="minorHAnsi" w:cstheme="minorHAnsi"/>
          <w:szCs w:val="24"/>
          <w:shd w:val="clear" w:color="auto" w:fill="FFFFFF"/>
        </w:rPr>
        <w:t xml:space="preserve">gave the </w:t>
      </w:r>
      <w:r w:rsidRPr="00D07C2D">
        <w:rPr>
          <w:rFonts w:asciiTheme="minorHAnsi" w:hAnsiTheme="minorHAnsi" w:cstheme="minorHAnsi"/>
          <w:spacing w:val="-4"/>
          <w:szCs w:val="24"/>
          <w:shd w:val="clear" w:color="auto" w:fill="FFFFFF"/>
        </w:rPr>
        <w:t>statement available at:</w:t>
      </w:r>
      <w:r w:rsidRPr="00606F98">
        <w:rPr>
          <w:rFonts w:asciiTheme="minorHAnsi" w:hAnsiTheme="minorHAnsi" w:cstheme="minorHAnsi"/>
          <w:szCs w:val="24"/>
          <w:shd w:val="clear" w:color="auto" w:fill="FFFFFF"/>
        </w:rPr>
        <w:t xml:space="preserve"> </w:t>
      </w:r>
      <w:hyperlink r:id="rId22" w:history="1">
        <w:r w:rsidR="00B178FB" w:rsidRPr="00402589">
          <w:rPr>
            <w:rStyle w:val="Hyperlink"/>
            <w:rFonts w:asciiTheme="minorHAnsi" w:hAnsiTheme="minorHAnsi" w:cstheme="minorHAnsi"/>
            <w:szCs w:val="24"/>
            <w:shd w:val="clear" w:color="auto" w:fill="FFFFFF"/>
          </w:rPr>
          <w:t>http://council.itu.int/2023/wp-content/uploads/sites/2/2023/08/Speech-Direc</w:t>
        </w:r>
        <w:r w:rsidR="00B178FB" w:rsidRPr="00402589">
          <w:rPr>
            <w:rStyle w:val="Hyperlink"/>
            <w:rFonts w:asciiTheme="minorHAnsi" w:hAnsiTheme="minorHAnsi" w:cstheme="minorHAnsi"/>
            <w:szCs w:val="24"/>
            <w:shd w:val="clear" w:color="auto" w:fill="FFFFFF"/>
          </w:rPr>
          <w:t>t</w:t>
        </w:r>
        <w:r w:rsidR="00B178FB" w:rsidRPr="00402589">
          <w:rPr>
            <w:rStyle w:val="Hyperlink"/>
            <w:rFonts w:asciiTheme="minorHAnsi" w:hAnsiTheme="minorHAnsi" w:cstheme="minorHAnsi"/>
            <w:szCs w:val="24"/>
            <w:shd w:val="clear" w:color="auto" w:fill="FFFFFF"/>
          </w:rPr>
          <w:t>or-General-Majed-Sultan-Al-Mesmar-UAE.pdf</w:t>
        </w:r>
      </w:hyperlink>
      <w:r w:rsidR="00D07C2D">
        <w:rPr>
          <w:rFonts w:asciiTheme="minorHAnsi" w:hAnsiTheme="minorHAnsi" w:cstheme="minorHAnsi"/>
          <w:szCs w:val="24"/>
          <w:shd w:val="clear" w:color="auto" w:fill="FFFFFF"/>
        </w:rPr>
        <w:t xml:space="preserve">. </w:t>
      </w:r>
      <w:r w:rsidRPr="00606F98">
        <w:rPr>
          <w:rFonts w:asciiTheme="minorHAnsi" w:hAnsiTheme="minorHAnsi" w:cstheme="minorHAnsi"/>
          <w:szCs w:val="24"/>
          <w:shd w:val="clear" w:color="auto" w:fill="FFFFFF"/>
        </w:rPr>
        <w:t>His statement was accompanied by a</w:t>
      </w:r>
      <w:r w:rsidRPr="00606F98">
        <w:rPr>
          <w:rFonts w:asciiTheme="minorHAnsi" w:hAnsiTheme="minorHAnsi" w:cstheme="minorHAnsi"/>
          <w:szCs w:val="24"/>
        </w:rPr>
        <w:t xml:space="preserve"> video presentation showcasing the venue and preparations for WRC-23.</w:t>
      </w:r>
    </w:p>
    <w:p w14:paraId="2EF71D46" w14:textId="362F6053" w:rsidR="00606F98" w:rsidRPr="00606F98" w:rsidRDefault="00606F98" w:rsidP="00606F98">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606F98">
        <w:rPr>
          <w:rFonts w:asciiTheme="minorHAnsi" w:hAnsiTheme="minorHAnsi" w:cstheme="minorHAnsi"/>
          <w:szCs w:val="24"/>
        </w:rPr>
        <w:t>3.3</w:t>
      </w:r>
      <w:r w:rsidRPr="00606F98">
        <w:rPr>
          <w:rFonts w:asciiTheme="minorHAnsi" w:hAnsiTheme="minorHAnsi" w:cstheme="minorHAnsi"/>
          <w:szCs w:val="24"/>
        </w:rPr>
        <w:tab/>
        <w:t xml:space="preserve">Several councillors took the floor to thank the Government of the United Arab Emirates for its preparations and to wish it every success in hosting WRC-23. One councillor said that he hoped that the chairmen and vice-chairmen of WRC-23 committees would be elected </w:t>
      </w:r>
      <w:proofErr w:type="gramStart"/>
      <w:r w:rsidRPr="00606F98">
        <w:rPr>
          <w:rFonts w:asciiTheme="minorHAnsi" w:hAnsiTheme="minorHAnsi" w:cstheme="minorHAnsi"/>
          <w:szCs w:val="24"/>
        </w:rPr>
        <w:t>on the basis of</w:t>
      </w:r>
      <w:proofErr w:type="gramEnd"/>
      <w:r w:rsidRPr="00606F98">
        <w:rPr>
          <w:rFonts w:asciiTheme="minorHAnsi" w:hAnsiTheme="minorHAnsi" w:cstheme="minorHAnsi"/>
          <w:szCs w:val="24"/>
        </w:rPr>
        <w:t xml:space="preserve"> balanced geographical distribution.</w:t>
      </w:r>
    </w:p>
    <w:p w14:paraId="592ACAB0" w14:textId="77777777" w:rsidR="00606F98" w:rsidRPr="00606F98" w:rsidRDefault="00606F98" w:rsidP="00606F98">
      <w:pPr>
        <w:tabs>
          <w:tab w:val="clear" w:pos="567"/>
          <w:tab w:val="clear" w:pos="1134"/>
          <w:tab w:val="clear" w:pos="1701"/>
          <w:tab w:val="clear" w:pos="2268"/>
          <w:tab w:val="clear" w:pos="2835"/>
        </w:tabs>
        <w:spacing w:after="120"/>
        <w:jc w:val="both"/>
        <w:rPr>
          <w:rFonts w:asciiTheme="minorHAnsi" w:eastAsiaTheme="majorEastAsia" w:hAnsiTheme="minorHAnsi" w:cstheme="minorHAnsi"/>
          <w:bCs/>
          <w:szCs w:val="24"/>
        </w:rPr>
      </w:pPr>
      <w:r w:rsidRPr="00606F98">
        <w:rPr>
          <w:rFonts w:asciiTheme="minorHAnsi" w:hAnsiTheme="minorHAnsi" w:cstheme="minorHAnsi"/>
          <w:szCs w:val="24"/>
        </w:rPr>
        <w:lastRenderedPageBreak/>
        <w:t>3.4</w:t>
      </w:r>
      <w:r w:rsidRPr="00606F98">
        <w:rPr>
          <w:rFonts w:asciiTheme="minorHAnsi" w:hAnsiTheme="minorHAnsi" w:cstheme="minorHAnsi"/>
          <w:szCs w:val="24"/>
        </w:rPr>
        <w:tab/>
        <w:t xml:space="preserve">The Council </w:t>
      </w:r>
      <w:r w:rsidRPr="00606F98">
        <w:rPr>
          <w:rFonts w:asciiTheme="minorHAnsi" w:hAnsiTheme="minorHAnsi" w:cstheme="minorHAnsi"/>
          <w:b/>
          <w:bCs/>
          <w:szCs w:val="24"/>
        </w:rPr>
        <w:t xml:space="preserve">noted </w:t>
      </w:r>
      <w:r w:rsidRPr="00606F98">
        <w:rPr>
          <w:rFonts w:asciiTheme="minorHAnsi" w:hAnsiTheme="minorHAnsi" w:cstheme="minorHAnsi"/>
          <w:szCs w:val="24"/>
        </w:rPr>
        <w:t xml:space="preserve">Document C23/31 and </w:t>
      </w:r>
      <w:r w:rsidRPr="00606F98">
        <w:rPr>
          <w:rFonts w:asciiTheme="minorHAnsi" w:eastAsiaTheme="majorEastAsia" w:hAnsiTheme="minorHAnsi" w:cstheme="minorHAnsi"/>
          <w:szCs w:val="24"/>
        </w:rPr>
        <w:t>the</w:t>
      </w:r>
      <w:r w:rsidRPr="00606F98">
        <w:rPr>
          <w:rFonts w:asciiTheme="minorHAnsi" w:eastAsiaTheme="majorEastAsia" w:hAnsiTheme="minorHAnsi" w:cstheme="minorHAnsi"/>
          <w:bCs/>
          <w:szCs w:val="24"/>
        </w:rPr>
        <w:t xml:space="preserve"> progress of preparations for RA-23 and WRC-23.</w:t>
      </w:r>
    </w:p>
    <w:p w14:paraId="59AEADFC" w14:textId="77777777" w:rsidR="00606F98" w:rsidRPr="00606F98" w:rsidRDefault="00606F98" w:rsidP="00606F98">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606F98">
        <w:rPr>
          <w:rFonts w:asciiTheme="minorHAnsi" w:hAnsiTheme="minorHAnsi" w:cstheme="minorHAnsi"/>
          <w:szCs w:val="24"/>
        </w:rPr>
        <w:t>3.5</w:t>
      </w:r>
      <w:r w:rsidRPr="00606F98">
        <w:rPr>
          <w:rFonts w:asciiTheme="minorHAnsi" w:hAnsiTheme="minorHAnsi" w:cstheme="minorHAnsi"/>
          <w:szCs w:val="24"/>
        </w:rPr>
        <w:tab/>
        <w:t>The Director of BR thanked the United Arab Emirates for its preparations and said that the excellent facilities would contribute to the success of WRC-23.</w:t>
      </w:r>
    </w:p>
    <w:p w14:paraId="1D55738B" w14:textId="77777777" w:rsidR="00606F98" w:rsidRPr="00606F98" w:rsidRDefault="00606F98" w:rsidP="00606F98">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606F98">
        <w:rPr>
          <w:rFonts w:asciiTheme="minorHAnsi" w:hAnsiTheme="minorHAnsi" w:cstheme="minorHAnsi"/>
          <w:szCs w:val="24"/>
        </w:rPr>
        <w:t>3.6</w:t>
      </w:r>
      <w:r w:rsidRPr="00606F98">
        <w:rPr>
          <w:rFonts w:asciiTheme="minorHAnsi" w:hAnsiTheme="minorHAnsi" w:cstheme="minorHAnsi"/>
          <w:szCs w:val="24"/>
        </w:rPr>
        <w:tab/>
      </w:r>
      <w:r w:rsidRPr="00D07C2D">
        <w:rPr>
          <w:rFonts w:asciiTheme="minorHAnsi" w:hAnsiTheme="minorHAnsi" w:cstheme="minorHAnsi"/>
          <w:spacing w:val="2"/>
          <w:szCs w:val="24"/>
        </w:rPr>
        <w:t>The Secretary-General also expressed appreciation to the United Arab Emirates.</w:t>
      </w:r>
      <w:r w:rsidRPr="00606F98">
        <w:rPr>
          <w:rFonts w:asciiTheme="minorHAnsi" w:hAnsiTheme="minorHAnsi" w:cstheme="minorHAnsi"/>
          <w:szCs w:val="24"/>
        </w:rPr>
        <w:t xml:space="preserve"> WRC-23 was a moment of major technological significance four years in the making and achieving the ITU’s strategic goals would depend on the radiocommunication services to be discussed there.</w:t>
      </w:r>
    </w:p>
    <w:p w14:paraId="723E4A8C" w14:textId="072F4811" w:rsidR="00606F98" w:rsidRPr="00606F98" w:rsidRDefault="00606F98" w:rsidP="00D07C2D">
      <w:pPr>
        <w:tabs>
          <w:tab w:val="clear" w:pos="567"/>
          <w:tab w:val="clear" w:pos="1134"/>
          <w:tab w:val="clear" w:pos="1701"/>
          <w:tab w:val="clear" w:pos="2268"/>
          <w:tab w:val="clear" w:pos="2835"/>
        </w:tabs>
        <w:spacing w:before="240" w:after="120"/>
        <w:ind w:left="720" w:hanging="720"/>
        <w:jc w:val="both"/>
        <w:rPr>
          <w:rFonts w:asciiTheme="minorHAnsi" w:hAnsiTheme="minorHAnsi" w:cstheme="minorHAnsi"/>
          <w:b/>
          <w:bCs/>
          <w:color w:val="000000"/>
          <w:szCs w:val="24"/>
        </w:rPr>
      </w:pPr>
      <w:r w:rsidRPr="00606F98">
        <w:rPr>
          <w:rFonts w:asciiTheme="minorHAnsi" w:hAnsiTheme="minorHAnsi" w:cstheme="minorHAnsi"/>
          <w:b/>
          <w:bCs/>
          <w:color w:val="000000"/>
          <w:szCs w:val="24"/>
        </w:rPr>
        <w:t>4</w:t>
      </w:r>
      <w:r w:rsidRPr="00606F98">
        <w:rPr>
          <w:rFonts w:asciiTheme="minorHAnsi" w:hAnsiTheme="minorHAnsi" w:cstheme="minorHAnsi"/>
          <w:b/>
          <w:bCs/>
          <w:color w:val="000000"/>
          <w:szCs w:val="24"/>
        </w:rPr>
        <w:tab/>
        <w:t xml:space="preserve">Transfer of the area office from </w:t>
      </w:r>
      <w:bookmarkStart w:id="12" w:name="_Hlk140151125"/>
      <w:r w:rsidRPr="00606F98">
        <w:rPr>
          <w:rFonts w:asciiTheme="minorHAnsi" w:hAnsiTheme="minorHAnsi" w:cstheme="minorHAnsi"/>
          <w:b/>
          <w:bCs/>
          <w:color w:val="000000"/>
          <w:szCs w:val="24"/>
        </w:rPr>
        <w:t xml:space="preserve">Tegucigalpa to Panama City </w:t>
      </w:r>
      <w:bookmarkEnd w:id="12"/>
      <w:r w:rsidRPr="00606F98">
        <w:rPr>
          <w:rFonts w:asciiTheme="minorHAnsi" w:hAnsiTheme="minorHAnsi" w:cstheme="minorHAnsi"/>
          <w:b/>
          <w:bCs/>
          <w:color w:val="000000"/>
          <w:szCs w:val="24"/>
        </w:rPr>
        <w:t>(Documents </w:t>
      </w:r>
      <w:hyperlink r:id="rId23" w:history="1">
        <w:r w:rsidRPr="00606F98">
          <w:rPr>
            <w:rStyle w:val="Hyperlink"/>
            <w:rFonts w:asciiTheme="minorHAnsi" w:hAnsiTheme="minorHAnsi" w:cstheme="minorHAnsi"/>
            <w:b/>
            <w:bCs/>
            <w:szCs w:val="24"/>
          </w:rPr>
          <w:t>C23/64</w:t>
        </w:r>
      </w:hyperlink>
      <w:r w:rsidRPr="00606F98">
        <w:rPr>
          <w:rFonts w:asciiTheme="minorHAnsi" w:hAnsiTheme="minorHAnsi" w:cstheme="minorHAnsi"/>
          <w:b/>
          <w:bCs/>
          <w:color w:val="000000"/>
          <w:szCs w:val="24"/>
        </w:rPr>
        <w:t xml:space="preserve"> and </w:t>
      </w:r>
      <w:hyperlink r:id="rId24" w:history="1">
        <w:r w:rsidRPr="00606F98">
          <w:rPr>
            <w:rStyle w:val="Hyperlink"/>
            <w:rFonts w:asciiTheme="minorHAnsi" w:hAnsiTheme="minorHAnsi" w:cstheme="minorHAnsi"/>
            <w:b/>
            <w:bCs/>
            <w:szCs w:val="24"/>
          </w:rPr>
          <w:t>C23/65</w:t>
        </w:r>
      </w:hyperlink>
      <w:r w:rsidRPr="00606F98">
        <w:rPr>
          <w:rFonts w:asciiTheme="minorHAnsi" w:hAnsiTheme="minorHAnsi" w:cstheme="minorHAnsi"/>
          <w:b/>
          <w:bCs/>
          <w:color w:val="000000"/>
          <w:szCs w:val="24"/>
        </w:rPr>
        <w:t>)</w:t>
      </w:r>
    </w:p>
    <w:p w14:paraId="5ABEDFC2" w14:textId="77777777" w:rsidR="00606F98" w:rsidRPr="00606F98" w:rsidRDefault="00606F98" w:rsidP="00606F98">
      <w:pPr>
        <w:tabs>
          <w:tab w:val="clear" w:pos="567"/>
          <w:tab w:val="clear" w:pos="1134"/>
          <w:tab w:val="clear" w:pos="1701"/>
          <w:tab w:val="clear" w:pos="2268"/>
          <w:tab w:val="clear" w:pos="2835"/>
        </w:tabs>
        <w:spacing w:after="120"/>
        <w:jc w:val="both"/>
        <w:rPr>
          <w:rFonts w:asciiTheme="minorHAnsi" w:eastAsiaTheme="majorEastAsia" w:hAnsiTheme="minorHAnsi" w:cstheme="minorHAnsi"/>
          <w:szCs w:val="24"/>
        </w:rPr>
      </w:pPr>
      <w:r w:rsidRPr="00606F98">
        <w:rPr>
          <w:rFonts w:asciiTheme="minorHAnsi" w:eastAsiaTheme="majorEastAsia" w:hAnsiTheme="minorHAnsi" w:cstheme="minorHAnsi"/>
          <w:szCs w:val="24"/>
        </w:rPr>
        <w:t>4.1</w:t>
      </w:r>
      <w:r w:rsidRPr="00606F98">
        <w:rPr>
          <w:rFonts w:asciiTheme="minorHAnsi" w:eastAsiaTheme="majorEastAsia" w:hAnsiTheme="minorHAnsi" w:cstheme="minorHAnsi"/>
          <w:szCs w:val="24"/>
        </w:rPr>
        <w:tab/>
      </w:r>
      <w:bookmarkStart w:id="13" w:name="_Hlk141113862"/>
      <w:r w:rsidRPr="00606F98">
        <w:rPr>
          <w:rFonts w:asciiTheme="minorHAnsi" w:eastAsiaTheme="majorEastAsia" w:hAnsiTheme="minorHAnsi" w:cstheme="minorHAnsi"/>
          <w:szCs w:val="24"/>
        </w:rPr>
        <w:t xml:space="preserve">Mr </w:t>
      </w:r>
      <w:proofErr w:type="spellStart"/>
      <w:r w:rsidRPr="00606F98">
        <w:rPr>
          <w:rFonts w:asciiTheme="minorHAnsi" w:eastAsiaTheme="majorEastAsia" w:hAnsiTheme="minorHAnsi" w:cstheme="minorHAnsi"/>
          <w:szCs w:val="24"/>
        </w:rPr>
        <w:t>Hildeman</w:t>
      </w:r>
      <w:proofErr w:type="spellEnd"/>
      <w:r w:rsidRPr="00606F98">
        <w:rPr>
          <w:rFonts w:asciiTheme="minorHAnsi" w:eastAsiaTheme="majorEastAsia" w:hAnsiTheme="minorHAnsi" w:cstheme="minorHAnsi"/>
          <w:szCs w:val="24"/>
        </w:rPr>
        <w:t xml:space="preserve"> Rangel, National Director of Telecommunications, ASEP (Panama)</w:t>
      </w:r>
      <w:r w:rsidRPr="00606F98" w:rsidDel="00C27BD1">
        <w:rPr>
          <w:rFonts w:asciiTheme="minorHAnsi" w:eastAsiaTheme="majorEastAsia" w:hAnsiTheme="minorHAnsi" w:cstheme="minorHAnsi"/>
          <w:szCs w:val="24"/>
        </w:rPr>
        <w:t xml:space="preserve"> </w:t>
      </w:r>
      <w:bookmarkEnd w:id="13"/>
      <w:r w:rsidRPr="00606F98">
        <w:rPr>
          <w:rFonts w:asciiTheme="minorHAnsi" w:eastAsiaTheme="majorEastAsia" w:hAnsiTheme="minorHAnsi" w:cstheme="minorHAnsi"/>
          <w:szCs w:val="24"/>
        </w:rPr>
        <w:t>introduced Document C23/64, which explained in detail why it would be appropriate to transfer the ITU area office from Tegucigalpa, Honduras, to Panama City. He thanked all members of the</w:t>
      </w:r>
      <w:r w:rsidRPr="00606F98">
        <w:rPr>
          <w:rFonts w:asciiTheme="minorHAnsi" w:hAnsiTheme="minorHAnsi" w:cstheme="minorHAnsi"/>
          <w:szCs w:val="24"/>
        </w:rPr>
        <w:t xml:space="preserve"> </w:t>
      </w:r>
      <w:r w:rsidRPr="00606F98">
        <w:rPr>
          <w:rFonts w:asciiTheme="minorHAnsi" w:eastAsiaTheme="majorEastAsia" w:hAnsiTheme="minorHAnsi" w:cstheme="minorHAnsi"/>
          <w:szCs w:val="24"/>
        </w:rPr>
        <w:t>Inter</w:t>
      </w:r>
      <w:r w:rsidRPr="00606F98">
        <w:rPr>
          <w:rFonts w:ascii="Cambria Math" w:eastAsiaTheme="majorEastAsia" w:hAnsi="Cambria Math" w:cs="Cambria Math"/>
          <w:szCs w:val="24"/>
        </w:rPr>
        <w:t>‑</w:t>
      </w:r>
      <w:r w:rsidRPr="00606F98">
        <w:rPr>
          <w:rFonts w:asciiTheme="minorHAnsi" w:eastAsiaTheme="majorEastAsia" w:hAnsiTheme="minorHAnsi" w:cstheme="minorHAnsi"/>
          <w:szCs w:val="24"/>
        </w:rPr>
        <w:t>American Telecommunication Commission (CITEL),</w:t>
      </w:r>
      <w:r w:rsidRPr="00606F98">
        <w:rPr>
          <w:rFonts w:asciiTheme="minorHAnsi" w:eastAsiaTheme="majorEastAsia" w:hAnsiTheme="minorHAnsi" w:cstheme="minorHAnsi"/>
          <w:b/>
          <w:bCs/>
          <w:szCs w:val="24"/>
        </w:rPr>
        <w:t xml:space="preserve"> </w:t>
      </w:r>
      <w:r w:rsidRPr="00606F98">
        <w:rPr>
          <w:rFonts w:asciiTheme="minorHAnsi" w:eastAsiaTheme="majorEastAsia" w:hAnsiTheme="minorHAnsi" w:cstheme="minorHAnsi"/>
          <w:szCs w:val="24"/>
        </w:rPr>
        <w:t>particularly Honduras, for supporting that initiative and said that the transfer would promote the development of the telecommunication sector in Panama and in countries across the region. He thanked Honduras for its work as the regional centre for telecommunications up to that point. His statement was accompanied by a video extolling the beauty of Panama.</w:t>
      </w:r>
    </w:p>
    <w:p w14:paraId="679AFBE7" w14:textId="77777777" w:rsidR="00606F98" w:rsidRPr="00606F98" w:rsidRDefault="00606F98" w:rsidP="00606F98">
      <w:pPr>
        <w:tabs>
          <w:tab w:val="clear" w:pos="567"/>
          <w:tab w:val="clear" w:pos="1134"/>
          <w:tab w:val="clear" w:pos="1701"/>
          <w:tab w:val="clear" w:pos="2268"/>
          <w:tab w:val="clear" w:pos="2835"/>
        </w:tabs>
        <w:spacing w:after="120"/>
        <w:jc w:val="both"/>
        <w:rPr>
          <w:rFonts w:asciiTheme="minorHAnsi" w:eastAsiaTheme="majorEastAsia" w:hAnsiTheme="minorHAnsi" w:cstheme="minorHAnsi"/>
          <w:szCs w:val="24"/>
        </w:rPr>
      </w:pPr>
      <w:r w:rsidRPr="00606F98">
        <w:rPr>
          <w:rFonts w:asciiTheme="minorHAnsi" w:eastAsiaTheme="majorEastAsia" w:hAnsiTheme="minorHAnsi" w:cstheme="minorHAnsi"/>
          <w:szCs w:val="24"/>
        </w:rPr>
        <w:t>4.2</w:t>
      </w:r>
      <w:r w:rsidRPr="00606F98">
        <w:rPr>
          <w:rFonts w:asciiTheme="minorHAnsi" w:eastAsiaTheme="majorEastAsia" w:hAnsiTheme="minorHAnsi" w:cstheme="minorHAnsi"/>
          <w:szCs w:val="24"/>
        </w:rPr>
        <w:tab/>
        <w:t xml:space="preserve">Ms Claudia Reyes, Head of International and Interinstitutional Relations, CONATEL (Honduras) introduced Document C23/65, which requested the Council to take note of her country’s agreement to the transfer of the ITU area office from Tegucigalpa to Panama City. </w:t>
      </w:r>
    </w:p>
    <w:p w14:paraId="3FBEB25F" w14:textId="77777777" w:rsidR="00606F98" w:rsidRPr="00606F98" w:rsidRDefault="00606F98" w:rsidP="00606F98">
      <w:pPr>
        <w:tabs>
          <w:tab w:val="clear" w:pos="567"/>
          <w:tab w:val="clear" w:pos="1134"/>
          <w:tab w:val="clear" w:pos="1701"/>
          <w:tab w:val="clear" w:pos="2268"/>
          <w:tab w:val="clear" w:pos="2835"/>
        </w:tabs>
        <w:spacing w:after="120"/>
        <w:jc w:val="both"/>
        <w:rPr>
          <w:rFonts w:asciiTheme="minorHAnsi" w:eastAsiaTheme="majorEastAsia" w:hAnsiTheme="minorHAnsi" w:cstheme="minorHAnsi"/>
          <w:szCs w:val="24"/>
        </w:rPr>
      </w:pPr>
      <w:r w:rsidRPr="00606F98">
        <w:rPr>
          <w:rFonts w:asciiTheme="minorHAnsi" w:eastAsiaTheme="majorEastAsia" w:hAnsiTheme="minorHAnsi" w:cstheme="minorHAnsi"/>
          <w:szCs w:val="24"/>
        </w:rPr>
        <w:t>4.3</w:t>
      </w:r>
      <w:r w:rsidRPr="00606F98">
        <w:rPr>
          <w:rFonts w:asciiTheme="minorHAnsi" w:eastAsiaTheme="majorEastAsia" w:hAnsiTheme="minorHAnsi" w:cstheme="minorHAnsi"/>
          <w:szCs w:val="24"/>
        </w:rPr>
        <w:tab/>
        <w:t xml:space="preserve">Councillors took the floor to thank Honduras for having hosted the ITU area office for so long and to welcome its transfer to Panama City. Several councillors stated that the transfer would further strengthen ITU’s regional presence in the Americas and support the implementation of regional initiatives. </w:t>
      </w:r>
    </w:p>
    <w:p w14:paraId="11CDBE1B" w14:textId="033CE1B9" w:rsidR="00606F98" w:rsidRPr="00606F98" w:rsidRDefault="00606F98" w:rsidP="00606F98">
      <w:pPr>
        <w:tabs>
          <w:tab w:val="clear" w:pos="567"/>
          <w:tab w:val="clear" w:pos="1134"/>
          <w:tab w:val="clear" w:pos="1701"/>
          <w:tab w:val="clear" w:pos="2268"/>
          <w:tab w:val="clear" w:pos="2835"/>
        </w:tabs>
        <w:spacing w:after="120"/>
        <w:jc w:val="both"/>
        <w:rPr>
          <w:rFonts w:asciiTheme="minorHAnsi" w:eastAsiaTheme="majorEastAsia" w:hAnsiTheme="minorHAnsi" w:cstheme="minorHAnsi"/>
          <w:szCs w:val="24"/>
        </w:rPr>
      </w:pPr>
      <w:r w:rsidRPr="00606F98">
        <w:rPr>
          <w:rFonts w:asciiTheme="minorHAnsi" w:eastAsiaTheme="majorEastAsia" w:hAnsiTheme="minorHAnsi" w:cstheme="minorHAnsi"/>
          <w:szCs w:val="24"/>
        </w:rPr>
        <w:t>4.4</w:t>
      </w:r>
      <w:r w:rsidRPr="00606F98">
        <w:rPr>
          <w:rFonts w:asciiTheme="minorHAnsi" w:eastAsiaTheme="majorEastAsia" w:hAnsiTheme="minorHAnsi" w:cstheme="minorHAnsi"/>
          <w:szCs w:val="24"/>
        </w:rPr>
        <w:tab/>
        <w:t xml:space="preserve">The Council </w:t>
      </w:r>
      <w:r w:rsidRPr="00606F98">
        <w:rPr>
          <w:rFonts w:asciiTheme="minorHAnsi" w:eastAsiaTheme="majorEastAsia" w:hAnsiTheme="minorHAnsi" w:cstheme="minorHAnsi"/>
          <w:b/>
          <w:bCs/>
          <w:szCs w:val="24"/>
        </w:rPr>
        <w:t>agreed</w:t>
      </w:r>
      <w:r w:rsidRPr="00606F98">
        <w:rPr>
          <w:rFonts w:asciiTheme="minorHAnsi" w:eastAsiaTheme="majorEastAsia" w:hAnsiTheme="minorHAnsi" w:cstheme="minorHAnsi"/>
          <w:szCs w:val="24"/>
        </w:rPr>
        <w:t xml:space="preserve"> to instruct</w:t>
      </w:r>
      <w:r w:rsidRPr="00606F98">
        <w:rPr>
          <w:rFonts w:asciiTheme="minorHAnsi" w:eastAsiaTheme="majorEastAsia" w:hAnsiTheme="minorHAnsi" w:cstheme="minorHAnsi"/>
          <w:b/>
          <w:bCs/>
          <w:szCs w:val="24"/>
        </w:rPr>
        <w:t xml:space="preserve"> </w:t>
      </w:r>
      <w:r w:rsidRPr="00606F98">
        <w:rPr>
          <w:rFonts w:asciiTheme="minorHAnsi" w:eastAsiaTheme="majorEastAsia" w:hAnsiTheme="minorHAnsi" w:cstheme="minorHAnsi"/>
          <w:szCs w:val="24"/>
        </w:rPr>
        <w:t>the ITU General Secretariat to transfer the area office from Tegucigalpa to Panama.</w:t>
      </w:r>
    </w:p>
    <w:p w14:paraId="1D02D240" w14:textId="77777777" w:rsidR="00606F98" w:rsidRPr="00606F98" w:rsidRDefault="00606F98" w:rsidP="00606F98">
      <w:pPr>
        <w:tabs>
          <w:tab w:val="clear" w:pos="567"/>
          <w:tab w:val="clear" w:pos="1134"/>
          <w:tab w:val="clear" w:pos="1701"/>
          <w:tab w:val="clear" w:pos="2268"/>
          <w:tab w:val="clear" w:pos="2835"/>
        </w:tabs>
        <w:spacing w:after="120"/>
        <w:jc w:val="both"/>
        <w:rPr>
          <w:rFonts w:asciiTheme="minorHAnsi" w:eastAsiaTheme="majorEastAsia" w:hAnsiTheme="minorHAnsi" w:cstheme="minorHAnsi"/>
          <w:szCs w:val="24"/>
        </w:rPr>
      </w:pPr>
      <w:r w:rsidRPr="00606F98">
        <w:rPr>
          <w:rFonts w:asciiTheme="minorHAnsi" w:eastAsiaTheme="majorEastAsia" w:hAnsiTheme="minorHAnsi" w:cstheme="minorHAnsi"/>
          <w:szCs w:val="24"/>
        </w:rPr>
        <w:t>4.5</w:t>
      </w:r>
      <w:r w:rsidRPr="00606F98">
        <w:rPr>
          <w:rFonts w:asciiTheme="minorHAnsi" w:eastAsiaTheme="majorEastAsia" w:hAnsiTheme="minorHAnsi" w:cstheme="minorHAnsi"/>
          <w:szCs w:val="24"/>
        </w:rPr>
        <w:tab/>
        <w:t xml:space="preserve">The Secretary-General thanked Honduras for hosting the area office and for its work over the </w:t>
      </w:r>
      <w:proofErr w:type="gramStart"/>
      <w:r w:rsidRPr="00606F98">
        <w:rPr>
          <w:rFonts w:asciiTheme="minorHAnsi" w:eastAsiaTheme="majorEastAsia" w:hAnsiTheme="minorHAnsi" w:cstheme="minorHAnsi"/>
          <w:szCs w:val="24"/>
        </w:rPr>
        <w:t>years, and</w:t>
      </w:r>
      <w:proofErr w:type="gramEnd"/>
      <w:r w:rsidRPr="00606F98">
        <w:rPr>
          <w:rFonts w:asciiTheme="minorHAnsi" w:eastAsiaTheme="majorEastAsia" w:hAnsiTheme="minorHAnsi" w:cstheme="minorHAnsi"/>
          <w:szCs w:val="24"/>
        </w:rPr>
        <w:t xml:space="preserve"> extended her support to Panama. The new area office would be a centre of new ideas for the region and would lead to further interaction with the entire United Nations system, owing to the number of United Nations agency headquarters in Panama.</w:t>
      </w:r>
    </w:p>
    <w:p w14:paraId="16566EB5" w14:textId="03EC32BE" w:rsidR="00A514A4" w:rsidRDefault="00915F63" w:rsidP="00C617E2">
      <w:pPr>
        <w:tabs>
          <w:tab w:val="clear" w:pos="567"/>
          <w:tab w:val="clear" w:pos="1134"/>
          <w:tab w:val="clear" w:pos="1701"/>
          <w:tab w:val="clear" w:pos="2268"/>
          <w:tab w:val="clear" w:pos="2835"/>
          <w:tab w:val="left" w:pos="5812"/>
        </w:tabs>
        <w:overflowPunct/>
        <w:autoSpaceDE/>
        <w:autoSpaceDN/>
        <w:adjustRightInd/>
        <w:spacing w:before="600"/>
        <w:textAlignment w:val="auto"/>
        <w:rPr>
          <w:lang w:val="en-CA"/>
        </w:rPr>
      </w:pPr>
      <w:r w:rsidRPr="00915F63">
        <w:rPr>
          <w:lang w:val="en-CA"/>
        </w:rPr>
        <w:t>The Secretary-General:</w:t>
      </w:r>
      <w:r w:rsidRPr="00915F63">
        <w:rPr>
          <w:lang w:val="en-CA"/>
        </w:rPr>
        <w:tab/>
        <w:t>The Chairman:</w:t>
      </w:r>
      <w:r w:rsidRPr="00915F63">
        <w:rPr>
          <w:lang w:val="en-CA"/>
        </w:rPr>
        <w:br/>
        <w:t>D. BOGDAN-MARTIN</w:t>
      </w:r>
      <w:r w:rsidRPr="00915F63">
        <w:rPr>
          <w:lang w:val="en-CA"/>
        </w:rPr>
        <w:tab/>
        <w:t>C. MARTINEZ</w:t>
      </w:r>
    </w:p>
    <w:p w14:paraId="1A16A7B8" w14:textId="53C2A3F6" w:rsidR="00C617E2" w:rsidRPr="00915F63" w:rsidRDefault="00C617E2" w:rsidP="00C617E2">
      <w:pPr>
        <w:tabs>
          <w:tab w:val="clear" w:pos="567"/>
          <w:tab w:val="clear" w:pos="1134"/>
          <w:tab w:val="clear" w:pos="1701"/>
          <w:tab w:val="clear" w:pos="2268"/>
          <w:tab w:val="clear" w:pos="2835"/>
          <w:tab w:val="left" w:pos="5812"/>
        </w:tabs>
        <w:overflowPunct/>
        <w:autoSpaceDE/>
        <w:autoSpaceDN/>
        <w:adjustRightInd/>
        <w:spacing w:before="480"/>
        <w:jc w:val="center"/>
        <w:textAlignment w:val="auto"/>
        <w:rPr>
          <w:lang w:val="en-CA"/>
        </w:rPr>
      </w:pPr>
      <w:r>
        <w:rPr>
          <w:lang w:val="en-CA"/>
        </w:rPr>
        <w:t>________________</w:t>
      </w:r>
    </w:p>
    <w:sectPr w:rsidR="00C617E2" w:rsidRPr="00915F63" w:rsidSect="00AD3606">
      <w:footerReference w:type="default" r:id="rId25"/>
      <w:headerReference w:type="first" r:id="rId26"/>
      <w:footerReference w:type="first" r:id="rId2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A4D63" w14:textId="77777777" w:rsidR="00A54171" w:rsidRDefault="00A54171">
      <w:r>
        <w:separator/>
      </w:r>
    </w:p>
  </w:endnote>
  <w:endnote w:type="continuationSeparator" w:id="0">
    <w:p w14:paraId="4A51B857" w14:textId="77777777" w:rsidR="00A54171" w:rsidRDefault="00A5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672C9BEE" w:rsidR="00EE49E8" w:rsidRDefault="00C74E7E" w:rsidP="00EE49E8">
          <w:pPr>
            <w:pStyle w:val="Header"/>
            <w:jc w:val="left"/>
            <w:rPr>
              <w:noProof/>
            </w:rPr>
          </w:pPr>
          <w:r>
            <w:rPr>
              <w:noProof/>
            </w:rPr>
            <w:t xml:space="preserve">DPS </w:t>
          </w:r>
          <w:r w:rsidR="00143BBD" w:rsidRPr="00143BBD">
            <w:rPr>
              <w:noProof/>
            </w:rPr>
            <w:t>526723</w:t>
          </w:r>
        </w:p>
      </w:tc>
      <w:tc>
        <w:tcPr>
          <w:tcW w:w="8261" w:type="dxa"/>
        </w:tcPr>
        <w:p w14:paraId="35709C74" w14:textId="479DE47B"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C74E7E">
            <w:rPr>
              <w:bCs/>
            </w:rPr>
            <w:t>10</w:t>
          </w:r>
          <w:r w:rsidR="00143BBD">
            <w:rPr>
              <w:bCs/>
            </w:rPr>
            <w:t>6</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AF392C"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1D47A36E"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C74E7E">
            <w:rPr>
              <w:bCs/>
            </w:rPr>
            <w:t>10</w:t>
          </w:r>
          <w:r w:rsidR="00143BBD">
            <w:rPr>
              <w:bCs/>
            </w:rPr>
            <w:t>6</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1D585" w14:textId="77777777" w:rsidR="00A54171" w:rsidRDefault="00A54171">
      <w:r>
        <w:t>____________________</w:t>
      </w:r>
    </w:p>
  </w:footnote>
  <w:footnote w:type="continuationSeparator" w:id="0">
    <w:p w14:paraId="13CCF145" w14:textId="77777777" w:rsidR="00A54171" w:rsidRDefault="00A54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69A3B20"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10D4"/>
    <w:rsid w:val="00063016"/>
    <w:rsid w:val="00066795"/>
    <w:rsid w:val="00076AF6"/>
    <w:rsid w:val="00085CF2"/>
    <w:rsid w:val="00085E78"/>
    <w:rsid w:val="000B1705"/>
    <w:rsid w:val="000D75B2"/>
    <w:rsid w:val="001121F5"/>
    <w:rsid w:val="001400DC"/>
    <w:rsid w:val="00140CE1"/>
    <w:rsid w:val="00143BBD"/>
    <w:rsid w:val="00146BAF"/>
    <w:rsid w:val="0017539C"/>
    <w:rsid w:val="00175AC2"/>
    <w:rsid w:val="0017609F"/>
    <w:rsid w:val="001A7D1D"/>
    <w:rsid w:val="001B51DD"/>
    <w:rsid w:val="001C628E"/>
    <w:rsid w:val="001E0F7B"/>
    <w:rsid w:val="002119FD"/>
    <w:rsid w:val="002130E0"/>
    <w:rsid w:val="00226DDE"/>
    <w:rsid w:val="00264425"/>
    <w:rsid w:val="00265875"/>
    <w:rsid w:val="0027303B"/>
    <w:rsid w:val="0028109B"/>
    <w:rsid w:val="002A2188"/>
    <w:rsid w:val="002B1F58"/>
    <w:rsid w:val="002C1C7A"/>
    <w:rsid w:val="002C54E2"/>
    <w:rsid w:val="002F6124"/>
    <w:rsid w:val="0030160F"/>
    <w:rsid w:val="00320223"/>
    <w:rsid w:val="00322D0D"/>
    <w:rsid w:val="00361465"/>
    <w:rsid w:val="003877F5"/>
    <w:rsid w:val="003942D4"/>
    <w:rsid w:val="003958A8"/>
    <w:rsid w:val="003C2533"/>
    <w:rsid w:val="003D5A7F"/>
    <w:rsid w:val="0040435A"/>
    <w:rsid w:val="00410155"/>
    <w:rsid w:val="00416A24"/>
    <w:rsid w:val="00431D9E"/>
    <w:rsid w:val="00433CE8"/>
    <w:rsid w:val="00434A5C"/>
    <w:rsid w:val="00451ADD"/>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64FBC"/>
    <w:rsid w:val="005800BC"/>
    <w:rsid w:val="00582442"/>
    <w:rsid w:val="005C11D3"/>
    <w:rsid w:val="005F3269"/>
    <w:rsid w:val="00606F98"/>
    <w:rsid w:val="00623AE3"/>
    <w:rsid w:val="0064737F"/>
    <w:rsid w:val="006535F1"/>
    <w:rsid w:val="0065557D"/>
    <w:rsid w:val="00660D50"/>
    <w:rsid w:val="00661C03"/>
    <w:rsid w:val="00662984"/>
    <w:rsid w:val="006716BB"/>
    <w:rsid w:val="006B1859"/>
    <w:rsid w:val="006B6680"/>
    <w:rsid w:val="006B6DCC"/>
    <w:rsid w:val="00702DEF"/>
    <w:rsid w:val="00706861"/>
    <w:rsid w:val="0075051B"/>
    <w:rsid w:val="00793188"/>
    <w:rsid w:val="00794D34"/>
    <w:rsid w:val="00813E5E"/>
    <w:rsid w:val="0083581B"/>
    <w:rsid w:val="00863874"/>
    <w:rsid w:val="00864AFF"/>
    <w:rsid w:val="00865925"/>
    <w:rsid w:val="008B4A6A"/>
    <w:rsid w:val="008C7E27"/>
    <w:rsid w:val="008F7448"/>
    <w:rsid w:val="0090147A"/>
    <w:rsid w:val="00915F63"/>
    <w:rsid w:val="009173EF"/>
    <w:rsid w:val="00932906"/>
    <w:rsid w:val="00961B0B"/>
    <w:rsid w:val="009B38C3"/>
    <w:rsid w:val="009E17BD"/>
    <w:rsid w:val="009E485A"/>
    <w:rsid w:val="00A04CEC"/>
    <w:rsid w:val="00A27F92"/>
    <w:rsid w:val="00A32257"/>
    <w:rsid w:val="00A36D20"/>
    <w:rsid w:val="00A44716"/>
    <w:rsid w:val="00A514A4"/>
    <w:rsid w:val="00A54171"/>
    <w:rsid w:val="00A55622"/>
    <w:rsid w:val="00A66CF1"/>
    <w:rsid w:val="00A83502"/>
    <w:rsid w:val="00AD15B3"/>
    <w:rsid w:val="00AD3606"/>
    <w:rsid w:val="00AD4A3D"/>
    <w:rsid w:val="00AF392C"/>
    <w:rsid w:val="00AF6E49"/>
    <w:rsid w:val="00B04A67"/>
    <w:rsid w:val="00B0583C"/>
    <w:rsid w:val="00B178FB"/>
    <w:rsid w:val="00B40A81"/>
    <w:rsid w:val="00B44910"/>
    <w:rsid w:val="00B72267"/>
    <w:rsid w:val="00B76EB6"/>
    <w:rsid w:val="00B7737B"/>
    <w:rsid w:val="00B824C8"/>
    <w:rsid w:val="00B84B9D"/>
    <w:rsid w:val="00BC251A"/>
    <w:rsid w:val="00BD032B"/>
    <w:rsid w:val="00BE2640"/>
    <w:rsid w:val="00C01189"/>
    <w:rsid w:val="00C374DE"/>
    <w:rsid w:val="00C45268"/>
    <w:rsid w:val="00C47AD4"/>
    <w:rsid w:val="00C52D81"/>
    <w:rsid w:val="00C55198"/>
    <w:rsid w:val="00C617E2"/>
    <w:rsid w:val="00C74E7E"/>
    <w:rsid w:val="00CA6393"/>
    <w:rsid w:val="00CB18FF"/>
    <w:rsid w:val="00CD0C08"/>
    <w:rsid w:val="00CE03FB"/>
    <w:rsid w:val="00CE3360"/>
    <w:rsid w:val="00CE433C"/>
    <w:rsid w:val="00CF0161"/>
    <w:rsid w:val="00CF33F3"/>
    <w:rsid w:val="00D06183"/>
    <w:rsid w:val="00D07C2D"/>
    <w:rsid w:val="00D22C42"/>
    <w:rsid w:val="00D65041"/>
    <w:rsid w:val="00DB1936"/>
    <w:rsid w:val="00DB384B"/>
    <w:rsid w:val="00DC0545"/>
    <w:rsid w:val="00DF0189"/>
    <w:rsid w:val="00DF2340"/>
    <w:rsid w:val="00E06FD5"/>
    <w:rsid w:val="00E10E80"/>
    <w:rsid w:val="00E124F0"/>
    <w:rsid w:val="00E57D09"/>
    <w:rsid w:val="00E60F04"/>
    <w:rsid w:val="00E65B24"/>
    <w:rsid w:val="00E854E4"/>
    <w:rsid w:val="00E86DBF"/>
    <w:rsid w:val="00EB0D6F"/>
    <w:rsid w:val="00EB2232"/>
    <w:rsid w:val="00EC5337"/>
    <w:rsid w:val="00EE49E8"/>
    <w:rsid w:val="00F16BAB"/>
    <w:rsid w:val="00F2150A"/>
    <w:rsid w:val="00F231D8"/>
    <w:rsid w:val="00F44C00"/>
    <w:rsid w:val="00F46C5F"/>
    <w:rsid w:val="00F632C0"/>
    <w:rsid w:val="00F94A63"/>
    <w:rsid w:val="00FA1C28"/>
    <w:rsid w:val="00FB1279"/>
    <w:rsid w:val="00FB6B76"/>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C617E2"/>
    <w:rPr>
      <w:color w:val="605E5C"/>
      <w:shd w:val="clear" w:color="auto" w:fill="E1DFDD"/>
    </w:rPr>
  </w:style>
  <w:style w:type="character" w:customStyle="1" w:styleId="ui-provider">
    <w:name w:val="ui-provider"/>
    <w:basedOn w:val="DefaultParagraphFont"/>
    <w:rsid w:val="00606F98"/>
  </w:style>
  <w:style w:type="paragraph" w:customStyle="1" w:styleId="paragraph">
    <w:name w:val="paragraph"/>
    <w:basedOn w:val="Normal"/>
    <w:rsid w:val="00606F9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036/en" TargetMode="External"/><Relationship Id="rId13" Type="http://schemas.openxmlformats.org/officeDocument/2006/relationships/hyperlink" Target="https://www.itu.int/md/S23-CL-C-0031/en" TargetMode="External"/><Relationship Id="rId18" Type="http://schemas.openxmlformats.org/officeDocument/2006/relationships/hyperlink" Target="https://www.itu.int/md/S23-CL-C-0072/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S23-CL-C-0031/en" TargetMode="External"/><Relationship Id="rId7" Type="http://schemas.openxmlformats.org/officeDocument/2006/relationships/endnotes" Target="endnotes.xml"/><Relationship Id="rId12" Type="http://schemas.openxmlformats.org/officeDocument/2006/relationships/hyperlink" Target="https://www.itu.int/md/S23-CL-C-0024/en" TargetMode="External"/><Relationship Id="rId17" Type="http://schemas.openxmlformats.org/officeDocument/2006/relationships/hyperlink" Target="https://www.itu.int/md/S23-CL-C-0052/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S23-CL-C-0036/en" TargetMode="External"/><Relationship Id="rId20" Type="http://schemas.openxmlformats.org/officeDocument/2006/relationships/hyperlink" Target="https://www.itu.int/md/S23-CL-C-0024/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090/en" TargetMode="External"/><Relationship Id="rId24" Type="http://schemas.openxmlformats.org/officeDocument/2006/relationships/hyperlink" Target="https://www.itu.int/md/S23-CL-C-0065/en" TargetMode="External"/><Relationship Id="rId5" Type="http://schemas.openxmlformats.org/officeDocument/2006/relationships/webSettings" Target="webSettings.xml"/><Relationship Id="rId15" Type="http://schemas.openxmlformats.org/officeDocument/2006/relationships/hyperlink" Target="https://www.itu.int/md/S23-CL-C-0065/en" TargetMode="External"/><Relationship Id="rId23" Type="http://schemas.openxmlformats.org/officeDocument/2006/relationships/hyperlink" Target="https://www.itu.int/md/S23-CL-C-0064/en" TargetMode="External"/><Relationship Id="rId28" Type="http://schemas.openxmlformats.org/officeDocument/2006/relationships/fontTable" Target="fontTable.xml"/><Relationship Id="rId10" Type="http://schemas.openxmlformats.org/officeDocument/2006/relationships/hyperlink" Target="https://www.itu.int/md/S23-CL-C-0072/en" TargetMode="External"/><Relationship Id="rId19" Type="http://schemas.openxmlformats.org/officeDocument/2006/relationships/hyperlink" Target="https://www.itu.int/md/S23-CL-C-0090/en" TargetMode="External"/><Relationship Id="rId4" Type="http://schemas.openxmlformats.org/officeDocument/2006/relationships/settings" Target="settings.xml"/><Relationship Id="rId9" Type="http://schemas.openxmlformats.org/officeDocument/2006/relationships/hyperlink" Target="https://www.itu.int/md/S23-CL-C-0052/en" TargetMode="External"/><Relationship Id="rId14" Type="http://schemas.openxmlformats.org/officeDocument/2006/relationships/hyperlink" Target="https://www.itu.int/md/S23-CL-C-0064/en" TargetMode="External"/><Relationship Id="rId22" Type="http://schemas.openxmlformats.org/officeDocument/2006/relationships/hyperlink" Target="http://council.itu.int/2023/wp-content/uploads/sites/2/2023/08/Speech-Director-General-Majed-Sultan-Al-Mesmar-UAE.pdf"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1988</Words>
  <Characters>12544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Summary record of the first plenary meeting</vt:lpstr>
    </vt:vector>
  </TitlesOfParts>
  <Manager>General Secretariat - Pool</Manager>
  <Company>International Telecommunication Union (ITU)</Company>
  <LinksUpToDate>false</LinksUpToDate>
  <CharactersWithSpaces>14503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first plenary meeting</dc:title>
  <dc:subject>Council 2023</dc:subject>
  <dc:creator/>
  <cp:keywords>C2023, C23, Council-23</cp:keywords>
  <dc:description/>
  <cp:lastModifiedBy>Xue, Kun</cp:lastModifiedBy>
  <cp:revision>9</cp:revision>
  <cp:lastPrinted>2000-07-18T13:30:00Z</cp:lastPrinted>
  <dcterms:created xsi:type="dcterms:W3CDTF">2023-07-28T13:43:00Z</dcterms:created>
  <dcterms:modified xsi:type="dcterms:W3CDTF">2023-09-01T14:12:00Z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