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B56767" w14:paraId="2592CC74" w14:textId="77777777" w:rsidTr="00D72F49">
        <w:trPr>
          <w:cantSplit/>
          <w:trHeight w:val="23"/>
        </w:trPr>
        <w:tc>
          <w:tcPr>
            <w:tcW w:w="3969" w:type="dxa"/>
            <w:vMerge w:val="restart"/>
            <w:tcMar>
              <w:left w:w="0" w:type="dxa"/>
            </w:tcMar>
          </w:tcPr>
          <w:p w14:paraId="27E56DEB" w14:textId="51A05439" w:rsidR="00D72F49" w:rsidRPr="00B56767" w:rsidRDefault="00D72F49" w:rsidP="006D05F9">
            <w:pPr>
              <w:tabs>
                <w:tab w:val="left" w:pos="851"/>
              </w:tabs>
              <w:spacing w:before="0"/>
              <w:rPr>
                <w:b/>
              </w:rPr>
            </w:pPr>
          </w:p>
        </w:tc>
        <w:tc>
          <w:tcPr>
            <w:tcW w:w="5245" w:type="dxa"/>
          </w:tcPr>
          <w:p w14:paraId="27B6A98A" w14:textId="3986CEA2" w:rsidR="00D72F49" w:rsidRPr="00B56767" w:rsidRDefault="00D72F49" w:rsidP="006D05F9">
            <w:pPr>
              <w:tabs>
                <w:tab w:val="left" w:pos="851"/>
              </w:tabs>
              <w:spacing w:before="0"/>
              <w:jc w:val="right"/>
              <w:rPr>
                <w:b/>
              </w:rPr>
            </w:pPr>
            <w:r w:rsidRPr="00B56767">
              <w:rPr>
                <w:b/>
              </w:rPr>
              <w:t>Document C23/</w:t>
            </w:r>
            <w:r w:rsidR="003B7BDC" w:rsidRPr="00B56767">
              <w:rPr>
                <w:b/>
              </w:rPr>
              <w:t>10</w:t>
            </w:r>
            <w:r w:rsidR="002C15DF" w:rsidRPr="00B56767">
              <w:rPr>
                <w:b/>
              </w:rPr>
              <w:t>9</w:t>
            </w:r>
            <w:r w:rsidRPr="00B56767">
              <w:rPr>
                <w:b/>
              </w:rPr>
              <w:t>-F</w:t>
            </w:r>
          </w:p>
        </w:tc>
      </w:tr>
      <w:tr w:rsidR="00D72F49" w:rsidRPr="00B56767" w14:paraId="41096C77" w14:textId="77777777" w:rsidTr="00D72F49">
        <w:trPr>
          <w:cantSplit/>
        </w:trPr>
        <w:tc>
          <w:tcPr>
            <w:tcW w:w="3969" w:type="dxa"/>
            <w:vMerge/>
          </w:tcPr>
          <w:p w14:paraId="0BBA5643" w14:textId="77777777" w:rsidR="00D72F49" w:rsidRPr="00B56767" w:rsidRDefault="00D72F49" w:rsidP="006D05F9">
            <w:pPr>
              <w:tabs>
                <w:tab w:val="left" w:pos="851"/>
              </w:tabs>
              <w:rPr>
                <w:b/>
              </w:rPr>
            </w:pPr>
          </w:p>
        </w:tc>
        <w:tc>
          <w:tcPr>
            <w:tcW w:w="5245" w:type="dxa"/>
          </w:tcPr>
          <w:p w14:paraId="068BECD5" w14:textId="2FE2A05D" w:rsidR="00D72F49" w:rsidRPr="00B56767" w:rsidRDefault="00684803" w:rsidP="006D05F9">
            <w:pPr>
              <w:tabs>
                <w:tab w:val="left" w:pos="851"/>
              </w:tabs>
              <w:spacing w:before="0"/>
              <w:jc w:val="right"/>
              <w:rPr>
                <w:b/>
              </w:rPr>
            </w:pPr>
            <w:r>
              <w:rPr>
                <w:b/>
              </w:rPr>
              <w:t>6</w:t>
            </w:r>
            <w:r w:rsidR="0049252D">
              <w:rPr>
                <w:b/>
              </w:rPr>
              <w:t xml:space="preserve"> septembre</w:t>
            </w:r>
            <w:r w:rsidR="00D72F49" w:rsidRPr="00B56767">
              <w:rPr>
                <w:b/>
              </w:rPr>
              <w:t xml:space="preserve"> 2023</w:t>
            </w:r>
          </w:p>
        </w:tc>
      </w:tr>
      <w:tr w:rsidR="00D72F49" w:rsidRPr="00B56767" w14:paraId="17E5B988" w14:textId="77777777" w:rsidTr="00D72F49">
        <w:trPr>
          <w:cantSplit/>
          <w:trHeight w:val="23"/>
        </w:trPr>
        <w:tc>
          <w:tcPr>
            <w:tcW w:w="3969" w:type="dxa"/>
            <w:vMerge/>
          </w:tcPr>
          <w:p w14:paraId="2192D6D7" w14:textId="77777777" w:rsidR="00D72F49" w:rsidRPr="00B56767" w:rsidRDefault="00D72F49" w:rsidP="006D05F9">
            <w:pPr>
              <w:tabs>
                <w:tab w:val="left" w:pos="851"/>
              </w:tabs>
              <w:rPr>
                <w:b/>
              </w:rPr>
            </w:pPr>
          </w:p>
        </w:tc>
        <w:tc>
          <w:tcPr>
            <w:tcW w:w="5245" w:type="dxa"/>
          </w:tcPr>
          <w:p w14:paraId="1948C622" w14:textId="77777777" w:rsidR="00D72F49" w:rsidRPr="00B56767" w:rsidRDefault="00D72F49" w:rsidP="006D05F9">
            <w:pPr>
              <w:tabs>
                <w:tab w:val="left" w:pos="851"/>
              </w:tabs>
              <w:spacing w:before="0"/>
              <w:jc w:val="right"/>
              <w:rPr>
                <w:b/>
              </w:rPr>
            </w:pPr>
            <w:r w:rsidRPr="00B56767">
              <w:rPr>
                <w:b/>
              </w:rPr>
              <w:t>Original: anglais</w:t>
            </w:r>
          </w:p>
        </w:tc>
      </w:tr>
      <w:tr w:rsidR="00D72F49" w:rsidRPr="00B56767" w14:paraId="53623BEE" w14:textId="77777777" w:rsidTr="00D72F49">
        <w:trPr>
          <w:cantSplit/>
          <w:trHeight w:val="23"/>
        </w:trPr>
        <w:tc>
          <w:tcPr>
            <w:tcW w:w="3969" w:type="dxa"/>
          </w:tcPr>
          <w:p w14:paraId="630B4C34" w14:textId="77777777" w:rsidR="00D72F49" w:rsidRPr="00B56767" w:rsidRDefault="00D72F49" w:rsidP="006D05F9">
            <w:pPr>
              <w:tabs>
                <w:tab w:val="left" w:pos="851"/>
              </w:tabs>
              <w:rPr>
                <w:b/>
              </w:rPr>
            </w:pPr>
          </w:p>
        </w:tc>
        <w:tc>
          <w:tcPr>
            <w:tcW w:w="5245" w:type="dxa"/>
          </w:tcPr>
          <w:p w14:paraId="437750C4" w14:textId="77777777" w:rsidR="00D72F49" w:rsidRPr="00B56767" w:rsidRDefault="00D72F49" w:rsidP="006D05F9">
            <w:pPr>
              <w:tabs>
                <w:tab w:val="left" w:pos="851"/>
              </w:tabs>
              <w:spacing w:before="0"/>
              <w:jc w:val="right"/>
              <w:rPr>
                <w:b/>
              </w:rPr>
            </w:pPr>
          </w:p>
        </w:tc>
      </w:tr>
      <w:tr w:rsidR="00D72F49" w:rsidRPr="00B56767" w14:paraId="31FFA2A5" w14:textId="77777777" w:rsidTr="00D72F49">
        <w:trPr>
          <w:cantSplit/>
        </w:trPr>
        <w:tc>
          <w:tcPr>
            <w:tcW w:w="9214" w:type="dxa"/>
            <w:gridSpan w:val="2"/>
            <w:tcMar>
              <w:left w:w="0" w:type="dxa"/>
            </w:tcMar>
          </w:tcPr>
          <w:p w14:paraId="4D9D9D7D" w14:textId="77777777" w:rsidR="003B7BDC" w:rsidRPr="00B56767" w:rsidRDefault="003B7BDC" w:rsidP="006D05F9">
            <w:pPr>
              <w:pStyle w:val="Title1"/>
              <w:rPr>
                <w:rFonts w:eastAsia="MS Mincho"/>
              </w:rPr>
            </w:pPr>
            <w:r w:rsidRPr="00B56767">
              <w:rPr>
                <w:rFonts w:eastAsia="MS Mincho"/>
              </w:rPr>
              <w:t>COMPTE RENDU</w:t>
            </w:r>
          </w:p>
          <w:p w14:paraId="32AFB614" w14:textId="77777777" w:rsidR="003B7BDC" w:rsidRPr="00B56767" w:rsidRDefault="003B7BDC" w:rsidP="006D05F9">
            <w:pPr>
              <w:pStyle w:val="Title1"/>
              <w:rPr>
                <w:rFonts w:eastAsia="MS Mincho"/>
              </w:rPr>
            </w:pPr>
            <w:r w:rsidRPr="00B56767">
              <w:rPr>
                <w:rFonts w:eastAsia="MS Mincho"/>
              </w:rPr>
              <w:t>DE LA</w:t>
            </w:r>
          </w:p>
          <w:p w14:paraId="7AA1F34C" w14:textId="44C16B50" w:rsidR="00D72F49" w:rsidRPr="00B56767" w:rsidRDefault="002C15DF" w:rsidP="006D05F9">
            <w:pPr>
              <w:pStyle w:val="Title1"/>
              <w:rPr>
                <w:sz w:val="34"/>
                <w:szCs w:val="34"/>
              </w:rPr>
            </w:pPr>
            <w:r w:rsidRPr="00B56767">
              <w:rPr>
                <w:rFonts w:eastAsia="MS Mincho"/>
              </w:rPr>
              <w:t>QUATRI</w:t>
            </w:r>
            <w:r w:rsidR="002E3BCB" w:rsidRPr="00B56767">
              <w:rPr>
                <w:rFonts w:eastAsia="MS Mincho"/>
              </w:rPr>
              <w:t>È</w:t>
            </w:r>
            <w:r w:rsidRPr="00B56767">
              <w:rPr>
                <w:rFonts w:eastAsia="MS Mincho"/>
              </w:rPr>
              <w:t>ME</w:t>
            </w:r>
            <w:r w:rsidR="003B7BDC" w:rsidRPr="00B56767">
              <w:rPr>
                <w:rFonts w:eastAsia="MS Mincho"/>
              </w:rPr>
              <w:t xml:space="preserve"> SÉANCE PLÉNIÈRE</w:t>
            </w:r>
          </w:p>
        </w:tc>
      </w:tr>
      <w:tr w:rsidR="00D72F49" w:rsidRPr="00B56767" w14:paraId="65E7E3D8" w14:textId="77777777" w:rsidTr="003B7BDC">
        <w:trPr>
          <w:cantSplit/>
        </w:trPr>
        <w:tc>
          <w:tcPr>
            <w:tcW w:w="9214" w:type="dxa"/>
            <w:gridSpan w:val="2"/>
            <w:tcMar>
              <w:left w:w="0" w:type="dxa"/>
            </w:tcMar>
          </w:tcPr>
          <w:p w14:paraId="370F6D7B" w14:textId="4C7A01C1" w:rsidR="00D72F49" w:rsidRPr="00B56767" w:rsidRDefault="002C15DF" w:rsidP="006D05F9">
            <w:pPr>
              <w:pStyle w:val="Title1"/>
              <w:rPr>
                <w:sz w:val="24"/>
                <w:szCs w:val="24"/>
              </w:rPr>
            </w:pPr>
            <w:bookmarkStart w:id="0" w:name="lt_pId012"/>
            <w:r w:rsidRPr="00B56767">
              <w:rPr>
                <w:sz w:val="24"/>
                <w:szCs w:val="24"/>
              </w:rPr>
              <w:t>M</w:t>
            </w:r>
            <w:r w:rsidRPr="00B56767">
              <w:rPr>
                <w:caps w:val="0"/>
                <w:sz w:val="24"/>
                <w:szCs w:val="24"/>
              </w:rPr>
              <w:t xml:space="preserve">ardi </w:t>
            </w:r>
            <w:r w:rsidRPr="00B56767">
              <w:rPr>
                <w:sz w:val="24"/>
                <w:szCs w:val="24"/>
              </w:rPr>
              <w:t>18</w:t>
            </w:r>
            <w:r w:rsidR="003B7BDC" w:rsidRPr="00B56767">
              <w:rPr>
                <w:caps w:val="0"/>
                <w:sz w:val="24"/>
                <w:szCs w:val="24"/>
              </w:rPr>
              <w:t xml:space="preserve"> juillet 2023, de 14 h 3</w:t>
            </w:r>
            <w:r w:rsidRPr="00B56767">
              <w:rPr>
                <w:caps w:val="0"/>
                <w:sz w:val="24"/>
                <w:szCs w:val="24"/>
              </w:rPr>
              <w:t>5</w:t>
            </w:r>
            <w:r w:rsidR="003B7BDC" w:rsidRPr="00B56767">
              <w:rPr>
                <w:caps w:val="0"/>
                <w:sz w:val="24"/>
                <w:szCs w:val="24"/>
              </w:rPr>
              <w:t xml:space="preserve"> à 17 </w:t>
            </w:r>
            <w:bookmarkEnd w:id="0"/>
            <w:r w:rsidR="003B7BDC" w:rsidRPr="00B56767">
              <w:rPr>
                <w:caps w:val="0"/>
                <w:sz w:val="24"/>
                <w:szCs w:val="24"/>
              </w:rPr>
              <w:t xml:space="preserve">h </w:t>
            </w:r>
            <w:r w:rsidRPr="00B56767">
              <w:rPr>
                <w:caps w:val="0"/>
                <w:sz w:val="24"/>
                <w:szCs w:val="24"/>
              </w:rPr>
              <w:t>4</w:t>
            </w:r>
            <w:r w:rsidR="003B7BDC" w:rsidRPr="00B56767">
              <w:rPr>
                <w:caps w:val="0"/>
                <w:sz w:val="24"/>
                <w:szCs w:val="24"/>
              </w:rPr>
              <w:t>5</w:t>
            </w:r>
          </w:p>
        </w:tc>
      </w:tr>
      <w:tr w:rsidR="003B7BDC" w:rsidRPr="00B56767" w14:paraId="3E0DE484" w14:textId="77777777" w:rsidTr="003B7BDC">
        <w:trPr>
          <w:cantSplit/>
        </w:trPr>
        <w:tc>
          <w:tcPr>
            <w:tcW w:w="9214" w:type="dxa"/>
            <w:gridSpan w:val="2"/>
            <w:tcBorders>
              <w:bottom w:val="single" w:sz="4" w:space="0" w:color="auto"/>
            </w:tcBorders>
            <w:tcMar>
              <w:left w:w="0" w:type="dxa"/>
            </w:tcMar>
          </w:tcPr>
          <w:p w14:paraId="29BFCC50" w14:textId="09E28F20" w:rsidR="003B7BDC" w:rsidRPr="00B56767" w:rsidRDefault="003B7BDC" w:rsidP="006D05F9">
            <w:pPr>
              <w:spacing w:after="120"/>
              <w:jc w:val="center"/>
            </w:pPr>
            <w:r w:rsidRPr="00B56767">
              <w:rPr>
                <w:b/>
                <w:bCs/>
              </w:rPr>
              <w:t>Président</w:t>
            </w:r>
            <w:r w:rsidRPr="00B56767">
              <w:rPr>
                <w:bCs/>
              </w:rPr>
              <w:t>: M. C. MARTINEZ (Paraguay)</w:t>
            </w:r>
          </w:p>
        </w:tc>
      </w:tr>
    </w:tbl>
    <w:p w14:paraId="10E850D2" w14:textId="77777777" w:rsidR="00A51849" w:rsidRPr="00B56767" w:rsidRDefault="00A51849" w:rsidP="006D05F9"/>
    <w:tbl>
      <w:tblPr>
        <w:tblW w:w="5079" w:type="pct"/>
        <w:tblInd w:w="426" w:type="dxa"/>
        <w:tblLook w:val="0000" w:firstRow="0" w:lastRow="0" w:firstColumn="0" w:lastColumn="0" w:noHBand="0" w:noVBand="0"/>
      </w:tblPr>
      <w:tblGrid>
        <w:gridCol w:w="568"/>
        <w:gridCol w:w="6378"/>
        <w:gridCol w:w="2268"/>
      </w:tblGrid>
      <w:tr w:rsidR="00B811C7" w:rsidRPr="00B56767" w14:paraId="493FCEBD" w14:textId="77777777" w:rsidTr="00CD6456">
        <w:tc>
          <w:tcPr>
            <w:tcW w:w="308" w:type="pct"/>
          </w:tcPr>
          <w:p w14:paraId="5984B50B" w14:textId="77777777" w:rsidR="003B7BDC" w:rsidRPr="00B56767" w:rsidRDefault="003B7BDC" w:rsidP="006D05F9">
            <w:pPr>
              <w:rPr>
                <w:b/>
                <w:bCs/>
              </w:rPr>
            </w:pPr>
            <w:r w:rsidRPr="00B56767">
              <w:rPr>
                <w:b/>
                <w:bCs/>
              </w:rPr>
              <w:br w:type="page"/>
            </w:r>
            <w:r w:rsidRPr="00B56767">
              <w:rPr>
                <w:b/>
                <w:bCs/>
              </w:rPr>
              <w:br w:type="page"/>
            </w:r>
          </w:p>
        </w:tc>
        <w:tc>
          <w:tcPr>
            <w:tcW w:w="3461" w:type="pct"/>
          </w:tcPr>
          <w:p w14:paraId="53225AFC" w14:textId="77777777" w:rsidR="003B7BDC" w:rsidRPr="00B56767" w:rsidRDefault="003B7BDC" w:rsidP="006D05F9">
            <w:pPr>
              <w:rPr>
                <w:b/>
                <w:bCs/>
              </w:rPr>
            </w:pPr>
            <w:r w:rsidRPr="00B56767">
              <w:rPr>
                <w:b/>
                <w:bCs/>
              </w:rPr>
              <w:t>Sujets traités</w:t>
            </w:r>
          </w:p>
        </w:tc>
        <w:tc>
          <w:tcPr>
            <w:tcW w:w="1231" w:type="pct"/>
          </w:tcPr>
          <w:p w14:paraId="68095647" w14:textId="77777777" w:rsidR="003B7BDC" w:rsidRPr="00B56767" w:rsidRDefault="003B7BDC" w:rsidP="006D05F9">
            <w:pPr>
              <w:jc w:val="center"/>
              <w:rPr>
                <w:b/>
                <w:bCs/>
              </w:rPr>
            </w:pPr>
            <w:r w:rsidRPr="00B56767">
              <w:rPr>
                <w:b/>
                <w:bCs/>
              </w:rPr>
              <w:t>Documents</w:t>
            </w:r>
          </w:p>
        </w:tc>
      </w:tr>
      <w:tr w:rsidR="002C15DF" w:rsidRPr="00B56767" w14:paraId="2151330D" w14:textId="77777777" w:rsidTr="00CD6456">
        <w:tc>
          <w:tcPr>
            <w:tcW w:w="308" w:type="pct"/>
          </w:tcPr>
          <w:p w14:paraId="2FEB068C" w14:textId="77777777" w:rsidR="002C15DF" w:rsidRPr="00B56767" w:rsidRDefault="002C15DF" w:rsidP="006D05F9">
            <w:r w:rsidRPr="00B56767">
              <w:t>1</w:t>
            </w:r>
          </w:p>
        </w:tc>
        <w:tc>
          <w:tcPr>
            <w:tcW w:w="3461" w:type="pct"/>
          </w:tcPr>
          <w:p w14:paraId="6666F330" w14:textId="063BEA96" w:rsidR="002C15DF" w:rsidRPr="00B56767" w:rsidRDefault="002A6B14" w:rsidP="006D05F9">
            <w:r w:rsidRPr="00B56767">
              <w:t>Déclaration</w:t>
            </w:r>
            <w:r w:rsidR="00912D97" w:rsidRPr="00B56767">
              <w:t xml:space="preserve"> </w:t>
            </w:r>
            <w:r w:rsidR="005B268A" w:rsidRPr="00B56767">
              <w:t>du Directeur général de l'Organisation mondiale de la propriété intellectuelle</w:t>
            </w:r>
          </w:p>
        </w:tc>
        <w:tc>
          <w:tcPr>
            <w:tcW w:w="1231" w:type="pct"/>
          </w:tcPr>
          <w:p w14:paraId="168C5979" w14:textId="75E73E24" w:rsidR="002C15DF" w:rsidRPr="00B56767" w:rsidRDefault="002C15DF" w:rsidP="006D05F9">
            <w:pPr>
              <w:jc w:val="center"/>
              <w:rPr>
                <w:szCs w:val="24"/>
              </w:rPr>
            </w:pPr>
            <w:r w:rsidRPr="00B56767">
              <w:rPr>
                <w:szCs w:val="24"/>
              </w:rPr>
              <w:t>–</w:t>
            </w:r>
          </w:p>
        </w:tc>
      </w:tr>
      <w:tr w:rsidR="002C15DF" w:rsidRPr="00B56767" w14:paraId="634B5BC0" w14:textId="77777777" w:rsidTr="00CD6456">
        <w:tc>
          <w:tcPr>
            <w:tcW w:w="308" w:type="pct"/>
          </w:tcPr>
          <w:p w14:paraId="43204720" w14:textId="77777777" w:rsidR="002C15DF" w:rsidRPr="00B56767" w:rsidRDefault="002C15DF" w:rsidP="006D05F9">
            <w:r w:rsidRPr="00B56767">
              <w:t>2</w:t>
            </w:r>
          </w:p>
        </w:tc>
        <w:tc>
          <w:tcPr>
            <w:tcW w:w="3461" w:type="pct"/>
          </w:tcPr>
          <w:p w14:paraId="48556274" w14:textId="5A5A5670" w:rsidR="002C15DF" w:rsidRPr="00B56767" w:rsidRDefault="002E375D" w:rsidP="006D05F9">
            <w:r w:rsidRPr="00B56767">
              <w:t xml:space="preserve">Activités de l'UIT relatives au renforcement du rôle de l'Union dans l'instauration de la confiance et de la sécurité dans l'utilisation des </w:t>
            </w:r>
            <w:r w:rsidR="008A7AD7" w:rsidRPr="00B56767">
              <w:t>technologies de l'information et de la communication</w:t>
            </w:r>
          </w:p>
        </w:tc>
        <w:tc>
          <w:tcPr>
            <w:tcW w:w="1231" w:type="pct"/>
          </w:tcPr>
          <w:p w14:paraId="0EAECF17" w14:textId="0DD86600" w:rsidR="002C15DF" w:rsidRPr="00B56767" w:rsidRDefault="00684803" w:rsidP="006D05F9">
            <w:pPr>
              <w:jc w:val="center"/>
              <w:rPr>
                <w:szCs w:val="24"/>
              </w:rPr>
            </w:pPr>
            <w:hyperlink r:id="rId7" w:history="1">
              <w:r w:rsidR="002C15DF" w:rsidRPr="00B56767">
                <w:rPr>
                  <w:rStyle w:val="Hyperlink"/>
                  <w:rFonts w:asciiTheme="minorHAnsi" w:hAnsiTheme="minorHAnsi" w:cstheme="minorHAnsi"/>
                  <w:szCs w:val="24"/>
                </w:rPr>
                <w:t>C23/38</w:t>
              </w:r>
            </w:hyperlink>
            <w:r w:rsidR="002C15DF" w:rsidRPr="00B56767">
              <w:rPr>
                <w:rFonts w:asciiTheme="minorHAnsi" w:hAnsiTheme="minorHAnsi" w:cstheme="minorHAnsi"/>
                <w:szCs w:val="24"/>
              </w:rPr>
              <w:t xml:space="preserve">, </w:t>
            </w:r>
            <w:hyperlink r:id="rId8" w:history="1">
              <w:r w:rsidR="002C15DF" w:rsidRPr="00B56767">
                <w:rPr>
                  <w:rStyle w:val="Hyperlink"/>
                  <w:rFonts w:asciiTheme="minorHAnsi" w:hAnsiTheme="minorHAnsi" w:cstheme="minorHAnsi"/>
                  <w:szCs w:val="24"/>
                </w:rPr>
                <w:t>C23/93(Rév.1)</w:t>
              </w:r>
            </w:hyperlink>
          </w:p>
        </w:tc>
      </w:tr>
      <w:tr w:rsidR="002C15DF" w:rsidRPr="00B56767" w14:paraId="013656FD" w14:textId="77777777" w:rsidTr="00CD6456">
        <w:tc>
          <w:tcPr>
            <w:tcW w:w="308" w:type="pct"/>
          </w:tcPr>
          <w:p w14:paraId="5D0BD001" w14:textId="77777777" w:rsidR="002C15DF" w:rsidRPr="00B56767" w:rsidRDefault="002C15DF" w:rsidP="006D05F9">
            <w:r w:rsidRPr="00B56767">
              <w:t>3</w:t>
            </w:r>
          </w:p>
        </w:tc>
        <w:tc>
          <w:tcPr>
            <w:tcW w:w="3461" w:type="pct"/>
          </w:tcPr>
          <w:p w14:paraId="2937AEDA" w14:textId="68B8BFF6" w:rsidR="002C15DF" w:rsidRPr="00B56767" w:rsidRDefault="002E375D" w:rsidP="006D05F9">
            <w:r w:rsidRPr="00B56767">
              <w:t>Vingt-cinq ans du programme de travail de l'UIT sur l'égalité hommes</w:t>
            </w:r>
            <w:r w:rsidR="005B268A" w:rsidRPr="00B56767">
              <w:t>-</w:t>
            </w:r>
            <w:r w:rsidRPr="00B56767">
              <w:t>femmes</w:t>
            </w:r>
          </w:p>
        </w:tc>
        <w:tc>
          <w:tcPr>
            <w:tcW w:w="1231" w:type="pct"/>
          </w:tcPr>
          <w:p w14:paraId="583B97AB" w14:textId="146D6632" w:rsidR="002C15DF" w:rsidRPr="00B56767" w:rsidRDefault="00684803" w:rsidP="006D05F9">
            <w:pPr>
              <w:jc w:val="center"/>
              <w:rPr>
                <w:szCs w:val="24"/>
              </w:rPr>
            </w:pPr>
            <w:hyperlink r:id="rId9" w:history="1">
              <w:r w:rsidR="002C15DF" w:rsidRPr="00B56767">
                <w:rPr>
                  <w:rStyle w:val="Hyperlink"/>
                  <w:rFonts w:asciiTheme="minorHAnsi" w:hAnsiTheme="minorHAnsi" w:cstheme="minorHAnsi"/>
                  <w:szCs w:val="24"/>
                </w:rPr>
                <w:t>C23/6</w:t>
              </w:r>
            </w:hyperlink>
            <w:r w:rsidR="002C15DF" w:rsidRPr="00B56767">
              <w:rPr>
                <w:rFonts w:asciiTheme="minorHAnsi" w:hAnsiTheme="minorHAnsi" w:cstheme="minorHAnsi"/>
                <w:szCs w:val="24"/>
              </w:rPr>
              <w:t xml:space="preserve">, </w:t>
            </w:r>
            <w:hyperlink r:id="rId10" w:history="1">
              <w:r w:rsidR="002C15DF" w:rsidRPr="00B56767">
                <w:rPr>
                  <w:rStyle w:val="Hyperlink"/>
                  <w:rFonts w:asciiTheme="minorHAnsi" w:hAnsiTheme="minorHAnsi" w:cstheme="minorHAnsi"/>
                  <w:szCs w:val="24"/>
                </w:rPr>
                <w:t>C23/76</w:t>
              </w:r>
            </w:hyperlink>
            <w:r w:rsidR="002C15DF" w:rsidRPr="00B56767">
              <w:rPr>
                <w:rFonts w:asciiTheme="minorHAnsi" w:hAnsiTheme="minorHAnsi" w:cstheme="minorHAnsi"/>
                <w:szCs w:val="24"/>
              </w:rPr>
              <w:t xml:space="preserve">, </w:t>
            </w:r>
            <w:hyperlink r:id="rId11" w:history="1">
              <w:r w:rsidR="002C15DF" w:rsidRPr="00B56767">
                <w:rPr>
                  <w:rStyle w:val="Hyperlink"/>
                  <w:rFonts w:asciiTheme="minorHAnsi" w:hAnsiTheme="minorHAnsi" w:cstheme="minorHAnsi"/>
                  <w:szCs w:val="24"/>
                </w:rPr>
                <w:t>C23/91+Corr.1</w:t>
              </w:r>
            </w:hyperlink>
          </w:p>
        </w:tc>
      </w:tr>
      <w:tr w:rsidR="002C15DF" w:rsidRPr="00B56767" w14:paraId="584E98AE" w14:textId="77777777" w:rsidTr="00CD6456">
        <w:tc>
          <w:tcPr>
            <w:tcW w:w="308" w:type="pct"/>
          </w:tcPr>
          <w:p w14:paraId="1CB3CF8D" w14:textId="77777777" w:rsidR="002C15DF" w:rsidRPr="00B56767" w:rsidRDefault="002C15DF" w:rsidP="006D05F9">
            <w:r w:rsidRPr="00B56767">
              <w:t>4</w:t>
            </w:r>
          </w:p>
        </w:tc>
        <w:tc>
          <w:tcPr>
            <w:tcW w:w="3461" w:type="pct"/>
          </w:tcPr>
          <w:p w14:paraId="392E0B12" w14:textId="3FEED559" w:rsidR="002C15DF" w:rsidRPr="00B56767" w:rsidRDefault="002E375D" w:rsidP="006D05F9">
            <w:r w:rsidRPr="00B56767">
              <w:t>Journée mondiale des télécommunications et de la société de l'information</w:t>
            </w:r>
          </w:p>
        </w:tc>
        <w:tc>
          <w:tcPr>
            <w:tcW w:w="1231" w:type="pct"/>
          </w:tcPr>
          <w:p w14:paraId="366B9562" w14:textId="57942817" w:rsidR="002C15DF" w:rsidRPr="00B56767" w:rsidRDefault="00684803" w:rsidP="006D05F9">
            <w:pPr>
              <w:jc w:val="center"/>
              <w:rPr>
                <w:szCs w:val="24"/>
              </w:rPr>
            </w:pPr>
            <w:hyperlink r:id="rId12" w:history="1">
              <w:r w:rsidR="002C15DF" w:rsidRPr="00B56767">
                <w:rPr>
                  <w:rStyle w:val="Hyperlink"/>
                  <w:rFonts w:asciiTheme="minorHAnsi" w:hAnsiTheme="minorHAnsi" w:cstheme="minorHAnsi"/>
                  <w:szCs w:val="24"/>
                </w:rPr>
                <w:t>C23/17</w:t>
              </w:r>
            </w:hyperlink>
            <w:r w:rsidR="002C15DF" w:rsidRPr="00B56767">
              <w:rPr>
                <w:rFonts w:asciiTheme="minorHAnsi" w:hAnsiTheme="minorHAnsi" w:cstheme="minorHAnsi"/>
                <w:szCs w:val="24"/>
              </w:rPr>
              <w:t xml:space="preserve">, </w:t>
            </w:r>
            <w:hyperlink r:id="rId13" w:history="1">
              <w:r w:rsidR="002C15DF" w:rsidRPr="00B56767">
                <w:rPr>
                  <w:rStyle w:val="Hyperlink"/>
                  <w:rFonts w:asciiTheme="minorHAnsi" w:hAnsiTheme="minorHAnsi" w:cstheme="minorHAnsi"/>
                  <w:szCs w:val="24"/>
                </w:rPr>
                <w:t>C23/DT/4</w:t>
              </w:r>
            </w:hyperlink>
          </w:p>
        </w:tc>
      </w:tr>
      <w:tr w:rsidR="002C15DF" w:rsidRPr="00B56767" w14:paraId="181C481A" w14:textId="77777777" w:rsidTr="00CD6456">
        <w:tc>
          <w:tcPr>
            <w:tcW w:w="308" w:type="pct"/>
          </w:tcPr>
          <w:p w14:paraId="2F1629AA" w14:textId="21ECD454" w:rsidR="002C15DF" w:rsidRPr="00B56767" w:rsidRDefault="002C15DF" w:rsidP="006D05F9">
            <w:r w:rsidRPr="00B56767">
              <w:t>5</w:t>
            </w:r>
          </w:p>
        </w:tc>
        <w:tc>
          <w:tcPr>
            <w:tcW w:w="3461" w:type="pct"/>
          </w:tcPr>
          <w:p w14:paraId="00493CA6" w14:textId="0BF07BF2" w:rsidR="002C15DF" w:rsidRPr="00B56767" w:rsidRDefault="002E375D" w:rsidP="006D05F9">
            <w:r w:rsidRPr="00B56767">
              <w:t>Examen périodique du Règlement des télécommunications internationales (</w:t>
            </w:r>
            <w:r w:rsidR="005B268A" w:rsidRPr="00B56767">
              <w:t>suite</w:t>
            </w:r>
            <w:r w:rsidRPr="00B56767">
              <w:t>)</w:t>
            </w:r>
          </w:p>
        </w:tc>
        <w:tc>
          <w:tcPr>
            <w:tcW w:w="1231" w:type="pct"/>
          </w:tcPr>
          <w:p w14:paraId="14A85046" w14:textId="280D86CA" w:rsidR="002C15DF" w:rsidRPr="00B56767" w:rsidRDefault="00684803" w:rsidP="006D05F9">
            <w:pPr>
              <w:jc w:val="center"/>
              <w:rPr>
                <w:szCs w:val="24"/>
              </w:rPr>
            </w:pPr>
            <w:hyperlink r:id="rId14" w:history="1">
              <w:r w:rsidR="002C15DF" w:rsidRPr="00B56767">
                <w:rPr>
                  <w:rStyle w:val="Hyperlink"/>
                  <w:rFonts w:asciiTheme="minorHAnsi" w:hAnsiTheme="minorHAnsi" w:cstheme="minorHAnsi"/>
                  <w:szCs w:val="24"/>
                </w:rPr>
                <w:t>C23/12</w:t>
              </w:r>
            </w:hyperlink>
            <w:r w:rsidR="002C15DF" w:rsidRPr="00B56767">
              <w:rPr>
                <w:rFonts w:asciiTheme="minorHAnsi" w:hAnsiTheme="minorHAnsi" w:cstheme="minorHAnsi"/>
                <w:szCs w:val="24"/>
              </w:rPr>
              <w:t xml:space="preserve">, </w:t>
            </w:r>
            <w:hyperlink r:id="rId15" w:history="1">
              <w:r w:rsidR="002C15DF" w:rsidRPr="00B56767">
                <w:rPr>
                  <w:rStyle w:val="Hyperlink"/>
                  <w:rFonts w:asciiTheme="minorHAnsi" w:hAnsiTheme="minorHAnsi" w:cstheme="minorHAnsi"/>
                  <w:szCs w:val="24"/>
                </w:rPr>
                <w:t>C23/66</w:t>
              </w:r>
            </w:hyperlink>
            <w:r w:rsidR="002C15DF" w:rsidRPr="00B56767">
              <w:rPr>
                <w:rFonts w:asciiTheme="minorHAnsi" w:hAnsiTheme="minorHAnsi" w:cstheme="minorHAnsi"/>
                <w:szCs w:val="24"/>
              </w:rPr>
              <w:t xml:space="preserve">, </w:t>
            </w:r>
            <w:hyperlink r:id="rId16" w:history="1">
              <w:r w:rsidR="002C15DF" w:rsidRPr="00B56767">
                <w:rPr>
                  <w:rStyle w:val="Hyperlink"/>
                  <w:rFonts w:asciiTheme="minorHAnsi" w:hAnsiTheme="minorHAnsi" w:cstheme="minorHAnsi"/>
                  <w:szCs w:val="24"/>
                </w:rPr>
                <w:t>C23/73</w:t>
              </w:r>
            </w:hyperlink>
            <w:r w:rsidR="002C15DF" w:rsidRPr="00B56767">
              <w:rPr>
                <w:rFonts w:asciiTheme="minorHAnsi" w:hAnsiTheme="minorHAnsi" w:cstheme="minorHAnsi"/>
                <w:szCs w:val="24"/>
              </w:rPr>
              <w:t xml:space="preserve">, </w:t>
            </w:r>
            <w:hyperlink r:id="rId17" w:history="1">
              <w:r w:rsidR="002C15DF" w:rsidRPr="00B56767">
                <w:rPr>
                  <w:rStyle w:val="Hyperlink"/>
                  <w:rFonts w:asciiTheme="minorHAnsi" w:hAnsiTheme="minorHAnsi" w:cstheme="minorHAnsi"/>
                  <w:szCs w:val="24"/>
                </w:rPr>
                <w:t>C23/77+Corr.1</w:t>
              </w:r>
            </w:hyperlink>
            <w:r w:rsidR="002C15DF" w:rsidRPr="00B56767">
              <w:rPr>
                <w:rFonts w:asciiTheme="minorHAnsi" w:hAnsiTheme="minorHAnsi" w:cstheme="minorHAnsi"/>
                <w:szCs w:val="24"/>
              </w:rPr>
              <w:t xml:space="preserve">, </w:t>
            </w:r>
            <w:hyperlink r:id="rId18" w:history="1">
              <w:r w:rsidR="002C15DF" w:rsidRPr="00B56767">
                <w:rPr>
                  <w:rStyle w:val="Hyperlink"/>
                  <w:rFonts w:asciiTheme="minorHAnsi" w:hAnsiTheme="minorHAnsi" w:cstheme="minorHAnsi"/>
                  <w:szCs w:val="24"/>
                </w:rPr>
                <w:t>C23/88+Corr.1</w:t>
              </w:r>
              <w:r w:rsidR="00CD6456" w:rsidRPr="00B56767">
                <w:rPr>
                  <w:rStyle w:val="Hyperlink"/>
                  <w:rFonts w:asciiTheme="minorHAnsi" w:hAnsiTheme="minorHAnsi" w:cstheme="minorHAnsi"/>
                  <w:szCs w:val="24"/>
                </w:rPr>
                <w:t xml:space="preserve"> et </w:t>
              </w:r>
              <w:r w:rsidR="002C15DF" w:rsidRPr="00B56767">
                <w:rPr>
                  <w:rStyle w:val="Hyperlink"/>
                  <w:rFonts w:asciiTheme="minorHAnsi" w:hAnsiTheme="minorHAnsi" w:cstheme="minorHAnsi"/>
                  <w:szCs w:val="24"/>
                </w:rPr>
                <w:t>2</w:t>
              </w:r>
            </w:hyperlink>
            <w:r w:rsidR="002C15DF" w:rsidRPr="00B56767">
              <w:rPr>
                <w:rFonts w:asciiTheme="minorHAnsi" w:hAnsiTheme="minorHAnsi" w:cstheme="minorHAnsi"/>
                <w:szCs w:val="24"/>
              </w:rPr>
              <w:t xml:space="preserve">, </w:t>
            </w:r>
            <w:r w:rsidR="002C15DF" w:rsidRPr="00B56767">
              <w:rPr>
                <w:rFonts w:asciiTheme="minorHAnsi" w:hAnsiTheme="minorHAnsi" w:cstheme="minorHAnsi"/>
                <w:szCs w:val="24"/>
              </w:rPr>
              <w:br/>
            </w:r>
            <w:hyperlink r:id="rId19" w:history="1">
              <w:r w:rsidR="002C15DF" w:rsidRPr="00B56767">
                <w:rPr>
                  <w:rStyle w:val="Hyperlink"/>
                  <w:rFonts w:asciiTheme="minorHAnsi" w:hAnsiTheme="minorHAnsi" w:cstheme="minorHAnsi"/>
                  <w:szCs w:val="24"/>
                </w:rPr>
                <w:t>C23/DT/5</w:t>
              </w:r>
            </w:hyperlink>
          </w:p>
        </w:tc>
      </w:tr>
      <w:tr w:rsidR="002C15DF" w:rsidRPr="00B56767" w14:paraId="231442ED" w14:textId="77777777" w:rsidTr="00CD6456">
        <w:tc>
          <w:tcPr>
            <w:tcW w:w="308" w:type="pct"/>
          </w:tcPr>
          <w:p w14:paraId="533C7A80" w14:textId="159A5EEE" w:rsidR="002C15DF" w:rsidRPr="00B56767" w:rsidRDefault="002C15DF" w:rsidP="006D05F9">
            <w:r w:rsidRPr="00B56767">
              <w:t>6</w:t>
            </w:r>
          </w:p>
        </w:tc>
        <w:tc>
          <w:tcPr>
            <w:tcW w:w="3461" w:type="pct"/>
          </w:tcPr>
          <w:p w14:paraId="52346BA6" w14:textId="387580B5" w:rsidR="002C15DF" w:rsidRPr="00B56767" w:rsidRDefault="002E375D" w:rsidP="006D05F9">
            <w:r w:rsidRPr="00B56767">
              <w:t>Travaux préparatoires en vue du Forum mondial des politiques de télécommunication et des technologies de l'information et des communications de 2026 (FMPT-26)</w:t>
            </w:r>
          </w:p>
        </w:tc>
        <w:tc>
          <w:tcPr>
            <w:tcW w:w="1231" w:type="pct"/>
          </w:tcPr>
          <w:p w14:paraId="40128F67" w14:textId="5BDAC907" w:rsidR="002C15DF" w:rsidRPr="00B56767" w:rsidRDefault="00684803" w:rsidP="006D05F9">
            <w:pPr>
              <w:jc w:val="center"/>
              <w:rPr>
                <w:szCs w:val="24"/>
              </w:rPr>
            </w:pPr>
            <w:hyperlink r:id="rId20" w:history="1">
              <w:r w:rsidR="002C15DF" w:rsidRPr="00B56767">
                <w:rPr>
                  <w:rStyle w:val="Hyperlink"/>
                  <w:rFonts w:asciiTheme="minorHAnsi" w:hAnsiTheme="minorHAnsi" w:cstheme="minorHAnsi"/>
                  <w:szCs w:val="24"/>
                </w:rPr>
                <w:t>C23/13</w:t>
              </w:r>
            </w:hyperlink>
          </w:p>
        </w:tc>
      </w:tr>
      <w:tr w:rsidR="002C15DF" w:rsidRPr="00B56767" w14:paraId="44A49AFA" w14:textId="77777777" w:rsidTr="00CD6456">
        <w:tc>
          <w:tcPr>
            <w:tcW w:w="308" w:type="pct"/>
          </w:tcPr>
          <w:p w14:paraId="0F42EE6D" w14:textId="5E387DB7" w:rsidR="002C15DF" w:rsidRPr="00B56767" w:rsidRDefault="002C15DF" w:rsidP="006D05F9">
            <w:r w:rsidRPr="00B56767">
              <w:t>7</w:t>
            </w:r>
          </w:p>
        </w:tc>
        <w:tc>
          <w:tcPr>
            <w:tcW w:w="3461" w:type="pct"/>
          </w:tcPr>
          <w:p w14:paraId="15C178C8" w14:textId="237DAA2C" w:rsidR="002C15DF" w:rsidRPr="00B56767" w:rsidRDefault="002E375D" w:rsidP="006D05F9">
            <w:r w:rsidRPr="00B56767">
              <w:t>Participation des jeunes et initiatives pour la jeunesse à l'UIT</w:t>
            </w:r>
          </w:p>
        </w:tc>
        <w:tc>
          <w:tcPr>
            <w:tcW w:w="1231" w:type="pct"/>
          </w:tcPr>
          <w:p w14:paraId="3A435870" w14:textId="735EFBF0" w:rsidR="002C15DF" w:rsidRPr="00B56767" w:rsidRDefault="00684803" w:rsidP="006D05F9">
            <w:pPr>
              <w:jc w:val="center"/>
              <w:rPr>
                <w:szCs w:val="24"/>
              </w:rPr>
            </w:pPr>
            <w:hyperlink r:id="rId21" w:history="1">
              <w:r w:rsidR="002C15DF" w:rsidRPr="00B56767">
                <w:rPr>
                  <w:rStyle w:val="Hyperlink"/>
                  <w:rFonts w:asciiTheme="minorHAnsi" w:hAnsiTheme="minorHAnsi" w:cstheme="minorHAnsi"/>
                  <w:szCs w:val="24"/>
                </w:rPr>
                <w:t>C23/63</w:t>
              </w:r>
            </w:hyperlink>
            <w:r w:rsidR="002C15DF" w:rsidRPr="00B56767">
              <w:rPr>
                <w:rFonts w:asciiTheme="minorHAnsi" w:hAnsiTheme="minorHAnsi" w:cstheme="minorHAnsi"/>
                <w:szCs w:val="24"/>
              </w:rPr>
              <w:t xml:space="preserve">, </w:t>
            </w:r>
            <w:hyperlink r:id="rId22" w:history="1">
              <w:r w:rsidR="002C15DF" w:rsidRPr="00B56767">
                <w:rPr>
                  <w:rStyle w:val="Hyperlink"/>
                  <w:rFonts w:asciiTheme="minorHAnsi" w:hAnsiTheme="minorHAnsi" w:cstheme="minorHAnsi"/>
                  <w:szCs w:val="24"/>
                </w:rPr>
                <w:t>C23/67</w:t>
              </w:r>
            </w:hyperlink>
          </w:p>
        </w:tc>
      </w:tr>
      <w:tr w:rsidR="002C15DF" w:rsidRPr="00B56767" w14:paraId="729F6863" w14:textId="77777777" w:rsidTr="00CD6456">
        <w:tc>
          <w:tcPr>
            <w:tcW w:w="308" w:type="pct"/>
          </w:tcPr>
          <w:p w14:paraId="490AB3FF" w14:textId="383BCA98" w:rsidR="002C15DF" w:rsidRPr="00B56767" w:rsidRDefault="002C15DF" w:rsidP="006D05F9">
            <w:r w:rsidRPr="00B56767">
              <w:t>8</w:t>
            </w:r>
          </w:p>
        </w:tc>
        <w:tc>
          <w:tcPr>
            <w:tcW w:w="3461" w:type="pct"/>
          </w:tcPr>
          <w:p w14:paraId="3AA82351" w14:textId="1517F006" w:rsidR="002C15DF" w:rsidRPr="00B56767" w:rsidRDefault="00605797" w:rsidP="006D05F9">
            <w:r w:rsidRPr="00B56767">
              <w:t xml:space="preserve">Déclaration </w:t>
            </w:r>
            <w:r w:rsidR="00535F8A" w:rsidRPr="00B56767">
              <w:t>de l'Espagne</w:t>
            </w:r>
          </w:p>
        </w:tc>
        <w:tc>
          <w:tcPr>
            <w:tcW w:w="1231" w:type="pct"/>
          </w:tcPr>
          <w:p w14:paraId="5F5FA08F" w14:textId="38CC5E52" w:rsidR="002C15DF" w:rsidRPr="00B56767" w:rsidRDefault="002C15DF" w:rsidP="006D05F9">
            <w:pPr>
              <w:jc w:val="center"/>
              <w:rPr>
                <w:szCs w:val="24"/>
              </w:rPr>
            </w:pPr>
            <w:r w:rsidRPr="00B56767">
              <w:rPr>
                <w:szCs w:val="24"/>
              </w:rPr>
              <w:t>–</w:t>
            </w:r>
          </w:p>
        </w:tc>
      </w:tr>
      <w:tr w:rsidR="002C15DF" w:rsidRPr="00B56767" w14:paraId="1A54F42D" w14:textId="77777777" w:rsidTr="00CD6456">
        <w:tc>
          <w:tcPr>
            <w:tcW w:w="308" w:type="pct"/>
          </w:tcPr>
          <w:p w14:paraId="370DDF59" w14:textId="68D7FF62" w:rsidR="002C15DF" w:rsidRPr="00B56767" w:rsidRDefault="002C15DF" w:rsidP="006D05F9">
            <w:r w:rsidRPr="00B56767">
              <w:t>9</w:t>
            </w:r>
          </w:p>
        </w:tc>
        <w:tc>
          <w:tcPr>
            <w:tcW w:w="3461" w:type="pct"/>
          </w:tcPr>
          <w:p w14:paraId="2A3E1AAC" w14:textId="57682DFD" w:rsidR="002C15DF" w:rsidRPr="00B56767" w:rsidRDefault="00E62BD9" w:rsidP="006D05F9">
            <w:r w:rsidRPr="00B56767">
              <w:t>Cadeau</w:t>
            </w:r>
            <w:r w:rsidR="00CB6E57" w:rsidRPr="00B56767">
              <w:t xml:space="preserve"> offert </w:t>
            </w:r>
            <w:r w:rsidR="00B36CB6" w:rsidRPr="00B56767">
              <w:t xml:space="preserve">à l'UIT </w:t>
            </w:r>
            <w:r w:rsidR="00A20433" w:rsidRPr="00B56767">
              <w:t>par le</w:t>
            </w:r>
            <w:r w:rsidR="00CB6E57" w:rsidRPr="00B56767">
              <w:t xml:space="preserve"> Royaume-Uni</w:t>
            </w:r>
          </w:p>
        </w:tc>
        <w:tc>
          <w:tcPr>
            <w:tcW w:w="1231" w:type="pct"/>
          </w:tcPr>
          <w:p w14:paraId="2B91FAF3" w14:textId="49B09E88" w:rsidR="002C15DF" w:rsidRPr="00B56767" w:rsidRDefault="002C15DF" w:rsidP="006D05F9">
            <w:pPr>
              <w:jc w:val="center"/>
              <w:rPr>
                <w:szCs w:val="24"/>
              </w:rPr>
            </w:pPr>
            <w:r w:rsidRPr="00B56767">
              <w:rPr>
                <w:szCs w:val="24"/>
              </w:rPr>
              <w:t>–</w:t>
            </w:r>
          </w:p>
        </w:tc>
      </w:tr>
    </w:tbl>
    <w:p w14:paraId="3B7150AC" w14:textId="77777777" w:rsidR="00A51849" w:rsidRPr="00B56767" w:rsidRDefault="00A51849" w:rsidP="006D05F9">
      <w:pPr>
        <w:tabs>
          <w:tab w:val="clear" w:pos="567"/>
          <w:tab w:val="clear" w:pos="1134"/>
          <w:tab w:val="clear" w:pos="1701"/>
          <w:tab w:val="clear" w:pos="2268"/>
          <w:tab w:val="clear" w:pos="2835"/>
        </w:tabs>
        <w:overflowPunct/>
        <w:autoSpaceDE/>
        <w:autoSpaceDN/>
        <w:adjustRightInd/>
        <w:spacing w:before="0"/>
        <w:textAlignment w:val="auto"/>
      </w:pPr>
      <w:r w:rsidRPr="00B56767">
        <w:br w:type="page"/>
      </w:r>
    </w:p>
    <w:p w14:paraId="05309BCC" w14:textId="5D9250C2" w:rsidR="00897553" w:rsidRPr="00B56767" w:rsidRDefault="001C5CBC" w:rsidP="006D05F9">
      <w:pPr>
        <w:pStyle w:val="Heading1"/>
        <w:rPr>
          <w:rFonts w:asciiTheme="minorHAnsi" w:hAnsiTheme="minorHAnsi" w:cstheme="minorHAnsi"/>
          <w:bCs/>
          <w:szCs w:val="24"/>
        </w:rPr>
      </w:pPr>
      <w:r w:rsidRPr="00B56767">
        <w:lastRenderedPageBreak/>
        <w:t>1</w:t>
      </w:r>
      <w:r w:rsidRPr="00B56767">
        <w:tab/>
      </w:r>
      <w:r w:rsidR="002820E7" w:rsidRPr="00B56767">
        <w:rPr>
          <w:bCs/>
        </w:rPr>
        <w:t>Déclaration du Directeur général de l'Organisation mondiale de la propriété intellectuelle</w:t>
      </w:r>
    </w:p>
    <w:p w14:paraId="0439011B" w14:textId="534308DD" w:rsidR="001C5CBC" w:rsidRPr="00B56767" w:rsidRDefault="002E375D" w:rsidP="00581974">
      <w:pPr>
        <w:spacing w:line="360" w:lineRule="auto"/>
      </w:pPr>
      <w:r w:rsidRPr="00B56767">
        <w:t>1.1</w:t>
      </w:r>
      <w:r w:rsidRPr="00B56767">
        <w:tab/>
      </w:r>
      <w:r w:rsidR="00504003" w:rsidRPr="00B56767">
        <w:t xml:space="preserve">Le </w:t>
      </w:r>
      <w:r w:rsidR="00504003" w:rsidRPr="00B56767">
        <w:rPr>
          <w:bCs/>
        </w:rPr>
        <w:t>Directeur général de l'Organisation mondiale de la propriété intellectuelle,</w:t>
      </w:r>
      <w:r w:rsidRPr="00B56767">
        <w:t xml:space="preserve"> M</w:t>
      </w:r>
      <w:r w:rsidR="00504003" w:rsidRPr="00B56767">
        <w:t>. </w:t>
      </w:r>
      <w:r w:rsidRPr="00B56767">
        <w:t>Daren</w:t>
      </w:r>
      <w:r w:rsidR="001D60D4" w:rsidRPr="00B56767">
        <w:t> </w:t>
      </w:r>
      <w:r w:rsidRPr="00B56767">
        <w:t xml:space="preserve">Tang, </w:t>
      </w:r>
      <w:r w:rsidR="00504003" w:rsidRPr="00B56767">
        <w:t>prononce la déclaration suivante:</w:t>
      </w:r>
      <w:r w:rsidR="00581974" w:rsidRPr="00B56767">
        <w:t xml:space="preserve"> </w:t>
      </w:r>
      <w:hyperlink r:id="rId23" w:history="1">
        <w:r w:rsidR="00581974" w:rsidRPr="00B56767">
          <w:rPr>
            <w:rStyle w:val="Hyperlink"/>
            <w:rFonts w:asciiTheme="minorHAnsi" w:hAnsiTheme="minorHAnsi" w:cstheme="minorHAnsi"/>
            <w:szCs w:val="24"/>
          </w:rPr>
          <w:t>https://council.itu.int/2023/en/news/speeches/speech-director-general-of-wipo-daren-tang/</w:t>
        </w:r>
      </w:hyperlink>
      <w:r w:rsidR="008A7AD7" w:rsidRPr="00B56767">
        <w:t>.</w:t>
      </w:r>
    </w:p>
    <w:p w14:paraId="33CFC4E8" w14:textId="1E9FD994" w:rsidR="001C5CBC" w:rsidRPr="00B56767" w:rsidRDefault="001C5CBC" w:rsidP="006D05F9">
      <w:pPr>
        <w:pStyle w:val="Heading1"/>
        <w:rPr>
          <w:rFonts w:asciiTheme="minorHAnsi" w:hAnsiTheme="minorHAnsi" w:cstheme="minorHAnsi"/>
          <w:bCs/>
          <w:color w:val="000000"/>
          <w:szCs w:val="24"/>
        </w:rPr>
      </w:pPr>
      <w:r w:rsidRPr="00B56767">
        <w:t>2</w:t>
      </w:r>
      <w:r w:rsidRPr="00B56767">
        <w:tab/>
      </w:r>
      <w:r w:rsidR="002E375D" w:rsidRPr="00B56767">
        <w:t>Activités de l'UIT relatives au renforcement du rôle de l'Union dans l'instauration de la confiance et de la sécurité dans l'utilisation des technologies de l'information et de la communication</w:t>
      </w:r>
      <w:r w:rsidR="002E375D" w:rsidRPr="00B56767">
        <w:rPr>
          <w:bCs/>
          <w:szCs w:val="24"/>
        </w:rPr>
        <w:t xml:space="preserve"> </w:t>
      </w:r>
      <w:r w:rsidR="002E375D" w:rsidRPr="00B56767">
        <w:rPr>
          <w:rFonts w:asciiTheme="minorHAnsi" w:hAnsiTheme="minorHAnsi" w:cstheme="minorHAnsi"/>
          <w:bCs/>
          <w:szCs w:val="24"/>
        </w:rPr>
        <w:t>(Documents </w:t>
      </w:r>
      <w:hyperlink r:id="rId24" w:history="1">
        <w:r w:rsidR="002E375D" w:rsidRPr="00B56767">
          <w:rPr>
            <w:rStyle w:val="Hyperlink"/>
            <w:rFonts w:asciiTheme="minorHAnsi" w:hAnsiTheme="minorHAnsi" w:cstheme="minorHAnsi"/>
            <w:bCs/>
            <w:szCs w:val="24"/>
          </w:rPr>
          <w:t>C23/38</w:t>
        </w:r>
      </w:hyperlink>
      <w:r w:rsidR="002E375D" w:rsidRPr="00B56767">
        <w:rPr>
          <w:rFonts w:asciiTheme="minorHAnsi" w:hAnsiTheme="minorHAnsi" w:cstheme="minorHAnsi"/>
          <w:bCs/>
          <w:szCs w:val="24"/>
        </w:rPr>
        <w:t xml:space="preserve"> et </w:t>
      </w:r>
      <w:hyperlink r:id="rId25" w:history="1">
        <w:r w:rsidR="002E375D" w:rsidRPr="00B56767">
          <w:rPr>
            <w:rStyle w:val="Hyperlink"/>
            <w:rFonts w:asciiTheme="minorHAnsi" w:hAnsiTheme="minorHAnsi" w:cstheme="minorHAnsi"/>
            <w:bCs/>
            <w:szCs w:val="24"/>
          </w:rPr>
          <w:t>C23/93(Rév.1)</w:t>
        </w:r>
      </w:hyperlink>
      <w:r w:rsidR="002E375D" w:rsidRPr="00B56767">
        <w:rPr>
          <w:rFonts w:asciiTheme="minorHAnsi" w:hAnsiTheme="minorHAnsi" w:cstheme="minorHAnsi"/>
          <w:bCs/>
          <w:szCs w:val="24"/>
        </w:rPr>
        <w:t>)</w:t>
      </w:r>
    </w:p>
    <w:p w14:paraId="5CC5197F" w14:textId="16B6691C" w:rsidR="002E375D" w:rsidRPr="00B56767" w:rsidRDefault="002E375D" w:rsidP="006D05F9">
      <w:r w:rsidRPr="00B56767">
        <w:t>2.1</w:t>
      </w:r>
      <w:r w:rsidRPr="00B56767">
        <w:tab/>
      </w:r>
      <w:r w:rsidR="00232460" w:rsidRPr="00B56767">
        <w:t>Un repr</w:t>
      </w:r>
      <w:r w:rsidR="00AE3867" w:rsidRPr="00B56767">
        <w:t>é</w:t>
      </w:r>
      <w:r w:rsidR="00232460" w:rsidRPr="00B56767">
        <w:t xml:space="preserve">sentant du Secrétariat général présente le </w:t>
      </w:r>
      <w:r w:rsidRPr="00B56767">
        <w:t xml:space="preserve">Document C23/38, </w:t>
      </w:r>
      <w:r w:rsidR="00542AFD" w:rsidRPr="00B56767">
        <w:t>qui contient un résumé des activités menées par l'UIT au titre de la Résolution 130 (Rév. Bucarest, 2022) de la C</w:t>
      </w:r>
      <w:r w:rsidR="00ED50B7" w:rsidRPr="00B56767">
        <w:t>o</w:t>
      </w:r>
      <w:r w:rsidR="00542AFD" w:rsidRPr="00B56767">
        <w:t>nférence de plénipotentiaires</w:t>
      </w:r>
      <w:r w:rsidR="00AD3C92" w:rsidRPr="00B56767">
        <w:t xml:space="preserve"> (PP)</w:t>
      </w:r>
      <w:r w:rsidR="00542AFD" w:rsidRPr="00B56767">
        <w:t>,</w:t>
      </w:r>
      <w:r w:rsidR="00ED50B7" w:rsidRPr="00B56767">
        <w:t xml:space="preserve"> de son </w:t>
      </w:r>
      <w:r w:rsidR="00477988" w:rsidRPr="00B56767">
        <w:t>rôle</w:t>
      </w:r>
      <w:r w:rsidR="00ED50B7" w:rsidRPr="00B56767">
        <w:t xml:space="preserve"> en tant que coordonnateur unique pour la grande orientation C5 du SMSI et des décisions relatives au renforcement du rôle de l'UIT dans l'instauration de la confiance et de la sécurité dans l'utilisation des TIC. </w:t>
      </w:r>
      <w:r w:rsidR="00477988" w:rsidRPr="00B56767">
        <w:t>Le rapport est structuré d'après les cinq piliers du Programme mondial cybersécurité (GCA) et fait apparaître la complémentarité des travaux des trois Secteurs</w:t>
      </w:r>
      <w:r w:rsidR="007A7DC4" w:rsidRPr="00B56767">
        <w:t xml:space="preserve"> de l'UIT</w:t>
      </w:r>
      <w:r w:rsidR="00477988" w:rsidRPr="00B56767">
        <w:t>.</w:t>
      </w:r>
    </w:p>
    <w:p w14:paraId="106FFA20" w14:textId="70A1D377" w:rsidR="002E375D" w:rsidRPr="00B56767" w:rsidRDefault="002E375D" w:rsidP="006D05F9">
      <w:r w:rsidRPr="00B56767">
        <w:t>2.2</w:t>
      </w:r>
      <w:r w:rsidRPr="00B56767">
        <w:tab/>
      </w:r>
      <w:r w:rsidR="006275A5" w:rsidRPr="00B56767">
        <w:t xml:space="preserve">Le conseiller du Brésil présente le </w:t>
      </w:r>
      <w:r w:rsidRPr="00B56767">
        <w:t>Document C23/93(R</w:t>
      </w:r>
      <w:r w:rsidR="00FB7577" w:rsidRPr="00B56767">
        <w:t>é</w:t>
      </w:r>
      <w:r w:rsidRPr="00B56767">
        <w:t xml:space="preserve">v.1), </w:t>
      </w:r>
      <w:r w:rsidR="00FB7577" w:rsidRPr="00B56767">
        <w:t xml:space="preserve">qui contient un projet de décision </w:t>
      </w:r>
      <w:r w:rsidR="003A351A" w:rsidRPr="00B56767">
        <w:t>en vertu duquel l</w:t>
      </w:r>
      <w:r w:rsidR="00B35E24" w:rsidRPr="00B56767">
        <w:t>e</w:t>
      </w:r>
      <w:r w:rsidR="003A351A" w:rsidRPr="00B56767">
        <w:t xml:space="preserve"> Secrétaire général et les Directeurs des Bureaux sont chargés, conformément à la grande orientation C5 du SMSI, </w:t>
      </w:r>
      <w:r w:rsidR="003C02DD" w:rsidRPr="00B56767">
        <w:t xml:space="preserve">de mettre en place et </w:t>
      </w:r>
      <w:r w:rsidR="00485217" w:rsidRPr="00B56767">
        <w:t>de tenir à jour</w:t>
      </w:r>
      <w:r w:rsidR="003C02DD" w:rsidRPr="00B56767">
        <w:t xml:space="preserve"> des </w:t>
      </w:r>
      <w:r w:rsidR="00551CA8" w:rsidRPr="00B56767">
        <w:t>res</w:t>
      </w:r>
      <w:r w:rsidR="003C02DD" w:rsidRPr="00B56767">
        <w:t>sources d'information destinées aux États Membres</w:t>
      </w:r>
      <w:r w:rsidR="004A6B19" w:rsidRPr="00B56767">
        <w:t xml:space="preserve"> comp</w:t>
      </w:r>
      <w:r w:rsidR="00E91873" w:rsidRPr="00B56767">
        <w:t>r</w:t>
      </w:r>
      <w:r w:rsidR="004A6B19" w:rsidRPr="00B56767">
        <w:t xml:space="preserve">enant, notamment, </w:t>
      </w:r>
      <w:r w:rsidR="00E91873" w:rsidRPr="00B56767">
        <w:t xml:space="preserve">des exemples de bonnes pratiques en matière de cybersécurité et de cyberrésilience, </w:t>
      </w:r>
      <w:r w:rsidR="008B3DF6" w:rsidRPr="00B56767">
        <w:t>des sources répertoriant les conseils, l'assistance et les orientations, ainsi que des renseig</w:t>
      </w:r>
      <w:r w:rsidR="000B2042" w:rsidRPr="00B56767">
        <w:t>n</w:t>
      </w:r>
      <w:r w:rsidR="008B3DF6" w:rsidRPr="00B56767">
        <w:t>ements sur les programmes de renforcement des capacités.</w:t>
      </w:r>
    </w:p>
    <w:p w14:paraId="32DB6110" w14:textId="6B46EBD6" w:rsidR="002E375D" w:rsidRPr="00B56767" w:rsidRDefault="002E375D" w:rsidP="006D05F9">
      <w:r w:rsidRPr="00B56767">
        <w:t>2.3</w:t>
      </w:r>
      <w:r w:rsidRPr="00B56767">
        <w:tab/>
      </w:r>
      <w:r w:rsidR="001C1ECC" w:rsidRPr="00B56767">
        <w:t>De nombre</w:t>
      </w:r>
      <w:r w:rsidR="0076049A" w:rsidRPr="00B56767">
        <w:t>u</w:t>
      </w:r>
      <w:r w:rsidR="001C1ECC" w:rsidRPr="00B56767">
        <w:t>x conseillers et deux observateurs se disent favorables au projet de décision.</w:t>
      </w:r>
    </w:p>
    <w:p w14:paraId="25276893" w14:textId="1AD25347" w:rsidR="002E375D" w:rsidRPr="00B56767" w:rsidRDefault="002E375D" w:rsidP="006D05F9">
      <w:r w:rsidRPr="00B56767">
        <w:t>2.4</w:t>
      </w:r>
      <w:r w:rsidRPr="00B56767">
        <w:tab/>
      </w:r>
      <w:r w:rsidR="00DA7842" w:rsidRPr="00B56767">
        <w:t xml:space="preserve">Plusieurs conseillers et deux observateurs soulignent l'importance de renforcer la cybersécurité à l'échelle mondiale </w:t>
      </w:r>
      <w:r w:rsidR="00F1322A" w:rsidRPr="00B56767">
        <w:t xml:space="preserve">et mettent en relief le rôle </w:t>
      </w:r>
      <w:r w:rsidR="00B35E24" w:rsidRPr="00B56767">
        <w:t xml:space="preserve">d'agent du </w:t>
      </w:r>
      <w:r w:rsidR="00F1322A" w:rsidRPr="00B56767">
        <w:t xml:space="preserve">renforcement des capacités </w:t>
      </w:r>
      <w:r w:rsidR="00B35E24" w:rsidRPr="00B56767">
        <w:t xml:space="preserve">que joue l'UIT </w:t>
      </w:r>
      <w:r w:rsidR="00F1322A" w:rsidRPr="00B56767">
        <w:t xml:space="preserve">à cet égard. </w:t>
      </w:r>
      <w:r w:rsidR="000F5525" w:rsidRPr="00B56767">
        <w:t xml:space="preserve">Certains conseillers </w:t>
      </w:r>
      <w:r w:rsidR="00A11231" w:rsidRPr="00B56767">
        <w:t xml:space="preserve">réaffirment l'engagement de leur pays à </w:t>
      </w:r>
      <w:r w:rsidR="000F5525" w:rsidRPr="00B56767">
        <w:t xml:space="preserve">appuyer les travaux de l'UIT dans le domaine de la cybersécurité et mettent en avant les efforts déployés </w:t>
      </w:r>
      <w:r w:rsidR="00B35E24" w:rsidRPr="00B56767">
        <w:t xml:space="preserve">au niveau national </w:t>
      </w:r>
      <w:r w:rsidR="005722C5" w:rsidRPr="00B56767">
        <w:t>à cet effet.</w:t>
      </w:r>
    </w:p>
    <w:p w14:paraId="73E386FF" w14:textId="51D1923F" w:rsidR="002E375D" w:rsidRPr="00B56767" w:rsidRDefault="002E375D" w:rsidP="006D05F9">
      <w:r w:rsidRPr="00B56767">
        <w:t>2.5</w:t>
      </w:r>
      <w:r w:rsidRPr="00B56767">
        <w:tab/>
      </w:r>
      <w:r w:rsidR="00227A99" w:rsidRPr="00B56767">
        <w:t xml:space="preserve">Une conseillère appelle </w:t>
      </w:r>
      <w:r w:rsidR="00D83079" w:rsidRPr="00B56767">
        <w:t xml:space="preserve">à établir un pacte mondial juridiquement contraignant concernant l'utilisation pacifique des TIC, qui interdirait </w:t>
      </w:r>
      <w:r w:rsidR="003573E2" w:rsidRPr="00B56767">
        <w:t xml:space="preserve">l'utilisation des réseaux sociaux </w:t>
      </w:r>
      <w:r w:rsidR="00397F3C" w:rsidRPr="00B56767">
        <w:t xml:space="preserve">pour inciter à la guerre ou à la violence, réduirait la fracture numérique, lèverait les obstacles aux investissements </w:t>
      </w:r>
      <w:r w:rsidR="00BC357B" w:rsidRPr="00B56767">
        <w:t>en faveur des</w:t>
      </w:r>
      <w:r w:rsidR="00397F3C" w:rsidRPr="00B56767">
        <w:t xml:space="preserve"> TIC </w:t>
      </w:r>
      <w:r w:rsidR="00C0496F" w:rsidRPr="00B56767">
        <w:t>dans les</w:t>
      </w:r>
      <w:r w:rsidR="00397F3C" w:rsidRPr="00B56767">
        <w:t xml:space="preserve"> pays en développement, comblerait les lacunes dans la légis</w:t>
      </w:r>
      <w:r w:rsidR="00082EF4" w:rsidRPr="00B56767">
        <w:t>l</w:t>
      </w:r>
      <w:r w:rsidR="00397F3C" w:rsidRPr="00B56767">
        <w:t>ation existante en matière de cybersécurité et</w:t>
      </w:r>
      <w:r w:rsidR="00D978E5" w:rsidRPr="00B56767">
        <w:t xml:space="preserve"> favorise</w:t>
      </w:r>
      <w:r w:rsidR="00A52985" w:rsidRPr="00B56767">
        <w:t>rai</w:t>
      </w:r>
      <w:r w:rsidR="00D978E5" w:rsidRPr="00B56767">
        <w:t xml:space="preserve">t la coopération internationale en vue de faire face aux menaces actuelles et futures, notamment </w:t>
      </w:r>
      <w:r w:rsidR="00B101C4" w:rsidRPr="00B56767">
        <w:t>grâce au</w:t>
      </w:r>
      <w:r w:rsidR="00D978E5" w:rsidRPr="00B56767">
        <w:t xml:space="preserve"> renforcement des capacités, </w:t>
      </w:r>
      <w:r w:rsidR="00020354" w:rsidRPr="00B56767">
        <w:t xml:space="preserve">à </w:t>
      </w:r>
      <w:r w:rsidR="007A43BF" w:rsidRPr="00B56767">
        <w:t xml:space="preserve">l'échange de bonnes pratiques et </w:t>
      </w:r>
      <w:r w:rsidR="00020354" w:rsidRPr="00B56767">
        <w:t xml:space="preserve">à </w:t>
      </w:r>
      <w:r w:rsidR="007A43BF" w:rsidRPr="00B56767">
        <w:t xml:space="preserve">la normalisation des systèmes de classification </w:t>
      </w:r>
      <w:r w:rsidR="00251C82" w:rsidRPr="00B56767">
        <w:t>des cyberdélits</w:t>
      </w:r>
      <w:r w:rsidR="007A43BF" w:rsidRPr="00B56767">
        <w:t xml:space="preserve">. </w:t>
      </w:r>
      <w:r w:rsidR="00C93F33" w:rsidRPr="00B56767">
        <w:t xml:space="preserve">L'UIT doit jouer un rôle </w:t>
      </w:r>
      <w:r w:rsidR="00251C82" w:rsidRPr="00B56767">
        <w:t xml:space="preserve">central </w:t>
      </w:r>
      <w:r w:rsidR="00C93F33" w:rsidRPr="00B56767">
        <w:t>dans ces efforts</w:t>
      </w:r>
      <w:r w:rsidR="00DF4405" w:rsidRPr="00B56767">
        <w:t>.</w:t>
      </w:r>
    </w:p>
    <w:p w14:paraId="7ABEDC4B" w14:textId="3A210D84" w:rsidR="002E375D" w:rsidRPr="00B56767" w:rsidRDefault="002E375D" w:rsidP="006D05F9">
      <w:r w:rsidRPr="00B56767">
        <w:lastRenderedPageBreak/>
        <w:t>2.6</w:t>
      </w:r>
      <w:r w:rsidRPr="00B56767">
        <w:tab/>
      </w:r>
      <w:r w:rsidR="00F319BA" w:rsidRPr="00B56767">
        <w:t>En réponse aux questions posées, l</w:t>
      </w:r>
      <w:r w:rsidR="00271108" w:rsidRPr="00B56767">
        <w:t>e repr</w:t>
      </w:r>
      <w:r w:rsidR="000773FE" w:rsidRPr="00B56767">
        <w:t>é</w:t>
      </w:r>
      <w:r w:rsidR="00271108" w:rsidRPr="00B56767">
        <w:t>sentant du Secrétariat général</w:t>
      </w:r>
      <w:r w:rsidR="00F319BA" w:rsidRPr="00B56767">
        <w:t xml:space="preserve"> explique que, bien qu'elle n'ait participé à aucune réunion du Groupe d</w:t>
      </w:r>
      <w:r w:rsidR="0068590A" w:rsidRPr="00B56767">
        <w:t>'</w:t>
      </w:r>
      <w:r w:rsidR="00F319BA" w:rsidRPr="00B56767">
        <w:t>experts gouvernementaux chargé d</w:t>
      </w:r>
      <w:r w:rsidR="0068590A" w:rsidRPr="00B56767">
        <w:t>'</w:t>
      </w:r>
      <w:r w:rsidR="00F319BA" w:rsidRPr="00B56767">
        <w:t>examiner les moyens de favoriser le comportement responsable des États dans le cyberespace dans le contexte de la sécurité internationale</w:t>
      </w:r>
      <w:r w:rsidR="0068590A" w:rsidRPr="00B56767">
        <w:t>, l'UIT travaille en étroite collaboration avec le Bureau des affaires de désarmement de l'Organisation des</w:t>
      </w:r>
      <w:r w:rsidR="002908D7" w:rsidRPr="00B56767">
        <w:t xml:space="preserve"> </w:t>
      </w:r>
      <w:r w:rsidR="0068590A" w:rsidRPr="00B56767">
        <w:t>Nations Unies (ONU) et l'Institut des</w:t>
      </w:r>
      <w:r w:rsidR="002908D7" w:rsidRPr="00B56767">
        <w:t xml:space="preserve"> </w:t>
      </w:r>
      <w:r w:rsidR="0068590A" w:rsidRPr="00B56767">
        <w:t xml:space="preserve">Nations Unies pour la recherche sur le désarmement </w:t>
      </w:r>
      <w:r w:rsidR="00F13631" w:rsidRPr="00B56767">
        <w:t xml:space="preserve">concernant </w:t>
      </w:r>
      <w:r w:rsidR="0029595D" w:rsidRPr="00B56767">
        <w:t xml:space="preserve">des initiatives dans ce domaine. </w:t>
      </w:r>
      <w:r w:rsidR="00AD0CE0" w:rsidRPr="00B56767">
        <w:t>L'UIT participe en tant qu'observateur au Groupe de travail à composition non limitée sur la sécurité d</w:t>
      </w:r>
      <w:r w:rsidR="001A2F18" w:rsidRPr="00B56767">
        <w:t>es TIC</w:t>
      </w:r>
      <w:r w:rsidR="00AD0CE0" w:rsidRPr="00B56767">
        <w:t xml:space="preserve"> et de </w:t>
      </w:r>
      <w:r w:rsidR="001A2F18" w:rsidRPr="00B56767">
        <w:t>leur</w:t>
      </w:r>
      <w:r w:rsidR="00AD0CE0" w:rsidRPr="00B56767">
        <w:t xml:space="preserve"> utilisation</w:t>
      </w:r>
      <w:r w:rsidR="0018419A" w:rsidRPr="00B56767">
        <w:t xml:space="preserve"> et a organisé des manifestations parallèles sur le renforcement des capacités. </w:t>
      </w:r>
      <w:r w:rsidR="002E299A" w:rsidRPr="00B56767">
        <w:t>De</w:t>
      </w:r>
      <w:r w:rsidR="00B1097D" w:rsidRPr="00B56767">
        <w:t> </w:t>
      </w:r>
      <w:r w:rsidR="002E299A" w:rsidRPr="00B56767">
        <w:t xml:space="preserve">plus, le Secrétariat met </w:t>
      </w:r>
      <w:r w:rsidR="00B24EE0" w:rsidRPr="00B56767">
        <w:t>l'accent sur</w:t>
      </w:r>
      <w:r w:rsidR="002E299A" w:rsidRPr="00B56767">
        <w:t xml:space="preserve"> l'examen sur deux ans du Programme GCA, </w:t>
      </w:r>
      <w:r w:rsidR="00BE3D85" w:rsidRPr="00B56767">
        <w:t>dans le cadre</w:t>
      </w:r>
      <w:r w:rsidR="002E299A" w:rsidRPr="00B56767">
        <w:t xml:space="preserve"> duquel il a soumis deux rapports à la Conférence de plénipotentiaires. </w:t>
      </w:r>
      <w:r w:rsidR="00072653" w:rsidRPr="00B56767">
        <w:t xml:space="preserve">En ce qui concerne le renforcement des capacités, l'UIT </w:t>
      </w:r>
      <w:r w:rsidR="00251C82" w:rsidRPr="00B56767">
        <w:t>élabore actuellement</w:t>
      </w:r>
      <w:r w:rsidR="00072653" w:rsidRPr="00B56767">
        <w:t xml:space="preserve"> des programmes de formation en matière de cybersécurité à l'intention </w:t>
      </w:r>
      <w:r w:rsidR="00283EC9" w:rsidRPr="00B56767">
        <w:t xml:space="preserve">des membres </w:t>
      </w:r>
      <w:r w:rsidR="00A93E0B" w:rsidRPr="00B56767">
        <w:t>du personnel</w:t>
      </w:r>
      <w:r w:rsidR="00072653" w:rsidRPr="00B56767">
        <w:t xml:space="preserve"> et des diplomates. </w:t>
      </w:r>
      <w:r w:rsidR="00A93E0B" w:rsidRPr="00B56767">
        <w:t xml:space="preserve">En outre, </w:t>
      </w:r>
      <w:r w:rsidR="00A869FD" w:rsidRPr="00B56767">
        <w:t xml:space="preserve">conformément à la Résolution 130 (Rév. Bucarest, 2022) de la </w:t>
      </w:r>
      <w:r w:rsidR="00AF179A" w:rsidRPr="00B56767">
        <w:t>PP</w:t>
      </w:r>
      <w:r w:rsidR="00A869FD" w:rsidRPr="00B56767">
        <w:t xml:space="preserve">, le Secrétariat a mis en place une plate-forme permettant des échanges de données d'expérience </w:t>
      </w:r>
      <w:r w:rsidR="006271C7" w:rsidRPr="00B56767">
        <w:t xml:space="preserve">relatives aux activités de cybersécurité et coopère actuellement avec </w:t>
      </w:r>
      <w:r w:rsidR="00D32874" w:rsidRPr="00B56767">
        <w:t>des institutions des</w:t>
      </w:r>
      <w:r w:rsidR="006271C7" w:rsidRPr="00B56767">
        <w:t xml:space="preserve"> Nations Unies en vue de </w:t>
      </w:r>
      <w:r w:rsidR="00E265D7" w:rsidRPr="00B56767">
        <w:t>recenser</w:t>
      </w:r>
      <w:r w:rsidR="006271C7" w:rsidRPr="00B56767">
        <w:t xml:space="preserve"> les activités en cours. </w:t>
      </w:r>
      <w:r w:rsidR="008C20A0" w:rsidRPr="00B56767">
        <w:t xml:space="preserve">Cependant, il n'existe pas de répertoire </w:t>
      </w:r>
      <w:r w:rsidR="00742A5A" w:rsidRPr="00B56767">
        <w:t xml:space="preserve">unique </w:t>
      </w:r>
      <w:r w:rsidR="008C20A0" w:rsidRPr="00B56767">
        <w:t>d'information</w:t>
      </w:r>
      <w:r w:rsidR="00742A5A" w:rsidRPr="00B56767">
        <w:t>s</w:t>
      </w:r>
      <w:r w:rsidR="008C20A0" w:rsidRPr="00B56767">
        <w:t xml:space="preserve">. </w:t>
      </w:r>
      <w:r w:rsidR="00742A5A" w:rsidRPr="00B56767">
        <w:t>Bien qu'il reconnaiss</w:t>
      </w:r>
      <w:r w:rsidR="00251C82" w:rsidRPr="00B56767">
        <w:t>e</w:t>
      </w:r>
      <w:r w:rsidR="00742A5A" w:rsidRPr="00B56767">
        <w:t xml:space="preserve"> </w:t>
      </w:r>
      <w:r w:rsidR="00D30C65" w:rsidRPr="00B56767">
        <w:t>l'utilité d'une</w:t>
      </w:r>
      <w:r w:rsidR="00742A5A" w:rsidRPr="00B56767">
        <w:t xml:space="preserve"> telle ressource, l'orateur avertit qu'il faudra du temps et des ressources pour la mettre au point.</w:t>
      </w:r>
    </w:p>
    <w:p w14:paraId="07162C99" w14:textId="1B45F889" w:rsidR="002E375D" w:rsidRPr="00B56767" w:rsidRDefault="002E375D" w:rsidP="006D05F9">
      <w:r w:rsidRPr="00B56767">
        <w:t>2.7</w:t>
      </w:r>
      <w:r w:rsidRPr="00B56767">
        <w:tab/>
      </w:r>
      <w:r w:rsidR="000B719A" w:rsidRPr="00B56767">
        <w:t>Un repr</w:t>
      </w:r>
      <w:r w:rsidR="00617471" w:rsidRPr="00B56767">
        <w:t>é</w:t>
      </w:r>
      <w:r w:rsidR="000B719A" w:rsidRPr="00B56767">
        <w:t xml:space="preserve">sentant du BDT </w:t>
      </w:r>
      <w:r w:rsidR="008C0567" w:rsidRPr="00B56767">
        <w:t>indique qu</w:t>
      </w:r>
      <w:r w:rsidR="004B62BC" w:rsidRPr="00B56767">
        <w:t>e, pour donner suite</w:t>
      </w:r>
      <w:r w:rsidR="008C0567" w:rsidRPr="00B56767">
        <w:t xml:space="preserve"> à une demande </w:t>
      </w:r>
      <w:r w:rsidR="00251C82" w:rsidRPr="00B56767">
        <w:t>adressée au</w:t>
      </w:r>
      <w:r w:rsidR="008C0567" w:rsidRPr="00B56767">
        <w:t xml:space="preserve"> Groupe consultatif pour le développement des télécommunications (GCDT)</w:t>
      </w:r>
      <w:r w:rsidR="00251C82" w:rsidRPr="00B56767">
        <w:t xml:space="preserve"> par le Royaume</w:t>
      </w:r>
      <w:r w:rsidR="00B1097D" w:rsidRPr="00B56767">
        <w:noBreakHyphen/>
      </w:r>
      <w:r w:rsidR="00251C82" w:rsidRPr="00B56767">
        <w:t>Uni</w:t>
      </w:r>
      <w:r w:rsidR="008C0567" w:rsidRPr="00B56767">
        <w:t xml:space="preserve">, le BDT </w:t>
      </w:r>
      <w:r w:rsidR="0056673F" w:rsidRPr="00B56767">
        <w:t xml:space="preserve">est convenu </w:t>
      </w:r>
      <w:r w:rsidR="00251C82" w:rsidRPr="00B56767">
        <w:t>d'effectuer un travail de recensement des</w:t>
      </w:r>
      <w:r w:rsidR="00620AFE" w:rsidRPr="00B56767">
        <w:t xml:space="preserve"> activités actuelles et prévues de renforcement des capacités en matière de cybersécurité</w:t>
      </w:r>
      <w:r w:rsidR="00CF7690" w:rsidRPr="00B56767">
        <w:t xml:space="preserve">. Les résultats de ce </w:t>
      </w:r>
      <w:r w:rsidR="00251C82" w:rsidRPr="00B56767">
        <w:t xml:space="preserve">travail </w:t>
      </w:r>
      <w:r w:rsidR="00CF7690" w:rsidRPr="00B56767">
        <w:t xml:space="preserve">pourraient appuyer la mise au point de la ressource d'informations proposée. </w:t>
      </w:r>
      <w:r w:rsidR="006A7D5B" w:rsidRPr="00B56767">
        <w:t>Cependant, à</w:t>
      </w:r>
      <w:r w:rsidR="00F80B63" w:rsidRPr="00B56767">
        <w:t xml:space="preserve"> la lumière des difficultés rencontrées </w:t>
      </w:r>
      <w:r w:rsidR="00293A2D" w:rsidRPr="00B56767">
        <w:t xml:space="preserve">pour obtenir des données </w:t>
      </w:r>
      <w:r w:rsidR="00D762B9" w:rsidRPr="00B56767">
        <w:t xml:space="preserve">auprès </w:t>
      </w:r>
      <w:r w:rsidR="00293A2D" w:rsidRPr="00B56767">
        <w:t xml:space="preserve">des États Membres </w:t>
      </w:r>
      <w:r w:rsidR="00D762B9" w:rsidRPr="00B56767">
        <w:t>dans le cadre</w:t>
      </w:r>
      <w:r w:rsidR="00293A2D" w:rsidRPr="00B56767">
        <w:t xml:space="preserve"> de l'élaboration de l'Indice mondial de cybersécurité</w:t>
      </w:r>
      <w:r w:rsidR="006A7D5B" w:rsidRPr="00B56767">
        <w:t xml:space="preserve">, l'orateur souligne que tout effort visant à créer une nouvelle ressource d'informations reposerait sur des </w:t>
      </w:r>
      <w:r w:rsidR="00251C82" w:rsidRPr="00B56767">
        <w:t>éléments communiqués par le</w:t>
      </w:r>
      <w:r w:rsidR="006A7D5B" w:rsidRPr="00B56767">
        <w:t xml:space="preserve"> Secrétariat et </w:t>
      </w:r>
      <w:r w:rsidR="00251C82" w:rsidRPr="00B56767">
        <w:t>l</w:t>
      </w:r>
      <w:r w:rsidR="006A7D5B" w:rsidRPr="00B56767">
        <w:t>es États</w:t>
      </w:r>
      <w:r w:rsidR="00B1097D" w:rsidRPr="00B56767">
        <w:t> </w:t>
      </w:r>
      <w:r w:rsidR="006A7D5B" w:rsidRPr="00B56767">
        <w:t>Membres.</w:t>
      </w:r>
    </w:p>
    <w:p w14:paraId="78B9AD17" w14:textId="1FE4F5F6" w:rsidR="002E375D" w:rsidRPr="00B56767" w:rsidRDefault="002E375D" w:rsidP="006D05F9">
      <w:r w:rsidRPr="00B56767">
        <w:t>2.8</w:t>
      </w:r>
      <w:r w:rsidRPr="00B56767">
        <w:tab/>
      </w:r>
      <w:r w:rsidR="00377F29" w:rsidRPr="00B56767">
        <w:t>Le conseiller du Brésil</w:t>
      </w:r>
      <w:r w:rsidR="0090103C" w:rsidRPr="00B56767">
        <w:t xml:space="preserve"> </w:t>
      </w:r>
      <w:r w:rsidR="00251C82" w:rsidRPr="00B56767">
        <w:t xml:space="preserve">explique </w:t>
      </w:r>
      <w:r w:rsidR="0090103C" w:rsidRPr="00B56767">
        <w:t xml:space="preserve">que, </w:t>
      </w:r>
      <w:r w:rsidR="00EC502F" w:rsidRPr="00B56767">
        <w:t xml:space="preserve">en réponse aux observations soumises par les États Membres </w:t>
      </w:r>
      <w:r w:rsidR="00251C82" w:rsidRPr="00B56767">
        <w:t xml:space="preserve">sur </w:t>
      </w:r>
      <w:r w:rsidR="00EC502F" w:rsidRPr="00B56767">
        <w:t xml:space="preserve">la première version du projet de décision </w:t>
      </w:r>
      <w:r w:rsidR="0048710C" w:rsidRPr="00B56767">
        <w:t>propos</w:t>
      </w:r>
      <w:r w:rsidR="0060780D" w:rsidRPr="00B56767">
        <w:t>é</w:t>
      </w:r>
      <w:r w:rsidR="0048710C" w:rsidRPr="00B56767">
        <w:t xml:space="preserve">, </w:t>
      </w:r>
      <w:r w:rsidR="00B55DB4" w:rsidRPr="00B56767">
        <w:t>sa délégation a révisé le texte afin de supprimer les références aux t</w:t>
      </w:r>
      <w:r w:rsidR="00231A09" w:rsidRPr="00B56767">
        <w:t>â</w:t>
      </w:r>
      <w:r w:rsidR="00B55DB4" w:rsidRPr="00B56767">
        <w:t xml:space="preserve">ches </w:t>
      </w:r>
      <w:r w:rsidR="00272A5C" w:rsidRPr="00B56767">
        <w:t xml:space="preserve">confiées </w:t>
      </w:r>
      <w:r w:rsidR="00B55DB4" w:rsidRPr="00B56767">
        <w:t>au Groupe de travail du Conseil sur le SMSI et les Objectifs de développement durable</w:t>
      </w:r>
      <w:r w:rsidR="00231A09" w:rsidRPr="00B56767">
        <w:t xml:space="preserve"> (ODD) (GTC-SMSI/ODD)</w:t>
      </w:r>
      <w:r w:rsidR="00B55DB4" w:rsidRPr="00B56767">
        <w:t xml:space="preserve">, en vue d'éviter </w:t>
      </w:r>
      <w:r w:rsidR="00231A09" w:rsidRPr="00B56767">
        <w:t>tout</w:t>
      </w:r>
      <w:r w:rsidR="00B55DB4" w:rsidRPr="00B56767">
        <w:t xml:space="preserve"> chevauchement d'activité.</w:t>
      </w:r>
    </w:p>
    <w:p w14:paraId="6B517E42" w14:textId="668B7ADB" w:rsidR="00010CB0" w:rsidRPr="00B56767" w:rsidRDefault="002E375D" w:rsidP="006D05F9">
      <w:r w:rsidRPr="00B56767">
        <w:t>2.9</w:t>
      </w:r>
      <w:r w:rsidRPr="00B56767">
        <w:tab/>
      </w:r>
      <w:r w:rsidR="00851871" w:rsidRPr="00B56767">
        <w:t xml:space="preserve">Le Conseil </w:t>
      </w:r>
      <w:r w:rsidR="00851871" w:rsidRPr="00B56767">
        <w:rPr>
          <w:b/>
          <w:bCs/>
        </w:rPr>
        <w:t>prend note</w:t>
      </w:r>
      <w:r w:rsidR="00851871" w:rsidRPr="00B56767">
        <w:t xml:space="preserve"> du</w:t>
      </w:r>
      <w:r w:rsidRPr="00B56767">
        <w:t xml:space="preserve"> Document C23/38 </w:t>
      </w:r>
      <w:r w:rsidR="00851871" w:rsidRPr="00B56767">
        <w:t>et</w:t>
      </w:r>
      <w:r w:rsidRPr="00B56767">
        <w:t xml:space="preserve"> </w:t>
      </w:r>
      <w:r w:rsidRPr="00B56767">
        <w:rPr>
          <w:b/>
          <w:bCs/>
        </w:rPr>
        <w:t>adopte</w:t>
      </w:r>
      <w:r w:rsidR="00851871" w:rsidRPr="00B56767">
        <w:t xml:space="preserve"> la décision figurant dans le </w:t>
      </w:r>
      <w:r w:rsidRPr="00B56767">
        <w:t>Document C23/93(R</w:t>
      </w:r>
      <w:r w:rsidR="00851871" w:rsidRPr="00B56767">
        <w:t>é</w:t>
      </w:r>
      <w:r w:rsidRPr="00B56767">
        <w:t>v.1).</w:t>
      </w:r>
    </w:p>
    <w:p w14:paraId="02C6B00D" w14:textId="3B38DA56" w:rsidR="001C5CBC" w:rsidRPr="00B56767" w:rsidRDefault="001C5CBC" w:rsidP="006D05F9">
      <w:pPr>
        <w:pStyle w:val="Heading1"/>
        <w:rPr>
          <w:rFonts w:cstheme="minorHAnsi"/>
          <w:bCs/>
          <w:szCs w:val="24"/>
        </w:rPr>
      </w:pPr>
      <w:r w:rsidRPr="00B56767">
        <w:t>3</w:t>
      </w:r>
      <w:r w:rsidRPr="00B56767">
        <w:tab/>
      </w:r>
      <w:r w:rsidR="002E375D" w:rsidRPr="00B56767">
        <w:t>Vingt-cinq ans du programme de travail de l'UIT sur l'égalité hommes</w:t>
      </w:r>
      <w:r w:rsidR="00947BDC" w:rsidRPr="00B56767">
        <w:noBreakHyphen/>
      </w:r>
      <w:r w:rsidR="002E375D" w:rsidRPr="00B56767">
        <w:t>femmes</w:t>
      </w:r>
      <w:r w:rsidR="002E375D" w:rsidRPr="00B56767">
        <w:rPr>
          <w:rFonts w:cstheme="minorHAnsi"/>
          <w:bCs/>
          <w:szCs w:val="24"/>
        </w:rPr>
        <w:t xml:space="preserve"> </w:t>
      </w:r>
      <w:r w:rsidR="002E375D" w:rsidRPr="00B56767">
        <w:rPr>
          <w:rFonts w:asciiTheme="minorHAnsi" w:hAnsiTheme="minorHAnsi" w:cstheme="minorHAnsi"/>
          <w:bCs/>
          <w:szCs w:val="24"/>
        </w:rPr>
        <w:t>(Documents </w:t>
      </w:r>
      <w:hyperlink r:id="rId26" w:history="1">
        <w:r w:rsidR="002E375D" w:rsidRPr="00B56767">
          <w:rPr>
            <w:rStyle w:val="Hyperlink"/>
            <w:rFonts w:asciiTheme="minorHAnsi" w:hAnsiTheme="minorHAnsi" w:cstheme="minorHAnsi"/>
            <w:bCs/>
            <w:szCs w:val="24"/>
          </w:rPr>
          <w:t>C23/6</w:t>
        </w:r>
      </w:hyperlink>
      <w:r w:rsidR="002E375D" w:rsidRPr="00B56767">
        <w:rPr>
          <w:rFonts w:asciiTheme="minorHAnsi" w:hAnsiTheme="minorHAnsi" w:cstheme="minorHAnsi"/>
          <w:bCs/>
          <w:szCs w:val="24"/>
        </w:rPr>
        <w:t xml:space="preserve">, </w:t>
      </w:r>
      <w:hyperlink r:id="rId27" w:history="1">
        <w:r w:rsidR="002E375D" w:rsidRPr="00B56767">
          <w:rPr>
            <w:rStyle w:val="Hyperlink"/>
            <w:rFonts w:asciiTheme="minorHAnsi" w:hAnsiTheme="minorHAnsi" w:cstheme="minorHAnsi"/>
            <w:bCs/>
            <w:szCs w:val="24"/>
          </w:rPr>
          <w:t>C23/76</w:t>
        </w:r>
      </w:hyperlink>
      <w:r w:rsidR="002E375D" w:rsidRPr="00B56767">
        <w:rPr>
          <w:rFonts w:asciiTheme="minorHAnsi" w:hAnsiTheme="minorHAnsi" w:cstheme="minorHAnsi"/>
          <w:bCs/>
          <w:szCs w:val="24"/>
        </w:rPr>
        <w:t xml:space="preserve"> et </w:t>
      </w:r>
      <w:hyperlink r:id="rId28" w:history="1">
        <w:r w:rsidR="002E375D" w:rsidRPr="00B56767">
          <w:rPr>
            <w:rStyle w:val="Hyperlink"/>
            <w:rFonts w:asciiTheme="minorHAnsi" w:hAnsiTheme="minorHAnsi" w:cstheme="minorHAnsi"/>
            <w:bCs/>
            <w:szCs w:val="24"/>
          </w:rPr>
          <w:t>C23/91+Corr.1</w:t>
        </w:r>
      </w:hyperlink>
      <w:r w:rsidR="002E375D" w:rsidRPr="00B56767">
        <w:rPr>
          <w:rFonts w:asciiTheme="minorHAnsi" w:hAnsiTheme="minorHAnsi" w:cstheme="minorHAnsi"/>
          <w:bCs/>
          <w:szCs w:val="24"/>
        </w:rPr>
        <w:t>)</w:t>
      </w:r>
    </w:p>
    <w:p w14:paraId="3ED6BF93" w14:textId="6D490306" w:rsidR="00195099" w:rsidRPr="00B56767" w:rsidRDefault="00195099" w:rsidP="006D05F9">
      <w:r w:rsidRPr="00B56767">
        <w:t>3.1</w:t>
      </w:r>
      <w:r w:rsidRPr="00B56767">
        <w:tab/>
      </w:r>
      <w:r w:rsidR="00884CA5" w:rsidRPr="00B56767">
        <w:t xml:space="preserve">Un représentant du Secrétariat général présente le Document </w:t>
      </w:r>
      <w:r w:rsidRPr="00B56767">
        <w:t>C23/6</w:t>
      </w:r>
      <w:r w:rsidR="0021377C" w:rsidRPr="00B56767">
        <w:t xml:space="preserve"> et explique que</w:t>
      </w:r>
      <w:r w:rsidR="000D334E" w:rsidRPr="00B56767">
        <w:t xml:space="preserve">, bien que </w:t>
      </w:r>
      <w:r w:rsidR="008A0ADF" w:rsidRPr="00B56767">
        <w:t>le numérique fasse</w:t>
      </w:r>
      <w:r w:rsidR="000C6BAF" w:rsidRPr="00B56767">
        <w:t xml:space="preserve"> désormais</w:t>
      </w:r>
      <w:r w:rsidR="008A0ADF" w:rsidRPr="00B56767">
        <w:t xml:space="preserve"> partie intégrante de notre</w:t>
      </w:r>
      <w:r w:rsidR="0060780D" w:rsidRPr="00B56767">
        <w:t xml:space="preserve"> quotidien</w:t>
      </w:r>
      <w:r w:rsidR="008B4948" w:rsidRPr="00B56767">
        <w:t xml:space="preserve">, </w:t>
      </w:r>
      <w:r w:rsidR="00F66E8C" w:rsidRPr="00B56767">
        <w:t>les femmes et les jeunes filles se heurtent à des disparités en</w:t>
      </w:r>
      <w:r w:rsidR="002C0293" w:rsidRPr="00B56767">
        <w:t xml:space="preserve"> leur défaveur</w:t>
      </w:r>
      <w:r w:rsidR="00807AFD" w:rsidRPr="00B56767">
        <w:t xml:space="preserve"> en</w:t>
      </w:r>
      <w:r w:rsidR="00F66E8C" w:rsidRPr="00B56767">
        <w:t xml:space="preserve"> ce qui concerne l'accès aux technologies numériques et </w:t>
      </w:r>
      <w:r w:rsidR="008B4948" w:rsidRPr="00B56767">
        <w:t>leur utilisation</w:t>
      </w:r>
      <w:r w:rsidR="00F66E8C" w:rsidRPr="00B56767">
        <w:t>,</w:t>
      </w:r>
      <w:r w:rsidR="008B4948" w:rsidRPr="00B56767">
        <w:t xml:space="preserve"> et la fracture numérique entre les hommes et les femmes limite leur pleine participation aux aspects de la société moderne. </w:t>
      </w:r>
      <w:r w:rsidR="009B3112" w:rsidRPr="00B56767">
        <w:t xml:space="preserve">La </w:t>
      </w:r>
      <w:r w:rsidR="00EB1A36" w:rsidRPr="00B56767">
        <w:t>réduction</w:t>
      </w:r>
      <w:r w:rsidR="009B3112" w:rsidRPr="00B56767">
        <w:t xml:space="preserve"> des disparités passe par un engagement </w:t>
      </w:r>
      <w:r w:rsidR="009C60DE" w:rsidRPr="00B56767">
        <w:t xml:space="preserve">de tous les instants </w:t>
      </w:r>
      <w:r w:rsidR="009B3112" w:rsidRPr="00B56767">
        <w:t xml:space="preserve">de la part des parties prenantes. </w:t>
      </w:r>
      <w:bookmarkStart w:id="1" w:name="_Hlk141451673"/>
      <w:r w:rsidR="009C60DE" w:rsidRPr="00B56767">
        <w:t>I</w:t>
      </w:r>
      <w:r w:rsidR="00E0246A" w:rsidRPr="00B56767">
        <w:t xml:space="preserve">l </w:t>
      </w:r>
      <w:r w:rsidR="002B1C49" w:rsidRPr="00B56767">
        <w:lastRenderedPageBreak/>
        <w:t xml:space="preserve">est </w:t>
      </w:r>
      <w:r w:rsidR="00E42981" w:rsidRPr="00B56767">
        <w:t xml:space="preserve">nécessaire de </w:t>
      </w:r>
      <w:r w:rsidR="009C60DE" w:rsidRPr="00B56767">
        <w:t xml:space="preserve">mettre en œuvre une approche fondée sur le principe d'une UIT unie dans l'action associée à davantage de </w:t>
      </w:r>
      <w:r w:rsidR="00E42981" w:rsidRPr="00B56767">
        <w:t xml:space="preserve">ressources </w:t>
      </w:r>
      <w:r w:rsidR="0095709B" w:rsidRPr="00B56767">
        <w:t>pour appuyer les domaines prioritaires décrits dans le rapport</w:t>
      </w:r>
      <w:r w:rsidR="00212418" w:rsidRPr="00B56767">
        <w:t xml:space="preserve"> et l</w:t>
      </w:r>
      <w:r w:rsidR="005A541E" w:rsidRPr="00B56767">
        <w:t>es États Membres sont donc invit</w:t>
      </w:r>
      <w:r w:rsidR="00B06D20" w:rsidRPr="00B56767">
        <w:t>é</w:t>
      </w:r>
      <w:r w:rsidR="005A541E" w:rsidRPr="00B56767">
        <w:t xml:space="preserve">s à fournir un appui financier ou en nature à cette fin. </w:t>
      </w:r>
      <w:bookmarkEnd w:id="1"/>
      <w:r w:rsidR="00E7509D" w:rsidRPr="00B56767">
        <w:t>L'orateur remercie les États Membres ayant déjà contribué aux activités dans ce domaine.</w:t>
      </w:r>
    </w:p>
    <w:p w14:paraId="4F80333B" w14:textId="61CBAA4A" w:rsidR="00195099" w:rsidRPr="00B56767" w:rsidRDefault="00195099" w:rsidP="006D05F9">
      <w:r w:rsidRPr="00B56767">
        <w:t>3.2</w:t>
      </w:r>
      <w:r w:rsidRPr="00B56767">
        <w:tab/>
      </w:r>
      <w:r w:rsidR="00940E80" w:rsidRPr="00B56767">
        <w:t>La conseillère de l'Espagne présente le</w:t>
      </w:r>
      <w:r w:rsidRPr="00B56767">
        <w:t xml:space="preserve"> Document C23/91+Corr.1, </w:t>
      </w:r>
      <w:r w:rsidR="00DE44C3" w:rsidRPr="00B56767">
        <w:t xml:space="preserve">qui est une contribution </w:t>
      </w:r>
      <w:r w:rsidR="00832D09" w:rsidRPr="00B56767">
        <w:t xml:space="preserve">multipays </w:t>
      </w:r>
      <w:r w:rsidR="005B1A7B" w:rsidRPr="00B56767">
        <w:t xml:space="preserve">soumise par 48 États Membres </w:t>
      </w:r>
      <w:r w:rsidR="00B450FB" w:rsidRPr="00B56767">
        <w:t xml:space="preserve">et dans laquelle figure un projet de Résolution </w:t>
      </w:r>
      <w:r w:rsidR="00511F61" w:rsidRPr="00B56767">
        <w:t>en lien avec le</w:t>
      </w:r>
      <w:r w:rsidR="00B450FB" w:rsidRPr="00B56767">
        <w:t xml:space="preserve"> 25ème anniversaire de</w:t>
      </w:r>
      <w:r w:rsidR="00345714" w:rsidRPr="00B56767">
        <w:t xml:space="preserve"> l'adoption</w:t>
      </w:r>
      <w:r w:rsidR="00B450FB" w:rsidRPr="00B56767">
        <w:t xml:space="preserve"> la Résolution 70 de la </w:t>
      </w:r>
      <w:r w:rsidR="0038644B" w:rsidRPr="00B56767">
        <w:t>PP</w:t>
      </w:r>
      <w:r w:rsidR="00807AFD" w:rsidRPr="00B56767">
        <w:t xml:space="preserve"> (révisée pour la dernière fois à Bucarest en 2022)</w:t>
      </w:r>
      <w:r w:rsidR="00B450FB" w:rsidRPr="00B56767">
        <w:t xml:space="preserve">, </w:t>
      </w:r>
      <w:r w:rsidR="00345714" w:rsidRPr="00B56767">
        <w:t xml:space="preserve">découlant de </w:t>
      </w:r>
      <w:r w:rsidR="00B450FB" w:rsidRPr="00B56767">
        <w:t xml:space="preserve">la Résolution 7 de la Conférence mondiale de développement des </w:t>
      </w:r>
      <w:r w:rsidR="00CB58E2" w:rsidRPr="00B56767">
        <w:t>télécommunications</w:t>
      </w:r>
      <w:r w:rsidR="00240ACB" w:rsidRPr="00B56767">
        <w:t xml:space="preserve"> (CMDT)</w:t>
      </w:r>
      <w:r w:rsidR="00B450FB" w:rsidRPr="00B56767">
        <w:t xml:space="preserve"> (La Valette, 1998), </w:t>
      </w:r>
      <w:r w:rsidR="00413545" w:rsidRPr="00B56767">
        <w:t>premier texte à intégrer</w:t>
      </w:r>
      <w:r w:rsidR="00B450FB" w:rsidRPr="00B56767">
        <w:t xml:space="preserve"> le principe de l'égalité hommes-femmes dans les travaux de l'UIT</w:t>
      </w:r>
      <w:r w:rsidR="00413545" w:rsidRPr="00B56767">
        <w:t xml:space="preserve">. Dans le projet de Résolution, l'UIT est </w:t>
      </w:r>
      <w:r w:rsidR="00345714" w:rsidRPr="00B56767">
        <w:t>priée d'</w:t>
      </w:r>
      <w:r w:rsidR="00413545" w:rsidRPr="00B56767">
        <w:t xml:space="preserve">élaborer un </w:t>
      </w:r>
      <w:r w:rsidR="00345714" w:rsidRPr="00B56767">
        <w:t>P</w:t>
      </w:r>
      <w:r w:rsidR="00413545" w:rsidRPr="00B56767">
        <w:t xml:space="preserve">lan d'action pour l'égalité hommes-femmes, </w:t>
      </w:r>
      <w:r w:rsidR="00345714" w:rsidRPr="00B56767">
        <w:t>à présenter</w:t>
      </w:r>
      <w:r w:rsidR="007C4348" w:rsidRPr="00B56767">
        <w:t xml:space="preserve"> </w:t>
      </w:r>
      <w:r w:rsidR="00413545" w:rsidRPr="00B56767">
        <w:t xml:space="preserve">au Conseil </w:t>
      </w:r>
      <w:r w:rsidR="00345714" w:rsidRPr="00B56767">
        <w:t xml:space="preserve">pour approbation </w:t>
      </w:r>
      <w:r w:rsidR="00413545" w:rsidRPr="00B56767">
        <w:t xml:space="preserve">à sa session de 2024, </w:t>
      </w:r>
      <w:r w:rsidR="00345714" w:rsidRPr="00B56767">
        <w:t xml:space="preserve">qui </w:t>
      </w:r>
      <w:r w:rsidR="00BF5F9B" w:rsidRPr="00B56767">
        <w:t>comport</w:t>
      </w:r>
      <w:r w:rsidR="00345714" w:rsidRPr="00B56767">
        <w:t>er</w:t>
      </w:r>
      <w:r w:rsidR="00BF5F9B" w:rsidRPr="00B56767">
        <w:t>a</w:t>
      </w:r>
      <w:r w:rsidR="00CB77FD" w:rsidRPr="00B56767">
        <w:t xml:space="preserve"> un mécanisme de suivi et de coordination pour les trois Secteurs de l'UIT. </w:t>
      </w:r>
      <w:r w:rsidR="00345714" w:rsidRPr="00B56767">
        <w:t xml:space="preserve">L'Union </w:t>
      </w:r>
      <w:r w:rsidR="00106CF7" w:rsidRPr="00B56767">
        <w:t>est en outre invitée à créer, dans la limite des ressources budgétaires actuelles,</w:t>
      </w:r>
      <w:r w:rsidR="00014EF0" w:rsidRPr="00B56767">
        <w:t xml:space="preserve"> auprès du Bureau d</w:t>
      </w:r>
      <w:r w:rsidR="0057194B" w:rsidRPr="00B56767">
        <w:t>e la</w:t>
      </w:r>
      <w:r w:rsidR="00014EF0" w:rsidRPr="00B56767">
        <w:t xml:space="preserve"> Secrétaire général</w:t>
      </w:r>
      <w:r w:rsidR="0057194B" w:rsidRPr="00B56767">
        <w:t>e</w:t>
      </w:r>
      <w:r w:rsidR="00014EF0" w:rsidRPr="00B56767">
        <w:t>,</w:t>
      </w:r>
      <w:r w:rsidR="00106CF7" w:rsidRPr="00B56767">
        <w:t xml:space="preserve"> une unité chargée de l'égalité hommes-femmes</w:t>
      </w:r>
      <w:r w:rsidR="00014EF0" w:rsidRPr="00B56767">
        <w:t xml:space="preserve">. Des consultations informelles sur </w:t>
      </w:r>
      <w:r w:rsidR="00345714" w:rsidRPr="00B56767">
        <w:t>la formulation</w:t>
      </w:r>
      <w:r w:rsidR="00014EF0" w:rsidRPr="00B56767">
        <w:t xml:space="preserve"> du projet de Résolution sont en cours.</w:t>
      </w:r>
    </w:p>
    <w:p w14:paraId="043A4D8E" w14:textId="1E9C6275" w:rsidR="00195099" w:rsidRPr="00B56767" w:rsidRDefault="00195099" w:rsidP="006D05F9">
      <w:r w:rsidRPr="00B56767">
        <w:t>3.3</w:t>
      </w:r>
      <w:r w:rsidRPr="00B56767">
        <w:tab/>
      </w:r>
      <w:r w:rsidR="005575E1" w:rsidRPr="00B56767">
        <w:t>La conseillère de l'Égypte</w:t>
      </w:r>
      <w:r w:rsidR="00731948" w:rsidRPr="00B56767">
        <w:t xml:space="preserve"> présente</w:t>
      </w:r>
      <w:r w:rsidR="005575E1" w:rsidRPr="00B56767">
        <w:t xml:space="preserve"> la proposition multipays soumise par huit États</w:t>
      </w:r>
      <w:r w:rsidR="00C90C49" w:rsidRPr="00B56767">
        <w:t> </w:t>
      </w:r>
      <w:r w:rsidR="005575E1" w:rsidRPr="00B56767">
        <w:t>Membres</w:t>
      </w:r>
      <w:r w:rsidR="00423931" w:rsidRPr="00B56767">
        <w:t xml:space="preserve"> figurant dans le </w:t>
      </w:r>
      <w:r w:rsidRPr="00B56767">
        <w:t>Document C23/76</w:t>
      </w:r>
      <w:r w:rsidR="00423931" w:rsidRPr="00B56767">
        <w:t xml:space="preserve"> et</w:t>
      </w:r>
      <w:r w:rsidR="00345714" w:rsidRPr="00B56767">
        <w:t>, notant</w:t>
      </w:r>
      <w:r w:rsidR="00423931" w:rsidRPr="00B56767">
        <w:t xml:space="preserve"> que l'UIT a lancé un certain nombre d'initiatives ces dernières années, parmi lesquelles le Réseau de femmes </w:t>
      </w:r>
      <w:r w:rsidR="00A260E8" w:rsidRPr="00B56767">
        <w:t>pour la</w:t>
      </w:r>
      <w:r w:rsidR="00C90C49" w:rsidRPr="00B56767">
        <w:t> </w:t>
      </w:r>
      <w:r w:rsidR="00A260E8" w:rsidRPr="00B56767">
        <w:t>CMDT</w:t>
      </w:r>
      <w:r w:rsidR="00423931" w:rsidRPr="00B56767">
        <w:t xml:space="preserve"> </w:t>
      </w:r>
      <w:r w:rsidRPr="00B56767">
        <w:t xml:space="preserve">(NoW4WTDC) </w:t>
      </w:r>
      <w:r w:rsidR="006F2FD4" w:rsidRPr="00B56767">
        <w:t xml:space="preserve">et le groupe d'experts de l'UIT sur la place des femmes dans le domaine de la normalisation </w:t>
      </w:r>
      <w:r w:rsidRPr="00B56767">
        <w:t>(WISE)</w:t>
      </w:r>
      <w:r w:rsidR="00345714" w:rsidRPr="00B56767">
        <w:t>,</w:t>
      </w:r>
      <w:r w:rsidR="00DB69CF" w:rsidRPr="00B56767">
        <w:t xml:space="preserve"> demande </w:t>
      </w:r>
      <w:r w:rsidR="00F750C5" w:rsidRPr="00B56767">
        <w:t xml:space="preserve">la création d'un organe de supervision </w:t>
      </w:r>
      <w:r w:rsidR="00345714" w:rsidRPr="00B56767">
        <w:t xml:space="preserve">unique qui </w:t>
      </w:r>
      <w:r w:rsidR="00F750C5" w:rsidRPr="00B56767">
        <w:t>regroup</w:t>
      </w:r>
      <w:r w:rsidR="00345714" w:rsidRPr="00B56767">
        <w:t>er</w:t>
      </w:r>
      <w:r w:rsidR="00F750C5" w:rsidRPr="00B56767">
        <w:t>a</w:t>
      </w:r>
      <w:r w:rsidR="00345714" w:rsidRPr="00B56767">
        <w:t>i</w:t>
      </w:r>
      <w:r w:rsidR="00F750C5" w:rsidRPr="00B56767">
        <w:t xml:space="preserve">t toutes les initiatives de l'UIT en faveur des femmes, tout en </w:t>
      </w:r>
      <w:r w:rsidR="00345714" w:rsidRPr="00B56767">
        <w:t>permettant d'</w:t>
      </w:r>
      <w:r w:rsidR="00F750C5" w:rsidRPr="00B56767">
        <w:t>économis</w:t>
      </w:r>
      <w:r w:rsidR="00345714" w:rsidRPr="00B56767">
        <w:t>er</w:t>
      </w:r>
      <w:r w:rsidR="00F750C5" w:rsidRPr="00B56767">
        <w:t xml:space="preserve"> et </w:t>
      </w:r>
      <w:r w:rsidR="00345714" w:rsidRPr="00B56767">
        <w:t>de mettre à profit les</w:t>
      </w:r>
      <w:r w:rsidR="00F750C5" w:rsidRPr="00B56767">
        <w:t xml:space="preserve"> ressources dans le cadre d'une approche d'une UIT unie dans l'action. </w:t>
      </w:r>
      <w:r w:rsidR="00293460" w:rsidRPr="00B56767">
        <w:t xml:space="preserve">Les progrès accomplis en vue de la création d'un tel organe </w:t>
      </w:r>
      <w:r w:rsidR="00345714" w:rsidRPr="00B56767">
        <w:t xml:space="preserve">devraient être </w:t>
      </w:r>
      <w:r w:rsidR="00293460" w:rsidRPr="00B56767">
        <w:t>présentés à la session de 2024 du Conseil.</w:t>
      </w:r>
    </w:p>
    <w:p w14:paraId="4BBE025F" w14:textId="20CE817F" w:rsidR="00195099" w:rsidRPr="00B56767" w:rsidRDefault="00195099" w:rsidP="006D05F9">
      <w:r w:rsidRPr="00B56767">
        <w:t>3.4</w:t>
      </w:r>
      <w:r w:rsidRPr="00B56767">
        <w:tab/>
      </w:r>
      <w:r w:rsidR="00C27AB9" w:rsidRPr="00B56767">
        <w:t xml:space="preserve">Les conseillers </w:t>
      </w:r>
      <w:r w:rsidR="008A3EFD" w:rsidRPr="00B56767">
        <w:t xml:space="preserve">félicitent l'UIT pour ses travaux sur l'égalité hommes-femmes et son engagement </w:t>
      </w:r>
      <w:r w:rsidR="00345714" w:rsidRPr="00B56767">
        <w:t>en faveur de la réduction de</w:t>
      </w:r>
      <w:r w:rsidR="008A3EFD" w:rsidRPr="00B56767">
        <w:t xml:space="preserve"> la fracture numérique entre les hommes et les femmes.</w:t>
      </w:r>
      <w:r w:rsidR="007C746F" w:rsidRPr="00B56767">
        <w:t xml:space="preserve"> Ils </w:t>
      </w:r>
      <w:r w:rsidR="00263DAC" w:rsidRPr="00B56767">
        <w:t>soutiennent le</w:t>
      </w:r>
      <w:r w:rsidR="007C746F" w:rsidRPr="00B56767">
        <w:t xml:space="preserve"> renforcement des capacités des femmes, tant au sein de l'UIT que dans le secteur des TIC </w:t>
      </w:r>
      <w:r w:rsidR="00A72365" w:rsidRPr="00B56767">
        <w:t>en général</w:t>
      </w:r>
      <w:r w:rsidR="00CC4588" w:rsidRPr="00B56767">
        <w:t xml:space="preserve"> notamment</w:t>
      </w:r>
      <w:r w:rsidR="00CE4506" w:rsidRPr="00B56767">
        <w:t xml:space="preserve"> </w:t>
      </w:r>
      <w:r w:rsidR="00C73091" w:rsidRPr="00B56767">
        <w:t>les</w:t>
      </w:r>
      <w:r w:rsidR="00CE4506" w:rsidRPr="00B56767">
        <w:t xml:space="preserve"> programmes </w:t>
      </w:r>
      <w:r w:rsidR="000511B6" w:rsidRPr="00B56767">
        <w:t xml:space="preserve">ciblés </w:t>
      </w:r>
      <w:r w:rsidR="00CE4506" w:rsidRPr="00B56767">
        <w:t xml:space="preserve">de renforcement des capacités. </w:t>
      </w:r>
      <w:r w:rsidR="00CE056D" w:rsidRPr="00B56767">
        <w:t xml:space="preserve">Un conseiller souhaite que davantage de travaux de recherche soient menés pour déterminer les causes profondes des disparités entre les hommes et les femmes concernant l'accès aux TIC et </w:t>
      </w:r>
      <w:r w:rsidR="00624445" w:rsidRPr="00B56767">
        <w:t xml:space="preserve">la participation au secteur. </w:t>
      </w:r>
      <w:r w:rsidR="00C824FF" w:rsidRPr="00B56767">
        <w:t>Certains conseillers regrettent que</w:t>
      </w:r>
      <w:r w:rsidR="00786394" w:rsidRPr="00B56767">
        <w:t xml:space="preserve"> le bilan de</w:t>
      </w:r>
      <w:r w:rsidR="00C824FF" w:rsidRPr="00B56767">
        <w:t xml:space="preserve"> l'UIT </w:t>
      </w:r>
      <w:r w:rsidR="00786394" w:rsidRPr="00B56767">
        <w:t xml:space="preserve">ne soit pas </w:t>
      </w:r>
      <w:r w:rsidR="00C824FF" w:rsidRPr="00B56767">
        <w:t xml:space="preserve">aussi bon que </w:t>
      </w:r>
      <w:r w:rsidR="00786394" w:rsidRPr="00B56767">
        <w:t xml:space="preserve">celui </w:t>
      </w:r>
      <w:r w:rsidR="00C824FF" w:rsidRPr="00B56767">
        <w:t>d'autres organisations au sein du système des Nations</w:t>
      </w:r>
      <w:r w:rsidR="00041F63" w:rsidRPr="00B56767">
        <w:t> </w:t>
      </w:r>
      <w:r w:rsidR="00C824FF" w:rsidRPr="00B56767">
        <w:t>Unies, en particulier s'agissant de la nomination de femmes à des postes de direction.</w:t>
      </w:r>
    </w:p>
    <w:p w14:paraId="536DE2C8" w14:textId="7EE0AB13" w:rsidR="00195099" w:rsidRPr="00B56767" w:rsidRDefault="00195099" w:rsidP="006D05F9">
      <w:r w:rsidRPr="00B56767">
        <w:t>3.5</w:t>
      </w:r>
      <w:r w:rsidRPr="00B56767">
        <w:tab/>
      </w:r>
      <w:r w:rsidR="00AD11CE" w:rsidRPr="00B56767">
        <w:t xml:space="preserve">Deux conseillers souscrivent à l'approche d'une UIT unie dans l'action et se disent favorables à l'établissement </w:t>
      </w:r>
      <w:r w:rsidR="002C5339" w:rsidRPr="00B56767">
        <w:t>d'</w:t>
      </w:r>
      <w:r w:rsidR="00AD11CE" w:rsidRPr="00B56767">
        <w:t xml:space="preserve">un nouvel organe de supervision, tel que décrit dans le </w:t>
      </w:r>
      <w:r w:rsidRPr="00B56767">
        <w:t xml:space="preserve">Document C23/76. </w:t>
      </w:r>
      <w:r w:rsidR="000D404B" w:rsidRPr="00B56767">
        <w:t xml:space="preserve">Deux autres conseillers </w:t>
      </w:r>
      <w:r w:rsidR="00786394" w:rsidRPr="00B56767">
        <w:t>indiquent qu'ils appuient le</w:t>
      </w:r>
      <w:r w:rsidR="000D404B" w:rsidRPr="00B56767">
        <w:t xml:space="preserve"> Document</w:t>
      </w:r>
      <w:r w:rsidR="005A62AC" w:rsidRPr="00B56767">
        <w:t> </w:t>
      </w:r>
      <w:r w:rsidRPr="00B56767">
        <w:t>C23/91.</w:t>
      </w:r>
    </w:p>
    <w:p w14:paraId="39A1FE8E" w14:textId="391382A5" w:rsidR="00195099" w:rsidRPr="00B56767" w:rsidRDefault="00195099" w:rsidP="006D05F9">
      <w:r w:rsidRPr="00B56767">
        <w:t>3.6</w:t>
      </w:r>
      <w:r w:rsidRPr="00B56767">
        <w:tab/>
      </w:r>
      <w:r w:rsidR="002E4B75" w:rsidRPr="00B56767">
        <w:t xml:space="preserve">Plusieurs conseillers </w:t>
      </w:r>
      <w:r w:rsidR="00016A17" w:rsidRPr="00B56767">
        <w:t>accueillent favorablement le</w:t>
      </w:r>
      <w:r w:rsidR="002E4B75" w:rsidRPr="00B56767">
        <w:t xml:space="preserve"> </w:t>
      </w:r>
      <w:r w:rsidRPr="00B56767">
        <w:t xml:space="preserve">Document C23/6. </w:t>
      </w:r>
      <w:r w:rsidR="002E4B75" w:rsidRPr="00B56767">
        <w:t xml:space="preserve">Ils soulignent l'importance de la Journée internationale des jeunes filles dans le secteur des TIC et </w:t>
      </w:r>
      <w:r w:rsidR="00155786" w:rsidRPr="00B56767">
        <w:t xml:space="preserve">se félicitent </w:t>
      </w:r>
      <w:r w:rsidR="00524BF7" w:rsidRPr="00B56767">
        <w:t xml:space="preserve">du Défi de l'innovation numérique lancé par l'UIT en collaboration avec le Partenariat visant à accélérer l'entrepreneuriat féminin (Women Entrepreneurship Accelerator (WEA)), </w:t>
      </w:r>
      <w:r w:rsidR="00786394" w:rsidRPr="00B56767">
        <w:t xml:space="preserve">et demandent que </w:t>
      </w:r>
      <w:r w:rsidR="00524BF7" w:rsidRPr="00B56767">
        <w:t>davantage de ressources</w:t>
      </w:r>
      <w:r w:rsidR="00284833" w:rsidRPr="00B56767">
        <w:t xml:space="preserve"> soient mobilisées</w:t>
      </w:r>
      <w:r w:rsidR="00524BF7" w:rsidRPr="00B56767">
        <w:t xml:space="preserve"> afin </w:t>
      </w:r>
      <w:r w:rsidR="00786394" w:rsidRPr="00B56767">
        <w:t>d'accroître</w:t>
      </w:r>
      <w:r w:rsidR="00524BF7" w:rsidRPr="00B56767">
        <w:t xml:space="preserve"> la participation des femmes dans les domaines de la cybersécurité et de </w:t>
      </w:r>
      <w:r w:rsidR="00524BF7" w:rsidRPr="00B56767">
        <w:lastRenderedPageBreak/>
        <w:t xml:space="preserve">l'intelligence artificielle. </w:t>
      </w:r>
      <w:r w:rsidR="00571030" w:rsidRPr="00B56767">
        <w:t xml:space="preserve">Un conseiller </w:t>
      </w:r>
      <w:r w:rsidR="00284833" w:rsidRPr="00B56767">
        <w:t xml:space="preserve">demande </w:t>
      </w:r>
      <w:r w:rsidR="00571030" w:rsidRPr="00B56767">
        <w:t xml:space="preserve">que l'UIT accorde plus d'attention à la protection des femmes et des jeunes filles, y compris les </w:t>
      </w:r>
      <w:r w:rsidR="00C50067" w:rsidRPr="00B56767">
        <w:t xml:space="preserve">femmes </w:t>
      </w:r>
      <w:r w:rsidR="00571030" w:rsidRPr="00B56767">
        <w:t>journalistes</w:t>
      </w:r>
      <w:r w:rsidR="00C50067" w:rsidRPr="00B56767">
        <w:t>, contre le harcèlement en ligne.</w:t>
      </w:r>
    </w:p>
    <w:p w14:paraId="16AF56A5" w14:textId="63EC7F8A" w:rsidR="00195099" w:rsidRPr="00B56767" w:rsidRDefault="00195099" w:rsidP="006D05F9">
      <w:r w:rsidRPr="00B56767">
        <w:t>3.7</w:t>
      </w:r>
      <w:r w:rsidRPr="00B56767">
        <w:tab/>
      </w:r>
      <w:r w:rsidR="008773CC" w:rsidRPr="00B56767">
        <w:t xml:space="preserve">Le représentant du Secrétariat général remercie les États Membres pour leurs observations et confirme que les propositions relatives au renforcement des capacités et aux travaux de recherche sur les causes des disparités entre les hommes et les femmes en matière de TIC seront prises en considération. </w:t>
      </w:r>
      <w:r w:rsidR="00CB4DCD" w:rsidRPr="00B56767">
        <w:t xml:space="preserve">Des programmes de formation sur l'entrepreneuriat numérique et les compétences en matière de gestion </w:t>
      </w:r>
      <w:r w:rsidR="00284833" w:rsidRPr="00B56767">
        <w:t>destinées aux</w:t>
      </w:r>
      <w:r w:rsidR="00CB4DCD" w:rsidRPr="00B56767">
        <w:t xml:space="preserve"> femmes sont déjà en place et disp</w:t>
      </w:r>
      <w:r w:rsidR="006125F8" w:rsidRPr="00B56767">
        <w:t xml:space="preserve">ensés </w:t>
      </w:r>
      <w:r w:rsidR="00CB4DCD" w:rsidRPr="00B56767">
        <w:t xml:space="preserve">par l'intermédiaire de l'Académie de l'UIT; </w:t>
      </w:r>
      <w:r w:rsidR="00CC3A61" w:rsidRPr="00B56767">
        <w:t>d'autres programmes sur l'intégration du principe d</w:t>
      </w:r>
      <w:r w:rsidR="00D018B5" w:rsidRPr="00B56767">
        <w:t>e l</w:t>
      </w:r>
      <w:r w:rsidR="00CC3A61" w:rsidRPr="00B56767">
        <w:t>'égalité hommes-femmes</w:t>
      </w:r>
      <w:r w:rsidRPr="00B56767">
        <w:t xml:space="preserve"> </w:t>
      </w:r>
      <w:r w:rsidR="00D018B5" w:rsidRPr="00B56767">
        <w:t xml:space="preserve">dans les politiques numériques seront </w:t>
      </w:r>
      <w:r w:rsidR="0084264B" w:rsidRPr="00B56767">
        <w:t>proposés</w:t>
      </w:r>
      <w:r w:rsidR="00D018B5" w:rsidRPr="00B56767">
        <w:t xml:space="preserve"> plus tard dans l'année. </w:t>
      </w:r>
      <w:r w:rsidR="00377A0D" w:rsidRPr="00B56767">
        <w:t>L'appui continu des États Membres en ce qui concerne l</w:t>
      </w:r>
      <w:r w:rsidR="00617073" w:rsidRPr="00B56767">
        <w:t>'établissement de rapports dans le cadre du</w:t>
      </w:r>
      <w:r w:rsidR="00377A0D" w:rsidRPr="00B56767">
        <w:t xml:space="preserve"> </w:t>
      </w:r>
      <w:r w:rsidR="00617073" w:rsidRPr="00B56767">
        <w:t>Plan d'action à l'échelle du système des Nations Unies (ONU-SWAP) et dans tous les domaines d'activité de l'UIT relatifs à l'égalité hommes-femmes en matière de TIC sera très apprécié.</w:t>
      </w:r>
    </w:p>
    <w:p w14:paraId="5F9BAF3D" w14:textId="421BCA44" w:rsidR="00195099" w:rsidRPr="00B56767" w:rsidRDefault="00195099" w:rsidP="006D05F9">
      <w:r w:rsidRPr="00B56767">
        <w:t>3.8</w:t>
      </w:r>
      <w:r w:rsidRPr="00B56767">
        <w:tab/>
      </w:r>
      <w:r w:rsidR="00847EC7" w:rsidRPr="00B56767">
        <w:t xml:space="preserve">Le Directeur du TSB </w:t>
      </w:r>
      <w:r w:rsidR="00284833" w:rsidRPr="00B56767">
        <w:t xml:space="preserve">explique </w:t>
      </w:r>
      <w:r w:rsidR="00847EC7" w:rsidRPr="00B56767">
        <w:t>que l'UIT-T et le TSB s'emploient à promouvoir</w:t>
      </w:r>
      <w:r w:rsidR="00745061" w:rsidRPr="00B56767">
        <w:t xml:space="preserve"> activement</w:t>
      </w:r>
      <w:r w:rsidR="00847EC7" w:rsidRPr="00B56767">
        <w:t xml:space="preserve"> l'égalité hommes-femmes, notamment dans le cadre du Réseau</w:t>
      </w:r>
      <w:r w:rsidRPr="00B56767">
        <w:t xml:space="preserve"> NoW4WTDC. </w:t>
      </w:r>
      <w:r w:rsidR="00F56FE4" w:rsidRPr="00B56767">
        <w:t>Il souscrit pleinement à l'approche d'une UIT unie dans l'action et assure les</w:t>
      </w:r>
      <w:r w:rsidR="00B826CB" w:rsidRPr="00B56767">
        <w:t xml:space="preserve"> conseillers que l'U</w:t>
      </w:r>
      <w:r w:rsidR="00745061" w:rsidRPr="00B56767">
        <w:t>nion</w:t>
      </w:r>
      <w:r w:rsidR="00B826CB" w:rsidRPr="00B56767">
        <w:t xml:space="preserve"> poursuivr</w:t>
      </w:r>
      <w:r w:rsidR="00284833" w:rsidRPr="00B56767">
        <w:t>a</w:t>
      </w:r>
      <w:r w:rsidR="00B826CB" w:rsidRPr="00B56767">
        <w:t xml:space="preserve"> ses efforts en vue de combler le fossé numérique et d'accroître la participation des femmes à ses réunions.</w:t>
      </w:r>
    </w:p>
    <w:p w14:paraId="729E92F2" w14:textId="071BA2CC" w:rsidR="00195099" w:rsidRPr="00B56767" w:rsidRDefault="00195099" w:rsidP="006D05F9">
      <w:r w:rsidRPr="00B56767">
        <w:t>3.9</w:t>
      </w:r>
      <w:r w:rsidRPr="00B56767">
        <w:tab/>
      </w:r>
      <w:r w:rsidR="005F7177" w:rsidRPr="00B56767">
        <w:t xml:space="preserve">Le Président </w:t>
      </w:r>
      <w:r w:rsidR="001D23C0" w:rsidRPr="00B56767">
        <w:t>invite le Conseil à prendre note du rapport figurant dans le Document</w:t>
      </w:r>
      <w:r w:rsidR="00363BA4" w:rsidRPr="00B56767">
        <w:t> </w:t>
      </w:r>
      <w:r w:rsidRPr="00B56767">
        <w:t xml:space="preserve">C23/6; </w:t>
      </w:r>
      <w:r w:rsidR="00363BA4" w:rsidRPr="00B56767">
        <w:t xml:space="preserve">à poursuivre </w:t>
      </w:r>
      <w:r w:rsidR="00284833" w:rsidRPr="00B56767">
        <w:t>l</w:t>
      </w:r>
      <w:r w:rsidR="00363BA4" w:rsidRPr="00B56767">
        <w:t xml:space="preserve">es discussions informelles sur les </w:t>
      </w:r>
      <w:r w:rsidRPr="00B56767">
        <w:t xml:space="preserve">Documents C23/76 </w:t>
      </w:r>
      <w:r w:rsidR="00363BA4" w:rsidRPr="00B56767">
        <w:t>et</w:t>
      </w:r>
      <w:r w:rsidR="00CD6456" w:rsidRPr="00B56767">
        <w:t> </w:t>
      </w:r>
      <w:r w:rsidRPr="00B56767">
        <w:t xml:space="preserve">C23/91+Corr.1; </w:t>
      </w:r>
      <w:r w:rsidR="00363BA4" w:rsidRPr="00B56767">
        <w:t>et à présenter un rapport sur le résultat de ces discussions à une séance plénière ultérieure.</w:t>
      </w:r>
    </w:p>
    <w:p w14:paraId="750A3B2E" w14:textId="2849DA8F" w:rsidR="00010CB0" w:rsidRPr="00B56767" w:rsidRDefault="00195099" w:rsidP="006D05F9">
      <w:r w:rsidRPr="00B56767">
        <w:t>3.10</w:t>
      </w:r>
      <w:r w:rsidRPr="00B56767">
        <w:tab/>
      </w:r>
      <w:r w:rsidR="00A5575C" w:rsidRPr="00B56767">
        <w:t xml:space="preserve">Il en est ainsi </w:t>
      </w:r>
      <w:r w:rsidR="00A5575C" w:rsidRPr="00B56767">
        <w:rPr>
          <w:b/>
          <w:bCs/>
        </w:rPr>
        <w:t>décidé</w:t>
      </w:r>
      <w:r w:rsidRPr="00B56767">
        <w:t>.</w:t>
      </w:r>
    </w:p>
    <w:p w14:paraId="51355006" w14:textId="1E559AE8" w:rsidR="001C5CBC" w:rsidRPr="00B56767" w:rsidRDefault="001C5CBC" w:rsidP="006D05F9">
      <w:pPr>
        <w:pStyle w:val="Heading1"/>
        <w:rPr>
          <w:rFonts w:asciiTheme="minorHAnsi" w:hAnsiTheme="minorHAnsi" w:cstheme="minorHAnsi"/>
          <w:bCs/>
          <w:color w:val="000000"/>
          <w:szCs w:val="24"/>
        </w:rPr>
      </w:pPr>
      <w:r w:rsidRPr="00B56767">
        <w:t>4</w:t>
      </w:r>
      <w:r w:rsidRPr="00B56767">
        <w:tab/>
      </w:r>
      <w:r w:rsidR="00195099" w:rsidRPr="00B56767">
        <w:t>Journée mondiale des télécommunications et de la société de l'information</w:t>
      </w:r>
      <w:r w:rsidR="00195099" w:rsidRPr="00B56767">
        <w:rPr>
          <w:rFonts w:cstheme="minorHAnsi"/>
          <w:bCs/>
          <w:szCs w:val="24"/>
        </w:rPr>
        <w:t xml:space="preserve"> </w:t>
      </w:r>
      <w:r w:rsidR="00195099" w:rsidRPr="00B56767">
        <w:rPr>
          <w:rFonts w:asciiTheme="minorHAnsi" w:hAnsiTheme="minorHAnsi" w:cstheme="minorHAnsi"/>
          <w:bCs/>
          <w:szCs w:val="24"/>
        </w:rPr>
        <w:t>(Documents </w:t>
      </w:r>
      <w:hyperlink r:id="rId29" w:history="1">
        <w:r w:rsidR="00195099" w:rsidRPr="00B56767">
          <w:rPr>
            <w:rStyle w:val="Hyperlink"/>
            <w:rFonts w:asciiTheme="minorHAnsi" w:hAnsiTheme="minorHAnsi" w:cstheme="minorHAnsi"/>
            <w:bCs/>
            <w:szCs w:val="24"/>
          </w:rPr>
          <w:t>C23/17</w:t>
        </w:r>
      </w:hyperlink>
      <w:r w:rsidR="00195099" w:rsidRPr="00B56767">
        <w:rPr>
          <w:rFonts w:asciiTheme="minorHAnsi" w:hAnsiTheme="minorHAnsi" w:cstheme="minorHAnsi"/>
          <w:bCs/>
          <w:szCs w:val="24"/>
        </w:rPr>
        <w:t xml:space="preserve"> et </w:t>
      </w:r>
      <w:hyperlink r:id="rId30" w:history="1">
        <w:r w:rsidR="00195099" w:rsidRPr="00B56767">
          <w:rPr>
            <w:rStyle w:val="Hyperlink"/>
            <w:rFonts w:asciiTheme="minorHAnsi" w:hAnsiTheme="minorHAnsi" w:cstheme="minorHAnsi"/>
            <w:bCs/>
            <w:szCs w:val="24"/>
          </w:rPr>
          <w:t>C23/DT/4</w:t>
        </w:r>
      </w:hyperlink>
      <w:r w:rsidR="00195099" w:rsidRPr="00B56767">
        <w:rPr>
          <w:rFonts w:asciiTheme="minorHAnsi" w:hAnsiTheme="minorHAnsi" w:cstheme="minorHAnsi"/>
          <w:bCs/>
          <w:szCs w:val="24"/>
        </w:rPr>
        <w:t>)</w:t>
      </w:r>
    </w:p>
    <w:p w14:paraId="1F9684CB" w14:textId="4B1461E1" w:rsidR="00195099" w:rsidRPr="00B56767" w:rsidRDefault="00195099" w:rsidP="006D05F9">
      <w:r w:rsidRPr="00B56767">
        <w:t>4.1</w:t>
      </w:r>
      <w:r w:rsidRPr="00B56767">
        <w:tab/>
      </w:r>
      <w:r w:rsidR="00503380" w:rsidRPr="00B56767">
        <w:t>Une représentante du Secrétariat général</w:t>
      </w:r>
      <w:r w:rsidR="00777770" w:rsidRPr="00B56767">
        <w:t xml:space="preserve"> </w:t>
      </w:r>
      <w:r w:rsidR="00503380" w:rsidRPr="00B56767">
        <w:t>présente</w:t>
      </w:r>
      <w:r w:rsidR="00C25839" w:rsidRPr="00B56767">
        <w:t xml:space="preserve"> le</w:t>
      </w:r>
      <w:r w:rsidR="00503380" w:rsidRPr="00B56767">
        <w:t xml:space="preserve"> </w:t>
      </w:r>
      <w:r w:rsidRPr="00B56767">
        <w:t>Document C23/17</w:t>
      </w:r>
      <w:r w:rsidR="00E21B0F" w:rsidRPr="00B56767">
        <w:t xml:space="preserve">, qui contient un rapport sur la Journée mondiale des télécommunications et de la société de l'information (WTSID) célébrée le 17 mai 2023 </w:t>
      </w:r>
      <w:r w:rsidR="00F067F3" w:rsidRPr="00B56767">
        <w:t xml:space="preserve">sur </w:t>
      </w:r>
      <w:r w:rsidR="00E21B0F" w:rsidRPr="00B56767">
        <w:t xml:space="preserve">le thème </w:t>
      </w:r>
      <w:r w:rsidR="0020565B" w:rsidRPr="00B56767">
        <w:t>"Donner des moyens d'action aux pays les moins avancés grâce aux technologies de l'information et de la communication"</w:t>
      </w:r>
      <w:r w:rsidRPr="00B56767">
        <w:t xml:space="preserve">. </w:t>
      </w:r>
      <w:r w:rsidR="009C4820" w:rsidRPr="00B56767">
        <w:t>Dans ce rapport, il est indiqué que l'UIT a lancé un appel en vue de porter à 100 milliards USD, d'ici</w:t>
      </w:r>
      <w:r w:rsidR="00CD6456" w:rsidRPr="00B56767">
        <w:t> </w:t>
      </w:r>
      <w:r w:rsidR="009C4820" w:rsidRPr="00B56767">
        <w:t>à</w:t>
      </w:r>
      <w:r w:rsidR="00CD6456" w:rsidRPr="00B56767">
        <w:t> </w:t>
      </w:r>
      <w:r w:rsidR="009C4820" w:rsidRPr="00B56767">
        <w:t>2026, le montant des engagements en faveur du développement du numérique dans le monde, et</w:t>
      </w:r>
      <w:r w:rsidR="009A2DE4" w:rsidRPr="00B56767">
        <w:t xml:space="preserve"> les conseillers </w:t>
      </w:r>
      <w:r w:rsidR="00F067F3" w:rsidRPr="00B56767">
        <w:t xml:space="preserve">sont en outre invités </w:t>
      </w:r>
      <w:r w:rsidR="009A2DE4" w:rsidRPr="00B56767">
        <w:t>à soumettre des propositions en vue de l</w:t>
      </w:r>
      <w:r w:rsidR="000168BD" w:rsidRPr="00B56767">
        <w:t>'édition de 2024 de l</w:t>
      </w:r>
      <w:r w:rsidR="009A2DE4" w:rsidRPr="00B56767">
        <w:t xml:space="preserve">a Journée </w:t>
      </w:r>
      <w:r w:rsidR="000168BD" w:rsidRPr="00B56767">
        <w:t>mondiale des télécommunications et de la société de l'information</w:t>
      </w:r>
      <w:r w:rsidR="009A2DE4" w:rsidRPr="00B56767">
        <w:t xml:space="preserve">. </w:t>
      </w:r>
      <w:r w:rsidR="007F1D20" w:rsidRPr="00B56767">
        <w:t>Une proposition a été soumise par la Chine et une autre par le Royaume-Uni.</w:t>
      </w:r>
    </w:p>
    <w:p w14:paraId="6C712C8C" w14:textId="622EC685" w:rsidR="00195099" w:rsidRPr="00B56767" w:rsidRDefault="00195099" w:rsidP="006D05F9">
      <w:r w:rsidRPr="00B56767">
        <w:t>4.2</w:t>
      </w:r>
      <w:r w:rsidRPr="00B56767">
        <w:tab/>
      </w:r>
      <w:r w:rsidR="001F2D13" w:rsidRPr="00B56767">
        <w:t xml:space="preserve">Le Président confirme que, à la suite de consultations informelles, le thème </w:t>
      </w:r>
      <w:r w:rsidR="0020565B" w:rsidRPr="00B56767">
        <w:t>"L'innovation numérique au service du développement durable"</w:t>
      </w:r>
      <w:r w:rsidRPr="00B56767">
        <w:t xml:space="preserve">, </w:t>
      </w:r>
      <w:r w:rsidR="00E35DA9" w:rsidRPr="00B56767">
        <w:t xml:space="preserve">proposé par la Chine, sera </w:t>
      </w:r>
      <w:r w:rsidR="00885FE1" w:rsidRPr="00B56767">
        <w:t>retenu</w:t>
      </w:r>
      <w:r w:rsidR="00E35DA9" w:rsidRPr="00B56767">
        <w:t xml:space="preserve"> pour </w:t>
      </w:r>
      <w:r w:rsidR="00885FE1" w:rsidRPr="00B56767">
        <w:t>l'édition de</w:t>
      </w:r>
      <w:r w:rsidR="00E35DA9" w:rsidRPr="00B56767">
        <w:t xml:space="preserve"> 2024, et que le thème </w:t>
      </w:r>
      <w:r w:rsidR="0020565B" w:rsidRPr="00B56767">
        <w:t>"L'égalité hommes-femmes dans la transformation numérique"</w:t>
      </w:r>
      <w:r w:rsidRPr="00B56767">
        <w:t xml:space="preserve">, </w:t>
      </w:r>
      <w:r w:rsidR="00885FE1" w:rsidRPr="00B56767">
        <w:t>proposé par le Royaume-Uni</w:t>
      </w:r>
      <w:r w:rsidRPr="00B56767">
        <w:t xml:space="preserve">, </w:t>
      </w:r>
      <w:r w:rsidR="006F255C" w:rsidRPr="00B56767">
        <w:t>sera retenu pour l'édition de</w:t>
      </w:r>
      <w:r w:rsidR="00CD6456" w:rsidRPr="00B56767">
        <w:t> </w:t>
      </w:r>
      <w:r w:rsidR="006F255C" w:rsidRPr="00B56767">
        <w:t>2025</w:t>
      </w:r>
      <w:r w:rsidRPr="00B56767">
        <w:t xml:space="preserve">, </w:t>
      </w:r>
      <w:r w:rsidR="0086652F" w:rsidRPr="00B56767">
        <w:t xml:space="preserve">comme indiqué dans le projet de nouvelle Résolution figurant dans le </w:t>
      </w:r>
      <w:r w:rsidR="00333060" w:rsidRPr="00B56767">
        <w:t>Document</w:t>
      </w:r>
      <w:r w:rsidR="006E7E78" w:rsidRPr="00B56767">
        <w:t> </w:t>
      </w:r>
      <w:r w:rsidRPr="00B56767">
        <w:t>C23/DT/4.</w:t>
      </w:r>
    </w:p>
    <w:p w14:paraId="1EF98493" w14:textId="0135EA90" w:rsidR="001C5CBC" w:rsidRPr="00B56767" w:rsidRDefault="00195099" w:rsidP="006D05F9">
      <w:r w:rsidRPr="00B56767">
        <w:lastRenderedPageBreak/>
        <w:t>4.3</w:t>
      </w:r>
      <w:r w:rsidRPr="00B56767">
        <w:tab/>
      </w:r>
      <w:r w:rsidR="00550CD4" w:rsidRPr="00B56767">
        <w:t xml:space="preserve">Le Conseil </w:t>
      </w:r>
      <w:r w:rsidR="00550CD4" w:rsidRPr="00B56767">
        <w:rPr>
          <w:b/>
          <w:bCs/>
        </w:rPr>
        <w:t>prend note</w:t>
      </w:r>
      <w:r w:rsidR="00550CD4" w:rsidRPr="00B56767">
        <w:t xml:space="preserve"> du rapport figurant dans le</w:t>
      </w:r>
      <w:r w:rsidRPr="00B56767">
        <w:t xml:space="preserve"> Document C23/17 </w:t>
      </w:r>
      <w:r w:rsidR="009841B1" w:rsidRPr="00B56767">
        <w:t xml:space="preserve">et </w:t>
      </w:r>
      <w:r w:rsidR="009841B1" w:rsidRPr="00B56767">
        <w:rPr>
          <w:b/>
          <w:bCs/>
        </w:rPr>
        <w:t>adopte</w:t>
      </w:r>
      <w:r w:rsidR="009841B1" w:rsidRPr="00B56767">
        <w:t xml:space="preserve"> la Résolution reproduite dans le </w:t>
      </w:r>
      <w:r w:rsidRPr="00B56767">
        <w:t>Document C23/DT/4.</w:t>
      </w:r>
    </w:p>
    <w:p w14:paraId="1F08AA29" w14:textId="1AEA3D9A" w:rsidR="0020565B" w:rsidRPr="00B56767" w:rsidRDefault="0020565B" w:rsidP="006D05F9">
      <w:pPr>
        <w:pStyle w:val="Heading1"/>
        <w:rPr>
          <w:rFonts w:asciiTheme="minorHAnsi" w:hAnsiTheme="minorHAnsi" w:cstheme="minorHAnsi"/>
          <w:bCs/>
          <w:szCs w:val="24"/>
        </w:rPr>
      </w:pPr>
      <w:r w:rsidRPr="00B56767">
        <w:t>5</w:t>
      </w:r>
      <w:r w:rsidRPr="00B56767">
        <w:tab/>
        <w:t>Examen périodique du Règlement des télécommunications internationales (</w:t>
      </w:r>
      <w:r w:rsidR="0018419A" w:rsidRPr="00B56767">
        <w:t>suite</w:t>
      </w:r>
      <w:r w:rsidRPr="00B56767">
        <w:t xml:space="preserve">) </w:t>
      </w:r>
      <w:r w:rsidRPr="00B56767">
        <w:rPr>
          <w:rFonts w:asciiTheme="minorHAnsi" w:hAnsiTheme="minorHAnsi" w:cstheme="minorHAnsi"/>
          <w:bCs/>
          <w:szCs w:val="24"/>
        </w:rPr>
        <w:t xml:space="preserve">(Documents </w:t>
      </w:r>
      <w:hyperlink r:id="rId31" w:history="1">
        <w:r w:rsidRPr="00B56767">
          <w:rPr>
            <w:rStyle w:val="Hyperlink"/>
            <w:rFonts w:asciiTheme="minorHAnsi" w:hAnsiTheme="minorHAnsi" w:cstheme="minorHAnsi"/>
            <w:bCs/>
            <w:szCs w:val="24"/>
          </w:rPr>
          <w:t>C23/12</w:t>
        </w:r>
      </w:hyperlink>
      <w:r w:rsidRPr="00B56767">
        <w:rPr>
          <w:rFonts w:asciiTheme="minorHAnsi" w:hAnsiTheme="minorHAnsi" w:cstheme="minorHAnsi"/>
          <w:bCs/>
          <w:szCs w:val="24"/>
        </w:rPr>
        <w:t xml:space="preserve">, </w:t>
      </w:r>
      <w:hyperlink r:id="rId32" w:history="1">
        <w:r w:rsidRPr="00B56767">
          <w:rPr>
            <w:rStyle w:val="Hyperlink"/>
            <w:rFonts w:asciiTheme="minorHAnsi" w:hAnsiTheme="minorHAnsi" w:cstheme="minorHAnsi"/>
            <w:bCs/>
            <w:szCs w:val="24"/>
          </w:rPr>
          <w:t>C23/66</w:t>
        </w:r>
      </w:hyperlink>
      <w:r w:rsidRPr="00B56767">
        <w:rPr>
          <w:rFonts w:asciiTheme="minorHAnsi" w:hAnsiTheme="minorHAnsi" w:cstheme="minorHAnsi"/>
          <w:bCs/>
          <w:szCs w:val="24"/>
        </w:rPr>
        <w:t xml:space="preserve">, </w:t>
      </w:r>
      <w:hyperlink r:id="rId33" w:history="1">
        <w:r w:rsidRPr="00B56767">
          <w:rPr>
            <w:rStyle w:val="Hyperlink"/>
            <w:rFonts w:asciiTheme="minorHAnsi" w:hAnsiTheme="minorHAnsi" w:cstheme="minorHAnsi"/>
            <w:bCs/>
            <w:szCs w:val="24"/>
          </w:rPr>
          <w:t>C23/73</w:t>
        </w:r>
      </w:hyperlink>
      <w:r w:rsidRPr="00B56767">
        <w:rPr>
          <w:rFonts w:asciiTheme="minorHAnsi" w:hAnsiTheme="minorHAnsi" w:cstheme="minorHAnsi"/>
          <w:bCs/>
          <w:szCs w:val="24"/>
        </w:rPr>
        <w:t xml:space="preserve">, </w:t>
      </w:r>
      <w:hyperlink r:id="rId34" w:history="1">
        <w:r w:rsidRPr="00B56767">
          <w:rPr>
            <w:rStyle w:val="Hyperlink"/>
            <w:rFonts w:asciiTheme="minorHAnsi" w:hAnsiTheme="minorHAnsi" w:cstheme="minorHAnsi"/>
            <w:bCs/>
            <w:szCs w:val="24"/>
          </w:rPr>
          <w:t>C23/77+Corr.1</w:t>
        </w:r>
      </w:hyperlink>
      <w:r w:rsidRPr="00B56767">
        <w:rPr>
          <w:rFonts w:asciiTheme="minorHAnsi" w:hAnsiTheme="minorHAnsi" w:cstheme="minorHAnsi"/>
          <w:bCs/>
          <w:szCs w:val="24"/>
        </w:rPr>
        <w:t xml:space="preserve">, </w:t>
      </w:r>
      <w:hyperlink r:id="rId35" w:history="1">
        <w:r w:rsidRPr="00B56767">
          <w:rPr>
            <w:rStyle w:val="Hyperlink"/>
            <w:rFonts w:asciiTheme="minorHAnsi" w:hAnsiTheme="minorHAnsi" w:cstheme="minorHAnsi"/>
            <w:bCs/>
            <w:szCs w:val="24"/>
          </w:rPr>
          <w:t>C23/88+Corr.1</w:t>
        </w:r>
        <w:r w:rsidRPr="00B56767">
          <w:rPr>
            <w:rStyle w:val="Hyperlink"/>
            <w:rFonts w:asciiTheme="minorHAnsi" w:hAnsiTheme="minorHAnsi" w:cstheme="minorHAnsi"/>
            <w:szCs w:val="24"/>
          </w:rPr>
          <w:t xml:space="preserve"> et </w:t>
        </w:r>
        <w:r w:rsidRPr="00B56767">
          <w:rPr>
            <w:rStyle w:val="Hyperlink"/>
            <w:rFonts w:asciiTheme="minorHAnsi" w:hAnsiTheme="minorHAnsi" w:cstheme="minorHAnsi"/>
            <w:bCs/>
            <w:szCs w:val="24"/>
          </w:rPr>
          <w:t>2</w:t>
        </w:r>
      </w:hyperlink>
      <w:r w:rsidRPr="00B56767">
        <w:rPr>
          <w:rFonts w:asciiTheme="minorHAnsi" w:hAnsiTheme="minorHAnsi" w:cstheme="minorHAnsi"/>
          <w:bCs/>
          <w:szCs w:val="24"/>
        </w:rPr>
        <w:t xml:space="preserve"> et </w:t>
      </w:r>
      <w:hyperlink r:id="rId36" w:history="1">
        <w:r w:rsidRPr="00B56767">
          <w:rPr>
            <w:rStyle w:val="Hyperlink"/>
            <w:rFonts w:asciiTheme="minorHAnsi" w:hAnsiTheme="minorHAnsi" w:cstheme="minorHAnsi"/>
            <w:bCs/>
            <w:szCs w:val="24"/>
          </w:rPr>
          <w:t>C23/DT/5</w:t>
        </w:r>
      </w:hyperlink>
      <w:r w:rsidRPr="00B56767">
        <w:rPr>
          <w:rFonts w:asciiTheme="minorHAnsi" w:hAnsiTheme="minorHAnsi" w:cstheme="minorHAnsi"/>
          <w:bCs/>
          <w:szCs w:val="24"/>
        </w:rPr>
        <w:t>)</w:t>
      </w:r>
    </w:p>
    <w:p w14:paraId="4C1DA389" w14:textId="723AEC32" w:rsidR="0020565B" w:rsidRPr="00B56767" w:rsidRDefault="0020565B" w:rsidP="006D05F9">
      <w:r w:rsidRPr="00B56767">
        <w:t>5.1</w:t>
      </w:r>
      <w:r w:rsidRPr="00B56767">
        <w:tab/>
      </w:r>
      <w:r w:rsidR="00335111" w:rsidRPr="00B56767">
        <w:t xml:space="preserve">Le </w:t>
      </w:r>
      <w:r w:rsidR="00F067F3" w:rsidRPr="00B56767">
        <w:t>c</w:t>
      </w:r>
      <w:r w:rsidR="00335111" w:rsidRPr="00B56767">
        <w:t xml:space="preserve">onseiller des Bahamas </w:t>
      </w:r>
      <w:r w:rsidR="00F067F3" w:rsidRPr="00B56767">
        <w:t>présente l</w:t>
      </w:r>
      <w:r w:rsidR="00335111" w:rsidRPr="00B56767">
        <w:t xml:space="preserve">es résultats positifs des consultations informelles </w:t>
      </w:r>
      <w:r w:rsidR="00F067F3" w:rsidRPr="00B56767">
        <w:t>menées auprès des</w:t>
      </w:r>
      <w:r w:rsidR="00335111" w:rsidRPr="00B56767">
        <w:t xml:space="preserve"> États Membres, </w:t>
      </w:r>
      <w:r w:rsidR="00F067F3" w:rsidRPr="00B56767">
        <w:t>d</w:t>
      </w:r>
      <w:r w:rsidR="00335111" w:rsidRPr="00B56767">
        <w:t xml:space="preserve">es coordonnateurs régionaux et </w:t>
      </w:r>
      <w:r w:rsidR="00F067F3" w:rsidRPr="00B56767">
        <w:t>d</w:t>
      </w:r>
      <w:r w:rsidR="00335111" w:rsidRPr="00B56767">
        <w:t>es parties intéressées, et déclare que, conformément à la Résolution</w:t>
      </w:r>
      <w:r w:rsidRPr="00B56767">
        <w:t xml:space="preserve"> 146 (</w:t>
      </w:r>
      <w:r w:rsidR="00335111" w:rsidRPr="00B56767">
        <w:t>Rév. Bucarest,</w:t>
      </w:r>
      <w:r w:rsidRPr="00B56767">
        <w:t xml:space="preserve"> 2022)</w:t>
      </w:r>
      <w:r w:rsidR="006E7E78" w:rsidRPr="00B56767">
        <w:t xml:space="preserve"> de la</w:t>
      </w:r>
      <w:r w:rsidR="00CD6456" w:rsidRPr="00B56767">
        <w:t> </w:t>
      </w:r>
      <w:r w:rsidR="006E7E78" w:rsidRPr="00B56767">
        <w:t>PP</w:t>
      </w:r>
      <w:r w:rsidRPr="00B56767">
        <w:t xml:space="preserve">, </w:t>
      </w:r>
      <w:r w:rsidR="00DF172C" w:rsidRPr="00B56767">
        <w:t>le mandat</w:t>
      </w:r>
      <w:r w:rsidR="008D5E85" w:rsidRPr="00B56767">
        <w:t xml:space="preserve"> du Groupe d'experts sur le Règlement des télécommunications internationales (RTI) en vue de l'examen du RTI a été approuvé. </w:t>
      </w:r>
      <w:r w:rsidR="009403EF" w:rsidRPr="00B56767">
        <w:t xml:space="preserve">Le texte </w:t>
      </w:r>
      <w:r w:rsidR="00F067F3" w:rsidRPr="00B56767">
        <w:t xml:space="preserve">résultant d'un </w:t>
      </w:r>
      <w:r w:rsidR="00FE359D" w:rsidRPr="00B56767">
        <w:t xml:space="preserve">consensus, qui est reproduit dans le projet de révision de la Résolution </w:t>
      </w:r>
      <w:r w:rsidRPr="00B56767">
        <w:t xml:space="preserve">1379 (C16, </w:t>
      </w:r>
      <w:r w:rsidR="00F061B2" w:rsidRPr="00B56767">
        <w:t>dernière mod. C</w:t>
      </w:r>
      <w:r w:rsidRPr="00B56767">
        <w:t xml:space="preserve">19) </w:t>
      </w:r>
      <w:r w:rsidR="00F061B2" w:rsidRPr="00B56767">
        <w:t xml:space="preserve">tel qu'il figure dans le </w:t>
      </w:r>
      <w:r w:rsidRPr="00B56767">
        <w:t xml:space="preserve">Document C23/DT/5, </w:t>
      </w:r>
      <w:r w:rsidR="006E7E78" w:rsidRPr="00B56767">
        <w:t xml:space="preserve">est </w:t>
      </w:r>
      <w:r w:rsidR="00AC7587" w:rsidRPr="00B56767">
        <w:t xml:space="preserve">un compromis </w:t>
      </w:r>
      <w:r w:rsidR="00722A8C" w:rsidRPr="00B56767">
        <w:t xml:space="preserve">subtil </w:t>
      </w:r>
      <w:r w:rsidR="006E7E78" w:rsidRPr="00B56767">
        <w:t xml:space="preserve">entre les propositions </w:t>
      </w:r>
      <w:r w:rsidR="00921C15" w:rsidRPr="00B56767">
        <w:t xml:space="preserve">formulées par les États Membres </w:t>
      </w:r>
      <w:r w:rsidR="0014577D" w:rsidRPr="00B56767">
        <w:t xml:space="preserve">dans les </w:t>
      </w:r>
      <w:r w:rsidRPr="00B56767">
        <w:t xml:space="preserve">Documents C23/66, C23/73, C23/77+Corr.1 </w:t>
      </w:r>
      <w:r w:rsidR="00E70FFE" w:rsidRPr="00B56767">
        <w:t>et</w:t>
      </w:r>
      <w:r w:rsidR="00CD6456" w:rsidRPr="00B56767">
        <w:t xml:space="preserve"> </w:t>
      </w:r>
      <w:r w:rsidRPr="00B56767">
        <w:t xml:space="preserve">C23/88+Corr.1 </w:t>
      </w:r>
      <w:r w:rsidR="00E70FFE" w:rsidRPr="00B56767">
        <w:t>et</w:t>
      </w:r>
      <w:r w:rsidRPr="00B56767">
        <w:t xml:space="preserve"> 2.</w:t>
      </w:r>
    </w:p>
    <w:p w14:paraId="5487A3A8" w14:textId="00876FC7" w:rsidR="0020565B" w:rsidRPr="00B56767" w:rsidRDefault="0020565B" w:rsidP="006D05F9">
      <w:r w:rsidRPr="00B56767">
        <w:t>5.2</w:t>
      </w:r>
      <w:r w:rsidRPr="00B56767">
        <w:tab/>
      </w:r>
      <w:r w:rsidR="00E22313" w:rsidRPr="00B56767">
        <w:t xml:space="preserve">Le Conseil </w:t>
      </w:r>
      <w:r w:rsidR="00E22313" w:rsidRPr="00B56767">
        <w:rPr>
          <w:b/>
          <w:bCs/>
        </w:rPr>
        <w:t xml:space="preserve">adopte </w:t>
      </w:r>
      <w:r w:rsidR="00E22313" w:rsidRPr="00B56767">
        <w:t xml:space="preserve">le texte révisé de la Résolution </w:t>
      </w:r>
      <w:r w:rsidRPr="00B56767">
        <w:t xml:space="preserve">1379 (C16, </w:t>
      </w:r>
      <w:r w:rsidR="00E22313" w:rsidRPr="00B56767">
        <w:t>dernière mod.</w:t>
      </w:r>
      <w:r w:rsidRPr="00B56767">
        <w:t xml:space="preserve"> C19) </w:t>
      </w:r>
      <w:r w:rsidR="00F302BD" w:rsidRPr="00B56767">
        <w:t>figurant</w:t>
      </w:r>
      <w:r w:rsidR="00936D08" w:rsidRPr="00B56767">
        <w:t xml:space="preserve"> dans le</w:t>
      </w:r>
      <w:r w:rsidRPr="00B56767">
        <w:t xml:space="preserve"> Document C23/DT/5.</w:t>
      </w:r>
    </w:p>
    <w:p w14:paraId="3DFABC74" w14:textId="76C08559" w:rsidR="0020565B" w:rsidRPr="00B56767" w:rsidRDefault="0020565B" w:rsidP="006D05F9">
      <w:pPr>
        <w:pStyle w:val="Heading1"/>
        <w:rPr>
          <w:rFonts w:asciiTheme="minorHAnsi" w:hAnsiTheme="minorHAnsi" w:cstheme="minorHAnsi"/>
          <w:bCs/>
          <w:szCs w:val="24"/>
        </w:rPr>
      </w:pPr>
      <w:r w:rsidRPr="00B56767">
        <w:t>6</w:t>
      </w:r>
      <w:r w:rsidRPr="00B56767">
        <w:tab/>
        <w:t xml:space="preserve">Travaux préparatoires en vue du Forum mondial des politiques de télécommunication et des technologies de l'information et des communications de 2026 (FMPT-26) </w:t>
      </w:r>
      <w:r w:rsidRPr="00B56767">
        <w:rPr>
          <w:rFonts w:asciiTheme="minorHAnsi" w:hAnsiTheme="minorHAnsi" w:cstheme="minorHAnsi"/>
          <w:bCs/>
          <w:szCs w:val="24"/>
        </w:rPr>
        <w:t>(Document </w:t>
      </w:r>
      <w:hyperlink r:id="rId37" w:history="1">
        <w:r w:rsidRPr="00B56767">
          <w:rPr>
            <w:rStyle w:val="Hyperlink"/>
            <w:rFonts w:asciiTheme="minorHAnsi" w:hAnsiTheme="minorHAnsi" w:cstheme="minorHAnsi"/>
            <w:bCs/>
            <w:szCs w:val="24"/>
          </w:rPr>
          <w:t>C23/13</w:t>
        </w:r>
      </w:hyperlink>
      <w:r w:rsidRPr="00B56767">
        <w:rPr>
          <w:rFonts w:asciiTheme="minorHAnsi" w:hAnsiTheme="minorHAnsi" w:cstheme="minorHAnsi"/>
          <w:bCs/>
          <w:szCs w:val="24"/>
        </w:rPr>
        <w:t>)</w:t>
      </w:r>
    </w:p>
    <w:p w14:paraId="7E1F970E" w14:textId="1C875E2F" w:rsidR="0020565B" w:rsidRPr="00B56767" w:rsidRDefault="0020565B" w:rsidP="006D05F9">
      <w:r w:rsidRPr="00B56767">
        <w:t>6.1</w:t>
      </w:r>
      <w:r w:rsidRPr="00B56767">
        <w:tab/>
      </w:r>
      <w:r w:rsidR="00602373" w:rsidRPr="00B56767">
        <w:t xml:space="preserve">Un représentant du Secrétariat général présente le </w:t>
      </w:r>
      <w:r w:rsidRPr="00B56767">
        <w:t xml:space="preserve">Document C23/13, </w:t>
      </w:r>
      <w:r w:rsidR="006E77B9" w:rsidRPr="00B56767">
        <w:t xml:space="preserve">dans lequel il est rappelé qu'aux termes de la Résolution 2 </w:t>
      </w:r>
      <w:r w:rsidRPr="00B56767">
        <w:t>(</w:t>
      </w:r>
      <w:r w:rsidR="006E77B9" w:rsidRPr="00B56767">
        <w:t>Rév. Bucarest</w:t>
      </w:r>
      <w:r w:rsidRPr="00B56767">
        <w:t xml:space="preserve">, 2022) </w:t>
      </w:r>
      <w:r w:rsidR="009B3F6B" w:rsidRPr="00B56767">
        <w:t xml:space="preserve">de la </w:t>
      </w:r>
      <w:r w:rsidR="00873E17" w:rsidRPr="00B56767">
        <w:t>PP</w:t>
      </w:r>
      <w:r w:rsidR="009B3F6B" w:rsidRPr="00B56767">
        <w:t>, le Conseil est chargé d'arrêter la durée, les dates, le lieu, l'ordre du jour et les thèmes du Forum mondial des politique</w:t>
      </w:r>
      <w:r w:rsidR="00873E17" w:rsidRPr="00B56767">
        <w:t>s</w:t>
      </w:r>
      <w:r w:rsidR="009B3F6B" w:rsidRPr="00B56767">
        <w:t xml:space="preserve"> de télécommunication/TIC (FMPT) </w:t>
      </w:r>
      <w:r w:rsidR="000B7268" w:rsidRPr="00B56767">
        <w:t>qui doit se tenir en</w:t>
      </w:r>
      <w:r w:rsidRPr="00B56767">
        <w:t xml:space="preserve"> 2026 (</w:t>
      </w:r>
      <w:r w:rsidR="00701375" w:rsidRPr="00B56767">
        <w:t>FMPT</w:t>
      </w:r>
      <w:r w:rsidRPr="00B56767">
        <w:t>-26).</w:t>
      </w:r>
    </w:p>
    <w:p w14:paraId="1CF2E109" w14:textId="57DD6AA5" w:rsidR="0020565B" w:rsidRPr="00B56767" w:rsidRDefault="0020565B" w:rsidP="006D05F9">
      <w:r w:rsidRPr="00B56767">
        <w:t>6.2</w:t>
      </w:r>
      <w:r w:rsidRPr="00B56767">
        <w:tab/>
      </w:r>
      <w:r w:rsidR="00BA0B8D" w:rsidRPr="00B56767">
        <w:t>Un conseiller suggère</w:t>
      </w:r>
      <w:r w:rsidR="000F692A" w:rsidRPr="00B56767">
        <w:t xml:space="preserve"> qu'une décision finale sur les propositions soit prise à la session</w:t>
      </w:r>
      <w:r w:rsidR="00643111" w:rsidRPr="00B56767">
        <w:t xml:space="preserve"> </w:t>
      </w:r>
      <w:r w:rsidR="000F692A" w:rsidRPr="00B56767">
        <w:t>de 2024 du Conseil.</w:t>
      </w:r>
      <w:r w:rsidR="00DE6FE4" w:rsidRPr="00B56767">
        <w:t xml:space="preserve"> Un observateur demande </w:t>
      </w:r>
      <w:r w:rsidR="00493956" w:rsidRPr="00B56767">
        <w:t xml:space="preserve">de convoquer un groupe d'experts informel </w:t>
      </w:r>
      <w:r w:rsidR="0060316A" w:rsidRPr="00B56767">
        <w:t>dès que possible</w:t>
      </w:r>
      <w:r w:rsidR="00493956" w:rsidRPr="00B56767">
        <w:t xml:space="preserve"> en 2023</w:t>
      </w:r>
      <w:r w:rsidR="00607FD6" w:rsidRPr="00B56767">
        <w:t>, qui serait chargé d'élaborer de</w:t>
      </w:r>
      <w:r w:rsidR="00493956" w:rsidRPr="00B56767">
        <w:t xml:space="preserve">s propositions relatives aux thèmes de l'édition de 2026 du FMPT, </w:t>
      </w:r>
      <w:r w:rsidR="00607FD6" w:rsidRPr="00B56767">
        <w:t>en vue de les soumettre</w:t>
      </w:r>
      <w:r w:rsidR="00493956" w:rsidRPr="00B56767">
        <w:t xml:space="preserve"> à la session de 2024 du Conseil</w:t>
      </w:r>
      <w:r w:rsidRPr="00B56767">
        <w:t xml:space="preserve">. </w:t>
      </w:r>
    </w:p>
    <w:p w14:paraId="7555A2FD" w14:textId="6331E570" w:rsidR="0020565B" w:rsidRPr="00B56767" w:rsidRDefault="0020565B" w:rsidP="006D05F9">
      <w:r w:rsidRPr="00B56767">
        <w:t>6.3</w:t>
      </w:r>
      <w:r w:rsidRPr="00B56767">
        <w:tab/>
      </w:r>
      <w:r w:rsidR="00265967" w:rsidRPr="00B56767">
        <w:t xml:space="preserve">Le Conseil </w:t>
      </w:r>
      <w:r w:rsidR="00265967" w:rsidRPr="00B56767">
        <w:rPr>
          <w:b/>
          <w:bCs/>
        </w:rPr>
        <w:t xml:space="preserve">prend note </w:t>
      </w:r>
      <w:r w:rsidR="00265967" w:rsidRPr="00B56767">
        <w:t xml:space="preserve">du rapport figurant dans le </w:t>
      </w:r>
      <w:r w:rsidRPr="00B56767">
        <w:t>Document C23/13.</w:t>
      </w:r>
    </w:p>
    <w:p w14:paraId="1A97F66E" w14:textId="43E7C4B4" w:rsidR="0020565B" w:rsidRPr="00B56767" w:rsidRDefault="0020565B" w:rsidP="006D05F9">
      <w:pPr>
        <w:pStyle w:val="Heading1"/>
        <w:rPr>
          <w:rFonts w:asciiTheme="minorHAnsi" w:hAnsiTheme="minorHAnsi" w:cstheme="minorHAnsi"/>
          <w:bCs/>
          <w:szCs w:val="24"/>
        </w:rPr>
      </w:pPr>
      <w:r w:rsidRPr="00B56767">
        <w:t>7</w:t>
      </w:r>
      <w:r w:rsidRPr="00B56767">
        <w:tab/>
        <w:t xml:space="preserve">Participation des jeunes et initiatives pour la jeunesse à l'UIT </w:t>
      </w:r>
      <w:r w:rsidRPr="00B56767">
        <w:rPr>
          <w:rFonts w:asciiTheme="minorHAnsi" w:hAnsiTheme="minorHAnsi" w:cstheme="minorHAnsi"/>
          <w:bCs/>
          <w:szCs w:val="24"/>
        </w:rPr>
        <w:t xml:space="preserve">(Documents </w:t>
      </w:r>
      <w:hyperlink r:id="rId38" w:history="1">
        <w:r w:rsidRPr="00B56767">
          <w:rPr>
            <w:rStyle w:val="Hyperlink"/>
            <w:rFonts w:asciiTheme="minorHAnsi" w:hAnsiTheme="minorHAnsi" w:cstheme="minorHAnsi"/>
            <w:bCs/>
            <w:szCs w:val="24"/>
          </w:rPr>
          <w:t>C23/63</w:t>
        </w:r>
      </w:hyperlink>
      <w:r w:rsidRPr="00B56767">
        <w:rPr>
          <w:rFonts w:asciiTheme="minorHAnsi" w:hAnsiTheme="minorHAnsi" w:cstheme="minorHAnsi"/>
          <w:bCs/>
          <w:szCs w:val="24"/>
        </w:rPr>
        <w:t xml:space="preserve"> et </w:t>
      </w:r>
      <w:hyperlink r:id="rId39" w:history="1">
        <w:r w:rsidRPr="00B56767">
          <w:rPr>
            <w:rStyle w:val="Hyperlink"/>
            <w:rFonts w:asciiTheme="minorHAnsi" w:hAnsiTheme="minorHAnsi" w:cstheme="minorHAnsi"/>
            <w:bCs/>
            <w:szCs w:val="24"/>
          </w:rPr>
          <w:t>C23/67</w:t>
        </w:r>
      </w:hyperlink>
      <w:r w:rsidRPr="00B56767">
        <w:rPr>
          <w:rFonts w:asciiTheme="minorHAnsi" w:hAnsiTheme="minorHAnsi" w:cstheme="minorHAnsi"/>
          <w:bCs/>
          <w:szCs w:val="24"/>
        </w:rPr>
        <w:t>)</w:t>
      </w:r>
    </w:p>
    <w:p w14:paraId="118DFB35" w14:textId="5B8AB912" w:rsidR="0020565B" w:rsidRPr="00B56767" w:rsidRDefault="0020565B" w:rsidP="006D05F9">
      <w:r w:rsidRPr="00B56767">
        <w:t>7.1</w:t>
      </w:r>
      <w:r w:rsidRPr="00B56767">
        <w:tab/>
      </w:r>
      <w:r w:rsidR="00CD1FCE" w:rsidRPr="00B56767">
        <w:t xml:space="preserve">Une représentante du Secrétariat général présente le rapport figurant dans le </w:t>
      </w:r>
      <w:r w:rsidRPr="00B56767">
        <w:t>Document C23/63</w:t>
      </w:r>
      <w:r w:rsidR="00AC41D0" w:rsidRPr="00B56767">
        <w:t xml:space="preserve"> et précise qu</w:t>
      </w:r>
      <w:r w:rsidR="00F3104D" w:rsidRPr="00B56767">
        <w:t xml:space="preserve">'il a pour objet </w:t>
      </w:r>
      <w:r w:rsidR="00AC7587" w:rsidRPr="00B56767">
        <w:t>de donner au</w:t>
      </w:r>
      <w:r w:rsidR="00F3104D" w:rsidRPr="00B56767">
        <w:t xml:space="preserve"> Conseil </w:t>
      </w:r>
      <w:r w:rsidR="00AC7587" w:rsidRPr="00B56767">
        <w:t xml:space="preserve">des informations sur </w:t>
      </w:r>
      <w:r w:rsidR="00F3104D" w:rsidRPr="00B56767">
        <w:t xml:space="preserve">la mise en œuvre de la stratégie de l'UIT pour la jeunesse. </w:t>
      </w:r>
      <w:r w:rsidR="007D01E5" w:rsidRPr="00B56767">
        <w:t>L'Union continue de mobiliser des collègues dans toute l'organisation, y compris dans le cadre de l'initiative Generation</w:t>
      </w:r>
      <w:r w:rsidR="00643111" w:rsidRPr="00B56767">
        <w:t xml:space="preserve"> </w:t>
      </w:r>
      <w:r w:rsidR="007D01E5" w:rsidRPr="00B56767">
        <w:t xml:space="preserve">Connect, </w:t>
      </w:r>
      <w:r w:rsidR="00AC7587" w:rsidRPr="00B56767">
        <w:t>en appuyant</w:t>
      </w:r>
      <w:r w:rsidR="007D01E5" w:rsidRPr="00B56767">
        <w:t xml:space="preserve"> la participation des jeunes aux manifestations et aux conférences de l'UIT et </w:t>
      </w:r>
      <w:r w:rsidR="00AC7587" w:rsidRPr="00B56767">
        <w:t>en mettant en avant</w:t>
      </w:r>
      <w:r w:rsidR="00DC5C78" w:rsidRPr="00B56767">
        <w:t xml:space="preserve"> les programmes </w:t>
      </w:r>
      <w:r w:rsidR="00ED57BA" w:rsidRPr="00B56767">
        <w:t>de stage</w:t>
      </w:r>
      <w:r w:rsidR="008717D3" w:rsidRPr="00B56767">
        <w:t>s</w:t>
      </w:r>
      <w:r w:rsidR="00ED57BA" w:rsidRPr="00B56767">
        <w:t xml:space="preserve">, des </w:t>
      </w:r>
      <w:r w:rsidR="008717D3" w:rsidRPr="00B56767">
        <w:t>administrat</w:t>
      </w:r>
      <w:r w:rsidR="007F5B20" w:rsidRPr="00B56767">
        <w:t>eurs</w:t>
      </w:r>
      <w:r w:rsidR="008717D3" w:rsidRPr="00B56767">
        <w:t xml:space="preserve"> auxiliaires et des jeunes professionnels, ainsi que </w:t>
      </w:r>
      <w:r w:rsidR="00FF1EA7" w:rsidRPr="00B56767">
        <w:t>l</w:t>
      </w:r>
      <w:r w:rsidR="008717D3" w:rsidRPr="00B56767">
        <w:t>es partenariats avec les établissements universitaires.</w:t>
      </w:r>
      <w:r w:rsidR="007F5B20" w:rsidRPr="00B56767">
        <w:t xml:space="preserve"> </w:t>
      </w:r>
      <w:r w:rsidR="009F2B92" w:rsidRPr="00B56767">
        <w:t xml:space="preserve">Des travaux sont </w:t>
      </w:r>
      <w:r w:rsidR="00E2640D" w:rsidRPr="00B56767">
        <w:t>en cours</w:t>
      </w:r>
      <w:r w:rsidR="009F2B92" w:rsidRPr="00B56767">
        <w:t xml:space="preserve"> </w:t>
      </w:r>
      <w:r w:rsidR="008E1900" w:rsidRPr="00B56767">
        <w:t>en vue d'</w:t>
      </w:r>
      <w:r w:rsidR="009F2B92" w:rsidRPr="00B56767">
        <w:t xml:space="preserve">améliorer la stratégie pour la jeunesse, </w:t>
      </w:r>
      <w:r w:rsidR="00C442A3" w:rsidRPr="00B56767">
        <w:t xml:space="preserve">afin de veiller à ce que les jeunes puissent contribuer aux manifestations et aux réunions de l'UIT. </w:t>
      </w:r>
      <w:r w:rsidR="002C6D70" w:rsidRPr="00B56767">
        <w:lastRenderedPageBreak/>
        <w:t xml:space="preserve">Conformément à la Résolution </w:t>
      </w:r>
      <w:r w:rsidRPr="00B56767">
        <w:t>198 (</w:t>
      </w:r>
      <w:r w:rsidR="007921F9" w:rsidRPr="00B56767">
        <w:t>Rév. Bucarest</w:t>
      </w:r>
      <w:r w:rsidRPr="00B56767">
        <w:t>, 2022)</w:t>
      </w:r>
      <w:r w:rsidR="00F4547D" w:rsidRPr="00B56767">
        <w:t xml:space="preserve"> de la </w:t>
      </w:r>
      <w:r w:rsidR="003B4FED" w:rsidRPr="00B56767">
        <w:t>PP</w:t>
      </w:r>
      <w:r w:rsidRPr="00B56767">
        <w:t xml:space="preserve">, </w:t>
      </w:r>
      <w:r w:rsidR="00381A12" w:rsidRPr="00B56767">
        <w:t xml:space="preserve">les conseillers </w:t>
      </w:r>
      <w:r w:rsidR="00296D6A" w:rsidRPr="00B56767">
        <w:t>sont</w:t>
      </w:r>
      <w:r w:rsidR="00381A12" w:rsidRPr="00B56767">
        <w:t xml:space="preserve"> </w:t>
      </w:r>
      <w:r w:rsidR="0071653A" w:rsidRPr="00B56767">
        <w:t xml:space="preserve">invités à continuer d'appuyer les initiatives </w:t>
      </w:r>
      <w:r w:rsidR="00151800" w:rsidRPr="00B56767">
        <w:t xml:space="preserve">destinées </w:t>
      </w:r>
      <w:r w:rsidR="0071653A" w:rsidRPr="00B56767">
        <w:t>à promouvoir la participation des jeunes</w:t>
      </w:r>
      <w:r w:rsidR="00784826" w:rsidRPr="00B56767">
        <w:t xml:space="preserve">, au moyen de contributions volontaires et </w:t>
      </w:r>
      <w:r w:rsidR="00133BEF" w:rsidRPr="00B56767">
        <w:t>en nature</w:t>
      </w:r>
      <w:r w:rsidR="00784826" w:rsidRPr="00B56767">
        <w:t>.</w:t>
      </w:r>
    </w:p>
    <w:p w14:paraId="0EEACBDE" w14:textId="73EADADA" w:rsidR="0020565B" w:rsidRPr="00B56767" w:rsidRDefault="0020565B" w:rsidP="006D05F9">
      <w:r w:rsidRPr="00B56767">
        <w:t>7.2</w:t>
      </w:r>
      <w:r w:rsidRPr="00B56767">
        <w:tab/>
      </w:r>
      <w:r w:rsidR="004D0FD8" w:rsidRPr="00B56767">
        <w:t xml:space="preserve">Le conseiller du Canada présente le </w:t>
      </w:r>
      <w:r w:rsidRPr="00B56767">
        <w:t xml:space="preserve">Document C23/67, </w:t>
      </w:r>
      <w:r w:rsidR="009E30B1" w:rsidRPr="00B56767">
        <w:t xml:space="preserve">qui contient des propositions </w:t>
      </w:r>
      <w:r w:rsidR="00AF6E89" w:rsidRPr="00B56767">
        <w:t xml:space="preserve">visant à renforcer le </w:t>
      </w:r>
      <w:r w:rsidR="00C607AD" w:rsidRPr="00B56767">
        <w:t>processus préparatoire en vue de la prochaine édition du Sommet mondial de la jeunesse dans le cadre de l'initiative Generation Connect de l'UIT</w:t>
      </w:r>
      <w:r w:rsidRPr="00B56767">
        <w:t>;</w:t>
      </w:r>
      <w:r w:rsidR="001E65D3" w:rsidRPr="00B56767">
        <w:t xml:space="preserve"> l'objectif est de permettre aux jeunes de participer de manière significative aux processus </w:t>
      </w:r>
      <w:r w:rsidR="005B1F98" w:rsidRPr="00B56767">
        <w:t xml:space="preserve">relatifs à l'élaboration de politiques et à la prise de décisions, </w:t>
      </w:r>
      <w:r w:rsidR="00C23507" w:rsidRPr="00B56767">
        <w:t xml:space="preserve">de sorte qu'ils </w:t>
      </w:r>
      <w:r w:rsidR="00876EBE" w:rsidRPr="00B56767">
        <w:t xml:space="preserve">puissent devenir un </w:t>
      </w:r>
      <w:r w:rsidR="00B84B68" w:rsidRPr="00B56767">
        <w:t xml:space="preserve">véritable moteur de </w:t>
      </w:r>
      <w:r w:rsidR="00764E75" w:rsidRPr="00B56767">
        <w:t>changement dans la société</w:t>
      </w:r>
      <w:r w:rsidR="00876EBE" w:rsidRPr="00B56767">
        <w:t xml:space="preserve">. </w:t>
      </w:r>
      <w:r w:rsidR="009F29C5" w:rsidRPr="00B56767">
        <w:t xml:space="preserve">Les jeunes </w:t>
      </w:r>
      <w:r w:rsidR="006C515A" w:rsidRPr="00B56767">
        <w:t xml:space="preserve">sont désireux de participer à des </w:t>
      </w:r>
      <w:r w:rsidR="00E2640D" w:rsidRPr="00B56767">
        <w:t>cadres</w:t>
      </w:r>
      <w:r w:rsidR="006C515A" w:rsidRPr="00B56767">
        <w:t xml:space="preserve"> et à des réseaux dont la composition est variée et représentative, et d'exprimer leurs préoccupations quant à leur avenir numérique.</w:t>
      </w:r>
      <w:r w:rsidR="003E7F6A" w:rsidRPr="00B56767">
        <w:t xml:space="preserve"> Il est à espérer que le prochain </w:t>
      </w:r>
      <w:r w:rsidR="00F256DF" w:rsidRPr="00B56767">
        <w:t>S</w:t>
      </w:r>
      <w:r w:rsidR="003E7F6A" w:rsidRPr="00B56767">
        <w:t xml:space="preserve">ommet </w:t>
      </w:r>
      <w:r w:rsidR="00C06FE7" w:rsidRPr="00B56767">
        <w:t>de</w:t>
      </w:r>
      <w:r w:rsidR="003E7F6A" w:rsidRPr="00B56767">
        <w:t xml:space="preserve"> la jeunesse se tiendra </w:t>
      </w:r>
      <w:r w:rsidR="00E2640D" w:rsidRPr="00B56767">
        <w:t>juste avant</w:t>
      </w:r>
      <w:r w:rsidR="003E7F6A" w:rsidRPr="00B56767">
        <w:t xml:space="preserve"> la prochaine CMDT.</w:t>
      </w:r>
    </w:p>
    <w:p w14:paraId="609BAC2F" w14:textId="76EF8496" w:rsidR="0020565B" w:rsidRPr="00B56767" w:rsidRDefault="0020565B" w:rsidP="006D05F9">
      <w:r w:rsidRPr="00B56767">
        <w:t>7.3</w:t>
      </w:r>
      <w:r w:rsidRPr="00B56767">
        <w:tab/>
      </w:r>
      <w:r w:rsidR="00D24AC6" w:rsidRPr="00B56767">
        <w:t xml:space="preserve">De nombreux conseillers félicitent l'UIT </w:t>
      </w:r>
      <w:r w:rsidR="00B14A7B" w:rsidRPr="00B56767">
        <w:t xml:space="preserve">d'avoir pris des mesures pour inciter les jeunes à participer à ses travaux et </w:t>
      </w:r>
      <w:r w:rsidR="00E2640D" w:rsidRPr="00B56767">
        <w:t>appuient</w:t>
      </w:r>
      <w:r w:rsidR="00B14A7B" w:rsidRPr="00B56767">
        <w:t xml:space="preserve"> sans réserve la participation et la mobilisation efficaces des jeunes. </w:t>
      </w:r>
      <w:r w:rsidR="001057D5" w:rsidRPr="00B56767">
        <w:t xml:space="preserve">Il faut donner aux jeunes les moyens de faire part de leurs expériences et d'approfondir leur compréhension des télécommunications et des TIC. </w:t>
      </w:r>
      <w:r w:rsidR="00952E50" w:rsidRPr="00B56767">
        <w:t xml:space="preserve">Un conseiller rappelle que son pays a parrainé la participation de jeunes de la région Asie-Pacifique au Sommet </w:t>
      </w:r>
      <w:r w:rsidR="005170DE" w:rsidRPr="00B56767">
        <w:t>de</w:t>
      </w:r>
      <w:r w:rsidR="00952E50" w:rsidRPr="00B56767">
        <w:t xml:space="preserve"> la jeunesse qui s'est tenu </w:t>
      </w:r>
      <w:r w:rsidR="00A074B8" w:rsidRPr="00B56767">
        <w:t>e</w:t>
      </w:r>
      <w:r w:rsidR="00952E50" w:rsidRPr="00B56767">
        <w:t xml:space="preserve">n 2022 à Kigali, </w:t>
      </w:r>
      <w:r w:rsidR="00A074B8" w:rsidRPr="00B56767">
        <w:t>ce qui a permis à ces jeunes de nouer des liens solides avec d</w:t>
      </w:r>
      <w:r w:rsidR="00C971E2" w:rsidRPr="00B56767">
        <w:t>'autres</w:t>
      </w:r>
      <w:r w:rsidR="00A074B8" w:rsidRPr="00B56767">
        <w:t xml:space="preserve"> participant</w:t>
      </w:r>
      <w:r w:rsidRPr="00B56767">
        <w:t xml:space="preserve">s. </w:t>
      </w:r>
    </w:p>
    <w:p w14:paraId="4F296B2E" w14:textId="512A0F2D" w:rsidR="0020565B" w:rsidRPr="00B56767" w:rsidRDefault="0020565B" w:rsidP="006D05F9">
      <w:r w:rsidRPr="00B56767">
        <w:t>7.4</w:t>
      </w:r>
      <w:r w:rsidRPr="00B56767">
        <w:tab/>
      </w:r>
      <w:r w:rsidR="00BE74BD" w:rsidRPr="00B56767">
        <w:t xml:space="preserve">De nombreux conseillers </w:t>
      </w:r>
      <w:r w:rsidR="00042AFF" w:rsidRPr="00B56767">
        <w:t>appuient le Documen</w:t>
      </w:r>
      <w:r w:rsidRPr="00B56767">
        <w:t>t C23/67</w:t>
      </w:r>
      <w:r w:rsidR="00292BCC" w:rsidRPr="00B56767">
        <w:t xml:space="preserve"> et soulignent que les jeunes doivent être associés à la conception, à l'organisation et au choix des thèmes du prochain Sommet </w:t>
      </w:r>
      <w:r w:rsidR="003A15A1" w:rsidRPr="00B56767">
        <w:t>de</w:t>
      </w:r>
      <w:r w:rsidR="00292BCC" w:rsidRPr="00B56767">
        <w:t xml:space="preserve"> la jeunesse, </w:t>
      </w:r>
      <w:r w:rsidR="000004AF" w:rsidRPr="00B56767">
        <w:t>et ajoutent</w:t>
      </w:r>
      <w:r w:rsidR="00292BCC" w:rsidRPr="00B56767">
        <w:t xml:space="preserve"> qu'il faut encourager et permettre </w:t>
      </w:r>
      <w:r w:rsidR="00E2640D" w:rsidRPr="00B56767">
        <w:t xml:space="preserve">la participation des </w:t>
      </w:r>
      <w:r w:rsidR="00292BCC" w:rsidRPr="00B56767">
        <w:t xml:space="preserve">jeunes de toutes les régions à </w:t>
      </w:r>
      <w:r w:rsidR="003A15A1" w:rsidRPr="00B56767">
        <w:t>cette manifestation</w:t>
      </w:r>
      <w:r w:rsidR="00292BCC" w:rsidRPr="00B56767">
        <w:t xml:space="preserve">. </w:t>
      </w:r>
      <w:r w:rsidR="00134430" w:rsidRPr="00B56767">
        <w:t xml:space="preserve">Le conseiller de la Thaïlande </w:t>
      </w:r>
      <w:r w:rsidR="00722A8C" w:rsidRPr="00B56767">
        <w:t xml:space="preserve">fait savoir </w:t>
      </w:r>
      <w:r w:rsidR="00134430" w:rsidRPr="00B56767">
        <w:t xml:space="preserve">que, en tant que pays hôte de la CMDT-25, </w:t>
      </w:r>
      <w:r w:rsidR="00E77640" w:rsidRPr="00B56767">
        <w:t xml:space="preserve">son pays sera ravi d'organiser le prochain Sommet </w:t>
      </w:r>
      <w:r w:rsidR="00415C40" w:rsidRPr="00B56767">
        <w:t>de</w:t>
      </w:r>
      <w:r w:rsidR="00E77640" w:rsidRPr="00B56767">
        <w:t xml:space="preserve"> la jeunesse </w:t>
      </w:r>
      <w:r w:rsidR="00722A8C" w:rsidRPr="00B56767">
        <w:t>avant</w:t>
      </w:r>
      <w:r w:rsidR="00E77640" w:rsidRPr="00B56767">
        <w:t xml:space="preserve"> la Conférence et d'assurer la participation des jeunes à la</w:t>
      </w:r>
      <w:r w:rsidR="00643111" w:rsidRPr="00B56767">
        <w:t> </w:t>
      </w:r>
      <w:r w:rsidR="00E77640" w:rsidRPr="00B56767">
        <w:t xml:space="preserve">CMDT-25. </w:t>
      </w:r>
      <w:r w:rsidR="00BF67CB" w:rsidRPr="00B56767">
        <w:t xml:space="preserve">De nombreux conseillers </w:t>
      </w:r>
      <w:r w:rsidR="00190215" w:rsidRPr="00B56767">
        <w:t xml:space="preserve">se félicitent de cette proposition et y </w:t>
      </w:r>
      <w:r w:rsidR="006A6790" w:rsidRPr="00B56767">
        <w:t>sont favorables dans le principe</w:t>
      </w:r>
      <w:r w:rsidRPr="00B56767">
        <w:t>.</w:t>
      </w:r>
    </w:p>
    <w:p w14:paraId="030190F7" w14:textId="55951321" w:rsidR="0020565B" w:rsidRPr="00B56767" w:rsidRDefault="0020565B" w:rsidP="006D05F9">
      <w:r w:rsidRPr="00B56767">
        <w:t>7.5</w:t>
      </w:r>
      <w:r w:rsidRPr="00B56767">
        <w:tab/>
      </w:r>
      <w:r w:rsidR="009B3BF9" w:rsidRPr="00B56767">
        <w:t xml:space="preserve">Les conseillers des pays en développement </w:t>
      </w:r>
      <w:r w:rsidR="00B438D8" w:rsidRPr="00B56767">
        <w:t xml:space="preserve">se félicitent en particulier </w:t>
      </w:r>
      <w:r w:rsidR="00E50B5C" w:rsidRPr="00B56767">
        <w:t xml:space="preserve">des programmes de stages et des partenariats avec les établissements universitaires. </w:t>
      </w:r>
      <w:r w:rsidR="00777E6B" w:rsidRPr="00B56767">
        <w:t xml:space="preserve">Ils demandent </w:t>
      </w:r>
      <w:r w:rsidR="003905ED" w:rsidRPr="00B56767">
        <w:t xml:space="preserve">qu'une attention supplémentaire soit accordée à la promotion du dialogue intergénérationnel, à l'élargissement des possibilités de participation aux jeunes issus des pays les moins avancés et </w:t>
      </w:r>
      <w:r w:rsidR="00B07897" w:rsidRPr="00B56767">
        <w:t xml:space="preserve">à l'appui à l'adoption de programmes de maîtrise des outils numériques </w:t>
      </w:r>
      <w:r w:rsidR="003905ED" w:rsidRPr="00B56767">
        <w:t>dans l'éducation, dès l'école primaire</w:t>
      </w:r>
      <w:r w:rsidRPr="00B56767">
        <w:t>.</w:t>
      </w:r>
    </w:p>
    <w:p w14:paraId="6E23119E" w14:textId="2A72289B" w:rsidR="0020565B" w:rsidRPr="00B56767" w:rsidRDefault="0020565B" w:rsidP="006D05F9">
      <w:r w:rsidRPr="00B56767">
        <w:t>7.6</w:t>
      </w:r>
      <w:r w:rsidRPr="00B56767">
        <w:tab/>
      </w:r>
      <w:r w:rsidR="00C1038B" w:rsidRPr="00B56767">
        <w:t xml:space="preserve">Plusieurs conseillers, </w:t>
      </w:r>
      <w:r w:rsidR="00160EFC" w:rsidRPr="00B56767">
        <w:t xml:space="preserve">faisant référence aux discussions passées au sein du GCDT, </w:t>
      </w:r>
      <w:r w:rsidR="000D779C" w:rsidRPr="00B56767">
        <w:t xml:space="preserve">demandent </w:t>
      </w:r>
      <w:r w:rsidR="00722A8C" w:rsidRPr="00B56767">
        <w:t>la création</w:t>
      </w:r>
      <w:r w:rsidR="000D779C" w:rsidRPr="00B56767">
        <w:t xml:space="preserve"> </w:t>
      </w:r>
      <w:r w:rsidR="00722A8C" w:rsidRPr="00B56767">
        <w:t>d'</w:t>
      </w:r>
      <w:r w:rsidR="000D779C" w:rsidRPr="00B56767">
        <w:t xml:space="preserve">un groupe de travail </w:t>
      </w:r>
      <w:r w:rsidR="00A107A1" w:rsidRPr="00B56767">
        <w:t xml:space="preserve">pour faire avancer les travaux préparatoires en vue du Sommet </w:t>
      </w:r>
      <w:r w:rsidR="003A5AD9" w:rsidRPr="00B56767">
        <w:t xml:space="preserve">de </w:t>
      </w:r>
      <w:r w:rsidR="00A107A1" w:rsidRPr="00B56767">
        <w:t xml:space="preserve">la jeunesse prévu l'an prochain, </w:t>
      </w:r>
      <w:r w:rsidR="00722A8C" w:rsidRPr="00B56767">
        <w:t>auquel participeraient</w:t>
      </w:r>
      <w:r w:rsidR="00A107A1" w:rsidRPr="00B56767">
        <w:t xml:space="preserve"> des jeunes et d'autres parties prenantes.</w:t>
      </w:r>
      <w:r w:rsidRPr="00B56767">
        <w:t xml:space="preserve"> </w:t>
      </w:r>
      <w:r w:rsidR="00CF27B0" w:rsidRPr="00B56767">
        <w:t xml:space="preserve">Un conseiller demande que le Sommet </w:t>
      </w:r>
      <w:r w:rsidR="003A5AD9" w:rsidRPr="00B56767">
        <w:t>de</w:t>
      </w:r>
      <w:r w:rsidR="00CF27B0" w:rsidRPr="00B56767">
        <w:t xml:space="preserve"> la jeunesse soit organisé séparément des autres réunions et que ses résultats fassent l'objet d'un rapport </w:t>
      </w:r>
      <w:r w:rsidR="00EC7ED0" w:rsidRPr="00B56767">
        <w:t>distinct</w:t>
      </w:r>
      <w:r w:rsidR="00CF27B0" w:rsidRPr="00B56767">
        <w:t>.</w:t>
      </w:r>
      <w:r w:rsidRPr="00B56767">
        <w:t xml:space="preserve"> </w:t>
      </w:r>
      <w:r w:rsidR="00886B9F" w:rsidRPr="00B56767">
        <w:t xml:space="preserve">Un observateur </w:t>
      </w:r>
      <w:r w:rsidR="00722A8C" w:rsidRPr="00B56767">
        <w:t>explique qu'il appuie sur le</w:t>
      </w:r>
      <w:r w:rsidR="00886B9F" w:rsidRPr="00B56767">
        <w:t xml:space="preserve"> principe </w:t>
      </w:r>
      <w:r w:rsidR="00722A8C" w:rsidRPr="00B56767">
        <w:t xml:space="preserve">le </w:t>
      </w:r>
      <w:r w:rsidR="00886B9F" w:rsidRPr="00B56767">
        <w:t xml:space="preserve">Sommet </w:t>
      </w:r>
      <w:r w:rsidR="003A5AD9" w:rsidRPr="00B56767">
        <w:t>de</w:t>
      </w:r>
      <w:r w:rsidR="00886B9F" w:rsidRPr="00B56767">
        <w:t xml:space="preserve"> la jeunesse, mais </w:t>
      </w:r>
      <w:r w:rsidR="00722A8C" w:rsidRPr="00B56767">
        <w:t xml:space="preserve">fait part de </w:t>
      </w:r>
      <w:r w:rsidR="00C372E1" w:rsidRPr="00B56767">
        <w:t xml:space="preserve">son désaccord vis-à-vis de la proposition, telle qu'elle est formulée, </w:t>
      </w:r>
      <w:r w:rsidR="00722A8C" w:rsidRPr="00B56767">
        <w:t>de permettre aux</w:t>
      </w:r>
      <w:r w:rsidR="00371D18" w:rsidRPr="00B56767">
        <w:t xml:space="preserve"> jeunes </w:t>
      </w:r>
      <w:r w:rsidR="00722A8C" w:rsidRPr="00B56767">
        <w:t>d'</w:t>
      </w:r>
      <w:r w:rsidR="00371D18" w:rsidRPr="00B56767">
        <w:t>exprim</w:t>
      </w:r>
      <w:r w:rsidR="00722A8C" w:rsidRPr="00B56767">
        <w:t>er leurs opinions</w:t>
      </w:r>
      <w:r w:rsidR="00371D18" w:rsidRPr="00B56767">
        <w:t xml:space="preserve"> de manière non censurée et non filtrée. </w:t>
      </w:r>
      <w:r w:rsidR="0048482F" w:rsidRPr="00B56767">
        <w:t xml:space="preserve">Le GCDT devrait </w:t>
      </w:r>
      <w:r w:rsidR="00CB1965" w:rsidRPr="00B56767">
        <w:t>men</w:t>
      </w:r>
      <w:r w:rsidR="00722A8C" w:rsidRPr="00B56767">
        <w:t>er</w:t>
      </w:r>
      <w:r w:rsidR="00CB1965" w:rsidRPr="00B56767">
        <w:t xml:space="preserve"> des </w:t>
      </w:r>
      <w:r w:rsidR="0048482F" w:rsidRPr="00B56767">
        <w:t>travaux</w:t>
      </w:r>
      <w:r w:rsidR="00CB1965" w:rsidRPr="00B56767">
        <w:t xml:space="preserve"> complémentaires</w:t>
      </w:r>
      <w:r w:rsidR="0048482F" w:rsidRPr="00B56767">
        <w:t xml:space="preserve"> sur ce sujet.</w:t>
      </w:r>
    </w:p>
    <w:p w14:paraId="5267DBF3" w14:textId="12279C57" w:rsidR="0020565B" w:rsidRPr="00B56767" w:rsidRDefault="0020565B" w:rsidP="001B5185">
      <w:pPr>
        <w:keepLines/>
      </w:pPr>
      <w:r w:rsidRPr="00B56767">
        <w:lastRenderedPageBreak/>
        <w:t>7.7</w:t>
      </w:r>
      <w:r w:rsidRPr="00B56767">
        <w:tab/>
      </w:r>
      <w:r w:rsidR="00F96DCA" w:rsidRPr="00B56767">
        <w:t>La Secrétaire générale déclare comprendre davantage la valeur des manifestations destinées aux jeunes après avoir rencontré un ancien participant au Forum de la jeunesse</w:t>
      </w:r>
      <w:r w:rsidR="009B28DD" w:rsidRPr="00B56767">
        <w:t>,</w:t>
      </w:r>
      <w:r w:rsidR="00F96DCA" w:rsidRPr="00B56767">
        <w:t xml:space="preserve"> issu du </w:t>
      </w:r>
      <w:r w:rsidR="00215E86" w:rsidRPr="00B56767">
        <w:t>Nigéria</w:t>
      </w:r>
      <w:r w:rsidR="009B28DD" w:rsidRPr="00B56767">
        <w:t>,</w:t>
      </w:r>
      <w:r w:rsidR="00F96DCA" w:rsidRPr="00B56767">
        <w:t xml:space="preserve"> qui a par la suite lancé une initiative en faveur de l'inclusion numérique. </w:t>
      </w:r>
      <w:r w:rsidR="00215E86" w:rsidRPr="00B56767">
        <w:t xml:space="preserve">Les possibilités de participation et de mentorat qu'offrent l'UIT </w:t>
      </w:r>
      <w:r w:rsidR="00737EB2" w:rsidRPr="00B56767">
        <w:t xml:space="preserve">peuvent </w:t>
      </w:r>
      <w:r w:rsidR="00AD1735" w:rsidRPr="00B56767">
        <w:t xml:space="preserve">changer le cours de l'existence </w:t>
      </w:r>
      <w:r w:rsidR="00737EB2" w:rsidRPr="00B56767">
        <w:t>des bénéficiaires</w:t>
      </w:r>
      <w:r w:rsidRPr="00B56767">
        <w:t>.</w:t>
      </w:r>
    </w:p>
    <w:p w14:paraId="756DEC4A" w14:textId="2A3E4AF9" w:rsidR="0020565B" w:rsidRPr="00B56767" w:rsidRDefault="0020565B" w:rsidP="006D05F9">
      <w:r w:rsidRPr="00B56767">
        <w:t>7.8</w:t>
      </w:r>
      <w:r w:rsidRPr="00B56767">
        <w:tab/>
      </w:r>
      <w:r w:rsidR="00283CAA" w:rsidRPr="00B56767">
        <w:t xml:space="preserve">Le Président propose </w:t>
      </w:r>
      <w:r w:rsidR="00CF75E2" w:rsidRPr="00B56767">
        <w:t>au</w:t>
      </w:r>
      <w:r w:rsidR="00283CAA" w:rsidRPr="00B56767">
        <w:t xml:space="preserve"> Conseil </w:t>
      </w:r>
      <w:r w:rsidR="00CF75E2" w:rsidRPr="00B56767">
        <w:t>de prendre</w:t>
      </w:r>
      <w:r w:rsidR="00283CAA" w:rsidRPr="00B56767">
        <w:t xml:space="preserve"> note du rapport figurant dans le</w:t>
      </w:r>
      <w:r w:rsidR="009B28DD" w:rsidRPr="00B56767">
        <w:t xml:space="preserve"> Document</w:t>
      </w:r>
      <w:r w:rsidRPr="00B56767">
        <w:t xml:space="preserve"> C23/63 </w:t>
      </w:r>
      <w:r w:rsidR="00CF75E2" w:rsidRPr="00B56767">
        <w:t xml:space="preserve">et de la contribution faisant l'objet du </w:t>
      </w:r>
      <w:r w:rsidRPr="00B56767">
        <w:t>Document C23/67</w:t>
      </w:r>
      <w:r w:rsidR="00CF75E2" w:rsidRPr="00B56767">
        <w:t xml:space="preserve">, ainsi que des observations formulées pendant les </w:t>
      </w:r>
      <w:r w:rsidR="00AD1735" w:rsidRPr="00B56767">
        <w:t>discussions</w:t>
      </w:r>
      <w:r w:rsidR="005375A0" w:rsidRPr="00B56767">
        <w:t>;</w:t>
      </w:r>
      <w:r w:rsidR="00CF75E2" w:rsidRPr="00B56767">
        <w:t xml:space="preserve"> </w:t>
      </w:r>
      <w:r w:rsidR="00D91EF2" w:rsidRPr="00B56767">
        <w:t xml:space="preserve">de prendre note de la proposition de la Thaïlande </w:t>
      </w:r>
      <w:r w:rsidR="00AD1735" w:rsidRPr="00B56767">
        <w:t>d'</w:t>
      </w:r>
      <w:r w:rsidR="00D91EF2" w:rsidRPr="00B56767">
        <w:t xml:space="preserve">organiser le Sommet mondial </w:t>
      </w:r>
      <w:r w:rsidR="00572698" w:rsidRPr="00B56767">
        <w:t>de</w:t>
      </w:r>
      <w:r w:rsidR="00D91EF2" w:rsidRPr="00B56767">
        <w:t xml:space="preserve"> la jeunesse </w:t>
      </w:r>
      <w:r w:rsidR="00AD1735" w:rsidRPr="00B56767">
        <w:t>à l'occasion</w:t>
      </w:r>
      <w:r w:rsidR="00D91EF2" w:rsidRPr="00B56767">
        <w:t xml:space="preserve"> de la CMDT-25; et d'inviter le Directeur du BDT à informer le GCDT de l'état d'avancement des travaux préparatoires en vue du Sommet </w:t>
      </w:r>
      <w:r w:rsidR="00572698" w:rsidRPr="00B56767">
        <w:t>de</w:t>
      </w:r>
      <w:r w:rsidR="00D91EF2" w:rsidRPr="00B56767">
        <w:t xml:space="preserve"> la jeunesse et le Secrétariat à présenter un rapport</w:t>
      </w:r>
      <w:r w:rsidR="00825D92" w:rsidRPr="00B56767">
        <w:t xml:space="preserve"> sur cette question</w:t>
      </w:r>
      <w:r w:rsidR="00D91EF2" w:rsidRPr="00B56767">
        <w:t xml:space="preserve"> à la session de 2024 du Conseil.</w:t>
      </w:r>
    </w:p>
    <w:p w14:paraId="1149E3CF" w14:textId="44DF37C5" w:rsidR="0020565B" w:rsidRPr="00B56767" w:rsidRDefault="0020565B" w:rsidP="006D05F9">
      <w:r w:rsidRPr="00B56767">
        <w:t>7.9</w:t>
      </w:r>
      <w:r w:rsidRPr="00B56767">
        <w:tab/>
      </w:r>
      <w:r w:rsidR="00BA1ABE" w:rsidRPr="00B56767">
        <w:t xml:space="preserve">Il en est ainsi </w:t>
      </w:r>
      <w:r w:rsidR="00BA1ABE" w:rsidRPr="00B56767">
        <w:rPr>
          <w:b/>
          <w:bCs/>
        </w:rPr>
        <w:t>décidé</w:t>
      </w:r>
      <w:r w:rsidRPr="00B56767">
        <w:t>.</w:t>
      </w:r>
    </w:p>
    <w:p w14:paraId="5055A80F" w14:textId="2553B759" w:rsidR="0020565B" w:rsidRPr="00B56767" w:rsidRDefault="0020565B" w:rsidP="006D05F9">
      <w:pPr>
        <w:pStyle w:val="Heading1"/>
      </w:pPr>
      <w:r w:rsidRPr="00B56767">
        <w:t>8</w:t>
      </w:r>
      <w:r w:rsidRPr="00B56767">
        <w:tab/>
      </w:r>
      <w:r w:rsidR="00015B4A" w:rsidRPr="00B56767">
        <w:t xml:space="preserve">Déclaration </w:t>
      </w:r>
      <w:r w:rsidR="003564E1" w:rsidRPr="00B56767">
        <w:t>de l'Espagne</w:t>
      </w:r>
    </w:p>
    <w:p w14:paraId="585B3AAB" w14:textId="7C5D9BF9" w:rsidR="0020565B" w:rsidRPr="00B56767" w:rsidRDefault="0020565B" w:rsidP="00581974">
      <w:r w:rsidRPr="00B56767">
        <w:t>8.1</w:t>
      </w:r>
      <w:r w:rsidRPr="00B56767">
        <w:tab/>
      </w:r>
      <w:r w:rsidR="008C5167" w:rsidRPr="00B56767">
        <w:t xml:space="preserve">M. </w:t>
      </w:r>
      <w:r w:rsidR="003564E1" w:rsidRPr="00B56767">
        <w:rPr>
          <w:rFonts w:asciiTheme="minorHAnsi" w:hAnsiTheme="minorHAnsi" w:cstheme="minorHAnsi"/>
          <w:szCs w:val="24"/>
        </w:rPr>
        <w:t xml:space="preserve">Matias Gonzalez Martin </w:t>
      </w:r>
      <w:r w:rsidRPr="00B56767">
        <w:t>(</w:t>
      </w:r>
      <w:r w:rsidR="00215867" w:rsidRPr="00B56767">
        <w:t xml:space="preserve">Secrétaire </w:t>
      </w:r>
      <w:r w:rsidR="003564E1" w:rsidRPr="00B56767">
        <w:t xml:space="preserve">général </w:t>
      </w:r>
      <w:r w:rsidR="00215867" w:rsidRPr="00B56767">
        <w:t xml:space="preserve">chargé des télécommunications et des </w:t>
      </w:r>
      <w:r w:rsidR="002F7A00" w:rsidRPr="00B56767">
        <w:t>services de communication audiovisuelle</w:t>
      </w:r>
      <w:r w:rsidRPr="00B56767">
        <w:t>)</w:t>
      </w:r>
      <w:r w:rsidR="00F61A76" w:rsidRPr="00B56767">
        <w:rPr>
          <w:rStyle w:val="FootnoteReference"/>
        </w:rPr>
        <w:footnoteReference w:id="1"/>
      </w:r>
      <w:r w:rsidR="00990D54" w:rsidRPr="00B56767">
        <w:t xml:space="preserve"> prononce une déclaration</w:t>
      </w:r>
      <w:r w:rsidRPr="00B56767">
        <w:t xml:space="preserve">, </w:t>
      </w:r>
      <w:r w:rsidR="00215867" w:rsidRPr="00B56767">
        <w:t>dont le texte figure à l'adresse</w:t>
      </w:r>
      <w:r w:rsidRPr="00B56767">
        <w:t xml:space="preserve"> </w:t>
      </w:r>
      <w:hyperlink r:id="rId40" w:history="1">
        <w:r w:rsidR="001F5D6A" w:rsidRPr="00A366A6">
          <w:rPr>
            <w:rStyle w:val="Hyperlink"/>
          </w:rPr>
          <w:t>http://council.itu.int/2023/wp-content/uploads/sites/2/2023/09/C23-Spain-Statement-Matias-Gonzalez_en.pdf</w:t>
        </w:r>
      </w:hyperlink>
      <w:r w:rsidRPr="00B56767">
        <w:t>.</w:t>
      </w:r>
    </w:p>
    <w:p w14:paraId="70FCB3B3" w14:textId="04FBBD0F" w:rsidR="0020565B" w:rsidRPr="00B56767" w:rsidRDefault="0020565B" w:rsidP="006D05F9">
      <w:pPr>
        <w:pStyle w:val="Heading1"/>
      </w:pPr>
      <w:r w:rsidRPr="00B56767">
        <w:t>9</w:t>
      </w:r>
      <w:r w:rsidRPr="00B56767">
        <w:tab/>
      </w:r>
      <w:r w:rsidR="007F0A12" w:rsidRPr="00B56767">
        <w:t>Cadeau à l'UIT de la part du Royaume-Uni</w:t>
      </w:r>
    </w:p>
    <w:p w14:paraId="2986DE6D" w14:textId="4A3C86CD" w:rsidR="0020565B" w:rsidRPr="00B56767" w:rsidRDefault="0020565B" w:rsidP="006D05F9">
      <w:r w:rsidRPr="00B56767">
        <w:t>9.1</w:t>
      </w:r>
      <w:r w:rsidRPr="00B56767">
        <w:tab/>
        <w:t>M</w:t>
      </w:r>
      <w:r w:rsidR="00990D54" w:rsidRPr="00B56767">
        <w:t>.</w:t>
      </w:r>
      <w:r w:rsidRPr="00B56767">
        <w:t xml:space="preserve"> Simon Manley, </w:t>
      </w:r>
      <w:r w:rsidR="00EC2215" w:rsidRPr="00B56767">
        <w:t xml:space="preserve">Ambassadeur et Représentant permanent de la Mission permanente du Royaume-Uni auprès de l'Organisation mondiale du commerce, de l'Office des Nations Unies et d'autres organisations internationales à Genève, offre à l'UIT, au nom du Royaume-Uni, une cabine téléphonique emblématique de couleur rouge vif, modèle K6, conçue en </w:t>
      </w:r>
      <w:r w:rsidRPr="00B56767">
        <w:t xml:space="preserve">1935. </w:t>
      </w:r>
      <w:r w:rsidR="00EC2215" w:rsidRPr="00B56767">
        <w:t xml:space="preserve">Au Royaume-Uni, et peut-être pour de nombreuses personnes dans le monde, la cabine téléphonique rouge est </w:t>
      </w:r>
      <w:r w:rsidR="00AD1735" w:rsidRPr="00B56767">
        <w:t xml:space="preserve">un </w:t>
      </w:r>
      <w:r w:rsidR="00EC2215" w:rsidRPr="00B56767">
        <w:t xml:space="preserve">symbole </w:t>
      </w:r>
      <w:r w:rsidR="00AD1735" w:rsidRPr="00B56767">
        <w:t xml:space="preserve">de la </w:t>
      </w:r>
      <w:r w:rsidR="00EC2215" w:rsidRPr="00B56767">
        <w:t xml:space="preserve">connectivité </w:t>
      </w:r>
      <w:r w:rsidR="00AD1735" w:rsidRPr="00B56767">
        <w:t>pour</w:t>
      </w:r>
      <w:r w:rsidR="00103C7B" w:rsidRPr="00B56767">
        <w:t xml:space="preserve"> tous</w:t>
      </w:r>
      <w:r w:rsidR="00AD1735" w:rsidRPr="00B56767">
        <w:t xml:space="preserve"> et</w:t>
      </w:r>
      <w:r w:rsidR="0071109C" w:rsidRPr="00B56767">
        <w:t xml:space="preserve"> elle</w:t>
      </w:r>
      <w:r w:rsidR="00D74403" w:rsidRPr="00B56767">
        <w:t xml:space="preserve"> a</w:t>
      </w:r>
      <w:r w:rsidR="00AD1735" w:rsidRPr="00B56767">
        <w:t xml:space="preserve"> donc</w:t>
      </w:r>
      <w:r w:rsidR="00D74403" w:rsidRPr="00B56767">
        <w:t xml:space="preserve"> toute sa place dans une organisation dont la </w:t>
      </w:r>
      <w:r w:rsidR="0071109C" w:rsidRPr="00B56767">
        <w:t xml:space="preserve">première et la plus importante des </w:t>
      </w:r>
      <w:r w:rsidR="00D74403" w:rsidRPr="00B56767">
        <w:t>tâche</w:t>
      </w:r>
      <w:r w:rsidR="0071109C" w:rsidRPr="00B56767">
        <w:t>s</w:t>
      </w:r>
      <w:r w:rsidR="00D74403" w:rsidRPr="00B56767">
        <w:t xml:space="preserve"> est de connecter ceux qui ne le sont pas encore.</w:t>
      </w:r>
    </w:p>
    <w:p w14:paraId="5235BF2F" w14:textId="70556B56" w:rsidR="0020565B" w:rsidRPr="00B56767" w:rsidRDefault="0020565B" w:rsidP="006D05F9">
      <w:r w:rsidRPr="00B56767">
        <w:t>9.2</w:t>
      </w:r>
      <w:r w:rsidRPr="00B56767">
        <w:tab/>
      </w:r>
      <w:r w:rsidR="003D051D" w:rsidRPr="00B56767">
        <w:t xml:space="preserve">Au nom de l'UIT et de ses membres, la Secrétaire générale remercie sincèrement le Royaume-Uni pour son cadeau généreux, qui </w:t>
      </w:r>
      <w:r w:rsidR="00AD1735" w:rsidRPr="00B56767">
        <w:t>non</w:t>
      </w:r>
      <w:r w:rsidR="003D051D" w:rsidRPr="00B56767">
        <w:t xml:space="preserve"> seulement </w:t>
      </w:r>
      <w:r w:rsidR="00AD1735" w:rsidRPr="00B56767">
        <w:t xml:space="preserve">est </w:t>
      </w:r>
      <w:r w:rsidR="003D051D" w:rsidRPr="00B56767">
        <w:t xml:space="preserve">esthétique et emblématique, mais fait </w:t>
      </w:r>
      <w:r w:rsidR="00AD1735" w:rsidRPr="00B56767">
        <w:t xml:space="preserve">également </w:t>
      </w:r>
      <w:r w:rsidR="003D051D" w:rsidRPr="00B56767">
        <w:t>clairement écho aux objectifs et aux ambitions de l'Union.</w:t>
      </w:r>
    </w:p>
    <w:p w14:paraId="153D2F5D" w14:textId="081BF893" w:rsidR="001C5CBC" w:rsidRDefault="001C5CBC" w:rsidP="006D05F9">
      <w:pPr>
        <w:tabs>
          <w:tab w:val="clear" w:pos="567"/>
          <w:tab w:val="clear" w:pos="1134"/>
          <w:tab w:val="clear" w:pos="1701"/>
          <w:tab w:val="clear" w:pos="2268"/>
          <w:tab w:val="clear" w:pos="2835"/>
          <w:tab w:val="left" w:pos="7088"/>
        </w:tabs>
        <w:spacing w:before="840"/>
      </w:pPr>
      <w:r w:rsidRPr="00B56767">
        <w:t>La Secrétaire générale</w:t>
      </w:r>
      <w:r w:rsidRPr="00B56767">
        <w:tab/>
        <w:t>Le Président</w:t>
      </w:r>
      <w:r w:rsidRPr="00B56767">
        <w:br/>
        <w:t>D. BOGDAN MARTIN</w:t>
      </w:r>
      <w:r w:rsidR="002F3756" w:rsidRPr="00B56767">
        <w:tab/>
        <w:t>C. MARTINEZ</w:t>
      </w:r>
    </w:p>
    <w:p w14:paraId="22616F27" w14:textId="56541F67" w:rsidR="0049252D" w:rsidRPr="00B56767" w:rsidRDefault="0049252D" w:rsidP="0049252D">
      <w:pPr>
        <w:tabs>
          <w:tab w:val="clear" w:pos="567"/>
          <w:tab w:val="clear" w:pos="1134"/>
          <w:tab w:val="clear" w:pos="1701"/>
          <w:tab w:val="clear" w:pos="2268"/>
          <w:tab w:val="clear" w:pos="2835"/>
          <w:tab w:val="left" w:pos="7088"/>
        </w:tabs>
        <w:spacing w:before="360"/>
        <w:jc w:val="center"/>
      </w:pPr>
      <w:r>
        <w:t>__________________</w:t>
      </w:r>
    </w:p>
    <w:sectPr w:rsidR="0049252D" w:rsidRPr="00B56767" w:rsidSect="00D72F49">
      <w:headerReference w:type="even" r:id="rId41"/>
      <w:footerReference w:type="even" r:id="rId42"/>
      <w:footerReference w:type="default" r:id="rId43"/>
      <w:headerReference w:type="first" r:id="rId44"/>
      <w:footerReference w:type="first" r:id="rId4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p w14:paraId="65EF678F" w14:textId="77777777" w:rsidR="00387756" w:rsidRDefault="00387756"/>
  </w:endnote>
  <w:endnote w:type="continuationSeparator" w:id="0">
    <w:p w14:paraId="3D4797BD" w14:textId="77777777" w:rsidR="00566679" w:rsidRDefault="00566679">
      <w:r>
        <w:continuationSeparator/>
      </w:r>
    </w:p>
    <w:p w14:paraId="79D8B683" w14:textId="77777777" w:rsidR="00387756" w:rsidRDefault="00387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CCDD445" w:rsidR="00732045" w:rsidRPr="006E7E78" w:rsidRDefault="0071109C">
    <w:pPr>
      <w:pStyle w:val="Footer"/>
      <w:rPr>
        <w:lang w:val="en-GB"/>
      </w:rPr>
    </w:pPr>
    <w:r>
      <w:fldChar w:fldCharType="begin"/>
    </w:r>
    <w:r w:rsidRPr="006E7E78">
      <w:rPr>
        <w:lang w:val="en-GB"/>
      </w:rPr>
      <w:instrText xml:space="preserve"> FILENAME \p \* MERGEFORMAT </w:instrText>
    </w:r>
    <w:r>
      <w:fldChar w:fldCharType="separate"/>
    </w:r>
    <w:r w:rsidR="006E7E78" w:rsidRPr="006E7E78">
      <w:rPr>
        <w:lang w:val="en-GB"/>
      </w:rPr>
      <w:t>C:\Users\dawonauth\Desktop\109FMontage.docx</w:t>
    </w:r>
    <w:r>
      <w:fldChar w:fldCharType="end"/>
    </w:r>
    <w:r w:rsidR="00732045" w:rsidRPr="006E7E78">
      <w:rPr>
        <w:lang w:val="en-GB"/>
      </w:rPr>
      <w:tab/>
    </w:r>
    <w:r w:rsidR="002F1B76">
      <w:fldChar w:fldCharType="begin"/>
    </w:r>
    <w:r w:rsidR="00732045">
      <w:instrText xml:space="preserve"> savedate \@ dd.MM.yy </w:instrText>
    </w:r>
    <w:r w:rsidR="002F1B76">
      <w:fldChar w:fldCharType="separate"/>
    </w:r>
    <w:r w:rsidR="001E6731">
      <w:t>31.08.23</w:t>
    </w:r>
    <w:r w:rsidR="002F1B76">
      <w:fldChar w:fldCharType="end"/>
    </w:r>
    <w:r w:rsidR="00732045" w:rsidRPr="006E7E78">
      <w:rPr>
        <w:lang w:val="en-GB"/>
      </w:rPr>
      <w:tab/>
    </w:r>
    <w:r w:rsidR="002F1B76">
      <w:fldChar w:fldCharType="begin"/>
    </w:r>
    <w:r w:rsidR="00732045">
      <w:instrText xml:space="preserve"> printdate \@ dd.MM.yy </w:instrText>
    </w:r>
    <w:r w:rsidR="002F1B76">
      <w:fldChar w:fldCharType="separate"/>
    </w:r>
    <w:r w:rsidR="006E7E78">
      <w:t>18.07.00</w:t>
    </w:r>
    <w:r w:rsidR="002F1B76">
      <w:fldChar w:fldCharType="end"/>
    </w:r>
  </w:p>
  <w:p w14:paraId="19C681B5" w14:textId="77777777" w:rsidR="00387756" w:rsidRPr="00854804" w:rsidRDefault="00387756">
    <w:pP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09E1FE4E" w:rsidR="00A51849" w:rsidRDefault="00A51849" w:rsidP="00A51849">
          <w:pPr>
            <w:pStyle w:val="Header"/>
            <w:jc w:val="left"/>
            <w:rPr>
              <w:noProof/>
            </w:rPr>
          </w:pPr>
          <w:r>
            <w:rPr>
              <w:noProof/>
            </w:rPr>
            <w:t xml:space="preserve">DPS </w:t>
          </w:r>
          <w:r w:rsidR="001C5CBC">
            <w:rPr>
              <w:noProof/>
            </w:rPr>
            <w:t>526</w:t>
          </w:r>
          <w:r w:rsidR="002E375D">
            <w:rPr>
              <w:noProof/>
            </w:rPr>
            <w:t>814</w:t>
          </w:r>
        </w:p>
      </w:tc>
      <w:tc>
        <w:tcPr>
          <w:tcW w:w="8261" w:type="dxa"/>
        </w:tcPr>
        <w:p w14:paraId="0DB0A3C6" w14:textId="56FCAB0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C5CBC">
            <w:rPr>
              <w:bCs/>
            </w:rPr>
            <w:t>10</w:t>
          </w:r>
          <w:r w:rsidR="002E375D">
            <w:rPr>
              <w:bCs/>
            </w:rPr>
            <w:t>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367DA5B" w14:textId="3283E4FC" w:rsidR="00387756" w:rsidRPr="00854804" w:rsidRDefault="00387756" w:rsidP="002908D7">
    <w:pPr>
      <w:pStyle w:val="Footer"/>
      <w:spacing w:before="120"/>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684803"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2649C70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33E8F">
            <w:rPr>
              <w:bCs/>
            </w:rPr>
            <w:t>10</w:t>
          </w:r>
          <w:r w:rsidR="002E375D">
            <w:rPr>
              <w:bCs/>
            </w:rPr>
            <w:t>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3B32DD4" w14:textId="545741CB" w:rsidR="00387756" w:rsidRPr="00854804" w:rsidRDefault="00387756" w:rsidP="001459BA">
    <w:pPr>
      <w:pStyle w:val="Footer"/>
      <w:spacing w:before="12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p w14:paraId="7C13FD6F" w14:textId="77777777" w:rsidR="00387756" w:rsidRDefault="00387756"/>
  </w:footnote>
  <w:footnote w:id="1">
    <w:p w14:paraId="7438EB64" w14:textId="37587227" w:rsidR="00F61A76" w:rsidRPr="00F61A76" w:rsidRDefault="00F61A76">
      <w:pPr>
        <w:pStyle w:val="FootnoteText"/>
        <w:rPr>
          <w:lang w:val="fr-CH"/>
        </w:rPr>
      </w:pPr>
      <w:r>
        <w:rPr>
          <w:rStyle w:val="FootnoteReference"/>
        </w:rPr>
        <w:footnoteRef/>
      </w:r>
      <w:r>
        <w:tab/>
      </w:r>
      <w:r w:rsidRPr="00F61A76">
        <w:t>Déclaration prononcée à l'intention du Conseil lors de la séance de la Commission permanente de l'administration et de la gestion du mercredi 19 juillet 2023</w:t>
      </w:r>
      <w:r w:rsidRPr="00F61A76">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p w14:paraId="24802F50" w14:textId="77777777" w:rsidR="00387756" w:rsidRDefault="003877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04AF"/>
    <w:rsid w:val="00010343"/>
    <w:rsid w:val="00010CB0"/>
    <w:rsid w:val="00014EF0"/>
    <w:rsid w:val="00015B4A"/>
    <w:rsid w:val="000168BD"/>
    <w:rsid w:val="00016A17"/>
    <w:rsid w:val="00020354"/>
    <w:rsid w:val="00041F63"/>
    <w:rsid w:val="00042AFF"/>
    <w:rsid w:val="000511B6"/>
    <w:rsid w:val="00053CB5"/>
    <w:rsid w:val="0006003D"/>
    <w:rsid w:val="00072653"/>
    <w:rsid w:val="00076A2C"/>
    <w:rsid w:val="000773FE"/>
    <w:rsid w:val="00081EBA"/>
    <w:rsid w:val="00082EF4"/>
    <w:rsid w:val="000951A4"/>
    <w:rsid w:val="000B2042"/>
    <w:rsid w:val="000B719A"/>
    <w:rsid w:val="000B7268"/>
    <w:rsid w:val="000C6BAF"/>
    <w:rsid w:val="000D0D0A"/>
    <w:rsid w:val="000D334E"/>
    <w:rsid w:val="000D404B"/>
    <w:rsid w:val="000D779C"/>
    <w:rsid w:val="000F5525"/>
    <w:rsid w:val="000F692A"/>
    <w:rsid w:val="00103163"/>
    <w:rsid w:val="00103C7B"/>
    <w:rsid w:val="00103E25"/>
    <w:rsid w:val="00105780"/>
    <w:rsid w:val="001057D5"/>
    <w:rsid w:val="00106B19"/>
    <w:rsid w:val="00106CF7"/>
    <w:rsid w:val="00115D93"/>
    <w:rsid w:val="001247A8"/>
    <w:rsid w:val="00133BEF"/>
    <w:rsid w:val="00134430"/>
    <w:rsid w:val="001378C0"/>
    <w:rsid w:val="0014577D"/>
    <w:rsid w:val="001459BA"/>
    <w:rsid w:val="00151800"/>
    <w:rsid w:val="00155786"/>
    <w:rsid w:val="00160EFC"/>
    <w:rsid w:val="0018419A"/>
    <w:rsid w:val="0018694A"/>
    <w:rsid w:val="00190215"/>
    <w:rsid w:val="00195099"/>
    <w:rsid w:val="00196512"/>
    <w:rsid w:val="001A267D"/>
    <w:rsid w:val="001A2F18"/>
    <w:rsid w:val="001A3287"/>
    <w:rsid w:val="001A6508"/>
    <w:rsid w:val="001B5185"/>
    <w:rsid w:val="001C1ECC"/>
    <w:rsid w:val="001C5CBC"/>
    <w:rsid w:val="001D23C0"/>
    <w:rsid w:val="001D4833"/>
    <w:rsid w:val="001D4C31"/>
    <w:rsid w:val="001D60D4"/>
    <w:rsid w:val="001E4D21"/>
    <w:rsid w:val="001E65D3"/>
    <w:rsid w:val="001E6731"/>
    <w:rsid w:val="001F2D13"/>
    <w:rsid w:val="001F5D6A"/>
    <w:rsid w:val="0020565B"/>
    <w:rsid w:val="00207CD1"/>
    <w:rsid w:val="00212418"/>
    <w:rsid w:val="0021377C"/>
    <w:rsid w:val="00215867"/>
    <w:rsid w:val="00215E86"/>
    <w:rsid w:val="00226657"/>
    <w:rsid w:val="00227A99"/>
    <w:rsid w:val="00231A09"/>
    <w:rsid w:val="00232460"/>
    <w:rsid w:val="00240ACB"/>
    <w:rsid w:val="002425A4"/>
    <w:rsid w:val="002477A2"/>
    <w:rsid w:val="00251C82"/>
    <w:rsid w:val="002543A5"/>
    <w:rsid w:val="00263A51"/>
    <w:rsid w:val="00263DAC"/>
    <w:rsid w:val="00265967"/>
    <w:rsid w:val="00265D2E"/>
    <w:rsid w:val="00267E02"/>
    <w:rsid w:val="00271108"/>
    <w:rsid w:val="00272A5C"/>
    <w:rsid w:val="0027442B"/>
    <w:rsid w:val="0027448C"/>
    <w:rsid w:val="002820E7"/>
    <w:rsid w:val="00283CAA"/>
    <w:rsid w:val="00283EC9"/>
    <w:rsid w:val="00284833"/>
    <w:rsid w:val="002908D7"/>
    <w:rsid w:val="00292BCC"/>
    <w:rsid w:val="00293460"/>
    <w:rsid w:val="00293A2D"/>
    <w:rsid w:val="0029595D"/>
    <w:rsid w:val="00296D6A"/>
    <w:rsid w:val="002A5D44"/>
    <w:rsid w:val="002A6B14"/>
    <w:rsid w:val="002B1C49"/>
    <w:rsid w:val="002C0293"/>
    <w:rsid w:val="002C15DF"/>
    <w:rsid w:val="002C5339"/>
    <w:rsid w:val="002C6D70"/>
    <w:rsid w:val="002E0BC4"/>
    <w:rsid w:val="002E299A"/>
    <w:rsid w:val="002E375D"/>
    <w:rsid w:val="002E3BCB"/>
    <w:rsid w:val="002E4B75"/>
    <w:rsid w:val="002F1B76"/>
    <w:rsid w:val="002F3756"/>
    <w:rsid w:val="002F7A00"/>
    <w:rsid w:val="0030285F"/>
    <w:rsid w:val="0031727A"/>
    <w:rsid w:val="00333060"/>
    <w:rsid w:val="00335111"/>
    <w:rsid w:val="0033568E"/>
    <w:rsid w:val="003443EF"/>
    <w:rsid w:val="00345714"/>
    <w:rsid w:val="00355FF5"/>
    <w:rsid w:val="003564E1"/>
    <w:rsid w:val="003573E2"/>
    <w:rsid w:val="00361350"/>
    <w:rsid w:val="00363BA4"/>
    <w:rsid w:val="00371D18"/>
    <w:rsid w:val="00377A0D"/>
    <w:rsid w:val="00377F29"/>
    <w:rsid w:val="00381A12"/>
    <w:rsid w:val="0038644B"/>
    <w:rsid w:val="00387756"/>
    <w:rsid w:val="003905ED"/>
    <w:rsid w:val="00396C1A"/>
    <w:rsid w:val="00397B07"/>
    <w:rsid w:val="00397F3C"/>
    <w:rsid w:val="003A15A1"/>
    <w:rsid w:val="003A2810"/>
    <w:rsid w:val="003A351A"/>
    <w:rsid w:val="003A5AD9"/>
    <w:rsid w:val="003B16F2"/>
    <w:rsid w:val="003B48E2"/>
    <w:rsid w:val="003B4FED"/>
    <w:rsid w:val="003B7BDC"/>
    <w:rsid w:val="003C02DD"/>
    <w:rsid w:val="003C2F0B"/>
    <w:rsid w:val="003C3FAE"/>
    <w:rsid w:val="003D051D"/>
    <w:rsid w:val="003E7F6A"/>
    <w:rsid w:val="004038CB"/>
    <w:rsid w:val="0040546F"/>
    <w:rsid w:val="00413545"/>
    <w:rsid w:val="00415C40"/>
    <w:rsid w:val="00423931"/>
    <w:rsid w:val="0042404A"/>
    <w:rsid w:val="0044618F"/>
    <w:rsid w:val="00446D8A"/>
    <w:rsid w:val="00465C3F"/>
    <w:rsid w:val="0046769A"/>
    <w:rsid w:val="004744A4"/>
    <w:rsid w:val="00475FB3"/>
    <w:rsid w:val="00477988"/>
    <w:rsid w:val="0048482F"/>
    <w:rsid w:val="00485217"/>
    <w:rsid w:val="0048710C"/>
    <w:rsid w:val="00491CBB"/>
    <w:rsid w:val="0049252D"/>
    <w:rsid w:val="00493956"/>
    <w:rsid w:val="004A1629"/>
    <w:rsid w:val="004A365D"/>
    <w:rsid w:val="004A6B19"/>
    <w:rsid w:val="004B62BC"/>
    <w:rsid w:val="004C37A9"/>
    <w:rsid w:val="004C4606"/>
    <w:rsid w:val="004C705E"/>
    <w:rsid w:val="004D0FD8"/>
    <w:rsid w:val="004D1D50"/>
    <w:rsid w:val="004F259E"/>
    <w:rsid w:val="00503380"/>
    <w:rsid w:val="00504003"/>
    <w:rsid w:val="00505032"/>
    <w:rsid w:val="00511F1D"/>
    <w:rsid w:val="00511F61"/>
    <w:rsid w:val="005135FD"/>
    <w:rsid w:val="00513FBF"/>
    <w:rsid w:val="005170DE"/>
    <w:rsid w:val="00520F36"/>
    <w:rsid w:val="00524BF7"/>
    <w:rsid w:val="00533E8F"/>
    <w:rsid w:val="00534E13"/>
    <w:rsid w:val="00535F8A"/>
    <w:rsid w:val="00537485"/>
    <w:rsid w:val="005375A0"/>
    <w:rsid w:val="00540615"/>
    <w:rsid w:val="00540A6D"/>
    <w:rsid w:val="00542AFD"/>
    <w:rsid w:val="00550CD4"/>
    <w:rsid w:val="00551CA8"/>
    <w:rsid w:val="005575E1"/>
    <w:rsid w:val="00566679"/>
    <w:rsid w:val="0056673F"/>
    <w:rsid w:val="00566D07"/>
    <w:rsid w:val="00571030"/>
    <w:rsid w:val="0057194B"/>
    <w:rsid w:val="00571EEA"/>
    <w:rsid w:val="005722C5"/>
    <w:rsid w:val="00572698"/>
    <w:rsid w:val="00575417"/>
    <w:rsid w:val="005768E1"/>
    <w:rsid w:val="00581974"/>
    <w:rsid w:val="005A541E"/>
    <w:rsid w:val="005A62AC"/>
    <w:rsid w:val="005B1938"/>
    <w:rsid w:val="005B1A7B"/>
    <w:rsid w:val="005B1F98"/>
    <w:rsid w:val="005B268A"/>
    <w:rsid w:val="005B4A97"/>
    <w:rsid w:val="005C3890"/>
    <w:rsid w:val="005F7177"/>
    <w:rsid w:val="005F7BFE"/>
    <w:rsid w:val="00600017"/>
    <w:rsid w:val="00601C92"/>
    <w:rsid w:val="00602373"/>
    <w:rsid w:val="0060316A"/>
    <w:rsid w:val="00605797"/>
    <w:rsid w:val="0060780D"/>
    <w:rsid w:val="00607FD6"/>
    <w:rsid w:val="006110BB"/>
    <w:rsid w:val="006125F8"/>
    <w:rsid w:val="006162D9"/>
    <w:rsid w:val="00617073"/>
    <w:rsid w:val="00617471"/>
    <w:rsid w:val="00620AFE"/>
    <w:rsid w:val="006235CA"/>
    <w:rsid w:val="00624445"/>
    <w:rsid w:val="006271C7"/>
    <w:rsid w:val="006275A5"/>
    <w:rsid w:val="0064010B"/>
    <w:rsid w:val="00643111"/>
    <w:rsid w:val="006579E4"/>
    <w:rsid w:val="006643AB"/>
    <w:rsid w:val="00667CCA"/>
    <w:rsid w:val="00676714"/>
    <w:rsid w:val="00684803"/>
    <w:rsid w:val="0068590A"/>
    <w:rsid w:val="006A6790"/>
    <w:rsid w:val="006A7D5B"/>
    <w:rsid w:val="006B19E0"/>
    <w:rsid w:val="006C515A"/>
    <w:rsid w:val="006D05F9"/>
    <w:rsid w:val="006E10F9"/>
    <w:rsid w:val="006E77B9"/>
    <w:rsid w:val="006E7E78"/>
    <w:rsid w:val="006F0A53"/>
    <w:rsid w:val="006F255C"/>
    <w:rsid w:val="006F2FD4"/>
    <w:rsid w:val="006F500B"/>
    <w:rsid w:val="00701375"/>
    <w:rsid w:val="007026A0"/>
    <w:rsid w:val="0071109C"/>
    <w:rsid w:val="0071653A"/>
    <w:rsid w:val="007210CD"/>
    <w:rsid w:val="00722A8C"/>
    <w:rsid w:val="00731948"/>
    <w:rsid w:val="00732045"/>
    <w:rsid w:val="00732137"/>
    <w:rsid w:val="007369DB"/>
    <w:rsid w:val="00737EB2"/>
    <w:rsid w:val="00742A5A"/>
    <w:rsid w:val="00745061"/>
    <w:rsid w:val="0076049A"/>
    <w:rsid w:val="00764E75"/>
    <w:rsid w:val="00777770"/>
    <w:rsid w:val="00777E6B"/>
    <w:rsid w:val="00784826"/>
    <w:rsid w:val="00786394"/>
    <w:rsid w:val="007921F9"/>
    <w:rsid w:val="007956C2"/>
    <w:rsid w:val="007A187E"/>
    <w:rsid w:val="007A43BF"/>
    <w:rsid w:val="007A7DC4"/>
    <w:rsid w:val="007C4348"/>
    <w:rsid w:val="007C72C2"/>
    <w:rsid w:val="007C746F"/>
    <w:rsid w:val="007D01E5"/>
    <w:rsid w:val="007D4436"/>
    <w:rsid w:val="007F0A12"/>
    <w:rsid w:val="007F1D20"/>
    <w:rsid w:val="007F257A"/>
    <w:rsid w:val="007F3665"/>
    <w:rsid w:val="007F5B20"/>
    <w:rsid w:val="00800037"/>
    <w:rsid w:val="00807AFD"/>
    <w:rsid w:val="008220C3"/>
    <w:rsid w:val="00825D92"/>
    <w:rsid w:val="00832D09"/>
    <w:rsid w:val="0083391C"/>
    <w:rsid w:val="0084264B"/>
    <w:rsid w:val="00847EC7"/>
    <w:rsid w:val="00851871"/>
    <w:rsid w:val="00854804"/>
    <w:rsid w:val="008612CB"/>
    <w:rsid w:val="00861D73"/>
    <w:rsid w:val="0086652F"/>
    <w:rsid w:val="008717D3"/>
    <w:rsid w:val="00873BB7"/>
    <w:rsid w:val="00873E17"/>
    <w:rsid w:val="00876EBE"/>
    <w:rsid w:val="008773CC"/>
    <w:rsid w:val="00884CA5"/>
    <w:rsid w:val="00885FE1"/>
    <w:rsid w:val="00886B9F"/>
    <w:rsid w:val="00897553"/>
    <w:rsid w:val="008A0ADF"/>
    <w:rsid w:val="008A3EFD"/>
    <w:rsid w:val="008A4E87"/>
    <w:rsid w:val="008A7AD7"/>
    <w:rsid w:val="008B3DF6"/>
    <w:rsid w:val="008B4948"/>
    <w:rsid w:val="008C0567"/>
    <w:rsid w:val="008C20A0"/>
    <w:rsid w:val="008C5167"/>
    <w:rsid w:val="008D5E85"/>
    <w:rsid w:val="008D76E6"/>
    <w:rsid w:val="008E0EC7"/>
    <w:rsid w:val="008E1900"/>
    <w:rsid w:val="0090103C"/>
    <w:rsid w:val="00912D97"/>
    <w:rsid w:val="00921C15"/>
    <w:rsid w:val="0092392D"/>
    <w:rsid w:val="0093234A"/>
    <w:rsid w:val="00936D08"/>
    <w:rsid w:val="009403EF"/>
    <w:rsid w:val="00940E80"/>
    <w:rsid w:val="00947BDC"/>
    <w:rsid w:val="00952E50"/>
    <w:rsid w:val="00956A78"/>
    <w:rsid w:val="0095709B"/>
    <w:rsid w:val="0097363B"/>
    <w:rsid w:val="00973F53"/>
    <w:rsid w:val="00975C99"/>
    <w:rsid w:val="009841B1"/>
    <w:rsid w:val="00990089"/>
    <w:rsid w:val="00990D54"/>
    <w:rsid w:val="009A2DE4"/>
    <w:rsid w:val="009A5E62"/>
    <w:rsid w:val="009A7141"/>
    <w:rsid w:val="009B28DD"/>
    <w:rsid w:val="009B3112"/>
    <w:rsid w:val="009B3BF9"/>
    <w:rsid w:val="009B3F43"/>
    <w:rsid w:val="009B3F6B"/>
    <w:rsid w:val="009C307F"/>
    <w:rsid w:val="009C353C"/>
    <w:rsid w:val="009C4820"/>
    <w:rsid w:val="009C60DE"/>
    <w:rsid w:val="009E30B1"/>
    <w:rsid w:val="009F0059"/>
    <w:rsid w:val="009F29C5"/>
    <w:rsid w:val="009F2B92"/>
    <w:rsid w:val="00A074B8"/>
    <w:rsid w:val="00A107A1"/>
    <w:rsid w:val="00A11231"/>
    <w:rsid w:val="00A20433"/>
    <w:rsid w:val="00A2113E"/>
    <w:rsid w:val="00A23A51"/>
    <w:rsid w:val="00A24607"/>
    <w:rsid w:val="00A25CD3"/>
    <w:rsid w:val="00A260E8"/>
    <w:rsid w:val="00A45A42"/>
    <w:rsid w:val="00A51849"/>
    <w:rsid w:val="00A52985"/>
    <w:rsid w:val="00A5575C"/>
    <w:rsid w:val="00A709FE"/>
    <w:rsid w:val="00A72365"/>
    <w:rsid w:val="00A73C60"/>
    <w:rsid w:val="00A82767"/>
    <w:rsid w:val="00A869FD"/>
    <w:rsid w:val="00A93E0B"/>
    <w:rsid w:val="00AA332F"/>
    <w:rsid w:val="00AA5779"/>
    <w:rsid w:val="00AA7BBB"/>
    <w:rsid w:val="00AB64A8"/>
    <w:rsid w:val="00AC0266"/>
    <w:rsid w:val="00AC41D0"/>
    <w:rsid w:val="00AC7587"/>
    <w:rsid w:val="00AD0CE0"/>
    <w:rsid w:val="00AD11CE"/>
    <w:rsid w:val="00AD1735"/>
    <w:rsid w:val="00AD24EC"/>
    <w:rsid w:val="00AD3C92"/>
    <w:rsid w:val="00AE35E2"/>
    <w:rsid w:val="00AE3867"/>
    <w:rsid w:val="00AF179A"/>
    <w:rsid w:val="00AF6E89"/>
    <w:rsid w:val="00B06D20"/>
    <w:rsid w:val="00B06E0C"/>
    <w:rsid w:val="00B07897"/>
    <w:rsid w:val="00B101C4"/>
    <w:rsid w:val="00B1097D"/>
    <w:rsid w:val="00B14A7B"/>
    <w:rsid w:val="00B22E3E"/>
    <w:rsid w:val="00B24EE0"/>
    <w:rsid w:val="00B309F9"/>
    <w:rsid w:val="00B3162B"/>
    <w:rsid w:val="00B32B60"/>
    <w:rsid w:val="00B33BE6"/>
    <w:rsid w:val="00B35E24"/>
    <w:rsid w:val="00B36CB6"/>
    <w:rsid w:val="00B438D8"/>
    <w:rsid w:val="00B450FB"/>
    <w:rsid w:val="00B55DB4"/>
    <w:rsid w:val="00B56767"/>
    <w:rsid w:val="00B61619"/>
    <w:rsid w:val="00B769C7"/>
    <w:rsid w:val="00B811C7"/>
    <w:rsid w:val="00B826CB"/>
    <w:rsid w:val="00B8299E"/>
    <w:rsid w:val="00B84B68"/>
    <w:rsid w:val="00BA0B8D"/>
    <w:rsid w:val="00BA1ABE"/>
    <w:rsid w:val="00BB4545"/>
    <w:rsid w:val="00BB736E"/>
    <w:rsid w:val="00BC357B"/>
    <w:rsid w:val="00BD5873"/>
    <w:rsid w:val="00BE0B61"/>
    <w:rsid w:val="00BE3D85"/>
    <w:rsid w:val="00BE74BD"/>
    <w:rsid w:val="00BF5F9B"/>
    <w:rsid w:val="00BF67CB"/>
    <w:rsid w:val="00C0496F"/>
    <w:rsid w:val="00C04BE3"/>
    <w:rsid w:val="00C06FE7"/>
    <w:rsid w:val="00C1038B"/>
    <w:rsid w:val="00C23507"/>
    <w:rsid w:val="00C252FA"/>
    <w:rsid w:val="00C25839"/>
    <w:rsid w:val="00C25D29"/>
    <w:rsid w:val="00C26BBC"/>
    <w:rsid w:val="00C27A7C"/>
    <w:rsid w:val="00C27AB9"/>
    <w:rsid w:val="00C30306"/>
    <w:rsid w:val="00C372E1"/>
    <w:rsid w:val="00C42437"/>
    <w:rsid w:val="00C442A3"/>
    <w:rsid w:val="00C50067"/>
    <w:rsid w:val="00C607AD"/>
    <w:rsid w:val="00C65D65"/>
    <w:rsid w:val="00C73091"/>
    <w:rsid w:val="00C824FF"/>
    <w:rsid w:val="00C83976"/>
    <w:rsid w:val="00C90C49"/>
    <w:rsid w:val="00C93F33"/>
    <w:rsid w:val="00C95F32"/>
    <w:rsid w:val="00C971E2"/>
    <w:rsid w:val="00CA08ED"/>
    <w:rsid w:val="00CB1965"/>
    <w:rsid w:val="00CB4DCD"/>
    <w:rsid w:val="00CB58E2"/>
    <w:rsid w:val="00CB6E57"/>
    <w:rsid w:val="00CB77FD"/>
    <w:rsid w:val="00CC3A61"/>
    <w:rsid w:val="00CC4588"/>
    <w:rsid w:val="00CD1FCE"/>
    <w:rsid w:val="00CD6456"/>
    <w:rsid w:val="00CE056D"/>
    <w:rsid w:val="00CE4506"/>
    <w:rsid w:val="00CF023D"/>
    <w:rsid w:val="00CF183B"/>
    <w:rsid w:val="00CF27B0"/>
    <w:rsid w:val="00CF75E2"/>
    <w:rsid w:val="00CF7690"/>
    <w:rsid w:val="00D018B5"/>
    <w:rsid w:val="00D06DA4"/>
    <w:rsid w:val="00D14973"/>
    <w:rsid w:val="00D17768"/>
    <w:rsid w:val="00D206A6"/>
    <w:rsid w:val="00D20E63"/>
    <w:rsid w:val="00D24AC6"/>
    <w:rsid w:val="00D30C65"/>
    <w:rsid w:val="00D32874"/>
    <w:rsid w:val="00D375CD"/>
    <w:rsid w:val="00D553A2"/>
    <w:rsid w:val="00D72F49"/>
    <w:rsid w:val="00D74403"/>
    <w:rsid w:val="00D762B9"/>
    <w:rsid w:val="00D774D3"/>
    <w:rsid w:val="00D82914"/>
    <w:rsid w:val="00D83079"/>
    <w:rsid w:val="00D904E8"/>
    <w:rsid w:val="00D90713"/>
    <w:rsid w:val="00D91EF2"/>
    <w:rsid w:val="00D978E5"/>
    <w:rsid w:val="00DA08C3"/>
    <w:rsid w:val="00DA7842"/>
    <w:rsid w:val="00DB5A3E"/>
    <w:rsid w:val="00DB69CF"/>
    <w:rsid w:val="00DC22AA"/>
    <w:rsid w:val="00DC5C78"/>
    <w:rsid w:val="00DE0BCD"/>
    <w:rsid w:val="00DE44C3"/>
    <w:rsid w:val="00DE6FE4"/>
    <w:rsid w:val="00DF172C"/>
    <w:rsid w:val="00DF4405"/>
    <w:rsid w:val="00DF74DD"/>
    <w:rsid w:val="00E0246A"/>
    <w:rsid w:val="00E05795"/>
    <w:rsid w:val="00E2045B"/>
    <w:rsid w:val="00E21B0F"/>
    <w:rsid w:val="00E22313"/>
    <w:rsid w:val="00E25177"/>
    <w:rsid w:val="00E25AD0"/>
    <w:rsid w:val="00E2640D"/>
    <w:rsid w:val="00E265D7"/>
    <w:rsid w:val="00E35DA9"/>
    <w:rsid w:val="00E42981"/>
    <w:rsid w:val="00E4428F"/>
    <w:rsid w:val="00E50B5C"/>
    <w:rsid w:val="00E57068"/>
    <w:rsid w:val="00E62BD9"/>
    <w:rsid w:val="00E70FFE"/>
    <w:rsid w:val="00E7509D"/>
    <w:rsid w:val="00E77640"/>
    <w:rsid w:val="00E91873"/>
    <w:rsid w:val="00E91878"/>
    <w:rsid w:val="00E9340F"/>
    <w:rsid w:val="00E93668"/>
    <w:rsid w:val="00E95647"/>
    <w:rsid w:val="00EA4607"/>
    <w:rsid w:val="00EA7DA9"/>
    <w:rsid w:val="00EB1A36"/>
    <w:rsid w:val="00EB6350"/>
    <w:rsid w:val="00EC2215"/>
    <w:rsid w:val="00EC502F"/>
    <w:rsid w:val="00EC7ED0"/>
    <w:rsid w:val="00ED50B7"/>
    <w:rsid w:val="00ED57BA"/>
    <w:rsid w:val="00EE2E9E"/>
    <w:rsid w:val="00F061B2"/>
    <w:rsid w:val="00F067F3"/>
    <w:rsid w:val="00F1322A"/>
    <w:rsid w:val="00F13631"/>
    <w:rsid w:val="00F15B57"/>
    <w:rsid w:val="00F256DF"/>
    <w:rsid w:val="00F302BD"/>
    <w:rsid w:val="00F3104D"/>
    <w:rsid w:val="00F319BA"/>
    <w:rsid w:val="00F35EF4"/>
    <w:rsid w:val="00F37FE5"/>
    <w:rsid w:val="00F427DB"/>
    <w:rsid w:val="00F4547D"/>
    <w:rsid w:val="00F4679D"/>
    <w:rsid w:val="00F56FE4"/>
    <w:rsid w:val="00F61A76"/>
    <w:rsid w:val="00F66E8C"/>
    <w:rsid w:val="00F750C5"/>
    <w:rsid w:val="00F80B63"/>
    <w:rsid w:val="00F8703E"/>
    <w:rsid w:val="00F9577E"/>
    <w:rsid w:val="00F96DCA"/>
    <w:rsid w:val="00FA5EB1"/>
    <w:rsid w:val="00FA7439"/>
    <w:rsid w:val="00FB7577"/>
    <w:rsid w:val="00FC4EC0"/>
    <w:rsid w:val="00FE359D"/>
    <w:rsid w:val="00FF0181"/>
    <w:rsid w:val="00FF1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3B7BDC"/>
    <w:rPr>
      <w:color w:val="605E5C"/>
      <w:shd w:val="clear" w:color="auto" w:fill="E1DFDD"/>
    </w:rPr>
  </w:style>
  <w:style w:type="paragraph" w:styleId="NormalWeb">
    <w:name w:val="Normal (Web)"/>
    <w:basedOn w:val="Normal"/>
    <w:semiHidden/>
    <w:unhideWhenUsed/>
    <w:rsid w:val="003B7BDC"/>
    <w:rPr>
      <w:rFonts w:ascii="Times New Roman" w:hAnsi="Times New Roman"/>
      <w:szCs w:val="24"/>
    </w:rPr>
  </w:style>
  <w:style w:type="character" w:styleId="CommentReference">
    <w:name w:val="annotation reference"/>
    <w:basedOn w:val="DefaultParagraphFont"/>
    <w:uiPriority w:val="99"/>
    <w:semiHidden/>
    <w:unhideWhenUsed/>
    <w:rsid w:val="0020565B"/>
    <w:rPr>
      <w:sz w:val="16"/>
      <w:szCs w:val="16"/>
    </w:rPr>
  </w:style>
  <w:style w:type="paragraph" w:styleId="CommentText">
    <w:name w:val="annotation text"/>
    <w:basedOn w:val="Normal"/>
    <w:link w:val="CommentTextChar"/>
    <w:uiPriority w:val="99"/>
    <w:unhideWhenUsed/>
    <w:rsid w:val="0020565B"/>
    <w:rPr>
      <w:sz w:val="20"/>
      <w:lang w:val="en-GB"/>
    </w:rPr>
  </w:style>
  <w:style w:type="character" w:customStyle="1" w:styleId="CommentTextChar">
    <w:name w:val="Comment Text Char"/>
    <w:basedOn w:val="DefaultParagraphFont"/>
    <w:link w:val="CommentText"/>
    <w:uiPriority w:val="99"/>
    <w:rsid w:val="0020565B"/>
    <w:rPr>
      <w:rFonts w:ascii="Calibri" w:hAnsi="Calibri"/>
      <w:lang w:val="en-GB" w:eastAsia="en-US"/>
    </w:rPr>
  </w:style>
  <w:style w:type="paragraph" w:styleId="CommentSubject">
    <w:name w:val="annotation subject"/>
    <w:basedOn w:val="CommentText"/>
    <w:next w:val="CommentText"/>
    <w:link w:val="CommentSubjectChar"/>
    <w:semiHidden/>
    <w:unhideWhenUsed/>
    <w:rsid w:val="00511F61"/>
    <w:rPr>
      <w:b/>
      <w:bCs/>
      <w:lang w:val="fr-FR"/>
    </w:rPr>
  </w:style>
  <w:style w:type="character" w:customStyle="1" w:styleId="CommentSubjectChar">
    <w:name w:val="Comment Subject Char"/>
    <w:basedOn w:val="CommentTextChar"/>
    <w:link w:val="CommentSubject"/>
    <w:semiHidden/>
    <w:rsid w:val="00511F61"/>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4812">
      <w:bodyDiv w:val="1"/>
      <w:marLeft w:val="0"/>
      <w:marRight w:val="0"/>
      <w:marTop w:val="0"/>
      <w:marBottom w:val="0"/>
      <w:divBdr>
        <w:top w:val="none" w:sz="0" w:space="0" w:color="auto"/>
        <w:left w:val="none" w:sz="0" w:space="0" w:color="auto"/>
        <w:bottom w:val="none" w:sz="0" w:space="0" w:color="auto"/>
        <w:right w:val="none" w:sz="0" w:space="0" w:color="auto"/>
      </w:divBdr>
    </w:div>
    <w:div w:id="36439770">
      <w:bodyDiv w:val="1"/>
      <w:marLeft w:val="0"/>
      <w:marRight w:val="0"/>
      <w:marTop w:val="0"/>
      <w:marBottom w:val="0"/>
      <w:divBdr>
        <w:top w:val="none" w:sz="0" w:space="0" w:color="auto"/>
        <w:left w:val="none" w:sz="0" w:space="0" w:color="auto"/>
        <w:bottom w:val="none" w:sz="0" w:space="0" w:color="auto"/>
        <w:right w:val="none" w:sz="0" w:space="0" w:color="auto"/>
      </w:divBdr>
    </w:div>
    <w:div w:id="343944373">
      <w:bodyDiv w:val="1"/>
      <w:marLeft w:val="0"/>
      <w:marRight w:val="0"/>
      <w:marTop w:val="0"/>
      <w:marBottom w:val="0"/>
      <w:divBdr>
        <w:top w:val="none" w:sz="0" w:space="0" w:color="auto"/>
        <w:left w:val="none" w:sz="0" w:space="0" w:color="auto"/>
        <w:bottom w:val="none" w:sz="0" w:space="0" w:color="auto"/>
        <w:right w:val="none" w:sz="0" w:space="0" w:color="auto"/>
      </w:divBdr>
    </w:div>
    <w:div w:id="737633253">
      <w:bodyDiv w:val="1"/>
      <w:marLeft w:val="0"/>
      <w:marRight w:val="0"/>
      <w:marTop w:val="0"/>
      <w:marBottom w:val="0"/>
      <w:divBdr>
        <w:top w:val="none" w:sz="0" w:space="0" w:color="auto"/>
        <w:left w:val="none" w:sz="0" w:space="0" w:color="auto"/>
        <w:bottom w:val="none" w:sz="0" w:space="0" w:color="auto"/>
        <w:right w:val="none" w:sz="0" w:space="0" w:color="auto"/>
      </w:divBdr>
    </w:div>
    <w:div w:id="839930602">
      <w:bodyDiv w:val="1"/>
      <w:marLeft w:val="0"/>
      <w:marRight w:val="0"/>
      <w:marTop w:val="0"/>
      <w:marBottom w:val="0"/>
      <w:divBdr>
        <w:top w:val="none" w:sz="0" w:space="0" w:color="auto"/>
        <w:left w:val="none" w:sz="0" w:space="0" w:color="auto"/>
        <w:bottom w:val="none" w:sz="0" w:space="0" w:color="auto"/>
        <w:right w:val="none" w:sz="0" w:space="0" w:color="auto"/>
      </w:divBdr>
    </w:div>
    <w:div w:id="1010327836">
      <w:bodyDiv w:val="1"/>
      <w:marLeft w:val="0"/>
      <w:marRight w:val="0"/>
      <w:marTop w:val="0"/>
      <w:marBottom w:val="0"/>
      <w:divBdr>
        <w:top w:val="none" w:sz="0" w:space="0" w:color="auto"/>
        <w:left w:val="none" w:sz="0" w:space="0" w:color="auto"/>
        <w:bottom w:val="none" w:sz="0" w:space="0" w:color="auto"/>
        <w:right w:val="none" w:sz="0" w:space="0" w:color="auto"/>
      </w:divBdr>
    </w:div>
    <w:div w:id="1408917943">
      <w:bodyDiv w:val="1"/>
      <w:marLeft w:val="0"/>
      <w:marRight w:val="0"/>
      <w:marTop w:val="0"/>
      <w:marBottom w:val="0"/>
      <w:divBdr>
        <w:top w:val="none" w:sz="0" w:space="0" w:color="auto"/>
        <w:left w:val="none" w:sz="0" w:space="0" w:color="auto"/>
        <w:bottom w:val="none" w:sz="0" w:space="0" w:color="auto"/>
        <w:right w:val="none" w:sz="0" w:space="0" w:color="auto"/>
      </w:divBdr>
    </w:div>
    <w:div w:id="1626621609">
      <w:bodyDiv w:val="1"/>
      <w:marLeft w:val="0"/>
      <w:marRight w:val="0"/>
      <w:marTop w:val="0"/>
      <w:marBottom w:val="0"/>
      <w:divBdr>
        <w:top w:val="none" w:sz="0" w:space="0" w:color="auto"/>
        <w:left w:val="none" w:sz="0" w:space="0" w:color="auto"/>
        <w:bottom w:val="none" w:sz="0" w:space="0" w:color="auto"/>
        <w:right w:val="none" w:sz="0" w:space="0" w:color="auto"/>
      </w:divBdr>
    </w:div>
    <w:div w:id="1743210922">
      <w:bodyDiv w:val="1"/>
      <w:marLeft w:val="0"/>
      <w:marRight w:val="0"/>
      <w:marTop w:val="0"/>
      <w:marBottom w:val="0"/>
      <w:divBdr>
        <w:top w:val="none" w:sz="0" w:space="0" w:color="auto"/>
        <w:left w:val="none" w:sz="0" w:space="0" w:color="auto"/>
        <w:bottom w:val="none" w:sz="0" w:space="0" w:color="auto"/>
        <w:right w:val="none" w:sz="0" w:space="0" w:color="auto"/>
      </w:divBdr>
    </w:div>
    <w:div w:id="1844393073">
      <w:bodyDiv w:val="1"/>
      <w:marLeft w:val="0"/>
      <w:marRight w:val="0"/>
      <w:marTop w:val="0"/>
      <w:marBottom w:val="0"/>
      <w:divBdr>
        <w:top w:val="none" w:sz="0" w:space="0" w:color="auto"/>
        <w:left w:val="none" w:sz="0" w:space="0" w:color="auto"/>
        <w:bottom w:val="none" w:sz="0" w:space="0" w:color="auto"/>
        <w:right w:val="none" w:sz="0" w:space="0" w:color="auto"/>
      </w:divBdr>
    </w:div>
    <w:div w:id="20952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230711-TD-0004/en" TargetMode="External"/><Relationship Id="rId18" Type="http://schemas.openxmlformats.org/officeDocument/2006/relationships/hyperlink" Target="https://www.itu.int/md/S23-CL-C-0088/en" TargetMode="External"/><Relationship Id="rId26" Type="http://schemas.openxmlformats.org/officeDocument/2006/relationships/hyperlink" Target="https://www.itu.int/md/S23-CL-C-0006/en" TargetMode="External"/><Relationship Id="rId39" Type="http://schemas.openxmlformats.org/officeDocument/2006/relationships/hyperlink" Target="https://www.itu.int/md/S23-CL-C-0067/en" TargetMode="External"/><Relationship Id="rId21" Type="http://schemas.openxmlformats.org/officeDocument/2006/relationships/hyperlink" Target="https://www.itu.int/md/S23-CL-C-0063/en" TargetMode="External"/><Relationship Id="rId34" Type="http://schemas.openxmlformats.org/officeDocument/2006/relationships/hyperlink" Target="https://www.itu.int/md/S23-CL-C-0077/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www.itu.int/md/S23-CL-C-0038/en" TargetMode="External"/><Relationship Id="rId2" Type="http://schemas.openxmlformats.org/officeDocument/2006/relationships/styles" Target="styles.xml"/><Relationship Id="rId16" Type="http://schemas.openxmlformats.org/officeDocument/2006/relationships/hyperlink" Target="https://www.itu.int/md/S23-CL-C-0073/en" TargetMode="External"/><Relationship Id="rId29" Type="http://schemas.openxmlformats.org/officeDocument/2006/relationships/hyperlink" Target="https://www.itu.int/md/S23-CL-C-0017/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CL-C-0091/en" TargetMode="External"/><Relationship Id="rId24" Type="http://schemas.openxmlformats.org/officeDocument/2006/relationships/hyperlink" Target="https://www.itu.int/md/S23-CL-C-0038/en" TargetMode="External"/><Relationship Id="rId32" Type="http://schemas.openxmlformats.org/officeDocument/2006/relationships/hyperlink" Target="https://www.itu.int/md/S23-CL-C-0066/en" TargetMode="External"/><Relationship Id="rId37" Type="http://schemas.openxmlformats.org/officeDocument/2006/relationships/hyperlink" Target="https://www.itu.int/md/S23-CL-C-0013/en" TargetMode="External"/><Relationship Id="rId40" Type="http://schemas.openxmlformats.org/officeDocument/2006/relationships/hyperlink" Target="http://council.itu.int/2023/wp-content/uploads/sites/2/2023/09/C23-Spain-Statement-Matias-Gonzalez_en.pdf"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S23-CL-C-0066/en" TargetMode="External"/><Relationship Id="rId23" Type="http://schemas.openxmlformats.org/officeDocument/2006/relationships/hyperlink" Target="https://council.itu.int/2023/en/news/speeches/speech-director-general-of-wipo-daren-tang/" TargetMode="External"/><Relationship Id="rId28" Type="http://schemas.openxmlformats.org/officeDocument/2006/relationships/hyperlink" Target="https://www.itu.int/md/S23-CL-C-0091/en" TargetMode="External"/><Relationship Id="rId36" Type="http://schemas.openxmlformats.org/officeDocument/2006/relationships/hyperlink" Target="https://www.itu.int/md/S23-CL-230711-TD-0005/en" TargetMode="External"/><Relationship Id="rId10" Type="http://schemas.openxmlformats.org/officeDocument/2006/relationships/hyperlink" Target="https://www.itu.int/md/S23-CL-C-0076/en" TargetMode="External"/><Relationship Id="rId19" Type="http://schemas.openxmlformats.org/officeDocument/2006/relationships/hyperlink" Target="https://www.itu.int/md/S23-CL-230711-TD-0005/en" TargetMode="External"/><Relationship Id="rId31" Type="http://schemas.openxmlformats.org/officeDocument/2006/relationships/hyperlink" Target="https://www.itu.int/md/S23-CL-C-0012/en"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23-CL-C-0006/en" TargetMode="External"/><Relationship Id="rId14" Type="http://schemas.openxmlformats.org/officeDocument/2006/relationships/hyperlink" Target="https://www.itu.int/md/S23-CL-C-0012/en" TargetMode="External"/><Relationship Id="rId22" Type="http://schemas.openxmlformats.org/officeDocument/2006/relationships/hyperlink" Target="https://www.itu.int/md/S23-CL-C-0067/en" TargetMode="External"/><Relationship Id="rId27" Type="http://schemas.openxmlformats.org/officeDocument/2006/relationships/hyperlink" Target="https://www.itu.int/md/S23-CL-C-0076/en" TargetMode="External"/><Relationship Id="rId30" Type="http://schemas.openxmlformats.org/officeDocument/2006/relationships/hyperlink" Target="https://www.itu.int/md/S23-CL-230711-TD-0004/en" TargetMode="External"/><Relationship Id="rId35" Type="http://schemas.openxmlformats.org/officeDocument/2006/relationships/hyperlink" Target="https://www.itu.int/md/S23-CL-C-0088/en" TargetMode="External"/><Relationship Id="rId43" Type="http://schemas.openxmlformats.org/officeDocument/2006/relationships/footer" Target="footer2.xml"/><Relationship Id="rId8" Type="http://schemas.openxmlformats.org/officeDocument/2006/relationships/hyperlink" Target="https://www.itu.int/md/S23-CL-C-0093/en" TargetMode="External"/><Relationship Id="rId3" Type="http://schemas.openxmlformats.org/officeDocument/2006/relationships/settings" Target="settings.xml"/><Relationship Id="rId12" Type="http://schemas.openxmlformats.org/officeDocument/2006/relationships/hyperlink" Target="https://www.itu.int/md/S23-CL-C-0017/en" TargetMode="External"/><Relationship Id="rId17" Type="http://schemas.openxmlformats.org/officeDocument/2006/relationships/hyperlink" Target="https://www.itu.int/md/S23-CL-C-0077/en" TargetMode="External"/><Relationship Id="rId25" Type="http://schemas.openxmlformats.org/officeDocument/2006/relationships/hyperlink" Target="https://www.itu.int/md/S23-CL-C-0093/en" TargetMode="External"/><Relationship Id="rId33" Type="http://schemas.openxmlformats.org/officeDocument/2006/relationships/hyperlink" Target="https://www.itu.int/md/S23-CL-C-0073/en" TargetMode="External"/><Relationship Id="rId38" Type="http://schemas.openxmlformats.org/officeDocument/2006/relationships/hyperlink" Target="https://www.itu.int/md/S23-CL-C-0063/en" TargetMode="External"/><Relationship Id="rId46" Type="http://schemas.openxmlformats.org/officeDocument/2006/relationships/fontTable" Target="fontTable.xml"/><Relationship Id="rId20" Type="http://schemas.openxmlformats.org/officeDocument/2006/relationships/hyperlink" Target="https://www.itu.int/md/S23-CL-C-0013/en" TargetMode="External"/><Relationship Id="rId41"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FF18-D740-4768-834D-61D49DD4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3572</Words>
  <Characters>21979</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25501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quatrième Séance plénière</dc:title>
  <dc:subject>Conseil 2023</dc:subject>
  <dc:creator>Xue, Kun</dc:creator>
  <cp:keywords>C2023, C23, Council-23</cp:keywords>
  <dc:description/>
  <cp:lastModifiedBy>Xue, Kun</cp:lastModifiedBy>
  <cp:revision>5</cp:revision>
  <cp:lastPrinted>2000-07-18T08:55:00Z</cp:lastPrinted>
  <dcterms:created xsi:type="dcterms:W3CDTF">2023-09-06T07:40:00Z</dcterms:created>
  <dcterms:modified xsi:type="dcterms:W3CDTF">2023-09-06T07:42:00Z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