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13E5E" w14:paraId="1591300A" w14:textId="77777777" w:rsidTr="00AD3606">
        <w:trPr>
          <w:cantSplit/>
          <w:trHeight w:val="23"/>
        </w:trPr>
        <w:tc>
          <w:tcPr>
            <w:tcW w:w="3969" w:type="dxa"/>
            <w:vMerge w:val="restart"/>
            <w:tcMar>
              <w:left w:w="0" w:type="dxa"/>
            </w:tcMar>
          </w:tcPr>
          <w:p w14:paraId="4F2DE73B" w14:textId="2D165A40" w:rsidR="00AD3606" w:rsidRPr="00E85629" w:rsidRDefault="00AD3606" w:rsidP="00472BAD">
            <w:pPr>
              <w:tabs>
                <w:tab w:val="left" w:pos="851"/>
              </w:tabs>
              <w:spacing w:before="0" w:line="240" w:lineRule="atLeast"/>
              <w:rPr>
                <w:b/>
              </w:rPr>
            </w:pPr>
            <w:bookmarkStart w:id="0" w:name="dmeeting" w:colFirst="0" w:colLast="0"/>
            <w:bookmarkStart w:id="1" w:name="dnum" w:colFirst="1" w:colLast="1"/>
          </w:p>
        </w:tc>
        <w:tc>
          <w:tcPr>
            <w:tcW w:w="5245" w:type="dxa"/>
          </w:tcPr>
          <w:p w14:paraId="2F0CB53A" w14:textId="2C553717" w:rsidR="00AD3606" w:rsidRPr="00E85629" w:rsidRDefault="00AD3606" w:rsidP="00472BAD">
            <w:pPr>
              <w:tabs>
                <w:tab w:val="left" w:pos="851"/>
              </w:tabs>
              <w:spacing w:before="0" w:line="240" w:lineRule="atLeast"/>
              <w:jc w:val="right"/>
              <w:rPr>
                <w:b/>
              </w:rPr>
            </w:pPr>
            <w:r>
              <w:rPr>
                <w:b/>
              </w:rPr>
              <w:t>Document</w:t>
            </w:r>
            <w:r w:rsidR="00880A3D">
              <w:rPr>
                <w:b/>
              </w:rPr>
              <w:t>o</w:t>
            </w:r>
            <w:r>
              <w:rPr>
                <w:b/>
              </w:rPr>
              <w:t xml:space="preserve"> C23/</w:t>
            </w:r>
            <w:r w:rsidR="00C74E7E">
              <w:rPr>
                <w:b/>
              </w:rPr>
              <w:t>10</w:t>
            </w:r>
            <w:r w:rsidR="001950EF">
              <w:rPr>
                <w:b/>
              </w:rPr>
              <w:t>9</w:t>
            </w:r>
            <w:r>
              <w:rPr>
                <w:b/>
              </w:rPr>
              <w:t>-</w:t>
            </w:r>
            <w:r w:rsidR="00880A3D">
              <w:rPr>
                <w:b/>
              </w:rPr>
              <w:t>S</w:t>
            </w:r>
          </w:p>
        </w:tc>
      </w:tr>
      <w:tr w:rsidR="00AD3606" w:rsidRPr="00813E5E" w14:paraId="777833CB" w14:textId="77777777" w:rsidTr="00AD3606">
        <w:trPr>
          <w:cantSplit/>
        </w:trPr>
        <w:tc>
          <w:tcPr>
            <w:tcW w:w="3969" w:type="dxa"/>
            <w:vMerge/>
          </w:tcPr>
          <w:p w14:paraId="7DECAB6C" w14:textId="77777777" w:rsidR="00AD3606" w:rsidRPr="00813E5E" w:rsidRDefault="00AD3606" w:rsidP="00AD3606">
            <w:pPr>
              <w:tabs>
                <w:tab w:val="left" w:pos="851"/>
              </w:tabs>
              <w:spacing w:line="240" w:lineRule="atLeast"/>
              <w:rPr>
                <w:b/>
              </w:rPr>
            </w:pPr>
            <w:bookmarkStart w:id="2" w:name="ddate" w:colFirst="1" w:colLast="1"/>
            <w:bookmarkEnd w:id="0"/>
            <w:bookmarkEnd w:id="1"/>
          </w:p>
        </w:tc>
        <w:tc>
          <w:tcPr>
            <w:tcW w:w="5245" w:type="dxa"/>
          </w:tcPr>
          <w:p w14:paraId="7B794C7C" w14:textId="7469C6E1" w:rsidR="00AD3606" w:rsidRPr="00E85629" w:rsidRDefault="00740238" w:rsidP="00AD3606">
            <w:pPr>
              <w:tabs>
                <w:tab w:val="left" w:pos="851"/>
              </w:tabs>
              <w:spacing w:before="0"/>
              <w:jc w:val="right"/>
              <w:rPr>
                <w:b/>
              </w:rPr>
            </w:pPr>
            <w:r>
              <w:rPr>
                <w:b/>
              </w:rPr>
              <w:t>6</w:t>
            </w:r>
            <w:r w:rsidRPr="00740238">
              <w:rPr>
                <w:b/>
              </w:rPr>
              <w:t xml:space="preserve"> de septiembre </w:t>
            </w:r>
            <w:r w:rsidR="00880A3D">
              <w:rPr>
                <w:b/>
              </w:rPr>
              <w:t>de</w:t>
            </w:r>
            <w:r w:rsidR="00AD3606">
              <w:rPr>
                <w:b/>
              </w:rPr>
              <w:t xml:space="preserve"> 2023</w:t>
            </w:r>
          </w:p>
        </w:tc>
      </w:tr>
      <w:tr w:rsidR="00AD3606" w:rsidRPr="00813E5E" w14:paraId="082C2282" w14:textId="77777777" w:rsidTr="00AD3606">
        <w:trPr>
          <w:cantSplit/>
          <w:trHeight w:val="23"/>
        </w:trPr>
        <w:tc>
          <w:tcPr>
            <w:tcW w:w="3969" w:type="dxa"/>
            <w:vMerge/>
          </w:tcPr>
          <w:p w14:paraId="5967F199" w14:textId="77777777" w:rsidR="00AD3606" w:rsidRPr="00813E5E" w:rsidRDefault="00AD3606" w:rsidP="00AD3606">
            <w:pPr>
              <w:tabs>
                <w:tab w:val="left" w:pos="851"/>
              </w:tabs>
              <w:spacing w:line="240" w:lineRule="atLeast"/>
              <w:rPr>
                <w:b/>
              </w:rPr>
            </w:pPr>
            <w:bookmarkStart w:id="3" w:name="dorlang" w:colFirst="1" w:colLast="1"/>
            <w:bookmarkEnd w:id="2"/>
          </w:p>
        </w:tc>
        <w:tc>
          <w:tcPr>
            <w:tcW w:w="5245" w:type="dxa"/>
          </w:tcPr>
          <w:p w14:paraId="03AC685B" w14:textId="6B307517" w:rsidR="00AD3606" w:rsidRPr="00E85629" w:rsidRDefault="00AD3606" w:rsidP="00AD3606">
            <w:pPr>
              <w:tabs>
                <w:tab w:val="left" w:pos="851"/>
              </w:tabs>
              <w:spacing w:before="0" w:line="240" w:lineRule="atLeast"/>
              <w:jc w:val="right"/>
              <w:rPr>
                <w:b/>
              </w:rPr>
            </w:pPr>
            <w:r>
              <w:rPr>
                <w:b/>
              </w:rPr>
              <w:t xml:space="preserve">Original: </w:t>
            </w:r>
            <w:r w:rsidR="00880A3D">
              <w:rPr>
                <w:b/>
              </w:rPr>
              <w:t>inglés</w:t>
            </w:r>
          </w:p>
        </w:tc>
      </w:tr>
      <w:tr w:rsidR="00472BAD" w:rsidRPr="00813E5E" w14:paraId="3C9C7706" w14:textId="77777777" w:rsidTr="00AD3606">
        <w:trPr>
          <w:cantSplit/>
          <w:trHeight w:val="23"/>
        </w:trPr>
        <w:tc>
          <w:tcPr>
            <w:tcW w:w="3969" w:type="dxa"/>
          </w:tcPr>
          <w:p w14:paraId="20349897" w14:textId="77777777" w:rsidR="00472BAD" w:rsidRPr="00813E5E" w:rsidRDefault="00472BAD" w:rsidP="00AD3606">
            <w:pPr>
              <w:tabs>
                <w:tab w:val="left" w:pos="851"/>
              </w:tabs>
              <w:spacing w:line="240" w:lineRule="atLeast"/>
              <w:rPr>
                <w:b/>
              </w:rPr>
            </w:pPr>
          </w:p>
        </w:tc>
        <w:tc>
          <w:tcPr>
            <w:tcW w:w="5245" w:type="dxa"/>
          </w:tcPr>
          <w:p w14:paraId="1CCE97A6" w14:textId="77777777" w:rsidR="00472BAD" w:rsidRDefault="00472BAD" w:rsidP="00AD3606">
            <w:pPr>
              <w:tabs>
                <w:tab w:val="left" w:pos="851"/>
              </w:tabs>
              <w:spacing w:before="0" w:line="240" w:lineRule="atLeast"/>
              <w:jc w:val="right"/>
              <w:rPr>
                <w:b/>
              </w:rPr>
            </w:pPr>
          </w:p>
        </w:tc>
      </w:tr>
      <w:tr w:rsidR="00AD3606" w:rsidRPr="00880A3D" w14:paraId="5BEAAFE0" w14:textId="77777777" w:rsidTr="00AD3606">
        <w:trPr>
          <w:cantSplit/>
        </w:trPr>
        <w:tc>
          <w:tcPr>
            <w:tcW w:w="9214" w:type="dxa"/>
            <w:gridSpan w:val="2"/>
            <w:tcMar>
              <w:left w:w="0" w:type="dxa"/>
            </w:tcMar>
          </w:tcPr>
          <w:p w14:paraId="78E218A2" w14:textId="7EE5FDC9" w:rsidR="00915F63" w:rsidRPr="00B7454A" w:rsidRDefault="00880A3D" w:rsidP="00915F63">
            <w:pPr>
              <w:pStyle w:val="Title1"/>
              <w:framePr w:hSpace="0" w:wrap="auto" w:vAnchor="margin" w:hAnchor="text" w:yAlign="inline"/>
              <w:spacing w:before="120"/>
              <w:jc w:val="center"/>
              <w:rPr>
                <w:lang w:val="es-ES"/>
              </w:rPr>
            </w:pPr>
            <w:bookmarkStart w:id="4" w:name="dsource" w:colFirst="0" w:colLast="0"/>
            <w:bookmarkEnd w:id="3"/>
            <w:r w:rsidRPr="00B7454A">
              <w:rPr>
                <w:lang w:val="es-ES"/>
              </w:rPr>
              <w:t>RESUMEN DE LOS DEBATES</w:t>
            </w:r>
          </w:p>
          <w:p w14:paraId="14D7FFA8" w14:textId="49E3EE4D" w:rsidR="00915F63" w:rsidRPr="00B7454A" w:rsidRDefault="00880A3D" w:rsidP="00915F63">
            <w:pPr>
              <w:pStyle w:val="Title1"/>
              <w:framePr w:hSpace="0" w:wrap="auto" w:vAnchor="margin" w:hAnchor="text" w:yAlign="inline"/>
              <w:spacing w:before="120"/>
              <w:jc w:val="center"/>
              <w:rPr>
                <w:lang w:val="es-ES"/>
              </w:rPr>
            </w:pPr>
            <w:r w:rsidRPr="00B7454A">
              <w:rPr>
                <w:lang w:val="es-ES"/>
              </w:rPr>
              <w:t>DE LA</w:t>
            </w:r>
          </w:p>
          <w:p w14:paraId="598EF21A" w14:textId="1A6584FF" w:rsidR="00915F63" w:rsidRPr="00880A3D" w:rsidRDefault="00880A3D" w:rsidP="00915F63">
            <w:pPr>
              <w:pStyle w:val="Source"/>
              <w:framePr w:hSpace="0" w:wrap="auto" w:vAnchor="margin" w:hAnchor="text" w:yAlign="inline"/>
              <w:spacing w:before="120"/>
              <w:jc w:val="center"/>
              <w:rPr>
                <w:lang w:val="es-ES"/>
              </w:rPr>
            </w:pPr>
            <w:r w:rsidRPr="00880A3D">
              <w:rPr>
                <w:b w:val="0"/>
                <w:lang w:val="es-ES"/>
              </w:rPr>
              <w:t>CUARTA SESIÓN PLENARIA</w:t>
            </w:r>
          </w:p>
        </w:tc>
      </w:tr>
      <w:tr w:rsidR="00AD3606" w:rsidRPr="00740238" w14:paraId="62B9C291" w14:textId="77777777" w:rsidTr="00AD3606">
        <w:trPr>
          <w:cantSplit/>
        </w:trPr>
        <w:tc>
          <w:tcPr>
            <w:tcW w:w="9214" w:type="dxa"/>
            <w:gridSpan w:val="2"/>
            <w:tcMar>
              <w:left w:w="0" w:type="dxa"/>
            </w:tcMar>
          </w:tcPr>
          <w:p w14:paraId="55473F77" w14:textId="35C766BC" w:rsidR="00915F63" w:rsidRPr="00880A3D" w:rsidRDefault="00087C1C" w:rsidP="00915F63">
            <w:pPr>
              <w:pStyle w:val="Subtitle"/>
              <w:framePr w:hSpace="0" w:wrap="auto" w:hAnchor="text" w:xAlign="left" w:yAlign="inline"/>
              <w:spacing w:after="240"/>
              <w:jc w:val="center"/>
              <w:rPr>
                <w:b/>
                <w:bCs/>
                <w:sz w:val="24"/>
                <w:szCs w:val="24"/>
                <w:lang w:val="es-ES"/>
              </w:rPr>
            </w:pPr>
            <w:bookmarkStart w:id="5" w:name="dtitle1" w:colFirst="0" w:colLast="0"/>
            <w:bookmarkEnd w:id="4"/>
            <w:r>
              <w:rPr>
                <w:sz w:val="24"/>
                <w:szCs w:val="24"/>
                <w:lang w:val="es-ES"/>
              </w:rPr>
              <w:t>M</w:t>
            </w:r>
            <w:r w:rsidR="00880A3D" w:rsidRPr="00880A3D">
              <w:rPr>
                <w:sz w:val="24"/>
                <w:szCs w:val="24"/>
                <w:lang w:val="es-ES"/>
              </w:rPr>
              <w:t>artes 18 de julio de</w:t>
            </w:r>
            <w:r w:rsidR="001950EF" w:rsidRPr="00880A3D">
              <w:rPr>
                <w:sz w:val="24"/>
                <w:szCs w:val="24"/>
                <w:lang w:val="es-ES"/>
              </w:rPr>
              <w:t xml:space="preserve"> 2023, </w:t>
            </w:r>
            <w:r w:rsidR="00880A3D" w:rsidRPr="00880A3D">
              <w:rPr>
                <w:sz w:val="24"/>
                <w:szCs w:val="24"/>
                <w:lang w:val="es-ES"/>
              </w:rPr>
              <w:t>de las</w:t>
            </w:r>
            <w:r w:rsidR="001950EF" w:rsidRPr="00880A3D">
              <w:rPr>
                <w:sz w:val="24"/>
                <w:szCs w:val="24"/>
                <w:lang w:val="es-ES"/>
              </w:rPr>
              <w:t xml:space="preserve"> 14</w:t>
            </w:r>
            <w:r w:rsidR="00880A3D">
              <w:rPr>
                <w:sz w:val="24"/>
                <w:szCs w:val="24"/>
                <w:lang w:val="es-ES"/>
              </w:rPr>
              <w:t>.</w:t>
            </w:r>
            <w:r w:rsidR="001950EF" w:rsidRPr="00880A3D">
              <w:rPr>
                <w:sz w:val="24"/>
                <w:szCs w:val="24"/>
                <w:lang w:val="es-ES"/>
              </w:rPr>
              <w:t xml:space="preserve">35 </w:t>
            </w:r>
            <w:r w:rsidR="00880A3D">
              <w:rPr>
                <w:sz w:val="24"/>
                <w:szCs w:val="24"/>
                <w:lang w:val="es-ES"/>
              </w:rPr>
              <w:t>a las</w:t>
            </w:r>
            <w:r w:rsidR="001950EF" w:rsidRPr="00880A3D">
              <w:rPr>
                <w:sz w:val="24"/>
                <w:szCs w:val="24"/>
                <w:lang w:val="es-ES"/>
              </w:rPr>
              <w:t xml:space="preserve"> 17</w:t>
            </w:r>
            <w:r w:rsidR="00880A3D">
              <w:rPr>
                <w:sz w:val="24"/>
                <w:szCs w:val="24"/>
                <w:lang w:val="es-ES"/>
              </w:rPr>
              <w:t>.</w:t>
            </w:r>
            <w:r w:rsidR="001950EF" w:rsidRPr="00880A3D">
              <w:rPr>
                <w:sz w:val="24"/>
                <w:szCs w:val="24"/>
                <w:lang w:val="es-ES"/>
              </w:rPr>
              <w:t>45 ho</w:t>
            </w:r>
            <w:r w:rsidR="00880A3D">
              <w:rPr>
                <w:sz w:val="24"/>
                <w:szCs w:val="24"/>
                <w:lang w:val="es-ES"/>
              </w:rPr>
              <w:t>ras</w:t>
            </w:r>
          </w:p>
          <w:p w14:paraId="556A1BCF" w14:textId="2671CB1D" w:rsidR="00AD3606" w:rsidRPr="00880A3D" w:rsidRDefault="00880A3D" w:rsidP="00915F63">
            <w:pPr>
              <w:pStyle w:val="Subtitle"/>
              <w:framePr w:hSpace="0" w:wrap="auto" w:hAnchor="text" w:xAlign="left" w:yAlign="inline"/>
              <w:spacing w:after="240"/>
              <w:jc w:val="center"/>
              <w:rPr>
                <w:lang w:val="es-ES"/>
              </w:rPr>
            </w:pPr>
            <w:r w:rsidRPr="00880A3D">
              <w:rPr>
                <w:b/>
                <w:bCs/>
                <w:sz w:val="24"/>
                <w:szCs w:val="24"/>
                <w:lang w:val="es-ES"/>
              </w:rPr>
              <w:t>Presidente</w:t>
            </w:r>
            <w:r w:rsidR="00915F63" w:rsidRPr="00880A3D">
              <w:rPr>
                <w:b/>
                <w:bCs/>
                <w:sz w:val="24"/>
                <w:szCs w:val="24"/>
                <w:lang w:val="es-ES"/>
              </w:rPr>
              <w:t>:</w:t>
            </w:r>
            <w:r w:rsidR="00915F63" w:rsidRPr="00880A3D">
              <w:rPr>
                <w:sz w:val="24"/>
                <w:szCs w:val="24"/>
                <w:lang w:val="es-ES"/>
              </w:rPr>
              <w:t xml:space="preserve"> </w:t>
            </w:r>
            <w:r w:rsidRPr="00880A3D">
              <w:rPr>
                <w:sz w:val="24"/>
                <w:szCs w:val="24"/>
                <w:lang w:val="es-ES"/>
              </w:rPr>
              <w:t>S</w:t>
            </w:r>
            <w:r w:rsidR="00915F63" w:rsidRPr="00880A3D">
              <w:rPr>
                <w:sz w:val="24"/>
                <w:szCs w:val="24"/>
                <w:lang w:val="es-ES"/>
              </w:rPr>
              <w:t>r</w:t>
            </w:r>
            <w:r w:rsidRPr="00880A3D">
              <w:rPr>
                <w:sz w:val="24"/>
                <w:szCs w:val="24"/>
                <w:lang w:val="es-ES"/>
              </w:rPr>
              <w:t>.</w:t>
            </w:r>
            <w:r w:rsidR="00915F63" w:rsidRPr="00880A3D">
              <w:rPr>
                <w:sz w:val="24"/>
                <w:szCs w:val="24"/>
                <w:lang w:val="es-ES"/>
              </w:rPr>
              <w:t xml:space="preserve"> C. MART</w:t>
            </w:r>
            <w:r>
              <w:rPr>
                <w:sz w:val="24"/>
                <w:szCs w:val="24"/>
                <w:lang w:val="es-ES"/>
              </w:rPr>
              <w:t>Í</w:t>
            </w:r>
            <w:r w:rsidR="00915F63" w:rsidRPr="00880A3D">
              <w:rPr>
                <w:sz w:val="24"/>
                <w:szCs w:val="24"/>
                <w:lang w:val="es-ES"/>
              </w:rPr>
              <w:t>NEZ (Paraguay)</w:t>
            </w:r>
          </w:p>
        </w:tc>
      </w:tr>
      <w:tr w:rsidR="00AD3606" w:rsidRPr="00813E5E" w14:paraId="59287389" w14:textId="77777777" w:rsidTr="00AD3606">
        <w:trPr>
          <w:cantSplit/>
        </w:trPr>
        <w:tc>
          <w:tcPr>
            <w:tcW w:w="9214" w:type="dxa"/>
            <w:gridSpan w:val="2"/>
            <w:tcBorders>
              <w:top w:val="single" w:sz="4" w:space="0" w:color="auto"/>
              <w:bottom w:val="single" w:sz="4" w:space="0" w:color="auto"/>
            </w:tcBorders>
            <w:tcMar>
              <w:left w:w="0" w:type="dxa"/>
            </w:tcMar>
          </w:tcPr>
          <w:tbl>
            <w:tblPr>
              <w:tblW w:w="9476" w:type="dxa"/>
              <w:tblLayout w:type="fixed"/>
              <w:tblLook w:val="0000" w:firstRow="0" w:lastRow="0" w:firstColumn="0" w:lastColumn="0" w:noHBand="0" w:noVBand="0"/>
            </w:tblPr>
            <w:tblGrid>
              <w:gridCol w:w="484"/>
              <w:gridCol w:w="6320"/>
              <w:gridCol w:w="2672"/>
            </w:tblGrid>
            <w:tr w:rsidR="00915F63" w:rsidRPr="008E5D06" w14:paraId="2D0B4307" w14:textId="77777777" w:rsidTr="004367F0">
              <w:tc>
                <w:tcPr>
                  <w:tcW w:w="255" w:type="pct"/>
                </w:tcPr>
                <w:p w14:paraId="4F797EE7" w14:textId="77777777" w:rsidR="00DF2340" w:rsidRPr="008E5D06" w:rsidRDefault="00DF2340" w:rsidP="00915F63">
                  <w:pPr>
                    <w:framePr w:hSpace="180" w:wrap="around" w:vAnchor="page" w:hAnchor="page" w:x="1821" w:y="2317"/>
                    <w:spacing w:before="480"/>
                    <w:rPr>
                      <w:b/>
                      <w:bCs/>
                      <w:szCs w:val="24"/>
                      <w:lang w:val="es-ES"/>
                    </w:rPr>
                  </w:pPr>
                  <w:bookmarkStart w:id="6" w:name="_Hlk141438382"/>
                  <w:r w:rsidRPr="008E5D06">
                    <w:rPr>
                      <w:b/>
                      <w:bCs/>
                      <w:szCs w:val="24"/>
                      <w:lang w:val="es-ES"/>
                    </w:rPr>
                    <w:br w:type="page"/>
                  </w:r>
                  <w:r w:rsidRPr="008E5D06">
                    <w:rPr>
                      <w:b/>
                      <w:bCs/>
                      <w:szCs w:val="24"/>
                      <w:lang w:val="es-ES"/>
                    </w:rPr>
                    <w:br w:type="page"/>
                  </w:r>
                </w:p>
              </w:tc>
              <w:tc>
                <w:tcPr>
                  <w:tcW w:w="3335" w:type="pct"/>
                </w:tcPr>
                <w:p w14:paraId="03063FEF" w14:textId="6AEA5095" w:rsidR="00DF2340" w:rsidRPr="008E5D06" w:rsidRDefault="00880A3D" w:rsidP="00143BBD">
                  <w:pPr>
                    <w:framePr w:hSpace="180" w:wrap="around" w:vAnchor="page" w:hAnchor="page" w:x="1821" w:y="2317"/>
                    <w:spacing w:before="480" w:after="120"/>
                    <w:rPr>
                      <w:b/>
                      <w:bCs/>
                      <w:szCs w:val="24"/>
                      <w:lang w:val="en-CA"/>
                    </w:rPr>
                  </w:pPr>
                  <w:r w:rsidRPr="008E5D06">
                    <w:rPr>
                      <w:b/>
                      <w:bCs/>
                      <w:szCs w:val="24"/>
                      <w:lang w:val="en-CA"/>
                    </w:rPr>
                    <w:t>Asuntos tratados</w:t>
                  </w:r>
                </w:p>
              </w:tc>
              <w:tc>
                <w:tcPr>
                  <w:tcW w:w="1410" w:type="pct"/>
                </w:tcPr>
                <w:p w14:paraId="21CF6966" w14:textId="3A225CD7" w:rsidR="00DF2340" w:rsidRPr="008E5D06" w:rsidRDefault="00DF2340" w:rsidP="00143BBD">
                  <w:pPr>
                    <w:framePr w:hSpace="180" w:wrap="around" w:vAnchor="page" w:hAnchor="page" w:x="1821" w:y="2317"/>
                    <w:spacing w:before="480"/>
                    <w:jc w:val="center"/>
                    <w:rPr>
                      <w:b/>
                      <w:bCs/>
                      <w:szCs w:val="24"/>
                      <w:lang w:val="en-CA"/>
                    </w:rPr>
                  </w:pPr>
                  <w:r w:rsidRPr="008E5D06">
                    <w:rPr>
                      <w:b/>
                      <w:bCs/>
                      <w:szCs w:val="24"/>
                      <w:lang w:val="en-CA"/>
                    </w:rPr>
                    <w:t>Document</w:t>
                  </w:r>
                  <w:r w:rsidR="00880A3D" w:rsidRPr="008E5D06">
                    <w:rPr>
                      <w:b/>
                      <w:bCs/>
                      <w:szCs w:val="24"/>
                      <w:lang w:val="en-CA"/>
                    </w:rPr>
                    <w:t>o</w:t>
                  </w:r>
                  <w:r w:rsidRPr="008E5D06">
                    <w:rPr>
                      <w:b/>
                      <w:bCs/>
                      <w:szCs w:val="24"/>
                      <w:lang w:val="en-CA"/>
                    </w:rPr>
                    <w:t>s</w:t>
                  </w:r>
                </w:p>
              </w:tc>
            </w:tr>
            <w:tr w:rsidR="001950EF" w:rsidRPr="008E5D06" w14:paraId="1D44A2EC" w14:textId="77777777" w:rsidTr="004367F0">
              <w:trPr>
                <w:trHeight w:val="20"/>
              </w:trPr>
              <w:tc>
                <w:tcPr>
                  <w:tcW w:w="255" w:type="pct"/>
                </w:tcPr>
                <w:p w14:paraId="24172D46" w14:textId="77777777" w:rsidR="001950EF" w:rsidRPr="008E5D06" w:rsidRDefault="001950EF" w:rsidP="001950EF">
                  <w:pPr>
                    <w:framePr w:hSpace="180" w:wrap="around" w:vAnchor="page" w:hAnchor="page" w:x="1821" w:y="2317"/>
                    <w:spacing w:before="80" w:after="80"/>
                    <w:rPr>
                      <w:szCs w:val="24"/>
                      <w:lang w:val="en-CA"/>
                    </w:rPr>
                  </w:pPr>
                  <w:r w:rsidRPr="008E5D06">
                    <w:rPr>
                      <w:szCs w:val="24"/>
                      <w:lang w:val="en-CA"/>
                    </w:rPr>
                    <w:t>1</w:t>
                  </w:r>
                </w:p>
              </w:tc>
              <w:tc>
                <w:tcPr>
                  <w:tcW w:w="3335" w:type="pct"/>
                </w:tcPr>
                <w:p w14:paraId="2830A615" w14:textId="643D7F0A" w:rsidR="001950EF" w:rsidRPr="008E5D06" w:rsidRDefault="00880A3D" w:rsidP="001950EF">
                  <w:pPr>
                    <w:framePr w:hSpace="180" w:wrap="around" w:vAnchor="page" w:hAnchor="page" w:x="1821" w:y="2317"/>
                    <w:spacing w:before="80" w:after="80"/>
                    <w:rPr>
                      <w:rFonts w:asciiTheme="minorHAnsi" w:hAnsiTheme="minorHAnsi" w:cstheme="minorHAnsi"/>
                      <w:szCs w:val="24"/>
                      <w:lang w:val="es-ES"/>
                    </w:rPr>
                  </w:pPr>
                  <w:r w:rsidRPr="008E5D06">
                    <w:rPr>
                      <w:rFonts w:asciiTheme="minorHAnsi" w:hAnsiTheme="minorHAnsi" w:cstheme="minorHAnsi"/>
                      <w:szCs w:val="24"/>
                      <w:lang w:val="es-ES"/>
                    </w:rPr>
                    <w:t>Alocución del Director General de la Organización Mundial de la Propiedad Intelectual</w:t>
                  </w:r>
                </w:p>
              </w:tc>
              <w:tc>
                <w:tcPr>
                  <w:tcW w:w="1410" w:type="pct"/>
                </w:tcPr>
                <w:p w14:paraId="6D602A53" w14:textId="0376B609" w:rsidR="001950EF" w:rsidRPr="008E5D06" w:rsidRDefault="00DF7C25" w:rsidP="001950EF">
                  <w:pPr>
                    <w:framePr w:hSpace="180" w:wrap="around" w:vAnchor="page" w:hAnchor="page" w:x="1821" w:y="2317"/>
                    <w:tabs>
                      <w:tab w:val="clear" w:pos="567"/>
                      <w:tab w:val="clear" w:pos="1134"/>
                      <w:tab w:val="clear" w:pos="1701"/>
                      <w:tab w:val="clear" w:pos="2268"/>
                    </w:tabs>
                    <w:spacing w:before="80" w:after="80"/>
                    <w:ind w:left="-109"/>
                    <w:jc w:val="center"/>
                    <w:rPr>
                      <w:rFonts w:asciiTheme="minorHAnsi" w:hAnsiTheme="minorHAnsi" w:cstheme="minorHAnsi"/>
                      <w:szCs w:val="24"/>
                      <w:lang w:val="en-CA"/>
                    </w:rPr>
                  </w:pPr>
                  <w:r w:rsidRPr="008E5D06">
                    <w:rPr>
                      <w:rFonts w:asciiTheme="minorHAnsi" w:hAnsiTheme="minorHAnsi" w:cstheme="minorHAnsi"/>
                      <w:szCs w:val="24"/>
                    </w:rPr>
                    <w:t>–</w:t>
                  </w:r>
                </w:p>
              </w:tc>
            </w:tr>
            <w:tr w:rsidR="001950EF" w:rsidRPr="008E5D06" w14:paraId="57EB8A2E" w14:textId="77777777" w:rsidTr="00F45D96">
              <w:trPr>
                <w:trHeight w:val="20"/>
              </w:trPr>
              <w:tc>
                <w:tcPr>
                  <w:tcW w:w="255" w:type="pct"/>
                </w:tcPr>
                <w:p w14:paraId="6D2AF972" w14:textId="77777777" w:rsidR="001950EF" w:rsidRPr="008E5D06" w:rsidRDefault="001950EF" w:rsidP="001950EF">
                  <w:pPr>
                    <w:framePr w:hSpace="180" w:wrap="around" w:vAnchor="page" w:hAnchor="page" w:x="1821" w:y="2317"/>
                    <w:spacing w:before="80" w:after="80"/>
                    <w:rPr>
                      <w:szCs w:val="24"/>
                      <w:lang w:val="en-CA"/>
                    </w:rPr>
                  </w:pPr>
                  <w:r w:rsidRPr="008E5D06">
                    <w:rPr>
                      <w:szCs w:val="24"/>
                      <w:lang w:val="en-CA"/>
                    </w:rPr>
                    <w:t>2</w:t>
                  </w:r>
                </w:p>
              </w:tc>
              <w:tc>
                <w:tcPr>
                  <w:tcW w:w="3335" w:type="pct"/>
                </w:tcPr>
                <w:p w14:paraId="24B06FB8" w14:textId="3F8FAD7B" w:rsidR="001950EF" w:rsidRPr="008E5D06" w:rsidRDefault="00880A3D" w:rsidP="001950EF">
                  <w:pPr>
                    <w:framePr w:hSpace="180" w:wrap="around" w:vAnchor="page" w:hAnchor="page" w:x="1821" w:y="2317"/>
                    <w:spacing w:before="80" w:after="80"/>
                    <w:rPr>
                      <w:rFonts w:asciiTheme="minorHAnsi" w:hAnsiTheme="minorHAnsi" w:cstheme="minorHAnsi"/>
                      <w:szCs w:val="24"/>
                      <w:lang w:val="es-ES"/>
                    </w:rPr>
                  </w:pPr>
                  <w:r w:rsidRPr="008E5D06">
                    <w:rPr>
                      <w:rFonts w:asciiTheme="minorHAnsi" w:hAnsiTheme="minorHAnsi" w:cstheme="minorHAnsi"/>
                      <w:szCs w:val="24"/>
                      <w:lang w:val="es-ES"/>
                    </w:rPr>
                    <w:t>Actividades de la UIT sobre el fortalecimiento de su papel en la creación de confianza y seguridad en la utilización de las tecnologías de la información y la comunicación</w:t>
                  </w:r>
                  <w:r w:rsidR="001950EF" w:rsidRPr="008E5D06">
                    <w:rPr>
                      <w:rFonts w:asciiTheme="minorHAnsi" w:hAnsiTheme="minorHAnsi" w:cstheme="minorHAnsi"/>
                      <w:szCs w:val="24"/>
                      <w:lang w:val="es-ES"/>
                    </w:rPr>
                    <w:t xml:space="preserve"> </w:t>
                  </w:r>
                </w:p>
              </w:tc>
              <w:tc>
                <w:tcPr>
                  <w:tcW w:w="1410" w:type="pct"/>
                </w:tcPr>
                <w:p w14:paraId="1FBAAF80" w14:textId="584276F3" w:rsidR="001950EF" w:rsidRPr="008E5D06" w:rsidRDefault="00007665" w:rsidP="001950EF">
                  <w:pPr>
                    <w:framePr w:hSpace="180" w:wrap="around" w:vAnchor="page" w:hAnchor="page" w:x="1821" w:y="2317"/>
                    <w:tabs>
                      <w:tab w:val="clear" w:pos="567"/>
                      <w:tab w:val="clear" w:pos="1134"/>
                      <w:tab w:val="clear" w:pos="1701"/>
                      <w:tab w:val="clear" w:pos="2268"/>
                    </w:tabs>
                    <w:spacing w:before="80" w:after="80"/>
                    <w:ind w:right="177"/>
                    <w:jc w:val="center"/>
                    <w:rPr>
                      <w:rFonts w:asciiTheme="minorHAnsi" w:hAnsiTheme="minorHAnsi" w:cstheme="minorHAnsi"/>
                      <w:szCs w:val="24"/>
                      <w:lang w:val="en-CA"/>
                    </w:rPr>
                  </w:pPr>
                  <w:hyperlink r:id="rId8" w:history="1">
                    <w:r w:rsidR="001950EF" w:rsidRPr="008E5D06">
                      <w:rPr>
                        <w:rStyle w:val="Hyperlink"/>
                        <w:rFonts w:asciiTheme="minorHAnsi" w:hAnsiTheme="minorHAnsi" w:cstheme="minorHAnsi"/>
                        <w:szCs w:val="24"/>
                      </w:rPr>
                      <w:t>C23/38</w:t>
                    </w:r>
                  </w:hyperlink>
                  <w:r w:rsidR="001950EF" w:rsidRPr="008E5D06">
                    <w:rPr>
                      <w:rFonts w:asciiTheme="minorHAnsi" w:hAnsiTheme="minorHAnsi" w:cstheme="minorHAnsi"/>
                      <w:szCs w:val="24"/>
                    </w:rPr>
                    <w:t xml:space="preserve">, </w:t>
                  </w:r>
                  <w:hyperlink r:id="rId9" w:history="1">
                    <w:r w:rsidR="001950EF" w:rsidRPr="008E5D06">
                      <w:rPr>
                        <w:rStyle w:val="Hyperlink"/>
                        <w:rFonts w:asciiTheme="minorHAnsi" w:hAnsiTheme="minorHAnsi" w:cstheme="minorHAnsi"/>
                        <w:szCs w:val="24"/>
                      </w:rPr>
                      <w:t>C23/93(Rev.1)</w:t>
                    </w:r>
                  </w:hyperlink>
                </w:p>
              </w:tc>
            </w:tr>
            <w:tr w:rsidR="001950EF" w:rsidRPr="008E5D06" w14:paraId="03AD913B" w14:textId="77777777" w:rsidTr="004367F0">
              <w:trPr>
                <w:trHeight w:val="20"/>
              </w:trPr>
              <w:tc>
                <w:tcPr>
                  <w:tcW w:w="255" w:type="pct"/>
                </w:tcPr>
                <w:p w14:paraId="0220E7E6" w14:textId="77777777" w:rsidR="001950EF" w:rsidRPr="008E5D06" w:rsidRDefault="001950EF" w:rsidP="001950EF">
                  <w:pPr>
                    <w:framePr w:hSpace="180" w:wrap="around" w:vAnchor="page" w:hAnchor="page" w:x="1821" w:y="2317"/>
                    <w:spacing w:before="80" w:after="80"/>
                    <w:rPr>
                      <w:szCs w:val="24"/>
                      <w:lang w:val="en-CA"/>
                    </w:rPr>
                  </w:pPr>
                  <w:r w:rsidRPr="008E5D06">
                    <w:rPr>
                      <w:szCs w:val="24"/>
                      <w:lang w:val="en-CA"/>
                    </w:rPr>
                    <w:t>3</w:t>
                  </w:r>
                </w:p>
              </w:tc>
              <w:tc>
                <w:tcPr>
                  <w:tcW w:w="3335" w:type="pct"/>
                </w:tcPr>
                <w:p w14:paraId="436D0638" w14:textId="1C5C28FB" w:rsidR="001950EF" w:rsidRPr="008E5D06" w:rsidRDefault="00880A3D" w:rsidP="001950EF">
                  <w:pPr>
                    <w:framePr w:hSpace="180" w:wrap="around" w:vAnchor="page" w:hAnchor="page" w:x="1821" w:y="2317"/>
                    <w:spacing w:before="80" w:after="80"/>
                    <w:rPr>
                      <w:rFonts w:asciiTheme="minorHAnsi" w:hAnsiTheme="minorHAnsi" w:cstheme="minorHAnsi"/>
                      <w:szCs w:val="24"/>
                      <w:lang w:val="es-ES"/>
                    </w:rPr>
                  </w:pPr>
                  <w:r w:rsidRPr="008E5D06">
                    <w:rPr>
                      <w:rFonts w:asciiTheme="minorHAnsi" w:hAnsiTheme="minorHAnsi" w:cstheme="minorHAnsi"/>
                      <w:szCs w:val="24"/>
                      <w:lang w:val="es-ES"/>
                    </w:rPr>
                    <w:t>25 años del programa de trabajo de la UIT sobre igualdad de género</w:t>
                  </w:r>
                </w:p>
              </w:tc>
              <w:tc>
                <w:tcPr>
                  <w:tcW w:w="1410" w:type="pct"/>
                </w:tcPr>
                <w:p w14:paraId="48947DDE" w14:textId="67500290" w:rsidR="001950EF" w:rsidRPr="008E5D06" w:rsidRDefault="00007665" w:rsidP="001950EF">
                  <w:pPr>
                    <w:framePr w:hSpace="180" w:wrap="around" w:vAnchor="page" w:hAnchor="page" w:x="1821" w:y="2317"/>
                    <w:tabs>
                      <w:tab w:val="clear" w:pos="567"/>
                      <w:tab w:val="clear" w:pos="1134"/>
                      <w:tab w:val="clear" w:pos="1701"/>
                      <w:tab w:val="clear" w:pos="2268"/>
                    </w:tabs>
                    <w:spacing w:before="80" w:after="80"/>
                    <w:jc w:val="center"/>
                    <w:rPr>
                      <w:rFonts w:asciiTheme="minorHAnsi" w:hAnsiTheme="minorHAnsi" w:cstheme="minorHAnsi"/>
                      <w:szCs w:val="24"/>
                      <w:lang w:val="en-CA"/>
                    </w:rPr>
                  </w:pPr>
                  <w:hyperlink r:id="rId10" w:history="1">
                    <w:r w:rsidR="001950EF" w:rsidRPr="008E5D06">
                      <w:rPr>
                        <w:rStyle w:val="Hyperlink"/>
                        <w:rFonts w:asciiTheme="minorHAnsi" w:hAnsiTheme="minorHAnsi" w:cstheme="minorHAnsi"/>
                        <w:szCs w:val="24"/>
                      </w:rPr>
                      <w:t>C23/6</w:t>
                    </w:r>
                  </w:hyperlink>
                  <w:r w:rsidR="001950EF" w:rsidRPr="008E5D06">
                    <w:rPr>
                      <w:rFonts w:asciiTheme="minorHAnsi" w:hAnsiTheme="minorHAnsi" w:cstheme="minorHAnsi"/>
                      <w:szCs w:val="24"/>
                    </w:rPr>
                    <w:t xml:space="preserve">, </w:t>
                  </w:r>
                  <w:hyperlink r:id="rId11" w:history="1">
                    <w:r w:rsidR="001950EF" w:rsidRPr="008E5D06">
                      <w:rPr>
                        <w:rStyle w:val="Hyperlink"/>
                        <w:rFonts w:asciiTheme="minorHAnsi" w:hAnsiTheme="minorHAnsi" w:cstheme="minorHAnsi"/>
                        <w:szCs w:val="24"/>
                      </w:rPr>
                      <w:t>C23/76</w:t>
                    </w:r>
                  </w:hyperlink>
                  <w:r w:rsidR="001950EF" w:rsidRPr="008E5D06">
                    <w:rPr>
                      <w:rFonts w:asciiTheme="minorHAnsi" w:hAnsiTheme="minorHAnsi" w:cstheme="minorHAnsi"/>
                      <w:szCs w:val="24"/>
                    </w:rPr>
                    <w:t xml:space="preserve">, </w:t>
                  </w:r>
                  <w:hyperlink r:id="rId12" w:history="1">
                    <w:r w:rsidR="001950EF" w:rsidRPr="008E5D06">
                      <w:rPr>
                        <w:rStyle w:val="Hyperlink"/>
                        <w:rFonts w:asciiTheme="minorHAnsi" w:hAnsiTheme="minorHAnsi" w:cstheme="minorHAnsi"/>
                        <w:szCs w:val="24"/>
                      </w:rPr>
                      <w:t>C23/91+Corr.1</w:t>
                    </w:r>
                  </w:hyperlink>
                </w:p>
              </w:tc>
            </w:tr>
            <w:tr w:rsidR="001950EF" w:rsidRPr="008E5D06" w14:paraId="365094B8" w14:textId="77777777" w:rsidTr="004367F0">
              <w:trPr>
                <w:trHeight w:val="20"/>
              </w:trPr>
              <w:tc>
                <w:tcPr>
                  <w:tcW w:w="255" w:type="pct"/>
                </w:tcPr>
                <w:p w14:paraId="34A94745" w14:textId="77777777" w:rsidR="001950EF" w:rsidRPr="008E5D06" w:rsidRDefault="001950EF" w:rsidP="001950EF">
                  <w:pPr>
                    <w:framePr w:hSpace="180" w:wrap="around" w:vAnchor="page" w:hAnchor="page" w:x="1821" w:y="2317"/>
                    <w:spacing w:before="80" w:after="80"/>
                    <w:rPr>
                      <w:szCs w:val="24"/>
                      <w:lang w:val="en-CA"/>
                    </w:rPr>
                  </w:pPr>
                  <w:r w:rsidRPr="008E5D06">
                    <w:rPr>
                      <w:szCs w:val="24"/>
                      <w:lang w:val="en-CA"/>
                    </w:rPr>
                    <w:t>4</w:t>
                  </w:r>
                </w:p>
              </w:tc>
              <w:tc>
                <w:tcPr>
                  <w:tcW w:w="3335" w:type="pct"/>
                </w:tcPr>
                <w:p w14:paraId="5D1FFCCE" w14:textId="354BF25F" w:rsidR="001950EF" w:rsidRPr="008E5D06" w:rsidRDefault="00880A3D" w:rsidP="001950EF">
                  <w:pPr>
                    <w:framePr w:hSpace="180" w:wrap="around" w:vAnchor="page" w:hAnchor="page" w:x="1821" w:y="2317"/>
                    <w:spacing w:before="80" w:after="80"/>
                    <w:rPr>
                      <w:rFonts w:asciiTheme="minorHAnsi" w:hAnsiTheme="minorHAnsi" w:cstheme="minorHAnsi"/>
                      <w:szCs w:val="24"/>
                      <w:lang w:val="es-ES"/>
                    </w:rPr>
                  </w:pPr>
                  <w:r w:rsidRPr="008E5D06">
                    <w:rPr>
                      <w:rFonts w:asciiTheme="minorHAnsi" w:hAnsiTheme="minorHAnsi" w:cstheme="minorHAnsi"/>
                      <w:szCs w:val="24"/>
                      <w:lang w:val="es-ES"/>
                    </w:rPr>
                    <w:t>Día Mundial de las Telecomunicaciones y la Sociedad de la Información</w:t>
                  </w:r>
                  <w:r w:rsidR="001950EF" w:rsidRPr="008E5D06">
                    <w:rPr>
                      <w:rFonts w:asciiTheme="minorHAnsi" w:hAnsiTheme="minorHAnsi" w:cstheme="minorHAnsi"/>
                      <w:szCs w:val="24"/>
                      <w:lang w:val="es-ES"/>
                    </w:rPr>
                    <w:t xml:space="preserve"> </w:t>
                  </w:r>
                </w:p>
              </w:tc>
              <w:tc>
                <w:tcPr>
                  <w:tcW w:w="1410" w:type="pct"/>
                </w:tcPr>
                <w:p w14:paraId="2F324367" w14:textId="40A7FE57" w:rsidR="001950EF" w:rsidRPr="008E5D06" w:rsidRDefault="00007665" w:rsidP="001950EF">
                  <w:pPr>
                    <w:framePr w:hSpace="180" w:wrap="around" w:vAnchor="page" w:hAnchor="page" w:x="1821" w:y="2317"/>
                    <w:tabs>
                      <w:tab w:val="clear" w:pos="567"/>
                      <w:tab w:val="clear" w:pos="1134"/>
                      <w:tab w:val="clear" w:pos="1701"/>
                      <w:tab w:val="clear" w:pos="2268"/>
                    </w:tabs>
                    <w:spacing w:before="80" w:after="80"/>
                    <w:jc w:val="center"/>
                    <w:rPr>
                      <w:rFonts w:asciiTheme="minorHAnsi" w:hAnsiTheme="minorHAnsi" w:cstheme="minorHAnsi"/>
                      <w:szCs w:val="24"/>
                      <w:lang w:val="en-CA"/>
                    </w:rPr>
                  </w:pPr>
                  <w:hyperlink r:id="rId13" w:history="1">
                    <w:r w:rsidR="001950EF" w:rsidRPr="008E5D06">
                      <w:rPr>
                        <w:rStyle w:val="Hyperlink"/>
                        <w:rFonts w:asciiTheme="minorHAnsi" w:hAnsiTheme="minorHAnsi" w:cstheme="minorHAnsi"/>
                        <w:szCs w:val="24"/>
                      </w:rPr>
                      <w:t>C23/17</w:t>
                    </w:r>
                  </w:hyperlink>
                  <w:r w:rsidR="001950EF" w:rsidRPr="008E5D06">
                    <w:rPr>
                      <w:rFonts w:asciiTheme="minorHAnsi" w:hAnsiTheme="minorHAnsi" w:cstheme="minorHAnsi"/>
                      <w:szCs w:val="24"/>
                    </w:rPr>
                    <w:t xml:space="preserve">, </w:t>
                  </w:r>
                  <w:hyperlink r:id="rId14" w:history="1">
                    <w:r w:rsidR="001950EF" w:rsidRPr="008E5D06">
                      <w:rPr>
                        <w:rStyle w:val="Hyperlink"/>
                        <w:rFonts w:asciiTheme="minorHAnsi" w:hAnsiTheme="minorHAnsi" w:cstheme="minorHAnsi"/>
                        <w:szCs w:val="24"/>
                      </w:rPr>
                      <w:t>C23/DT/4</w:t>
                    </w:r>
                  </w:hyperlink>
                </w:p>
              </w:tc>
            </w:tr>
            <w:tr w:rsidR="001950EF" w:rsidRPr="00740238" w14:paraId="7CF5A773" w14:textId="77777777" w:rsidTr="004367F0">
              <w:trPr>
                <w:trHeight w:val="20"/>
              </w:trPr>
              <w:tc>
                <w:tcPr>
                  <w:tcW w:w="255" w:type="pct"/>
                </w:tcPr>
                <w:p w14:paraId="0B2DB636" w14:textId="7725E9C0" w:rsidR="001950EF" w:rsidRPr="008E5D06" w:rsidRDefault="001950EF" w:rsidP="001950EF">
                  <w:pPr>
                    <w:framePr w:hSpace="180" w:wrap="around" w:vAnchor="page" w:hAnchor="page" w:x="1821" w:y="2317"/>
                    <w:spacing w:before="80" w:after="80"/>
                    <w:rPr>
                      <w:szCs w:val="24"/>
                      <w:lang w:val="en-CA"/>
                    </w:rPr>
                  </w:pPr>
                  <w:r w:rsidRPr="008E5D06">
                    <w:rPr>
                      <w:szCs w:val="24"/>
                      <w:lang w:val="en-CA"/>
                    </w:rPr>
                    <w:t>5</w:t>
                  </w:r>
                </w:p>
              </w:tc>
              <w:tc>
                <w:tcPr>
                  <w:tcW w:w="3335" w:type="pct"/>
                </w:tcPr>
                <w:p w14:paraId="73B3F11C" w14:textId="4740488C" w:rsidR="001950EF" w:rsidRPr="008E5D06" w:rsidRDefault="00880A3D" w:rsidP="001950EF">
                  <w:pPr>
                    <w:framePr w:hSpace="180" w:wrap="around" w:vAnchor="page" w:hAnchor="page" w:x="1821" w:y="2317"/>
                    <w:spacing w:before="80" w:after="80"/>
                    <w:rPr>
                      <w:rFonts w:asciiTheme="minorHAnsi" w:hAnsiTheme="minorHAnsi" w:cstheme="minorHAnsi"/>
                      <w:szCs w:val="24"/>
                      <w:lang w:val="es-ES"/>
                    </w:rPr>
                  </w:pPr>
                  <w:r w:rsidRPr="008E5D06">
                    <w:rPr>
                      <w:rFonts w:asciiTheme="minorHAnsi" w:hAnsiTheme="minorHAnsi" w:cstheme="minorHAnsi"/>
                      <w:szCs w:val="24"/>
                      <w:lang w:val="es-ES"/>
                    </w:rPr>
                    <w:t>Examen periódico del Reglamento de las Telecomunicaciones Internacionales (continuación</w:t>
                  </w:r>
                  <w:r w:rsidR="001950EF" w:rsidRPr="008E5D06">
                    <w:rPr>
                      <w:rFonts w:asciiTheme="minorHAnsi" w:hAnsiTheme="minorHAnsi" w:cstheme="minorHAnsi"/>
                      <w:szCs w:val="24"/>
                      <w:lang w:val="es-ES"/>
                    </w:rPr>
                    <w:t xml:space="preserve">) </w:t>
                  </w:r>
                </w:p>
              </w:tc>
              <w:tc>
                <w:tcPr>
                  <w:tcW w:w="1410" w:type="pct"/>
                </w:tcPr>
                <w:p w14:paraId="5935B88C" w14:textId="33D273B1" w:rsidR="001950EF" w:rsidRPr="00740238" w:rsidRDefault="00007665" w:rsidP="001950EF">
                  <w:pPr>
                    <w:framePr w:hSpace="180" w:wrap="around" w:vAnchor="page" w:hAnchor="page" w:x="1821" w:y="2317"/>
                    <w:tabs>
                      <w:tab w:val="clear" w:pos="567"/>
                      <w:tab w:val="clear" w:pos="1134"/>
                      <w:tab w:val="clear" w:pos="1701"/>
                      <w:tab w:val="clear" w:pos="2268"/>
                    </w:tabs>
                    <w:spacing w:before="80" w:after="80"/>
                    <w:ind w:left="-109"/>
                    <w:jc w:val="center"/>
                    <w:rPr>
                      <w:rFonts w:asciiTheme="minorHAnsi" w:hAnsiTheme="minorHAnsi" w:cstheme="minorHAnsi"/>
                      <w:szCs w:val="24"/>
                      <w:lang w:val="it-IT"/>
                    </w:rPr>
                  </w:pPr>
                  <w:hyperlink r:id="rId15" w:history="1">
                    <w:r w:rsidR="001950EF" w:rsidRPr="00740238">
                      <w:rPr>
                        <w:rStyle w:val="Hyperlink"/>
                        <w:rFonts w:asciiTheme="minorHAnsi" w:hAnsiTheme="minorHAnsi" w:cstheme="minorHAnsi"/>
                        <w:szCs w:val="24"/>
                        <w:lang w:val="it-IT"/>
                      </w:rPr>
                      <w:t>C23/12</w:t>
                    </w:r>
                  </w:hyperlink>
                  <w:r w:rsidR="001950EF" w:rsidRPr="00740238">
                    <w:rPr>
                      <w:rFonts w:asciiTheme="minorHAnsi" w:hAnsiTheme="minorHAnsi" w:cstheme="minorHAnsi"/>
                      <w:szCs w:val="24"/>
                      <w:lang w:val="it-IT"/>
                    </w:rPr>
                    <w:t xml:space="preserve">, </w:t>
                  </w:r>
                  <w:hyperlink r:id="rId16" w:history="1">
                    <w:r w:rsidR="001950EF" w:rsidRPr="00740238">
                      <w:rPr>
                        <w:rStyle w:val="Hyperlink"/>
                        <w:rFonts w:asciiTheme="minorHAnsi" w:hAnsiTheme="minorHAnsi" w:cstheme="minorHAnsi"/>
                        <w:szCs w:val="24"/>
                        <w:lang w:val="it-IT"/>
                      </w:rPr>
                      <w:t>C23/66</w:t>
                    </w:r>
                  </w:hyperlink>
                  <w:r w:rsidR="001950EF" w:rsidRPr="00740238">
                    <w:rPr>
                      <w:rFonts w:asciiTheme="minorHAnsi" w:hAnsiTheme="minorHAnsi" w:cstheme="minorHAnsi"/>
                      <w:szCs w:val="24"/>
                      <w:lang w:val="it-IT"/>
                    </w:rPr>
                    <w:t xml:space="preserve">, </w:t>
                  </w:r>
                  <w:hyperlink r:id="rId17" w:history="1">
                    <w:r w:rsidR="001950EF" w:rsidRPr="00740238">
                      <w:rPr>
                        <w:rStyle w:val="Hyperlink"/>
                        <w:rFonts w:asciiTheme="minorHAnsi" w:hAnsiTheme="minorHAnsi" w:cstheme="minorHAnsi"/>
                        <w:szCs w:val="24"/>
                        <w:lang w:val="it-IT"/>
                      </w:rPr>
                      <w:t>C23/73</w:t>
                    </w:r>
                  </w:hyperlink>
                  <w:r w:rsidR="001950EF" w:rsidRPr="00740238">
                    <w:rPr>
                      <w:rFonts w:asciiTheme="minorHAnsi" w:hAnsiTheme="minorHAnsi" w:cstheme="minorHAnsi"/>
                      <w:szCs w:val="24"/>
                      <w:lang w:val="it-IT"/>
                    </w:rPr>
                    <w:t xml:space="preserve">, </w:t>
                  </w:r>
                  <w:hyperlink r:id="rId18" w:history="1">
                    <w:r w:rsidR="001950EF" w:rsidRPr="00740238">
                      <w:rPr>
                        <w:rStyle w:val="Hyperlink"/>
                        <w:rFonts w:asciiTheme="minorHAnsi" w:hAnsiTheme="minorHAnsi" w:cstheme="minorHAnsi"/>
                        <w:szCs w:val="24"/>
                        <w:lang w:val="it-IT"/>
                      </w:rPr>
                      <w:t>C23/77+Corr.1</w:t>
                    </w:r>
                  </w:hyperlink>
                  <w:r w:rsidR="001950EF" w:rsidRPr="00740238">
                    <w:rPr>
                      <w:rFonts w:asciiTheme="minorHAnsi" w:hAnsiTheme="minorHAnsi" w:cstheme="minorHAnsi"/>
                      <w:szCs w:val="24"/>
                      <w:lang w:val="it-IT"/>
                    </w:rPr>
                    <w:t xml:space="preserve">, </w:t>
                  </w:r>
                  <w:hyperlink r:id="rId19" w:history="1">
                    <w:r w:rsidR="001950EF" w:rsidRPr="00740238">
                      <w:rPr>
                        <w:rStyle w:val="Hyperlink"/>
                        <w:rFonts w:asciiTheme="minorHAnsi" w:hAnsiTheme="minorHAnsi" w:cstheme="minorHAnsi"/>
                        <w:szCs w:val="24"/>
                        <w:lang w:val="it-IT"/>
                      </w:rPr>
                      <w:t>C23/88+Corr.1,2</w:t>
                    </w:r>
                  </w:hyperlink>
                  <w:r w:rsidR="001950EF" w:rsidRPr="00740238">
                    <w:rPr>
                      <w:rFonts w:asciiTheme="minorHAnsi" w:hAnsiTheme="minorHAnsi" w:cstheme="minorHAnsi"/>
                      <w:szCs w:val="24"/>
                      <w:lang w:val="it-IT"/>
                    </w:rPr>
                    <w:t xml:space="preserve">, </w:t>
                  </w:r>
                  <w:r w:rsidR="001950EF" w:rsidRPr="00740238">
                    <w:rPr>
                      <w:rFonts w:asciiTheme="minorHAnsi" w:hAnsiTheme="minorHAnsi" w:cstheme="minorHAnsi"/>
                      <w:szCs w:val="24"/>
                      <w:lang w:val="it-IT"/>
                    </w:rPr>
                    <w:br/>
                  </w:r>
                  <w:hyperlink r:id="rId20" w:history="1">
                    <w:r w:rsidR="001950EF" w:rsidRPr="00740238">
                      <w:rPr>
                        <w:rStyle w:val="Hyperlink"/>
                        <w:rFonts w:asciiTheme="minorHAnsi" w:hAnsiTheme="minorHAnsi" w:cstheme="minorHAnsi"/>
                        <w:szCs w:val="24"/>
                        <w:lang w:val="it-IT"/>
                      </w:rPr>
                      <w:t>C23/DT/5</w:t>
                    </w:r>
                  </w:hyperlink>
                </w:p>
              </w:tc>
            </w:tr>
            <w:tr w:rsidR="001950EF" w:rsidRPr="008E5D06" w14:paraId="4F7D41D8" w14:textId="77777777" w:rsidTr="004367F0">
              <w:trPr>
                <w:trHeight w:val="20"/>
              </w:trPr>
              <w:tc>
                <w:tcPr>
                  <w:tcW w:w="255" w:type="pct"/>
                </w:tcPr>
                <w:p w14:paraId="608A9523" w14:textId="07BFD8AC" w:rsidR="001950EF" w:rsidRPr="008E5D06" w:rsidRDefault="001950EF" w:rsidP="001950EF">
                  <w:pPr>
                    <w:framePr w:hSpace="180" w:wrap="around" w:vAnchor="page" w:hAnchor="page" w:x="1821" w:y="2317"/>
                    <w:spacing w:before="80" w:after="80"/>
                    <w:rPr>
                      <w:szCs w:val="24"/>
                      <w:lang w:val="en-CA"/>
                    </w:rPr>
                  </w:pPr>
                  <w:r w:rsidRPr="008E5D06">
                    <w:rPr>
                      <w:szCs w:val="24"/>
                      <w:lang w:val="en-CA"/>
                    </w:rPr>
                    <w:t>6</w:t>
                  </w:r>
                </w:p>
              </w:tc>
              <w:tc>
                <w:tcPr>
                  <w:tcW w:w="3335" w:type="pct"/>
                </w:tcPr>
                <w:p w14:paraId="3F884DC9" w14:textId="104640B0" w:rsidR="001950EF" w:rsidRPr="008E5D06" w:rsidRDefault="00880A3D" w:rsidP="001950EF">
                  <w:pPr>
                    <w:framePr w:hSpace="180" w:wrap="around" w:vAnchor="page" w:hAnchor="page" w:x="1821" w:y="2317"/>
                    <w:spacing w:before="80" w:after="80"/>
                    <w:rPr>
                      <w:rFonts w:asciiTheme="minorHAnsi" w:hAnsiTheme="minorHAnsi" w:cstheme="minorHAnsi"/>
                      <w:szCs w:val="24"/>
                      <w:lang w:val="es-ES"/>
                    </w:rPr>
                  </w:pPr>
                  <w:r w:rsidRPr="008E5D06">
                    <w:rPr>
                      <w:rFonts w:asciiTheme="minorHAnsi" w:hAnsiTheme="minorHAnsi" w:cstheme="minorHAnsi"/>
                      <w:szCs w:val="24"/>
                      <w:lang w:val="es-ES"/>
                    </w:rPr>
                    <w:t>Preparativos para el Foro Mundial de Política de las Telecomunicaciones/TIC de 2026 (FMPT-26</w:t>
                  </w:r>
                  <w:r w:rsidR="001950EF" w:rsidRPr="008E5D06">
                    <w:rPr>
                      <w:rFonts w:asciiTheme="minorHAnsi" w:hAnsiTheme="minorHAnsi" w:cstheme="minorHAnsi"/>
                      <w:szCs w:val="24"/>
                      <w:lang w:val="es-ES"/>
                    </w:rPr>
                    <w:t>)</w:t>
                  </w:r>
                </w:p>
              </w:tc>
              <w:tc>
                <w:tcPr>
                  <w:tcW w:w="1410" w:type="pct"/>
                </w:tcPr>
                <w:p w14:paraId="6B1CEB56" w14:textId="4E0D687B" w:rsidR="001950EF" w:rsidRPr="008E5D06" w:rsidRDefault="00007665" w:rsidP="001950EF">
                  <w:pPr>
                    <w:framePr w:hSpace="180" w:wrap="around" w:vAnchor="page" w:hAnchor="page" w:x="1821" w:y="2317"/>
                    <w:tabs>
                      <w:tab w:val="clear" w:pos="567"/>
                      <w:tab w:val="clear" w:pos="1134"/>
                      <w:tab w:val="clear" w:pos="1701"/>
                      <w:tab w:val="clear" w:pos="2268"/>
                    </w:tabs>
                    <w:spacing w:before="80" w:after="80"/>
                    <w:ind w:left="-109"/>
                    <w:jc w:val="center"/>
                    <w:rPr>
                      <w:rFonts w:asciiTheme="minorHAnsi" w:hAnsiTheme="minorHAnsi" w:cstheme="minorHAnsi"/>
                      <w:szCs w:val="24"/>
                    </w:rPr>
                  </w:pPr>
                  <w:hyperlink r:id="rId21" w:history="1">
                    <w:r w:rsidR="001950EF" w:rsidRPr="008E5D06">
                      <w:rPr>
                        <w:rStyle w:val="Hyperlink"/>
                        <w:rFonts w:asciiTheme="minorHAnsi" w:hAnsiTheme="minorHAnsi" w:cstheme="minorHAnsi"/>
                        <w:szCs w:val="24"/>
                      </w:rPr>
                      <w:t>C23/13</w:t>
                    </w:r>
                  </w:hyperlink>
                </w:p>
              </w:tc>
            </w:tr>
            <w:tr w:rsidR="001950EF" w:rsidRPr="008E5D06" w14:paraId="3B566B08" w14:textId="77777777" w:rsidTr="004367F0">
              <w:trPr>
                <w:trHeight w:val="20"/>
              </w:trPr>
              <w:tc>
                <w:tcPr>
                  <w:tcW w:w="255" w:type="pct"/>
                </w:tcPr>
                <w:p w14:paraId="118FB2D6" w14:textId="65E7EB97" w:rsidR="001950EF" w:rsidRPr="008E5D06" w:rsidRDefault="001950EF" w:rsidP="001950EF">
                  <w:pPr>
                    <w:framePr w:hSpace="180" w:wrap="around" w:vAnchor="page" w:hAnchor="page" w:x="1821" w:y="2317"/>
                    <w:spacing w:before="80" w:after="80"/>
                    <w:rPr>
                      <w:szCs w:val="24"/>
                      <w:lang w:val="en-CA"/>
                    </w:rPr>
                  </w:pPr>
                  <w:r w:rsidRPr="008E5D06">
                    <w:rPr>
                      <w:szCs w:val="24"/>
                      <w:lang w:val="en-CA"/>
                    </w:rPr>
                    <w:t>7</w:t>
                  </w:r>
                </w:p>
              </w:tc>
              <w:tc>
                <w:tcPr>
                  <w:tcW w:w="3335" w:type="pct"/>
                </w:tcPr>
                <w:p w14:paraId="50CC7284" w14:textId="3374C5A5" w:rsidR="001950EF" w:rsidRPr="008E5D06" w:rsidRDefault="00880A3D" w:rsidP="001950EF">
                  <w:pPr>
                    <w:framePr w:hSpace="180" w:wrap="around" w:vAnchor="page" w:hAnchor="page" w:x="1821" w:y="2317"/>
                    <w:spacing w:before="80" w:after="80"/>
                    <w:rPr>
                      <w:rFonts w:asciiTheme="minorHAnsi" w:hAnsiTheme="minorHAnsi" w:cstheme="minorHAnsi"/>
                      <w:szCs w:val="24"/>
                      <w:lang w:val="es-ES"/>
                    </w:rPr>
                  </w:pPr>
                  <w:r w:rsidRPr="008E5D06">
                    <w:rPr>
                      <w:rFonts w:asciiTheme="minorHAnsi" w:hAnsiTheme="minorHAnsi" w:cstheme="minorHAnsi"/>
                      <w:szCs w:val="24"/>
                      <w:lang w:val="es-ES"/>
                    </w:rPr>
                    <w:t>Implicación de los jóvenes e iniciativas de la UIT</w:t>
                  </w:r>
                </w:p>
              </w:tc>
              <w:tc>
                <w:tcPr>
                  <w:tcW w:w="1410" w:type="pct"/>
                </w:tcPr>
                <w:p w14:paraId="4E520353" w14:textId="0F8D6C3B" w:rsidR="001950EF" w:rsidRPr="008E5D06" w:rsidRDefault="00007665" w:rsidP="001950EF">
                  <w:pPr>
                    <w:framePr w:hSpace="180" w:wrap="around" w:vAnchor="page" w:hAnchor="page" w:x="1821" w:y="2317"/>
                    <w:tabs>
                      <w:tab w:val="clear" w:pos="567"/>
                      <w:tab w:val="clear" w:pos="1134"/>
                      <w:tab w:val="clear" w:pos="1701"/>
                      <w:tab w:val="clear" w:pos="2268"/>
                    </w:tabs>
                    <w:spacing w:before="80" w:after="80"/>
                    <w:ind w:left="-109"/>
                    <w:jc w:val="center"/>
                    <w:rPr>
                      <w:rFonts w:asciiTheme="minorHAnsi" w:hAnsiTheme="minorHAnsi" w:cstheme="minorHAnsi"/>
                      <w:szCs w:val="24"/>
                    </w:rPr>
                  </w:pPr>
                  <w:hyperlink r:id="rId22" w:history="1">
                    <w:r w:rsidR="001950EF" w:rsidRPr="008E5D06">
                      <w:rPr>
                        <w:rStyle w:val="Hyperlink"/>
                        <w:rFonts w:asciiTheme="minorHAnsi" w:hAnsiTheme="minorHAnsi" w:cstheme="minorHAnsi"/>
                        <w:szCs w:val="24"/>
                      </w:rPr>
                      <w:t>C23/63</w:t>
                    </w:r>
                  </w:hyperlink>
                  <w:r w:rsidR="001950EF" w:rsidRPr="008E5D06">
                    <w:rPr>
                      <w:rFonts w:asciiTheme="minorHAnsi" w:hAnsiTheme="minorHAnsi" w:cstheme="minorHAnsi"/>
                      <w:szCs w:val="24"/>
                    </w:rPr>
                    <w:t xml:space="preserve">, </w:t>
                  </w:r>
                  <w:hyperlink r:id="rId23" w:history="1">
                    <w:r w:rsidR="001950EF" w:rsidRPr="008E5D06">
                      <w:rPr>
                        <w:rStyle w:val="Hyperlink"/>
                        <w:rFonts w:asciiTheme="minorHAnsi" w:hAnsiTheme="minorHAnsi" w:cstheme="minorHAnsi"/>
                        <w:szCs w:val="24"/>
                      </w:rPr>
                      <w:t>C23/67</w:t>
                    </w:r>
                  </w:hyperlink>
                </w:p>
              </w:tc>
            </w:tr>
            <w:tr w:rsidR="001950EF" w:rsidRPr="008E5D06" w14:paraId="5466E852" w14:textId="77777777" w:rsidTr="004367F0">
              <w:trPr>
                <w:trHeight w:val="20"/>
              </w:trPr>
              <w:tc>
                <w:tcPr>
                  <w:tcW w:w="255" w:type="pct"/>
                </w:tcPr>
                <w:p w14:paraId="5AC1B194" w14:textId="0D45E709" w:rsidR="001950EF" w:rsidRPr="008E5D06" w:rsidRDefault="001950EF" w:rsidP="001950EF">
                  <w:pPr>
                    <w:framePr w:hSpace="180" w:wrap="around" w:vAnchor="page" w:hAnchor="page" w:x="1821" w:y="2317"/>
                    <w:spacing w:before="80" w:after="80"/>
                    <w:rPr>
                      <w:szCs w:val="24"/>
                      <w:lang w:val="en-CA"/>
                    </w:rPr>
                  </w:pPr>
                  <w:r w:rsidRPr="008E5D06">
                    <w:rPr>
                      <w:szCs w:val="24"/>
                      <w:lang w:val="en-CA"/>
                    </w:rPr>
                    <w:t>8</w:t>
                  </w:r>
                </w:p>
              </w:tc>
              <w:tc>
                <w:tcPr>
                  <w:tcW w:w="3335" w:type="pct"/>
                </w:tcPr>
                <w:p w14:paraId="53C66F81" w14:textId="5B32E284" w:rsidR="001950EF" w:rsidRPr="008E5D06" w:rsidRDefault="00880A3D" w:rsidP="001950EF">
                  <w:pPr>
                    <w:framePr w:hSpace="180" w:wrap="around" w:vAnchor="page" w:hAnchor="page" w:x="1821" w:y="2317"/>
                    <w:spacing w:before="80" w:after="80"/>
                    <w:rPr>
                      <w:rFonts w:asciiTheme="minorHAnsi" w:hAnsiTheme="minorHAnsi" w:cstheme="minorHAnsi"/>
                      <w:szCs w:val="24"/>
                    </w:rPr>
                  </w:pPr>
                  <w:r w:rsidRPr="008E5D06">
                    <w:rPr>
                      <w:rFonts w:asciiTheme="minorHAnsi" w:hAnsiTheme="minorHAnsi" w:cstheme="minorHAnsi"/>
                      <w:szCs w:val="24"/>
                    </w:rPr>
                    <w:t xml:space="preserve">Alocución de </w:t>
                  </w:r>
                  <w:r w:rsidR="00B25B85" w:rsidRPr="008E5D06">
                    <w:rPr>
                      <w:rFonts w:asciiTheme="minorHAnsi" w:hAnsiTheme="minorHAnsi" w:cstheme="minorHAnsi"/>
                      <w:szCs w:val="24"/>
                    </w:rPr>
                    <w:t>España</w:t>
                  </w:r>
                  <w:r w:rsidR="001950EF" w:rsidRPr="008E5D06">
                    <w:rPr>
                      <w:rFonts w:asciiTheme="minorHAnsi" w:hAnsiTheme="minorHAnsi" w:cstheme="minorHAnsi"/>
                      <w:szCs w:val="24"/>
                    </w:rPr>
                    <w:t xml:space="preserve"> </w:t>
                  </w:r>
                </w:p>
              </w:tc>
              <w:tc>
                <w:tcPr>
                  <w:tcW w:w="1410" w:type="pct"/>
                </w:tcPr>
                <w:p w14:paraId="7EB0818D" w14:textId="36CF1D0C" w:rsidR="001950EF" w:rsidRPr="008E5D06" w:rsidRDefault="00DF7C25" w:rsidP="001950EF">
                  <w:pPr>
                    <w:framePr w:hSpace="180" w:wrap="around" w:vAnchor="page" w:hAnchor="page" w:x="1821" w:y="2317"/>
                    <w:tabs>
                      <w:tab w:val="clear" w:pos="567"/>
                      <w:tab w:val="clear" w:pos="1134"/>
                      <w:tab w:val="clear" w:pos="1701"/>
                      <w:tab w:val="clear" w:pos="2268"/>
                    </w:tabs>
                    <w:spacing w:before="80" w:after="80"/>
                    <w:ind w:left="-109"/>
                    <w:jc w:val="center"/>
                    <w:rPr>
                      <w:rFonts w:asciiTheme="minorHAnsi" w:hAnsiTheme="minorHAnsi" w:cstheme="minorHAnsi"/>
                      <w:szCs w:val="24"/>
                    </w:rPr>
                  </w:pPr>
                  <w:r w:rsidRPr="008E5D06">
                    <w:rPr>
                      <w:rFonts w:asciiTheme="minorHAnsi" w:hAnsiTheme="minorHAnsi" w:cstheme="minorHAnsi"/>
                      <w:szCs w:val="24"/>
                    </w:rPr>
                    <w:t>–</w:t>
                  </w:r>
                </w:p>
              </w:tc>
            </w:tr>
            <w:tr w:rsidR="001950EF" w:rsidRPr="008E5D06" w14:paraId="24520766" w14:textId="77777777" w:rsidTr="004367F0">
              <w:trPr>
                <w:trHeight w:val="20"/>
              </w:trPr>
              <w:tc>
                <w:tcPr>
                  <w:tcW w:w="255" w:type="pct"/>
                </w:tcPr>
                <w:p w14:paraId="70D90104" w14:textId="4DBCFC51" w:rsidR="001950EF" w:rsidRPr="008E5D06" w:rsidRDefault="001950EF" w:rsidP="001950EF">
                  <w:pPr>
                    <w:framePr w:hSpace="180" w:wrap="around" w:vAnchor="page" w:hAnchor="page" w:x="1821" w:y="2317"/>
                    <w:spacing w:before="80" w:after="80"/>
                    <w:rPr>
                      <w:szCs w:val="24"/>
                      <w:lang w:val="en-CA"/>
                    </w:rPr>
                  </w:pPr>
                  <w:r w:rsidRPr="008E5D06">
                    <w:rPr>
                      <w:szCs w:val="24"/>
                      <w:lang w:val="en-CA"/>
                    </w:rPr>
                    <w:t>9</w:t>
                  </w:r>
                </w:p>
              </w:tc>
              <w:tc>
                <w:tcPr>
                  <w:tcW w:w="3335" w:type="pct"/>
                </w:tcPr>
                <w:p w14:paraId="5008F0A9" w14:textId="4C83FF7C" w:rsidR="001950EF" w:rsidRPr="008E5D06" w:rsidRDefault="00880A3D" w:rsidP="001950EF">
                  <w:pPr>
                    <w:framePr w:hSpace="180" w:wrap="around" w:vAnchor="page" w:hAnchor="page" w:x="1821" w:y="2317"/>
                    <w:spacing w:before="80" w:after="80"/>
                    <w:rPr>
                      <w:rFonts w:asciiTheme="minorHAnsi" w:hAnsiTheme="minorHAnsi" w:cstheme="minorHAnsi"/>
                      <w:szCs w:val="24"/>
                      <w:lang w:val="es-ES"/>
                    </w:rPr>
                  </w:pPr>
                  <w:r w:rsidRPr="008E5D06">
                    <w:rPr>
                      <w:rFonts w:asciiTheme="minorHAnsi" w:hAnsiTheme="minorHAnsi" w:cstheme="minorHAnsi"/>
                      <w:szCs w:val="24"/>
                      <w:lang w:val="es-ES"/>
                    </w:rPr>
                    <w:t>Presente de Reino Unido a la UIT</w:t>
                  </w:r>
                  <w:r w:rsidR="001950EF" w:rsidRPr="008E5D06">
                    <w:rPr>
                      <w:rFonts w:asciiTheme="minorHAnsi" w:hAnsiTheme="minorHAnsi" w:cstheme="minorHAnsi"/>
                      <w:szCs w:val="24"/>
                      <w:lang w:val="es-ES"/>
                    </w:rPr>
                    <w:t xml:space="preserve"> </w:t>
                  </w:r>
                </w:p>
              </w:tc>
              <w:tc>
                <w:tcPr>
                  <w:tcW w:w="1410" w:type="pct"/>
                </w:tcPr>
                <w:p w14:paraId="02056721" w14:textId="304B9DF8" w:rsidR="001950EF" w:rsidRPr="008E5D06" w:rsidRDefault="00DF7C25" w:rsidP="001950EF">
                  <w:pPr>
                    <w:framePr w:hSpace="180" w:wrap="around" w:vAnchor="page" w:hAnchor="page" w:x="1821" w:y="2317"/>
                    <w:tabs>
                      <w:tab w:val="clear" w:pos="567"/>
                      <w:tab w:val="clear" w:pos="1134"/>
                      <w:tab w:val="clear" w:pos="1701"/>
                      <w:tab w:val="clear" w:pos="2268"/>
                    </w:tabs>
                    <w:spacing w:before="80" w:after="80"/>
                    <w:ind w:left="-109"/>
                    <w:jc w:val="center"/>
                    <w:rPr>
                      <w:rFonts w:asciiTheme="minorHAnsi" w:hAnsiTheme="minorHAnsi" w:cstheme="minorHAnsi"/>
                      <w:szCs w:val="24"/>
                    </w:rPr>
                  </w:pPr>
                  <w:r w:rsidRPr="008E5D06">
                    <w:rPr>
                      <w:rFonts w:asciiTheme="minorHAnsi" w:hAnsiTheme="minorHAnsi" w:cstheme="minorHAnsi"/>
                      <w:szCs w:val="24"/>
                    </w:rPr>
                    <w:t>–</w:t>
                  </w:r>
                </w:p>
              </w:tc>
            </w:tr>
            <w:bookmarkEnd w:id="6"/>
          </w:tbl>
          <w:p w14:paraId="65250B1E" w14:textId="77777777" w:rsidR="00AD3606" w:rsidRPr="008E5D06" w:rsidRDefault="00AD3606" w:rsidP="00F16BAB">
            <w:pPr>
              <w:spacing w:after="160"/>
              <w:rPr>
                <w:szCs w:val="24"/>
              </w:rPr>
            </w:pPr>
          </w:p>
        </w:tc>
      </w:tr>
      <w:bookmarkEnd w:id="5"/>
    </w:tbl>
    <w:p w14:paraId="7FE52F59" w14:textId="77777777" w:rsidR="0090147A" w:rsidRDefault="0090147A">
      <w:pPr>
        <w:tabs>
          <w:tab w:val="clear" w:pos="567"/>
          <w:tab w:val="clear" w:pos="1134"/>
          <w:tab w:val="clear" w:pos="1701"/>
          <w:tab w:val="clear" w:pos="2268"/>
          <w:tab w:val="clear" w:pos="2835"/>
        </w:tabs>
        <w:overflowPunct/>
        <w:autoSpaceDE/>
        <w:autoSpaceDN/>
        <w:adjustRightInd/>
        <w:spacing w:before="0"/>
        <w:textAlignment w:val="auto"/>
        <w:rPr>
          <w:b/>
          <w:lang w:val="es-ES"/>
        </w:rPr>
      </w:pPr>
      <w:r>
        <w:rPr>
          <w:lang w:val="es-ES"/>
        </w:rPr>
        <w:br w:type="page"/>
      </w:r>
    </w:p>
    <w:p w14:paraId="51EF54C6" w14:textId="2762D351" w:rsidR="008F7692" w:rsidRPr="00880A3D" w:rsidRDefault="008F7692" w:rsidP="008E5D06">
      <w:pPr>
        <w:pStyle w:val="Heading1"/>
        <w:rPr>
          <w:lang w:val="es-ES"/>
        </w:rPr>
      </w:pPr>
      <w:r w:rsidRPr="00880A3D">
        <w:rPr>
          <w:lang w:val="es-ES"/>
        </w:rPr>
        <w:lastRenderedPageBreak/>
        <w:t>1</w:t>
      </w:r>
      <w:r w:rsidRPr="00880A3D">
        <w:rPr>
          <w:lang w:val="es-ES"/>
        </w:rPr>
        <w:tab/>
      </w:r>
      <w:r w:rsidR="00880A3D" w:rsidRPr="00880A3D">
        <w:rPr>
          <w:lang w:val="es-ES"/>
        </w:rPr>
        <w:t xml:space="preserve">Alocución del Director General de la Organización Mundial de </w:t>
      </w:r>
      <w:r w:rsidR="00880A3D">
        <w:rPr>
          <w:lang w:val="es-ES"/>
        </w:rPr>
        <w:t>la Propiedad Intelectual</w:t>
      </w:r>
    </w:p>
    <w:p w14:paraId="659423FE" w14:textId="67B6B328" w:rsidR="008F7692" w:rsidRPr="00880A3D" w:rsidRDefault="008F7692" w:rsidP="008E5D06">
      <w:pPr>
        <w:rPr>
          <w:lang w:val="es-ES"/>
        </w:rPr>
      </w:pPr>
      <w:r w:rsidRPr="00880A3D">
        <w:rPr>
          <w:lang w:val="es-ES"/>
        </w:rPr>
        <w:t>1.1</w:t>
      </w:r>
      <w:r w:rsidRPr="00880A3D">
        <w:rPr>
          <w:lang w:val="es-ES"/>
        </w:rPr>
        <w:tab/>
      </w:r>
      <w:r w:rsidR="00880A3D" w:rsidRPr="00880A3D">
        <w:rPr>
          <w:lang w:val="es-ES"/>
        </w:rPr>
        <w:t>El Director General de la Organización Mundial de la Propiedad Intelectual, Sr</w:t>
      </w:r>
      <w:r w:rsidR="00880A3D">
        <w:rPr>
          <w:lang w:val="es-ES"/>
        </w:rPr>
        <w:t>.</w:t>
      </w:r>
      <w:r w:rsidR="008E5D06">
        <w:rPr>
          <w:lang w:val="es-ES"/>
        </w:rPr>
        <w:t> </w:t>
      </w:r>
      <w:r w:rsidRPr="00880A3D">
        <w:rPr>
          <w:lang w:val="es-ES"/>
        </w:rPr>
        <w:t>Daren</w:t>
      </w:r>
      <w:r w:rsidR="008E5D06">
        <w:rPr>
          <w:lang w:val="es-ES"/>
        </w:rPr>
        <w:t> </w:t>
      </w:r>
      <w:r w:rsidRPr="00880A3D">
        <w:rPr>
          <w:lang w:val="es-ES"/>
        </w:rPr>
        <w:t xml:space="preserve">Tang, </w:t>
      </w:r>
      <w:r w:rsidR="00880A3D">
        <w:rPr>
          <w:lang w:val="es-ES"/>
        </w:rPr>
        <w:t>pronuncia el discurso siguiente</w:t>
      </w:r>
      <w:r w:rsidRPr="00880A3D">
        <w:rPr>
          <w:lang w:val="es-ES"/>
        </w:rPr>
        <w:t xml:space="preserve">: </w:t>
      </w:r>
      <w:r w:rsidR="0061233D" w:rsidRPr="00880A3D">
        <w:rPr>
          <w:lang w:val="es-ES"/>
        </w:rPr>
        <w:br/>
      </w:r>
      <w:hyperlink r:id="rId24" w:history="1">
        <w:r w:rsidR="00B25B85" w:rsidRPr="008E5D06">
          <w:rPr>
            <w:rStyle w:val="Hyperlink"/>
            <w:rFonts w:asciiTheme="minorHAnsi" w:hAnsiTheme="minorHAnsi" w:cstheme="minorHAnsi"/>
            <w:szCs w:val="24"/>
            <w:lang w:val="es-ES"/>
          </w:rPr>
          <w:t>https://council.itu.int/2023/en/news/speeches/sp</w:t>
        </w:r>
        <w:r w:rsidR="00B25B85" w:rsidRPr="008E5D06">
          <w:rPr>
            <w:rStyle w:val="Hyperlink"/>
            <w:rFonts w:asciiTheme="minorHAnsi" w:hAnsiTheme="minorHAnsi" w:cstheme="minorHAnsi"/>
            <w:szCs w:val="24"/>
            <w:lang w:val="es-ES"/>
          </w:rPr>
          <w:t>e</w:t>
        </w:r>
        <w:r w:rsidR="00B25B85" w:rsidRPr="008E5D06">
          <w:rPr>
            <w:rStyle w:val="Hyperlink"/>
            <w:rFonts w:asciiTheme="minorHAnsi" w:hAnsiTheme="minorHAnsi" w:cstheme="minorHAnsi"/>
            <w:szCs w:val="24"/>
            <w:lang w:val="es-ES"/>
          </w:rPr>
          <w:t>ech-director-general-of-wipo-daren-tang/</w:t>
        </w:r>
      </w:hyperlink>
    </w:p>
    <w:p w14:paraId="49866F48" w14:textId="2E51AAA8" w:rsidR="008F7692" w:rsidRPr="00880A3D" w:rsidRDefault="008F7692" w:rsidP="008E5D06">
      <w:pPr>
        <w:pStyle w:val="Heading1"/>
        <w:rPr>
          <w:lang w:val="es-ES"/>
        </w:rPr>
      </w:pPr>
      <w:r w:rsidRPr="00880A3D">
        <w:rPr>
          <w:lang w:val="es-ES"/>
        </w:rPr>
        <w:t>2</w:t>
      </w:r>
      <w:r w:rsidRPr="00880A3D">
        <w:rPr>
          <w:lang w:val="es-ES"/>
        </w:rPr>
        <w:tab/>
      </w:r>
      <w:r w:rsidR="00880A3D" w:rsidRPr="00880A3D">
        <w:rPr>
          <w:lang w:val="es-ES"/>
        </w:rPr>
        <w:t xml:space="preserve">Actividades de la UIT sobre el fortalecimiento de su papel en la creación de confianza </w:t>
      </w:r>
      <w:r w:rsidR="00880A3D">
        <w:rPr>
          <w:lang w:val="es-ES"/>
        </w:rPr>
        <w:t>y seguridad en la utilización de las tecnologías de la información y la comunicación</w:t>
      </w:r>
      <w:r w:rsidRPr="00880A3D">
        <w:rPr>
          <w:lang w:val="es-ES"/>
        </w:rPr>
        <w:t xml:space="preserve"> (Document</w:t>
      </w:r>
      <w:r w:rsidR="00880A3D">
        <w:rPr>
          <w:lang w:val="es-ES"/>
        </w:rPr>
        <w:t>o</w:t>
      </w:r>
      <w:r w:rsidRPr="00880A3D">
        <w:rPr>
          <w:lang w:val="es-ES"/>
        </w:rPr>
        <w:t xml:space="preserve">s </w:t>
      </w:r>
      <w:hyperlink r:id="rId25" w:history="1">
        <w:r w:rsidRPr="00880A3D">
          <w:rPr>
            <w:rStyle w:val="Hyperlink"/>
            <w:rFonts w:asciiTheme="minorHAnsi" w:hAnsiTheme="minorHAnsi" w:cstheme="minorHAnsi"/>
            <w:bCs/>
            <w:szCs w:val="24"/>
            <w:lang w:val="es-ES"/>
          </w:rPr>
          <w:t>C23/38</w:t>
        </w:r>
      </w:hyperlink>
      <w:r w:rsidRPr="00880A3D">
        <w:rPr>
          <w:lang w:val="es-ES"/>
        </w:rPr>
        <w:t xml:space="preserve"> </w:t>
      </w:r>
      <w:r w:rsidR="00880A3D">
        <w:rPr>
          <w:lang w:val="es-ES"/>
        </w:rPr>
        <w:t>y</w:t>
      </w:r>
      <w:r w:rsidRPr="00880A3D">
        <w:rPr>
          <w:lang w:val="es-ES"/>
        </w:rPr>
        <w:t xml:space="preserve"> </w:t>
      </w:r>
      <w:hyperlink r:id="rId26" w:history="1">
        <w:r w:rsidRPr="00880A3D">
          <w:rPr>
            <w:rStyle w:val="Hyperlink"/>
            <w:rFonts w:asciiTheme="minorHAnsi" w:hAnsiTheme="minorHAnsi" w:cstheme="minorHAnsi"/>
            <w:bCs/>
            <w:szCs w:val="24"/>
            <w:lang w:val="es-ES"/>
          </w:rPr>
          <w:t>C23/93(Rev.1)</w:t>
        </w:r>
      </w:hyperlink>
      <w:r w:rsidRPr="00880A3D">
        <w:rPr>
          <w:lang w:val="es-ES"/>
        </w:rPr>
        <w:t>)</w:t>
      </w:r>
    </w:p>
    <w:p w14:paraId="4567FB7E" w14:textId="3E553449" w:rsidR="008F7692" w:rsidRPr="00A60614" w:rsidRDefault="008F7692" w:rsidP="008E5D06">
      <w:pPr>
        <w:rPr>
          <w:lang w:val="es-ES"/>
        </w:rPr>
      </w:pPr>
      <w:r w:rsidRPr="00880A3D">
        <w:rPr>
          <w:lang w:val="es-ES"/>
        </w:rPr>
        <w:t>2.1</w:t>
      </w:r>
      <w:r w:rsidRPr="00880A3D">
        <w:rPr>
          <w:lang w:val="es-ES"/>
        </w:rPr>
        <w:tab/>
      </w:r>
      <w:r w:rsidR="00880A3D" w:rsidRPr="00880A3D">
        <w:rPr>
          <w:lang w:val="es-ES"/>
        </w:rPr>
        <w:t>Un representante de la Secretaría General presenta el Documento</w:t>
      </w:r>
      <w:r w:rsidRPr="00880A3D">
        <w:rPr>
          <w:lang w:val="es-ES"/>
        </w:rPr>
        <w:t xml:space="preserve"> C23/38, </w:t>
      </w:r>
      <w:r w:rsidR="00880A3D" w:rsidRPr="00880A3D">
        <w:rPr>
          <w:lang w:val="es-ES"/>
        </w:rPr>
        <w:t>que contiene un resumen de las actividades realizadas por la UIT en relación con la Resolución</w:t>
      </w:r>
      <w:r w:rsidRPr="00880A3D">
        <w:rPr>
          <w:lang w:val="es-ES"/>
        </w:rPr>
        <w:t xml:space="preserve"> 130 (Rev. Bucarest, 2022) </w:t>
      </w:r>
      <w:r w:rsidR="00880A3D">
        <w:rPr>
          <w:lang w:val="es-ES"/>
        </w:rPr>
        <w:t xml:space="preserve">de la Conferencia de Plenipotenciarios, su papel como único facilitador de la Línea de Acción C5 de la CMSI y las decisiones relativas al fortalecimiento de su papel en la creación de confianza y seguridad en la utilización de las TIC. </w:t>
      </w:r>
      <w:r w:rsidR="00880A3D" w:rsidRPr="00A60614">
        <w:rPr>
          <w:lang w:val="es-ES"/>
        </w:rPr>
        <w:t>El Informe se estructura en torno a los cinco pilares de la Agenda</w:t>
      </w:r>
      <w:r w:rsidR="00A60614" w:rsidRPr="00A60614">
        <w:rPr>
          <w:lang w:val="es-ES"/>
        </w:rPr>
        <w:t xml:space="preserve"> </w:t>
      </w:r>
      <w:r w:rsidR="00A60614">
        <w:rPr>
          <w:lang w:val="es-ES"/>
        </w:rPr>
        <w:t>sobre</w:t>
      </w:r>
      <w:r w:rsidR="00A60614" w:rsidRPr="00A60614">
        <w:rPr>
          <w:lang w:val="es-ES"/>
        </w:rPr>
        <w:t xml:space="preserve"> Ciberseguridad </w:t>
      </w:r>
      <w:r w:rsidR="00A60614">
        <w:rPr>
          <w:lang w:val="es-ES"/>
        </w:rPr>
        <w:t xml:space="preserve">Global </w:t>
      </w:r>
      <w:r w:rsidR="00A60614" w:rsidRPr="00A60614">
        <w:rPr>
          <w:lang w:val="es-ES"/>
        </w:rPr>
        <w:t>(AC</w:t>
      </w:r>
      <w:r w:rsidR="00A60614">
        <w:rPr>
          <w:lang w:val="es-ES"/>
        </w:rPr>
        <w:t>G</w:t>
      </w:r>
      <w:r w:rsidR="00A60614" w:rsidRPr="00A60614">
        <w:rPr>
          <w:lang w:val="es-ES"/>
        </w:rPr>
        <w:t>) y deja patente la naturaleza complementaria de</w:t>
      </w:r>
      <w:r w:rsidR="00A60614">
        <w:rPr>
          <w:lang w:val="es-ES"/>
        </w:rPr>
        <w:t>l trabajo de los tres Sectores</w:t>
      </w:r>
      <w:r w:rsidRPr="00A60614">
        <w:rPr>
          <w:lang w:val="es-ES"/>
        </w:rPr>
        <w:t>.</w:t>
      </w:r>
    </w:p>
    <w:p w14:paraId="4127DE8D" w14:textId="0C76B24B" w:rsidR="008F7692" w:rsidRPr="00A60614" w:rsidRDefault="008F7692" w:rsidP="008E5D06">
      <w:pPr>
        <w:rPr>
          <w:lang w:val="es-ES"/>
        </w:rPr>
      </w:pPr>
      <w:r w:rsidRPr="00A60614">
        <w:rPr>
          <w:lang w:val="es-ES"/>
        </w:rPr>
        <w:t>2.2</w:t>
      </w:r>
      <w:r w:rsidRPr="00A60614">
        <w:rPr>
          <w:lang w:val="es-ES"/>
        </w:rPr>
        <w:tab/>
      </w:r>
      <w:r w:rsidR="00A60614" w:rsidRPr="00A60614">
        <w:rPr>
          <w:lang w:val="es-ES"/>
        </w:rPr>
        <w:t>El consejero de Brasil presenta el Documento</w:t>
      </w:r>
      <w:r w:rsidRPr="00A60614">
        <w:rPr>
          <w:lang w:val="es-ES"/>
        </w:rPr>
        <w:t xml:space="preserve"> C23/93(Rev.1), </w:t>
      </w:r>
      <w:r w:rsidR="00A60614" w:rsidRPr="00A60614">
        <w:rPr>
          <w:lang w:val="es-ES"/>
        </w:rPr>
        <w:t>en el que se presenta un proyecto de Acuerdo que encarga al Secretario General y los Directores de las Oficinas, de conformidad con la Línea de Acción C5, que el</w:t>
      </w:r>
      <w:r w:rsidR="00A60614">
        <w:rPr>
          <w:lang w:val="es-ES"/>
        </w:rPr>
        <w:t>aboren y mantengan un recurso informativo para los Estados Miembros que incluya ejemplos de las prácticas idóneas en materia de ciberseguridad y ciberresiliencia, fuentes de asesoramiento, asistencia y orientación, e información sobre programas de capacitación</w:t>
      </w:r>
      <w:r w:rsidRPr="00A60614">
        <w:rPr>
          <w:lang w:val="es-ES"/>
        </w:rPr>
        <w:t>.</w:t>
      </w:r>
    </w:p>
    <w:p w14:paraId="31918F88" w14:textId="3B48907F" w:rsidR="008F7692" w:rsidRPr="00A60614" w:rsidRDefault="008F7692" w:rsidP="008E5D06">
      <w:pPr>
        <w:rPr>
          <w:lang w:val="es-ES"/>
        </w:rPr>
      </w:pPr>
      <w:r w:rsidRPr="00A60614">
        <w:rPr>
          <w:lang w:val="es-ES"/>
        </w:rPr>
        <w:t>2.3</w:t>
      </w:r>
      <w:r w:rsidRPr="00A60614">
        <w:rPr>
          <w:lang w:val="es-ES"/>
        </w:rPr>
        <w:tab/>
        <w:t>Numero</w:t>
      </w:r>
      <w:r w:rsidR="00A60614" w:rsidRPr="00A60614">
        <w:rPr>
          <w:lang w:val="es-ES"/>
        </w:rPr>
        <w:t xml:space="preserve">sos consejeros y dos observadores manifiestan su apoyo al </w:t>
      </w:r>
      <w:r w:rsidR="00A60614">
        <w:rPr>
          <w:lang w:val="es-ES"/>
        </w:rPr>
        <w:t>proyecto de</w:t>
      </w:r>
      <w:r w:rsidR="008E5D06">
        <w:rPr>
          <w:lang w:val="es-ES"/>
        </w:rPr>
        <w:t> </w:t>
      </w:r>
      <w:r w:rsidR="00A60614">
        <w:rPr>
          <w:lang w:val="es-ES"/>
        </w:rPr>
        <w:t>Acuerdo</w:t>
      </w:r>
      <w:r w:rsidRPr="00A60614">
        <w:rPr>
          <w:lang w:val="es-ES"/>
        </w:rPr>
        <w:t>.</w:t>
      </w:r>
    </w:p>
    <w:p w14:paraId="383C12BF" w14:textId="5248B6C6" w:rsidR="008F7692" w:rsidRPr="00A60614" w:rsidRDefault="008F7692" w:rsidP="008E5D06">
      <w:pPr>
        <w:rPr>
          <w:lang w:val="es-ES"/>
        </w:rPr>
      </w:pPr>
      <w:r w:rsidRPr="00A60614">
        <w:rPr>
          <w:lang w:val="es-ES"/>
        </w:rPr>
        <w:t>2.4</w:t>
      </w:r>
      <w:r w:rsidRPr="00A60614">
        <w:rPr>
          <w:lang w:val="es-ES"/>
        </w:rPr>
        <w:tab/>
      </w:r>
      <w:r w:rsidR="00A60614" w:rsidRPr="00A60614">
        <w:rPr>
          <w:lang w:val="es-ES"/>
        </w:rPr>
        <w:t>Varios consejeros y dos observadores insistieron en la importancia de reforzar la ciberseguridad global y resaltar</w:t>
      </w:r>
      <w:r w:rsidR="00A60614">
        <w:rPr>
          <w:lang w:val="es-ES"/>
        </w:rPr>
        <w:t xml:space="preserve">on la función capacitadora de la UIT en ese contexto. </w:t>
      </w:r>
      <w:r w:rsidR="00A60614" w:rsidRPr="00A60614">
        <w:rPr>
          <w:lang w:val="es-ES"/>
        </w:rPr>
        <w:t>Algunos consejeros reiteraron el compromiso de sus respectivos países para con el trabajo de la UIT en</w:t>
      </w:r>
      <w:r w:rsidR="00A60614">
        <w:rPr>
          <w:lang w:val="es-ES"/>
        </w:rPr>
        <w:t xml:space="preserve"> la esfera de la ciberseguridad y destacaron los esfuerzos realizados a nivel nacional para ello</w:t>
      </w:r>
      <w:r w:rsidRPr="00A60614">
        <w:rPr>
          <w:lang w:val="es-ES"/>
        </w:rPr>
        <w:t>.</w:t>
      </w:r>
    </w:p>
    <w:p w14:paraId="73A80805" w14:textId="7C72F33C" w:rsidR="008F7692" w:rsidRPr="00A60614" w:rsidRDefault="008F7692" w:rsidP="008E5D06">
      <w:pPr>
        <w:rPr>
          <w:lang w:val="es-ES"/>
        </w:rPr>
      </w:pPr>
      <w:r w:rsidRPr="00A60614">
        <w:rPr>
          <w:lang w:val="es-ES"/>
        </w:rPr>
        <w:t>2.5</w:t>
      </w:r>
      <w:r w:rsidRPr="00A60614">
        <w:rPr>
          <w:lang w:val="es-ES"/>
        </w:rPr>
        <w:tab/>
      </w:r>
      <w:r w:rsidR="00A60614" w:rsidRPr="00A60614">
        <w:rPr>
          <w:lang w:val="es-ES"/>
        </w:rPr>
        <w:t>Una consejera pidió la creación de un pacto mundial jurídicamente vinculante sobre la utilización pacífica de las TIC, que prohíba la utilización de medios sociales para incitar a la guerra o la violencia, cierre la brecha digital, elimine obstáculos a la inversión en TIC en los países en desarrollo, cubra los vacíos existentes en la</w:t>
      </w:r>
      <w:r w:rsidR="00A60614">
        <w:rPr>
          <w:lang w:val="es-ES"/>
        </w:rPr>
        <w:t xml:space="preserve"> legislación en materia de ciberseguridad vigente y apoye la cooperación internacional para hacer frente a las amenazas presentes y futuras, incluso mediante la capacitación, el intercambio de prácticas idóneas y la normalización de los sistemas de clasificación del ciberdelito. </w:t>
      </w:r>
      <w:r w:rsidR="00A60614" w:rsidRPr="00A60614">
        <w:rPr>
          <w:lang w:val="es-ES"/>
        </w:rPr>
        <w:t>La UIT debe desempeñar un papel central en dichos esfuerzos</w:t>
      </w:r>
      <w:r w:rsidRPr="00A60614">
        <w:rPr>
          <w:lang w:val="es-ES"/>
        </w:rPr>
        <w:t>.</w:t>
      </w:r>
    </w:p>
    <w:p w14:paraId="10489178" w14:textId="6605A2DC" w:rsidR="008F7692" w:rsidRPr="00F95B2F" w:rsidRDefault="008F7692" w:rsidP="008E5D06">
      <w:pPr>
        <w:rPr>
          <w:lang w:val="es-ES"/>
        </w:rPr>
      </w:pPr>
      <w:r w:rsidRPr="00F95B2F">
        <w:rPr>
          <w:lang w:val="es-ES"/>
        </w:rPr>
        <w:t>2.6</w:t>
      </w:r>
      <w:r w:rsidRPr="00F95B2F">
        <w:rPr>
          <w:lang w:val="es-ES"/>
        </w:rPr>
        <w:tab/>
      </w:r>
      <w:r w:rsidR="00A60614" w:rsidRPr="00F95B2F">
        <w:rPr>
          <w:lang w:val="es-ES"/>
        </w:rPr>
        <w:t>El representante de la Secretaría General dice, en respuesta a las preguntas formuladas, que</w:t>
      </w:r>
      <w:r w:rsidR="00F95B2F">
        <w:rPr>
          <w:lang w:val="es-ES"/>
        </w:rPr>
        <w:t>, aunque</w:t>
      </w:r>
      <w:r w:rsidR="00A60614" w:rsidRPr="00F95B2F">
        <w:rPr>
          <w:lang w:val="es-ES"/>
        </w:rPr>
        <w:t xml:space="preserve"> la UIT no ha participado en ninguna reunión del Grupo de Expertos Gubernamentales </w:t>
      </w:r>
      <w:r w:rsidR="00F95B2F" w:rsidRPr="00F95B2F">
        <w:rPr>
          <w:lang w:val="es-ES"/>
        </w:rPr>
        <w:t>para la promoción del comportamiento respons</w:t>
      </w:r>
      <w:r w:rsidR="00F95B2F">
        <w:rPr>
          <w:lang w:val="es-ES"/>
        </w:rPr>
        <w:t>a</w:t>
      </w:r>
      <w:r w:rsidR="00F95B2F" w:rsidRPr="00F95B2F">
        <w:rPr>
          <w:lang w:val="es-ES"/>
        </w:rPr>
        <w:t>ble de los Estados en el ciberespacio en el contexto de la segu</w:t>
      </w:r>
      <w:r w:rsidR="00F95B2F">
        <w:rPr>
          <w:lang w:val="es-ES"/>
        </w:rPr>
        <w:t xml:space="preserve">ridad internacional, colabora estrechamente con la Oficina de Asuntos de Desarme de las Naciones Unidas y el Instituto de las Naciones Unidas </w:t>
      </w:r>
      <w:r w:rsidR="00F95B2F">
        <w:rPr>
          <w:lang w:val="es-ES"/>
        </w:rPr>
        <w:lastRenderedPageBreak/>
        <w:t>de Investigación sobre el Desarme</w:t>
      </w:r>
      <w:r w:rsidRPr="00F95B2F">
        <w:rPr>
          <w:lang w:val="es-ES"/>
        </w:rPr>
        <w:t xml:space="preserve"> </w:t>
      </w:r>
      <w:r w:rsidR="00F95B2F">
        <w:rPr>
          <w:lang w:val="es-ES"/>
        </w:rPr>
        <w:t xml:space="preserve">en iniciativas sobre este asunto. </w:t>
      </w:r>
      <w:r w:rsidR="00F95B2F" w:rsidRPr="00F95B2F">
        <w:rPr>
          <w:lang w:val="es-ES"/>
        </w:rPr>
        <w:t>La UIT participa en calidad de observador en el Grupo de Trabajo Ab</w:t>
      </w:r>
      <w:r w:rsidR="00F95B2F">
        <w:rPr>
          <w:lang w:val="es-ES"/>
        </w:rPr>
        <w:t>ierto sobre seguridad de las tecnologías de la información y la comunicación y de su utilización, y ha organizado eventos paralelos sobre capacitación</w:t>
      </w:r>
      <w:r w:rsidR="00715104" w:rsidRPr="00F95B2F">
        <w:rPr>
          <w:lang w:val="es-ES"/>
        </w:rPr>
        <w:t xml:space="preserve">. </w:t>
      </w:r>
      <w:r w:rsidR="00F95B2F" w:rsidRPr="00F95B2F">
        <w:rPr>
          <w:lang w:val="es-ES"/>
        </w:rPr>
        <w:t>Además, la Secretaría destaca el examen bienal de la ACG, en el marco del cual pre</w:t>
      </w:r>
      <w:r w:rsidR="00F95B2F">
        <w:rPr>
          <w:lang w:val="es-ES"/>
        </w:rPr>
        <w:t>s</w:t>
      </w:r>
      <w:r w:rsidR="00F95B2F" w:rsidRPr="00F95B2F">
        <w:rPr>
          <w:lang w:val="es-ES"/>
        </w:rPr>
        <w:t>entó a la Conferencia de Plenip</w:t>
      </w:r>
      <w:r w:rsidR="00F95B2F">
        <w:rPr>
          <w:lang w:val="es-ES"/>
        </w:rPr>
        <w:t xml:space="preserve">otenciarios dos informes. </w:t>
      </w:r>
      <w:r w:rsidR="00F95B2F" w:rsidRPr="00F95B2F">
        <w:rPr>
          <w:lang w:val="es-ES"/>
        </w:rPr>
        <w:t>En cuanto a la capacitación, la UIT está preparando programas de formación en ciberseguridad para sus funcionarios y para di</w:t>
      </w:r>
      <w:r w:rsidR="00F95B2F">
        <w:rPr>
          <w:lang w:val="es-ES"/>
        </w:rPr>
        <w:t xml:space="preserve">plomáticos. </w:t>
      </w:r>
      <w:r w:rsidR="00F95B2F" w:rsidRPr="00F95B2F">
        <w:rPr>
          <w:lang w:val="es-ES"/>
        </w:rPr>
        <w:t>Por otra parte, de conformidad con la Resolución</w:t>
      </w:r>
      <w:r w:rsidRPr="00F95B2F">
        <w:rPr>
          <w:lang w:val="es-ES"/>
        </w:rPr>
        <w:t xml:space="preserve"> 130 (Rev. Bucarest, 2022), </w:t>
      </w:r>
      <w:r w:rsidR="00F95B2F" w:rsidRPr="00F95B2F">
        <w:rPr>
          <w:lang w:val="es-ES"/>
        </w:rPr>
        <w:t>la Secretaría ha preparado una plataforma de compartición de experiencias obten</w:t>
      </w:r>
      <w:r w:rsidR="00F95B2F">
        <w:rPr>
          <w:lang w:val="es-ES"/>
        </w:rPr>
        <w:t xml:space="preserve">idas de las actividades en materia de ciberseguridad y está colaborando con las Naciones Unidas para establecer una correspondencia entre las actividades en curso. </w:t>
      </w:r>
      <w:r w:rsidR="00F95B2F" w:rsidRPr="00B7454A">
        <w:rPr>
          <w:lang w:val="es-ES"/>
        </w:rPr>
        <w:t xml:space="preserve">No obstante, no se dispone de un único depósito de información. </w:t>
      </w:r>
      <w:r w:rsidR="00F95B2F" w:rsidRPr="00F95B2F">
        <w:rPr>
          <w:lang w:val="es-ES"/>
        </w:rPr>
        <w:t>Aunque conviene en la valía de un recurso de ese tipo, advierte que para su creación se necesitarán tiempo y recursos</w:t>
      </w:r>
      <w:r w:rsidRPr="00F95B2F">
        <w:rPr>
          <w:lang w:val="es-ES"/>
        </w:rPr>
        <w:t>.</w:t>
      </w:r>
    </w:p>
    <w:p w14:paraId="4B016091" w14:textId="52591BC2" w:rsidR="008F7692" w:rsidRPr="00A70FD2" w:rsidRDefault="008F7692" w:rsidP="008E5D06">
      <w:pPr>
        <w:rPr>
          <w:lang w:val="es-ES"/>
        </w:rPr>
      </w:pPr>
      <w:r w:rsidRPr="00F95B2F">
        <w:rPr>
          <w:lang w:val="es-ES"/>
        </w:rPr>
        <w:t>2.7</w:t>
      </w:r>
      <w:r w:rsidRPr="00F95B2F">
        <w:rPr>
          <w:lang w:val="es-ES"/>
        </w:rPr>
        <w:tab/>
      </w:r>
      <w:r w:rsidR="00F95B2F" w:rsidRPr="00F95B2F">
        <w:rPr>
          <w:lang w:val="es-ES"/>
        </w:rPr>
        <w:t>Un representante de la BDT dice que, en respuesta a una petición formulada por Reino Unido al Grupo Asesor de Desarrollo de las Telecomunicaciones (GADT), la BDT acord</w:t>
      </w:r>
      <w:r w:rsidR="00F95B2F">
        <w:rPr>
          <w:lang w:val="es-ES"/>
        </w:rPr>
        <w:t>ó</w:t>
      </w:r>
      <w:r w:rsidR="00F95B2F" w:rsidRPr="00F95B2F">
        <w:rPr>
          <w:lang w:val="es-ES"/>
        </w:rPr>
        <w:t xml:space="preserve"> proceder a un ejer</w:t>
      </w:r>
      <w:r w:rsidR="00F95B2F">
        <w:rPr>
          <w:lang w:val="es-ES"/>
        </w:rPr>
        <w:t xml:space="preserve">cicio de correspondencia entre las actividades de capacitación en materia de ciberseguridad planificadas y en curso. </w:t>
      </w:r>
      <w:r w:rsidR="00F95B2F" w:rsidRPr="00B7454A">
        <w:rPr>
          <w:lang w:val="es-ES"/>
        </w:rPr>
        <w:t>Los resultados de dicho ejercicio podrían facilitar el desarrollo del recurso informativo propuesto</w:t>
      </w:r>
      <w:r w:rsidR="00A70FD2" w:rsidRPr="00B7454A">
        <w:rPr>
          <w:lang w:val="es-ES"/>
        </w:rPr>
        <w:t xml:space="preserve">. </w:t>
      </w:r>
      <w:r w:rsidR="00A70FD2" w:rsidRPr="00A70FD2">
        <w:rPr>
          <w:lang w:val="es-ES"/>
        </w:rPr>
        <w:t>Habida cuenta de las dificultades experimentadas para obtener datos de los E</w:t>
      </w:r>
      <w:r w:rsidR="00A70FD2">
        <w:rPr>
          <w:lang w:val="es-ES"/>
        </w:rPr>
        <w:t>s</w:t>
      </w:r>
      <w:r w:rsidR="00A70FD2" w:rsidRPr="00A70FD2">
        <w:rPr>
          <w:lang w:val="es-ES"/>
        </w:rPr>
        <w:t>tados Miembros durante la preparación del Índice sobre Ciberseguridad Global, no obstante, insiste en que todo esfuerzo destinado a la creación de un nuevo recurso informativo dependerá de las informacione</w:t>
      </w:r>
      <w:r w:rsidR="00A70FD2">
        <w:rPr>
          <w:lang w:val="es-ES"/>
        </w:rPr>
        <w:t>s que aporten tanto la Secretaría como los Estados Miembros</w:t>
      </w:r>
      <w:r w:rsidRPr="00A70FD2">
        <w:rPr>
          <w:lang w:val="es-ES"/>
        </w:rPr>
        <w:t>.</w:t>
      </w:r>
    </w:p>
    <w:p w14:paraId="0EE26874" w14:textId="11C352B7" w:rsidR="008F7692" w:rsidRPr="00A70FD2" w:rsidRDefault="008F7692" w:rsidP="008E5D06">
      <w:pPr>
        <w:rPr>
          <w:lang w:val="es-ES"/>
        </w:rPr>
      </w:pPr>
      <w:r w:rsidRPr="00A70FD2">
        <w:rPr>
          <w:lang w:val="es-ES"/>
        </w:rPr>
        <w:t>2.8</w:t>
      </w:r>
      <w:r w:rsidRPr="00A70FD2">
        <w:rPr>
          <w:lang w:val="es-ES"/>
        </w:rPr>
        <w:tab/>
      </w:r>
      <w:r w:rsidR="00A70FD2" w:rsidRPr="00A70FD2">
        <w:rPr>
          <w:lang w:val="es-ES"/>
        </w:rPr>
        <w:t xml:space="preserve">El consejero de Brasil dice, en respuesta a las observaciones formuladas por los Estados Miembros sobre el primer proyecto de Acuerdo propuesto, que su delegación revisó el texto para eliminar las referencias a las tareas asignadas al Grupo de </w:t>
      </w:r>
      <w:r w:rsidR="00A70FD2">
        <w:rPr>
          <w:lang w:val="es-ES"/>
        </w:rPr>
        <w:t>Trabajo del Consejo sobre la CMSI y los Objetivos de Desarrollo Sostenible (GTC-CMSI+ODS) a fin de evitar la duplicación de esfuerzos</w:t>
      </w:r>
      <w:r w:rsidRPr="00A70FD2">
        <w:rPr>
          <w:lang w:val="es-ES"/>
        </w:rPr>
        <w:t>.</w:t>
      </w:r>
    </w:p>
    <w:p w14:paraId="1ECDF273" w14:textId="3649A092" w:rsidR="008F7692" w:rsidRPr="00A70FD2" w:rsidRDefault="008F7692" w:rsidP="008E5D06">
      <w:pPr>
        <w:rPr>
          <w:lang w:val="es-ES"/>
        </w:rPr>
      </w:pPr>
      <w:r w:rsidRPr="00A70FD2">
        <w:rPr>
          <w:lang w:val="es-ES"/>
        </w:rPr>
        <w:t>2.9</w:t>
      </w:r>
      <w:r w:rsidRPr="00A70FD2">
        <w:rPr>
          <w:lang w:val="es-ES"/>
        </w:rPr>
        <w:tab/>
      </w:r>
      <w:r w:rsidR="00A70FD2" w:rsidRPr="00A70FD2">
        <w:rPr>
          <w:lang w:val="es-ES"/>
        </w:rPr>
        <w:t xml:space="preserve">El Consejo </w:t>
      </w:r>
      <w:r w:rsidR="00A70FD2" w:rsidRPr="00A70FD2">
        <w:rPr>
          <w:b/>
          <w:bCs/>
          <w:lang w:val="es-ES"/>
        </w:rPr>
        <w:t xml:space="preserve">toma nota </w:t>
      </w:r>
      <w:r w:rsidR="00A70FD2" w:rsidRPr="00A70FD2">
        <w:rPr>
          <w:lang w:val="es-ES"/>
        </w:rPr>
        <w:t>del Documento</w:t>
      </w:r>
      <w:r w:rsidRPr="00A70FD2">
        <w:rPr>
          <w:lang w:val="es-ES"/>
        </w:rPr>
        <w:t xml:space="preserve"> C23/38 </w:t>
      </w:r>
      <w:r w:rsidR="00A70FD2" w:rsidRPr="00A70FD2">
        <w:rPr>
          <w:lang w:val="es-ES"/>
        </w:rPr>
        <w:t>y</w:t>
      </w:r>
      <w:r w:rsidR="00A70FD2">
        <w:rPr>
          <w:lang w:val="es-ES"/>
        </w:rPr>
        <w:t xml:space="preserve"> </w:t>
      </w:r>
      <w:r w:rsidR="00A70FD2">
        <w:rPr>
          <w:b/>
          <w:bCs/>
          <w:lang w:val="es-ES"/>
        </w:rPr>
        <w:t xml:space="preserve">adopta </w:t>
      </w:r>
      <w:r w:rsidR="00A70FD2">
        <w:rPr>
          <w:lang w:val="es-ES"/>
        </w:rPr>
        <w:t>el Acuerdo presentado en el Documento</w:t>
      </w:r>
      <w:r w:rsidRPr="00A70FD2">
        <w:rPr>
          <w:lang w:val="es-ES"/>
        </w:rPr>
        <w:t> C23/93(Rev.1).</w:t>
      </w:r>
    </w:p>
    <w:p w14:paraId="316E3189" w14:textId="31C4C90B" w:rsidR="008F7692" w:rsidRPr="00A70FD2" w:rsidRDefault="008F7692" w:rsidP="008E5D06">
      <w:pPr>
        <w:pStyle w:val="Heading1"/>
        <w:rPr>
          <w:rFonts w:asciiTheme="minorHAnsi" w:hAnsiTheme="minorHAnsi" w:cstheme="minorHAnsi"/>
          <w:bCs/>
          <w:szCs w:val="24"/>
          <w:lang w:val="es-ES"/>
        </w:rPr>
      </w:pPr>
      <w:r w:rsidRPr="00A70FD2">
        <w:rPr>
          <w:rFonts w:asciiTheme="minorHAnsi" w:hAnsiTheme="minorHAnsi" w:cstheme="minorHAnsi"/>
          <w:bCs/>
          <w:szCs w:val="24"/>
          <w:lang w:val="es-ES"/>
        </w:rPr>
        <w:t>3</w:t>
      </w:r>
      <w:r w:rsidRPr="00A70FD2">
        <w:rPr>
          <w:rFonts w:asciiTheme="minorHAnsi" w:hAnsiTheme="minorHAnsi" w:cstheme="minorHAnsi"/>
          <w:bCs/>
          <w:szCs w:val="24"/>
          <w:lang w:val="es-ES"/>
        </w:rPr>
        <w:tab/>
      </w:r>
      <w:r w:rsidR="00A70FD2" w:rsidRPr="00A70FD2">
        <w:rPr>
          <w:rFonts w:asciiTheme="minorHAnsi" w:hAnsiTheme="minorHAnsi" w:cstheme="minorHAnsi"/>
          <w:bCs/>
          <w:szCs w:val="24"/>
          <w:lang w:val="es-ES"/>
        </w:rPr>
        <w:t>25 años del programa de trabajo de la UIT sobre iguald</w:t>
      </w:r>
      <w:r w:rsidR="00A70FD2">
        <w:rPr>
          <w:rFonts w:asciiTheme="minorHAnsi" w:hAnsiTheme="minorHAnsi" w:cstheme="minorHAnsi"/>
          <w:bCs/>
          <w:szCs w:val="24"/>
          <w:lang w:val="es-ES"/>
        </w:rPr>
        <w:t>ad de género</w:t>
      </w:r>
      <w:r w:rsidRPr="00A70FD2">
        <w:rPr>
          <w:rFonts w:asciiTheme="minorHAnsi" w:hAnsiTheme="minorHAnsi" w:cstheme="minorHAnsi"/>
          <w:bCs/>
          <w:szCs w:val="24"/>
          <w:lang w:val="es-ES"/>
        </w:rPr>
        <w:t xml:space="preserve"> </w:t>
      </w:r>
      <w:r w:rsidR="00DF1C02" w:rsidRPr="00A70FD2">
        <w:rPr>
          <w:rFonts w:asciiTheme="minorHAnsi" w:hAnsiTheme="minorHAnsi" w:cstheme="minorHAnsi"/>
          <w:bCs/>
          <w:szCs w:val="24"/>
          <w:lang w:val="es-ES"/>
        </w:rPr>
        <w:br/>
      </w:r>
      <w:r w:rsidRPr="00A70FD2">
        <w:rPr>
          <w:rFonts w:asciiTheme="minorHAnsi" w:hAnsiTheme="minorHAnsi" w:cstheme="minorHAnsi"/>
          <w:bCs/>
          <w:szCs w:val="24"/>
          <w:lang w:val="es-ES"/>
        </w:rPr>
        <w:t>(Document</w:t>
      </w:r>
      <w:r w:rsidR="00A70FD2">
        <w:rPr>
          <w:rFonts w:asciiTheme="minorHAnsi" w:hAnsiTheme="minorHAnsi" w:cstheme="minorHAnsi"/>
          <w:bCs/>
          <w:szCs w:val="24"/>
          <w:lang w:val="es-ES"/>
        </w:rPr>
        <w:t>o</w:t>
      </w:r>
      <w:r w:rsidRPr="00A70FD2">
        <w:rPr>
          <w:rFonts w:asciiTheme="minorHAnsi" w:hAnsiTheme="minorHAnsi" w:cstheme="minorHAnsi"/>
          <w:bCs/>
          <w:szCs w:val="24"/>
          <w:lang w:val="es-ES"/>
        </w:rPr>
        <w:t>s </w:t>
      </w:r>
      <w:hyperlink r:id="rId27" w:history="1">
        <w:r w:rsidRPr="00A70FD2">
          <w:rPr>
            <w:rStyle w:val="Hyperlink"/>
            <w:rFonts w:asciiTheme="minorHAnsi" w:hAnsiTheme="minorHAnsi" w:cstheme="minorHAnsi"/>
            <w:bCs/>
            <w:szCs w:val="24"/>
            <w:lang w:val="es-ES"/>
          </w:rPr>
          <w:t>C23/6</w:t>
        </w:r>
      </w:hyperlink>
      <w:r w:rsidRPr="00A70FD2">
        <w:rPr>
          <w:rFonts w:asciiTheme="minorHAnsi" w:hAnsiTheme="minorHAnsi" w:cstheme="minorHAnsi"/>
          <w:bCs/>
          <w:szCs w:val="24"/>
          <w:lang w:val="es-ES"/>
        </w:rPr>
        <w:t xml:space="preserve">, </w:t>
      </w:r>
      <w:hyperlink r:id="rId28" w:history="1">
        <w:r w:rsidRPr="00A70FD2">
          <w:rPr>
            <w:rStyle w:val="Hyperlink"/>
            <w:rFonts w:asciiTheme="minorHAnsi" w:hAnsiTheme="minorHAnsi" w:cstheme="minorHAnsi"/>
            <w:bCs/>
            <w:szCs w:val="24"/>
            <w:lang w:val="es-ES"/>
          </w:rPr>
          <w:t>C23/76</w:t>
        </w:r>
      </w:hyperlink>
      <w:r w:rsidRPr="00A70FD2">
        <w:rPr>
          <w:rFonts w:asciiTheme="minorHAnsi" w:hAnsiTheme="minorHAnsi" w:cstheme="minorHAnsi"/>
          <w:bCs/>
          <w:szCs w:val="24"/>
          <w:lang w:val="es-ES"/>
        </w:rPr>
        <w:t xml:space="preserve"> </w:t>
      </w:r>
      <w:r w:rsidR="00A70FD2">
        <w:rPr>
          <w:rFonts w:asciiTheme="minorHAnsi" w:hAnsiTheme="minorHAnsi" w:cstheme="minorHAnsi"/>
          <w:bCs/>
          <w:szCs w:val="24"/>
          <w:lang w:val="es-ES"/>
        </w:rPr>
        <w:t>y</w:t>
      </w:r>
      <w:r w:rsidRPr="00A70FD2">
        <w:rPr>
          <w:rFonts w:asciiTheme="minorHAnsi" w:hAnsiTheme="minorHAnsi" w:cstheme="minorHAnsi"/>
          <w:bCs/>
          <w:szCs w:val="24"/>
          <w:lang w:val="es-ES"/>
        </w:rPr>
        <w:t xml:space="preserve"> </w:t>
      </w:r>
      <w:hyperlink r:id="rId29" w:history="1">
        <w:r w:rsidRPr="00A70FD2">
          <w:rPr>
            <w:rStyle w:val="Hyperlink"/>
            <w:rFonts w:asciiTheme="minorHAnsi" w:hAnsiTheme="minorHAnsi" w:cstheme="minorHAnsi"/>
            <w:bCs/>
            <w:szCs w:val="24"/>
            <w:lang w:val="es-ES"/>
          </w:rPr>
          <w:t>C23/91+Corr.1</w:t>
        </w:r>
      </w:hyperlink>
      <w:r w:rsidRPr="00A70FD2">
        <w:rPr>
          <w:rFonts w:asciiTheme="minorHAnsi" w:hAnsiTheme="minorHAnsi" w:cstheme="minorHAnsi"/>
          <w:bCs/>
          <w:szCs w:val="24"/>
          <w:lang w:val="es-ES"/>
        </w:rPr>
        <w:t xml:space="preserve">) </w:t>
      </w:r>
    </w:p>
    <w:p w14:paraId="6B6F180E" w14:textId="68A366DA" w:rsidR="008F7692" w:rsidRPr="00A70FD2" w:rsidRDefault="008F7692" w:rsidP="008E5D06">
      <w:pPr>
        <w:rPr>
          <w:lang w:val="es-ES"/>
        </w:rPr>
      </w:pPr>
      <w:r w:rsidRPr="00A70FD2">
        <w:rPr>
          <w:lang w:val="es-ES"/>
        </w:rPr>
        <w:t>3.1</w:t>
      </w:r>
      <w:r w:rsidRPr="00A70FD2">
        <w:rPr>
          <w:lang w:val="es-ES"/>
        </w:rPr>
        <w:tab/>
      </w:r>
      <w:r w:rsidR="00A70FD2" w:rsidRPr="00A70FD2">
        <w:rPr>
          <w:lang w:val="es-ES"/>
        </w:rPr>
        <w:t>Un representante de la Secretaría General presenta el Documento</w:t>
      </w:r>
      <w:r w:rsidRPr="00A70FD2">
        <w:rPr>
          <w:lang w:val="es-ES"/>
        </w:rPr>
        <w:t xml:space="preserve"> C23/6</w:t>
      </w:r>
      <w:r w:rsidR="00A70FD2" w:rsidRPr="00A70FD2">
        <w:rPr>
          <w:lang w:val="es-ES"/>
        </w:rPr>
        <w:t xml:space="preserve"> y dice que</w:t>
      </w:r>
      <w:r w:rsidR="00A70FD2">
        <w:rPr>
          <w:lang w:val="es-ES"/>
        </w:rPr>
        <w:t>, aunque</w:t>
      </w:r>
      <w:r w:rsidR="00A70FD2" w:rsidRPr="00A70FD2">
        <w:rPr>
          <w:lang w:val="es-ES"/>
        </w:rPr>
        <w:t xml:space="preserve"> la digitalización se ha convertido en una parte </w:t>
      </w:r>
      <w:r w:rsidR="00A70FD2">
        <w:rPr>
          <w:lang w:val="es-ES"/>
        </w:rPr>
        <w:t xml:space="preserve">esencial de la vida, las mujeres y las niñas siguen teniendo dificultades para acceder a las tecnologías digitales y utilizarlas y que la brecha digital de género limita su plena participación en la sociedad moderna. </w:t>
      </w:r>
      <w:r w:rsidR="00A70FD2" w:rsidRPr="00B7454A">
        <w:rPr>
          <w:lang w:val="es-ES"/>
        </w:rPr>
        <w:t xml:space="preserve">Para cerrar esa brecha se necesitaría el compromiso constante de todos los interesados. </w:t>
      </w:r>
      <w:r w:rsidR="00A70FD2" w:rsidRPr="00A70FD2">
        <w:rPr>
          <w:lang w:val="es-ES"/>
        </w:rPr>
        <w:t>Para responder a todas las esferas prioritarias descritas en el Informe será necesario adoptar el enfoque de Una UIT mejor dotada, por lo que se solicita a los E</w:t>
      </w:r>
      <w:r w:rsidR="00A70FD2">
        <w:rPr>
          <w:lang w:val="es-ES"/>
        </w:rPr>
        <w:t>s</w:t>
      </w:r>
      <w:r w:rsidR="00A70FD2" w:rsidRPr="00A70FD2">
        <w:rPr>
          <w:lang w:val="es-ES"/>
        </w:rPr>
        <w:t>tados Miembros que aporten contribuciones financieras y en es</w:t>
      </w:r>
      <w:r w:rsidR="00A70FD2">
        <w:rPr>
          <w:lang w:val="es-ES"/>
        </w:rPr>
        <w:t xml:space="preserve">pecie a tal efecto. </w:t>
      </w:r>
      <w:r w:rsidR="00A70FD2" w:rsidRPr="00A70FD2">
        <w:rPr>
          <w:lang w:val="es-ES"/>
        </w:rPr>
        <w:t>Da las gracias a los Estados Miembros que ya han aportado su contribución a estos trabajos</w:t>
      </w:r>
      <w:r w:rsidRPr="00A70FD2">
        <w:rPr>
          <w:lang w:val="es-ES"/>
        </w:rPr>
        <w:t xml:space="preserve">. </w:t>
      </w:r>
    </w:p>
    <w:p w14:paraId="1FFAAF46" w14:textId="0EBB70D8" w:rsidR="008F7692" w:rsidRPr="00EF4DBA" w:rsidRDefault="008F7692" w:rsidP="008E5D06">
      <w:pPr>
        <w:rPr>
          <w:lang w:val="es-ES"/>
        </w:rPr>
      </w:pPr>
      <w:r w:rsidRPr="00EF4DBA">
        <w:rPr>
          <w:lang w:val="es-ES"/>
        </w:rPr>
        <w:t>3.2</w:t>
      </w:r>
      <w:r w:rsidRPr="00EF4DBA">
        <w:rPr>
          <w:lang w:val="es-ES"/>
        </w:rPr>
        <w:tab/>
      </w:r>
      <w:r w:rsidR="00A70FD2" w:rsidRPr="00EF4DBA">
        <w:rPr>
          <w:lang w:val="es-ES"/>
        </w:rPr>
        <w:t>La consejera de España presenta el Documento</w:t>
      </w:r>
      <w:r w:rsidRPr="00EF4DBA">
        <w:rPr>
          <w:lang w:val="es-ES"/>
        </w:rPr>
        <w:t xml:space="preserve"> C23/91+Corr.1, </w:t>
      </w:r>
      <w:r w:rsidR="00A70FD2" w:rsidRPr="00EF4DBA">
        <w:rPr>
          <w:lang w:val="es-ES"/>
        </w:rPr>
        <w:t xml:space="preserve">contribución </w:t>
      </w:r>
      <w:r w:rsidR="00EF4DBA" w:rsidRPr="00EF4DBA">
        <w:rPr>
          <w:lang w:val="es-ES"/>
        </w:rPr>
        <w:t xml:space="preserve">suscrita por 48 Estados Miembros que contiene un proyecto de Resolución para conmemorar el </w:t>
      </w:r>
      <w:r w:rsidR="00EF4DBA">
        <w:rPr>
          <w:lang w:val="es-ES"/>
        </w:rPr>
        <w:t>25</w:t>
      </w:r>
      <w:r w:rsidR="00F866E9">
        <w:rPr>
          <w:lang w:val="es-ES"/>
        </w:rPr>
        <w:t> </w:t>
      </w:r>
      <w:r w:rsidR="00EF4DBA">
        <w:rPr>
          <w:lang w:val="es-ES"/>
        </w:rPr>
        <w:t>aniversario de la Resolución</w:t>
      </w:r>
      <w:r w:rsidRPr="00EF4DBA">
        <w:rPr>
          <w:lang w:val="es-ES"/>
        </w:rPr>
        <w:t xml:space="preserve"> 70 (Rev. Bucarest, 2022), </w:t>
      </w:r>
      <w:r w:rsidR="00EF4DBA">
        <w:rPr>
          <w:lang w:val="es-ES"/>
        </w:rPr>
        <w:t>que se basa a su vez en la Resolución</w:t>
      </w:r>
      <w:r w:rsidR="00F866E9">
        <w:rPr>
          <w:lang w:val="es-ES"/>
        </w:rPr>
        <w:t> </w:t>
      </w:r>
      <w:r w:rsidR="00EF4DBA">
        <w:rPr>
          <w:lang w:val="es-ES"/>
        </w:rPr>
        <w:t>7</w:t>
      </w:r>
      <w:r w:rsidRPr="00EF4DBA">
        <w:rPr>
          <w:lang w:val="es-ES"/>
        </w:rPr>
        <w:t xml:space="preserve"> (</w:t>
      </w:r>
      <w:r w:rsidR="00EF4DBA">
        <w:rPr>
          <w:lang w:val="es-ES"/>
        </w:rPr>
        <w:t xml:space="preserve">La </w:t>
      </w:r>
      <w:r w:rsidRPr="00EF4DBA">
        <w:rPr>
          <w:lang w:val="es-ES"/>
        </w:rPr>
        <w:t>Valet</w:t>
      </w:r>
      <w:r w:rsidR="00EF4DBA">
        <w:rPr>
          <w:lang w:val="es-ES"/>
        </w:rPr>
        <w:t>t</w:t>
      </w:r>
      <w:r w:rsidRPr="00EF4DBA">
        <w:rPr>
          <w:lang w:val="es-ES"/>
        </w:rPr>
        <w:t>a, 1998)</w:t>
      </w:r>
      <w:r w:rsidR="00EF4DBA">
        <w:rPr>
          <w:lang w:val="es-ES"/>
        </w:rPr>
        <w:t xml:space="preserve"> de la CMDT</w:t>
      </w:r>
      <w:r w:rsidRPr="00EF4DBA">
        <w:rPr>
          <w:lang w:val="es-ES"/>
        </w:rPr>
        <w:t xml:space="preserve">, </w:t>
      </w:r>
      <w:r w:rsidR="00EF4DBA">
        <w:rPr>
          <w:lang w:val="es-ES"/>
        </w:rPr>
        <w:t xml:space="preserve">que introdujo por vez primera una perspectiva </w:t>
      </w:r>
      <w:r w:rsidR="00EF4DBA">
        <w:rPr>
          <w:lang w:val="es-ES"/>
        </w:rPr>
        <w:lastRenderedPageBreak/>
        <w:t xml:space="preserve">de género en los trabajos de la UIT. </w:t>
      </w:r>
      <w:r w:rsidR="00EF4DBA" w:rsidRPr="00EF4DBA">
        <w:rPr>
          <w:lang w:val="es-ES"/>
        </w:rPr>
        <w:t xml:space="preserve">El proyecto de Resolución solicita a la UIT que </w:t>
      </w:r>
      <w:r w:rsidR="00EF4DBA">
        <w:rPr>
          <w:lang w:val="es-ES"/>
        </w:rPr>
        <w:t xml:space="preserve">elabore un Plan de Acción de Género que se presentará a la aprobación del Consejo en 2024 e incluirá un mecanismo de información y coordinación en los tres Sectores. </w:t>
      </w:r>
      <w:r w:rsidR="00EF4DBA" w:rsidRPr="00EF4DBA">
        <w:rPr>
          <w:lang w:val="es-ES"/>
        </w:rPr>
        <w:t xml:space="preserve">Se solicita, además, la creación, utilizando </w:t>
      </w:r>
      <w:r w:rsidR="00EF4DBA">
        <w:rPr>
          <w:lang w:val="es-ES"/>
        </w:rPr>
        <w:t xml:space="preserve">los recursos presupuestarios existentes, de una unidad funcional sobre igualdad de género en la Oficina Ejecutiva de la Secretaria General. </w:t>
      </w:r>
      <w:r w:rsidR="00EF4DBA" w:rsidRPr="00EF4DBA">
        <w:rPr>
          <w:lang w:val="es-ES"/>
        </w:rPr>
        <w:t>Se están celebrando consultas informales sobre la formulació</w:t>
      </w:r>
      <w:r w:rsidR="00EF4DBA">
        <w:rPr>
          <w:lang w:val="es-ES"/>
        </w:rPr>
        <w:t>n del proyecto de Resolución</w:t>
      </w:r>
      <w:r w:rsidRPr="00EF4DBA">
        <w:rPr>
          <w:lang w:val="es-ES"/>
        </w:rPr>
        <w:t xml:space="preserve">. </w:t>
      </w:r>
    </w:p>
    <w:p w14:paraId="6F22D057" w14:textId="2D9EE6B6" w:rsidR="008F7692" w:rsidRPr="009606C0" w:rsidRDefault="008F7692" w:rsidP="008E5D06">
      <w:pPr>
        <w:rPr>
          <w:lang w:val="es-ES"/>
        </w:rPr>
      </w:pPr>
      <w:r w:rsidRPr="009606C0">
        <w:rPr>
          <w:lang w:val="es-ES"/>
        </w:rPr>
        <w:t>3.3</w:t>
      </w:r>
      <w:r w:rsidRPr="009606C0">
        <w:rPr>
          <w:lang w:val="es-ES"/>
        </w:rPr>
        <w:tab/>
      </w:r>
      <w:r w:rsidR="00A6778B">
        <w:rPr>
          <w:lang w:val="es-ES"/>
        </w:rPr>
        <w:t>La</w:t>
      </w:r>
      <w:r w:rsidR="009606C0" w:rsidRPr="009606C0">
        <w:rPr>
          <w:lang w:val="es-ES"/>
        </w:rPr>
        <w:t xml:space="preserve"> consejer</w:t>
      </w:r>
      <w:r w:rsidR="00A6778B">
        <w:rPr>
          <w:lang w:val="es-ES"/>
        </w:rPr>
        <w:t>a</w:t>
      </w:r>
      <w:r w:rsidR="009606C0" w:rsidRPr="009606C0">
        <w:rPr>
          <w:lang w:val="es-ES"/>
        </w:rPr>
        <w:t xml:space="preserve"> de Egipto presenta la propuesta formulada por ocho Estados Miembros del Documento</w:t>
      </w:r>
      <w:r w:rsidRPr="009606C0">
        <w:rPr>
          <w:lang w:val="es-ES"/>
        </w:rPr>
        <w:t xml:space="preserve"> C23/76</w:t>
      </w:r>
      <w:r w:rsidR="009606C0" w:rsidRPr="009606C0">
        <w:rPr>
          <w:lang w:val="es-ES"/>
        </w:rPr>
        <w:t xml:space="preserve"> y señala que la UIT ha puesto en marcha en los últimos años una serie de iniciativas, entre las que se cuentan la Red de Mujeres para la CMDT</w:t>
      </w:r>
      <w:r w:rsidRPr="009606C0">
        <w:rPr>
          <w:lang w:val="es-ES"/>
        </w:rPr>
        <w:t xml:space="preserve"> (NoW4WTDC) </w:t>
      </w:r>
      <w:r w:rsidR="009606C0" w:rsidRPr="009606C0">
        <w:rPr>
          <w:lang w:val="es-ES"/>
        </w:rPr>
        <w:t>y</w:t>
      </w:r>
      <w:r w:rsidR="009606C0">
        <w:rPr>
          <w:lang w:val="es-ES"/>
        </w:rPr>
        <w:t xml:space="preserve"> el Grupo de Expertos sobre las Mujeres en la Normalización</w:t>
      </w:r>
      <w:r w:rsidRPr="009606C0">
        <w:rPr>
          <w:lang w:val="es-ES"/>
        </w:rPr>
        <w:t xml:space="preserve"> (WISE)</w:t>
      </w:r>
      <w:r w:rsidR="009606C0">
        <w:rPr>
          <w:lang w:val="es-ES"/>
        </w:rPr>
        <w:t xml:space="preserve"> de la UIT, en relación con lo cual solicita la creación de un órgano unificado que aúne todas las iniciativas de la UIT destinadas a las mujeres, permitiendo el ahorro y aprovechamiento de los recursos dentro el concepto de Una UIT. </w:t>
      </w:r>
      <w:r w:rsidR="009606C0" w:rsidRPr="009606C0">
        <w:rPr>
          <w:lang w:val="es-ES"/>
        </w:rPr>
        <w:t>Los avances en la creación de dicho órgano deberán presentarse a la reunión del Consejo de 2024</w:t>
      </w:r>
      <w:r w:rsidRPr="009606C0">
        <w:rPr>
          <w:lang w:val="es-ES"/>
        </w:rPr>
        <w:t xml:space="preserve">. </w:t>
      </w:r>
    </w:p>
    <w:p w14:paraId="259F977D" w14:textId="4C3F53EC" w:rsidR="008F7692" w:rsidRPr="009606C0" w:rsidRDefault="008F7692" w:rsidP="008E5D06">
      <w:pPr>
        <w:rPr>
          <w:lang w:val="es-ES"/>
        </w:rPr>
      </w:pPr>
      <w:r w:rsidRPr="009606C0">
        <w:rPr>
          <w:lang w:val="es-ES"/>
        </w:rPr>
        <w:t>3.4</w:t>
      </w:r>
      <w:r w:rsidRPr="009606C0">
        <w:rPr>
          <w:lang w:val="es-ES"/>
        </w:rPr>
        <w:tab/>
      </w:r>
      <w:r w:rsidR="009606C0" w:rsidRPr="009606C0">
        <w:rPr>
          <w:lang w:val="es-ES"/>
        </w:rPr>
        <w:t>Los consejeros felicitan a la UIT por su trabajo sobre la igualdad</w:t>
      </w:r>
      <w:r w:rsidR="009606C0">
        <w:rPr>
          <w:lang w:val="es-ES"/>
        </w:rPr>
        <w:t xml:space="preserve"> de género y su compromiso para con el cierre de la brecha digital de género. </w:t>
      </w:r>
      <w:r w:rsidR="009606C0" w:rsidRPr="009606C0">
        <w:rPr>
          <w:lang w:val="es-ES"/>
        </w:rPr>
        <w:t xml:space="preserve">Se muestran a favor de aumentar la capacidad de las mujeres tanto dentro de </w:t>
      </w:r>
      <w:r w:rsidR="009606C0">
        <w:rPr>
          <w:lang w:val="es-ES"/>
        </w:rPr>
        <w:t xml:space="preserve">la UIT como en el sector de las TIC en general, incluso mediante programas de capacitación específicos. </w:t>
      </w:r>
      <w:r w:rsidR="009606C0" w:rsidRPr="009606C0">
        <w:rPr>
          <w:lang w:val="es-ES"/>
        </w:rPr>
        <w:t>Un consejero pide que se realicen estudios sobre las causas primeras de la</w:t>
      </w:r>
      <w:r w:rsidR="009606C0">
        <w:rPr>
          <w:lang w:val="es-ES"/>
        </w:rPr>
        <w:t xml:space="preserve"> disparidad entre géneros en el acceso a las TIC y la participación en el sector. </w:t>
      </w:r>
      <w:r w:rsidR="009606C0" w:rsidRPr="009606C0">
        <w:rPr>
          <w:lang w:val="es-ES"/>
        </w:rPr>
        <w:t xml:space="preserve">Algunos consejeros se muestran decepcionados por que la UIT no haya </w:t>
      </w:r>
      <w:r w:rsidR="009606C0">
        <w:rPr>
          <w:lang w:val="es-ES"/>
        </w:rPr>
        <w:t>obtenido resultados tan buenos como otras organizaciones del sistema de Naciones Unidas, en particular en lo que respecta al nombramiento de mujeres en puestos de alta dirección</w:t>
      </w:r>
      <w:r w:rsidRPr="009606C0">
        <w:rPr>
          <w:lang w:val="es-ES"/>
        </w:rPr>
        <w:t>.</w:t>
      </w:r>
    </w:p>
    <w:p w14:paraId="76834FE1" w14:textId="46B747BC" w:rsidR="008F7692" w:rsidRPr="009606C0" w:rsidRDefault="008F7692" w:rsidP="008E5D06">
      <w:pPr>
        <w:rPr>
          <w:lang w:val="es-ES"/>
        </w:rPr>
      </w:pPr>
      <w:r w:rsidRPr="009606C0">
        <w:rPr>
          <w:lang w:val="es-ES"/>
        </w:rPr>
        <w:t>3.5</w:t>
      </w:r>
      <w:r w:rsidRPr="009606C0">
        <w:rPr>
          <w:lang w:val="es-ES"/>
        </w:rPr>
        <w:tab/>
      </w:r>
      <w:r w:rsidR="009606C0" w:rsidRPr="009606C0">
        <w:rPr>
          <w:lang w:val="es-ES"/>
        </w:rPr>
        <w:t xml:space="preserve">Abogando por el enfoque de Una UIT, dos consejeros dan su apoyo a la creación del </w:t>
      </w:r>
      <w:r w:rsidR="009606C0">
        <w:rPr>
          <w:lang w:val="es-ES"/>
        </w:rPr>
        <w:t>nuevo órgano rector descrito en el Documento</w:t>
      </w:r>
      <w:r w:rsidRPr="009606C0">
        <w:rPr>
          <w:lang w:val="es-ES"/>
        </w:rPr>
        <w:t xml:space="preserve"> C23/76. </w:t>
      </w:r>
      <w:r w:rsidR="009606C0" w:rsidRPr="009606C0">
        <w:rPr>
          <w:lang w:val="es-ES"/>
        </w:rPr>
        <w:t>Otros dos consejeros dan su apoyo al</w:t>
      </w:r>
      <w:r w:rsidR="009606C0">
        <w:rPr>
          <w:lang w:val="es-ES"/>
        </w:rPr>
        <w:t xml:space="preserve"> Documento</w:t>
      </w:r>
      <w:r w:rsidRPr="009606C0">
        <w:rPr>
          <w:lang w:val="es-ES"/>
        </w:rPr>
        <w:t xml:space="preserve"> C23/91.</w:t>
      </w:r>
    </w:p>
    <w:p w14:paraId="269C50CB" w14:textId="79C481A2" w:rsidR="008F7692" w:rsidRPr="00D748E6" w:rsidRDefault="008F7692" w:rsidP="008E5D06">
      <w:pPr>
        <w:rPr>
          <w:lang w:val="es-ES"/>
        </w:rPr>
      </w:pPr>
      <w:r w:rsidRPr="009606C0">
        <w:rPr>
          <w:lang w:val="es-ES"/>
        </w:rPr>
        <w:t>3.6</w:t>
      </w:r>
      <w:r w:rsidRPr="009606C0">
        <w:rPr>
          <w:lang w:val="es-ES"/>
        </w:rPr>
        <w:tab/>
      </w:r>
      <w:r w:rsidR="009606C0" w:rsidRPr="009606C0">
        <w:rPr>
          <w:lang w:val="es-ES"/>
        </w:rPr>
        <w:t>Varios consejeros se felicitan por el Documento</w:t>
      </w:r>
      <w:r w:rsidRPr="009606C0">
        <w:rPr>
          <w:lang w:val="es-ES"/>
        </w:rPr>
        <w:t xml:space="preserve"> C23/6</w:t>
      </w:r>
      <w:r w:rsidR="009606C0" w:rsidRPr="009606C0">
        <w:rPr>
          <w:lang w:val="es-ES"/>
        </w:rPr>
        <w:t xml:space="preserve"> y subr</w:t>
      </w:r>
      <w:r w:rsidR="009606C0">
        <w:rPr>
          <w:lang w:val="es-ES"/>
        </w:rPr>
        <w:t>a</w:t>
      </w:r>
      <w:r w:rsidR="009606C0" w:rsidRPr="009606C0">
        <w:rPr>
          <w:lang w:val="es-ES"/>
        </w:rPr>
        <w:t>yan el valor del D</w:t>
      </w:r>
      <w:r w:rsidR="009606C0">
        <w:rPr>
          <w:lang w:val="es-ES"/>
        </w:rPr>
        <w:t>ía Internacional de las Niñas en las TIC, al tiempo que alaban el Concurso de Innovación Digital puesto en marcha por la UIT en colaboración con</w:t>
      </w:r>
      <w:r w:rsidR="00D748E6">
        <w:rPr>
          <w:lang w:val="es-ES"/>
        </w:rPr>
        <w:t xml:space="preserve"> la iniciativa</w:t>
      </w:r>
      <w:r w:rsidRPr="00D748E6">
        <w:rPr>
          <w:lang w:val="es-ES"/>
        </w:rPr>
        <w:t xml:space="preserve"> The Women’s Entrepreneurship Accelerator (WEA), </w:t>
      </w:r>
      <w:r w:rsidR="00D748E6" w:rsidRPr="00D748E6">
        <w:rPr>
          <w:lang w:val="es-ES"/>
        </w:rPr>
        <w:t>q</w:t>
      </w:r>
      <w:r w:rsidR="00D748E6">
        <w:rPr>
          <w:lang w:val="es-ES"/>
        </w:rPr>
        <w:t xml:space="preserve">ue aboga por la dedicación de más recursos para aumentar la participación de las mujeres en la ciberseguridad y la inteligencia artificial. </w:t>
      </w:r>
      <w:r w:rsidR="00D748E6" w:rsidRPr="00D748E6">
        <w:rPr>
          <w:lang w:val="es-ES"/>
        </w:rPr>
        <w:t xml:space="preserve">Un consejero pide que la UIT preste más atención </w:t>
      </w:r>
      <w:r w:rsidR="00D748E6">
        <w:rPr>
          <w:lang w:val="es-ES"/>
        </w:rPr>
        <w:t>a la protección de las mujeres y las niñas, incluidas las periodistas, contra el acoso en línea</w:t>
      </w:r>
      <w:r w:rsidRPr="00D748E6">
        <w:rPr>
          <w:lang w:val="es-ES"/>
        </w:rPr>
        <w:t xml:space="preserve">. </w:t>
      </w:r>
    </w:p>
    <w:p w14:paraId="55D43E82" w14:textId="52957762" w:rsidR="008F7692" w:rsidRPr="00D748E6" w:rsidRDefault="008F7692" w:rsidP="008E5D06">
      <w:pPr>
        <w:rPr>
          <w:lang w:val="es-ES"/>
        </w:rPr>
      </w:pPr>
      <w:r w:rsidRPr="00D748E6">
        <w:rPr>
          <w:lang w:val="es-ES"/>
        </w:rPr>
        <w:t>3.7</w:t>
      </w:r>
      <w:r w:rsidRPr="00D748E6">
        <w:rPr>
          <w:lang w:val="es-ES"/>
        </w:rPr>
        <w:tab/>
      </w:r>
      <w:r w:rsidR="00D748E6" w:rsidRPr="00D748E6">
        <w:rPr>
          <w:lang w:val="es-ES"/>
        </w:rPr>
        <w:t>El representante de la Secretaría General agradece a los Estados Miembros sus observaciones y confirma que se adoptarán las propuestas sobre capacitación e investigación</w:t>
      </w:r>
      <w:r w:rsidR="00D748E6">
        <w:rPr>
          <w:lang w:val="es-ES"/>
        </w:rPr>
        <w:t xml:space="preserve"> </w:t>
      </w:r>
      <w:r w:rsidR="00D748E6" w:rsidRPr="00D748E6">
        <w:rPr>
          <w:lang w:val="es-ES"/>
        </w:rPr>
        <w:t xml:space="preserve">de las </w:t>
      </w:r>
      <w:r w:rsidR="00D748E6">
        <w:rPr>
          <w:lang w:val="es-ES"/>
        </w:rPr>
        <w:t xml:space="preserve">causas primeras de la disparidad de género en las TIC. </w:t>
      </w:r>
      <w:r w:rsidR="00D748E6" w:rsidRPr="00D748E6">
        <w:rPr>
          <w:lang w:val="es-ES"/>
        </w:rPr>
        <w:t>Ya están en marcha los programas de formación sobre espíritu empresarial digital y competencias en materia de gestión para mujeres, a los que se puede acceder a través de la</w:t>
      </w:r>
      <w:r w:rsidR="00D748E6">
        <w:rPr>
          <w:lang w:val="es-ES"/>
        </w:rPr>
        <w:t xml:space="preserve"> Academia de la UIT. </w:t>
      </w:r>
      <w:r w:rsidR="00D748E6" w:rsidRPr="00D748E6">
        <w:rPr>
          <w:lang w:val="es-ES"/>
        </w:rPr>
        <w:t>Los programas sobre integración de una perspectiva de género en las políticas digitales est</w:t>
      </w:r>
      <w:r w:rsidR="00D748E6">
        <w:rPr>
          <w:lang w:val="es-ES"/>
        </w:rPr>
        <w:t>a</w:t>
      </w:r>
      <w:r w:rsidR="00D748E6" w:rsidRPr="00D748E6">
        <w:rPr>
          <w:lang w:val="es-ES"/>
        </w:rPr>
        <w:t>rán disponibles a lo largo del año. Sería muy de agradecer que los Estados Miembros siguiesen apoyando el ejercicio de información del Plan de Acción para todo el sistema de las Na</w:t>
      </w:r>
      <w:r w:rsidR="00D748E6">
        <w:rPr>
          <w:lang w:val="es-ES"/>
        </w:rPr>
        <w:t>ciones Unidas</w:t>
      </w:r>
      <w:r w:rsidRPr="00D748E6">
        <w:rPr>
          <w:lang w:val="es-ES"/>
        </w:rPr>
        <w:t xml:space="preserve"> (</w:t>
      </w:r>
      <w:r w:rsidR="00D748E6" w:rsidRPr="00D748E6">
        <w:rPr>
          <w:lang w:val="es-ES"/>
        </w:rPr>
        <w:t>O</w:t>
      </w:r>
      <w:r w:rsidR="00D748E6">
        <w:rPr>
          <w:lang w:val="es-ES"/>
        </w:rPr>
        <w:t>NU</w:t>
      </w:r>
      <w:r w:rsidRPr="00D748E6">
        <w:rPr>
          <w:lang w:val="es-ES"/>
        </w:rPr>
        <w:t>-SWAP)</w:t>
      </w:r>
      <w:r w:rsidR="00D748E6">
        <w:rPr>
          <w:lang w:val="es-ES"/>
        </w:rPr>
        <w:t>, así como todas las actividades de la UIT en materia de igualdad de género en las TIC</w:t>
      </w:r>
      <w:r w:rsidRPr="00D748E6">
        <w:rPr>
          <w:lang w:val="es-ES"/>
        </w:rPr>
        <w:t xml:space="preserve">. </w:t>
      </w:r>
    </w:p>
    <w:p w14:paraId="4A6ED4FF" w14:textId="1F5CAB1D" w:rsidR="008F7692" w:rsidRPr="00D748E6" w:rsidRDefault="008F7692" w:rsidP="008E5D06">
      <w:pPr>
        <w:rPr>
          <w:lang w:val="es-ES"/>
        </w:rPr>
      </w:pPr>
      <w:r w:rsidRPr="00D748E6">
        <w:rPr>
          <w:lang w:val="es-ES"/>
        </w:rPr>
        <w:t>3.8</w:t>
      </w:r>
      <w:r w:rsidRPr="00D748E6">
        <w:rPr>
          <w:lang w:val="es-ES"/>
        </w:rPr>
        <w:tab/>
      </w:r>
      <w:r w:rsidR="00D748E6" w:rsidRPr="00D748E6">
        <w:rPr>
          <w:lang w:val="es-ES"/>
        </w:rPr>
        <w:t xml:space="preserve">El Director de la TSB dice que tanto el UIT-T como la TSB fomentan activamente la </w:t>
      </w:r>
      <w:r w:rsidR="00D748E6">
        <w:rPr>
          <w:lang w:val="es-ES"/>
        </w:rPr>
        <w:t>igualdad de género, incluso a través de la</w:t>
      </w:r>
      <w:r w:rsidRPr="00D748E6">
        <w:rPr>
          <w:lang w:val="es-ES"/>
        </w:rPr>
        <w:t xml:space="preserve"> NoW4WTDC. </w:t>
      </w:r>
      <w:r w:rsidR="00D748E6" w:rsidRPr="00D748E6">
        <w:rPr>
          <w:lang w:val="es-ES"/>
        </w:rPr>
        <w:t xml:space="preserve">Respalda totalmente el enfoque de </w:t>
      </w:r>
      <w:r w:rsidR="00D748E6" w:rsidRPr="00D748E6">
        <w:rPr>
          <w:lang w:val="es-ES"/>
        </w:rPr>
        <w:lastRenderedPageBreak/>
        <w:t>Una UIT y asegura a los consejeros que la UIT proseguirá sus esfuerzos por cerrar la brecha digital e incrementar</w:t>
      </w:r>
      <w:r w:rsidR="00D748E6">
        <w:rPr>
          <w:lang w:val="es-ES"/>
        </w:rPr>
        <w:t xml:space="preserve"> la participación de las mujeres en sus reuniones</w:t>
      </w:r>
      <w:r w:rsidRPr="00D748E6">
        <w:rPr>
          <w:lang w:val="es-ES"/>
        </w:rPr>
        <w:t xml:space="preserve">. </w:t>
      </w:r>
    </w:p>
    <w:p w14:paraId="18EE1753" w14:textId="47467083" w:rsidR="008F7692" w:rsidRPr="00D748E6" w:rsidRDefault="008F7692" w:rsidP="008E5D06">
      <w:pPr>
        <w:rPr>
          <w:lang w:val="es-ES"/>
        </w:rPr>
      </w:pPr>
      <w:r w:rsidRPr="00D748E6">
        <w:rPr>
          <w:lang w:val="es-ES"/>
        </w:rPr>
        <w:t>3.9</w:t>
      </w:r>
      <w:r w:rsidRPr="00D748E6">
        <w:rPr>
          <w:lang w:val="es-ES"/>
        </w:rPr>
        <w:tab/>
      </w:r>
      <w:r w:rsidR="00D748E6" w:rsidRPr="00D748E6">
        <w:rPr>
          <w:lang w:val="es-ES"/>
        </w:rPr>
        <w:t>El Presidente invita al Consejo a tomar nota del Informe del Documento</w:t>
      </w:r>
      <w:r w:rsidRPr="00D748E6">
        <w:rPr>
          <w:lang w:val="es-ES"/>
        </w:rPr>
        <w:t xml:space="preserve"> C23/6; </w:t>
      </w:r>
      <w:r w:rsidR="00D748E6" w:rsidRPr="00D748E6">
        <w:rPr>
          <w:lang w:val="es-ES"/>
        </w:rPr>
        <w:t>a proseguir lo</w:t>
      </w:r>
      <w:r w:rsidR="00D748E6">
        <w:rPr>
          <w:lang w:val="es-ES"/>
        </w:rPr>
        <w:t>s debates informales sobre los Documentos</w:t>
      </w:r>
      <w:r w:rsidRPr="00D748E6">
        <w:rPr>
          <w:lang w:val="es-ES"/>
        </w:rPr>
        <w:t xml:space="preserve"> C23/76 </w:t>
      </w:r>
      <w:r w:rsidR="00D748E6">
        <w:rPr>
          <w:lang w:val="es-ES"/>
        </w:rPr>
        <w:t>y</w:t>
      </w:r>
      <w:r w:rsidRPr="00D748E6">
        <w:rPr>
          <w:lang w:val="es-ES"/>
        </w:rPr>
        <w:t xml:space="preserve"> C23/91+Corr.1</w:t>
      </w:r>
      <w:r w:rsidR="00D748E6">
        <w:rPr>
          <w:lang w:val="es-ES"/>
        </w:rPr>
        <w:t>, y a dar cuenta del resultado de esos debates a la próxima sesión plenaria</w:t>
      </w:r>
      <w:r w:rsidRPr="00D748E6">
        <w:rPr>
          <w:lang w:val="es-ES"/>
        </w:rPr>
        <w:t xml:space="preserve">. </w:t>
      </w:r>
    </w:p>
    <w:p w14:paraId="01019915" w14:textId="2EF54679" w:rsidR="008F7692" w:rsidRPr="00B7454A" w:rsidRDefault="008F7692" w:rsidP="008E5D06">
      <w:pPr>
        <w:rPr>
          <w:lang w:val="es-ES"/>
        </w:rPr>
      </w:pPr>
      <w:r w:rsidRPr="00B7454A">
        <w:rPr>
          <w:lang w:val="es-ES"/>
        </w:rPr>
        <w:t>3.10</w:t>
      </w:r>
      <w:r w:rsidRPr="00B7454A">
        <w:rPr>
          <w:lang w:val="es-ES"/>
        </w:rPr>
        <w:tab/>
      </w:r>
      <w:r w:rsidR="00D748E6" w:rsidRPr="00B7454A">
        <w:rPr>
          <w:lang w:val="es-ES"/>
        </w:rPr>
        <w:t xml:space="preserve">Así se </w:t>
      </w:r>
      <w:r w:rsidR="00D748E6" w:rsidRPr="00B7454A">
        <w:rPr>
          <w:b/>
          <w:bCs/>
          <w:lang w:val="es-ES"/>
        </w:rPr>
        <w:t>acuerda</w:t>
      </w:r>
      <w:r w:rsidRPr="00B7454A">
        <w:rPr>
          <w:lang w:val="es-ES"/>
        </w:rPr>
        <w:t>.</w:t>
      </w:r>
    </w:p>
    <w:p w14:paraId="68B4D9B0" w14:textId="59426A35" w:rsidR="008F7692" w:rsidRPr="00D748E6" w:rsidRDefault="008F7692" w:rsidP="008E5D06">
      <w:pPr>
        <w:pStyle w:val="Heading1"/>
        <w:rPr>
          <w:rFonts w:asciiTheme="minorHAnsi" w:hAnsiTheme="minorHAnsi" w:cstheme="minorHAnsi"/>
          <w:bCs/>
          <w:szCs w:val="24"/>
          <w:lang w:val="es-ES"/>
        </w:rPr>
      </w:pPr>
      <w:r w:rsidRPr="00D748E6">
        <w:rPr>
          <w:rFonts w:asciiTheme="minorHAnsi" w:hAnsiTheme="minorHAnsi" w:cstheme="minorHAnsi"/>
          <w:bCs/>
          <w:szCs w:val="24"/>
          <w:lang w:val="es-ES"/>
        </w:rPr>
        <w:t>4</w:t>
      </w:r>
      <w:r w:rsidRPr="00D748E6">
        <w:rPr>
          <w:rFonts w:asciiTheme="minorHAnsi" w:hAnsiTheme="minorHAnsi" w:cstheme="minorHAnsi"/>
          <w:bCs/>
          <w:szCs w:val="24"/>
          <w:lang w:val="es-ES"/>
        </w:rPr>
        <w:tab/>
      </w:r>
      <w:r w:rsidR="00D748E6" w:rsidRPr="00D748E6">
        <w:rPr>
          <w:rFonts w:asciiTheme="minorHAnsi" w:hAnsiTheme="minorHAnsi" w:cstheme="minorHAnsi"/>
          <w:bCs/>
          <w:szCs w:val="24"/>
          <w:lang w:val="es-ES"/>
        </w:rPr>
        <w:t>Día Mundial de las Telecomunicaciones y la Soci</w:t>
      </w:r>
      <w:r w:rsidR="00D748E6">
        <w:rPr>
          <w:rFonts w:asciiTheme="minorHAnsi" w:hAnsiTheme="minorHAnsi" w:cstheme="minorHAnsi"/>
          <w:bCs/>
          <w:szCs w:val="24"/>
          <w:lang w:val="es-ES"/>
        </w:rPr>
        <w:t>edad de la Información</w:t>
      </w:r>
      <w:r w:rsidRPr="00D748E6">
        <w:rPr>
          <w:rFonts w:asciiTheme="minorHAnsi" w:hAnsiTheme="minorHAnsi" w:cstheme="minorHAnsi"/>
          <w:bCs/>
          <w:szCs w:val="24"/>
          <w:lang w:val="es-ES"/>
        </w:rPr>
        <w:t xml:space="preserve"> (Document</w:t>
      </w:r>
      <w:r w:rsidR="00D748E6">
        <w:rPr>
          <w:rFonts w:asciiTheme="minorHAnsi" w:hAnsiTheme="minorHAnsi" w:cstheme="minorHAnsi"/>
          <w:bCs/>
          <w:szCs w:val="24"/>
          <w:lang w:val="es-ES"/>
        </w:rPr>
        <w:t>o</w:t>
      </w:r>
      <w:r w:rsidRPr="00D748E6">
        <w:rPr>
          <w:rFonts w:asciiTheme="minorHAnsi" w:hAnsiTheme="minorHAnsi" w:cstheme="minorHAnsi"/>
          <w:bCs/>
          <w:szCs w:val="24"/>
          <w:lang w:val="es-ES"/>
        </w:rPr>
        <w:t>s </w:t>
      </w:r>
      <w:hyperlink r:id="rId30" w:history="1">
        <w:r w:rsidRPr="00D748E6">
          <w:rPr>
            <w:rStyle w:val="Hyperlink"/>
            <w:rFonts w:asciiTheme="minorHAnsi" w:hAnsiTheme="minorHAnsi" w:cstheme="minorHAnsi"/>
            <w:bCs/>
            <w:szCs w:val="24"/>
            <w:lang w:val="es-ES"/>
          </w:rPr>
          <w:t>C23/17</w:t>
        </w:r>
      </w:hyperlink>
      <w:r w:rsidRPr="00D748E6">
        <w:rPr>
          <w:rFonts w:asciiTheme="minorHAnsi" w:hAnsiTheme="minorHAnsi" w:cstheme="minorHAnsi"/>
          <w:bCs/>
          <w:szCs w:val="24"/>
          <w:lang w:val="es-ES"/>
        </w:rPr>
        <w:t xml:space="preserve"> </w:t>
      </w:r>
      <w:r w:rsidR="00D748E6">
        <w:rPr>
          <w:rFonts w:asciiTheme="minorHAnsi" w:hAnsiTheme="minorHAnsi" w:cstheme="minorHAnsi"/>
          <w:bCs/>
          <w:szCs w:val="24"/>
          <w:lang w:val="es-ES"/>
        </w:rPr>
        <w:t>y</w:t>
      </w:r>
      <w:r w:rsidRPr="00D748E6">
        <w:rPr>
          <w:rFonts w:asciiTheme="minorHAnsi" w:hAnsiTheme="minorHAnsi" w:cstheme="minorHAnsi"/>
          <w:bCs/>
          <w:szCs w:val="24"/>
          <w:lang w:val="es-ES"/>
        </w:rPr>
        <w:t xml:space="preserve"> </w:t>
      </w:r>
      <w:hyperlink r:id="rId31" w:history="1">
        <w:r w:rsidRPr="00D748E6">
          <w:rPr>
            <w:rStyle w:val="Hyperlink"/>
            <w:rFonts w:asciiTheme="minorHAnsi" w:hAnsiTheme="minorHAnsi" w:cstheme="minorHAnsi"/>
            <w:bCs/>
            <w:szCs w:val="24"/>
            <w:lang w:val="es-ES"/>
          </w:rPr>
          <w:t>C23/DT/4</w:t>
        </w:r>
      </w:hyperlink>
      <w:r w:rsidRPr="00D748E6">
        <w:rPr>
          <w:rFonts w:asciiTheme="minorHAnsi" w:hAnsiTheme="minorHAnsi" w:cstheme="minorHAnsi"/>
          <w:bCs/>
          <w:szCs w:val="24"/>
          <w:lang w:val="es-ES"/>
        </w:rPr>
        <w:t>)</w:t>
      </w:r>
    </w:p>
    <w:p w14:paraId="7D101FD2" w14:textId="5A685FBF" w:rsidR="008F7692" w:rsidRPr="00A6778B" w:rsidRDefault="008F7692" w:rsidP="008E5D06">
      <w:pPr>
        <w:rPr>
          <w:lang w:val="es-ES"/>
        </w:rPr>
      </w:pPr>
      <w:r w:rsidRPr="005468A8">
        <w:rPr>
          <w:lang w:val="es-ES"/>
        </w:rPr>
        <w:t>4.1</w:t>
      </w:r>
      <w:r w:rsidRPr="005468A8">
        <w:rPr>
          <w:lang w:val="es-ES"/>
        </w:rPr>
        <w:tab/>
      </w:r>
      <w:r w:rsidR="005468A8" w:rsidRPr="005468A8">
        <w:rPr>
          <w:lang w:val="es-ES"/>
        </w:rPr>
        <w:t>Un</w:t>
      </w:r>
      <w:r w:rsidR="00A6778B">
        <w:rPr>
          <w:lang w:val="es-ES"/>
        </w:rPr>
        <w:t>a</w:t>
      </w:r>
      <w:r w:rsidR="005468A8" w:rsidRPr="005468A8">
        <w:rPr>
          <w:lang w:val="es-ES"/>
        </w:rPr>
        <w:t xml:space="preserve"> representante de la Secretaría General presenta el Documento</w:t>
      </w:r>
      <w:r w:rsidRPr="005468A8">
        <w:rPr>
          <w:lang w:val="es-ES"/>
        </w:rPr>
        <w:t xml:space="preserve"> C23/17</w:t>
      </w:r>
      <w:r w:rsidR="005468A8" w:rsidRPr="005468A8">
        <w:rPr>
          <w:lang w:val="es-ES"/>
        </w:rPr>
        <w:t>, que contiene el Informe sobre el Día Mundial de las Telecomunicaciones y la</w:t>
      </w:r>
      <w:r w:rsidR="005468A8">
        <w:rPr>
          <w:lang w:val="es-ES"/>
        </w:rPr>
        <w:t xml:space="preserve"> Sociedad de la Información (DMTSI) celebrado el 17 de mayo de</w:t>
      </w:r>
      <w:r w:rsidRPr="005468A8">
        <w:rPr>
          <w:lang w:val="es-ES"/>
        </w:rPr>
        <w:t xml:space="preserve"> 2023</w:t>
      </w:r>
      <w:r w:rsidR="005468A8">
        <w:rPr>
          <w:lang w:val="es-ES"/>
        </w:rPr>
        <w:t>, dedicado al tema</w:t>
      </w:r>
      <w:r w:rsidRPr="005468A8">
        <w:rPr>
          <w:lang w:val="es-ES"/>
        </w:rPr>
        <w:t xml:space="preserve"> </w:t>
      </w:r>
      <w:r w:rsidR="008E5D06">
        <w:rPr>
          <w:lang w:val="es-ES"/>
        </w:rPr>
        <w:t>"</w:t>
      </w:r>
      <w:r w:rsidR="005468A8">
        <w:rPr>
          <w:lang w:val="es-ES"/>
        </w:rPr>
        <w:t>Empoderar a los países menos adelantados mediante las tecnologías de la información y la comunicación</w:t>
      </w:r>
      <w:r w:rsidR="008E5D06">
        <w:rPr>
          <w:lang w:val="es-ES"/>
        </w:rPr>
        <w:t>"</w:t>
      </w:r>
      <w:r w:rsidRPr="005468A8">
        <w:rPr>
          <w:lang w:val="es-ES"/>
        </w:rPr>
        <w:t xml:space="preserve">. </w:t>
      </w:r>
      <w:r w:rsidR="00A6778B" w:rsidRPr="00A6778B">
        <w:rPr>
          <w:lang w:val="es-ES"/>
        </w:rPr>
        <w:t>En el Informe se recuerda el llamamiento formulado por la UIT para alcanzar los 100 000 millon</w:t>
      </w:r>
      <w:r w:rsidR="00A6778B">
        <w:rPr>
          <w:lang w:val="es-ES"/>
        </w:rPr>
        <w:t xml:space="preserve">es USD en </w:t>
      </w:r>
      <w:r w:rsidR="00A6778B" w:rsidRPr="00A6778B">
        <w:rPr>
          <w:lang w:val="es-ES"/>
        </w:rPr>
        <w:t>compromisos para digitalizar el mundo</w:t>
      </w:r>
      <w:r w:rsidR="00A6778B">
        <w:rPr>
          <w:lang w:val="es-ES"/>
        </w:rPr>
        <w:t xml:space="preserve"> antes de 2026 y se invita a los consejeros a presentar sus propuestas para el DMTSI</w:t>
      </w:r>
      <w:r w:rsidRPr="00A6778B">
        <w:rPr>
          <w:lang w:val="es-ES"/>
        </w:rPr>
        <w:noBreakHyphen/>
        <w:t xml:space="preserve">2024. </w:t>
      </w:r>
      <w:r w:rsidR="00A6778B" w:rsidRPr="00A6778B">
        <w:rPr>
          <w:lang w:val="es-ES"/>
        </w:rPr>
        <w:t>Se ha recibido una propuesta de China y otra de Re</w:t>
      </w:r>
      <w:r w:rsidR="00A6778B">
        <w:rPr>
          <w:lang w:val="es-ES"/>
        </w:rPr>
        <w:t>ino Unido</w:t>
      </w:r>
      <w:r w:rsidRPr="00A6778B">
        <w:rPr>
          <w:lang w:val="es-ES"/>
        </w:rPr>
        <w:t>.</w:t>
      </w:r>
    </w:p>
    <w:p w14:paraId="6EA1AC94" w14:textId="55110534" w:rsidR="008F7692" w:rsidRPr="00A6778B" w:rsidRDefault="008F7692" w:rsidP="008E5D06">
      <w:pPr>
        <w:rPr>
          <w:lang w:val="es-ES"/>
        </w:rPr>
      </w:pPr>
      <w:r w:rsidRPr="00A6778B">
        <w:rPr>
          <w:lang w:val="es-ES"/>
        </w:rPr>
        <w:t>4.2</w:t>
      </w:r>
      <w:r w:rsidRPr="00A6778B">
        <w:rPr>
          <w:lang w:val="es-ES"/>
        </w:rPr>
        <w:tab/>
      </w:r>
      <w:r w:rsidR="00A6778B" w:rsidRPr="00A6778B">
        <w:rPr>
          <w:lang w:val="es-ES"/>
        </w:rPr>
        <w:t xml:space="preserve">El Presidente confirma que, tras las consultas informales celebradas, el tema del DMTSI-24 será </w:t>
      </w:r>
      <w:r w:rsidR="008E5D06">
        <w:rPr>
          <w:lang w:val="es-ES"/>
        </w:rPr>
        <w:t>"</w:t>
      </w:r>
      <w:r w:rsidR="00A6778B" w:rsidRPr="00A6778B">
        <w:rPr>
          <w:lang w:val="es-ES"/>
        </w:rPr>
        <w:t>Innovación digital para el desarrollo sostenible</w:t>
      </w:r>
      <w:r w:rsidR="008E5D06">
        <w:rPr>
          <w:lang w:val="es-ES"/>
        </w:rPr>
        <w:t>"</w:t>
      </w:r>
      <w:r w:rsidR="00A6778B" w:rsidRPr="00A6778B">
        <w:rPr>
          <w:lang w:val="es-ES"/>
        </w:rPr>
        <w:t xml:space="preserve">, propuesto por China, y el tema del DMTSI-25 será el propuesto por Reino Unido, a saber, </w:t>
      </w:r>
      <w:r w:rsidR="008E5D06">
        <w:rPr>
          <w:lang w:val="es-ES"/>
        </w:rPr>
        <w:t>"</w:t>
      </w:r>
      <w:r w:rsidR="00A6778B" w:rsidRPr="00A6778B">
        <w:rPr>
          <w:lang w:val="es-ES"/>
        </w:rPr>
        <w:t xml:space="preserve">Igualdad de </w:t>
      </w:r>
      <w:r w:rsidR="00A6778B">
        <w:rPr>
          <w:lang w:val="es-ES"/>
        </w:rPr>
        <w:t>género en la transformación digital</w:t>
      </w:r>
      <w:r w:rsidR="008E5D06">
        <w:rPr>
          <w:lang w:val="es-ES"/>
        </w:rPr>
        <w:t>"</w:t>
      </w:r>
      <w:r w:rsidR="00A6778B">
        <w:rPr>
          <w:lang w:val="es-ES"/>
        </w:rPr>
        <w:t>, como se indica en el proyecto de nueva Resolución presentado en el Documento</w:t>
      </w:r>
      <w:r w:rsidRPr="00A6778B">
        <w:rPr>
          <w:lang w:val="es-ES"/>
        </w:rPr>
        <w:t xml:space="preserve"> C23/DT/4. </w:t>
      </w:r>
    </w:p>
    <w:p w14:paraId="4B669C2E" w14:textId="6D3D7869" w:rsidR="008F7692" w:rsidRPr="00A6778B" w:rsidRDefault="008F7692" w:rsidP="008E5D06">
      <w:pPr>
        <w:rPr>
          <w:lang w:val="es-ES"/>
        </w:rPr>
      </w:pPr>
      <w:r w:rsidRPr="00A6778B">
        <w:rPr>
          <w:lang w:val="es-ES"/>
        </w:rPr>
        <w:t>4.3</w:t>
      </w:r>
      <w:r w:rsidRPr="00A6778B">
        <w:rPr>
          <w:lang w:val="es-ES"/>
        </w:rPr>
        <w:tab/>
      </w:r>
      <w:r w:rsidR="00A6778B" w:rsidRPr="00A6778B">
        <w:rPr>
          <w:lang w:val="es-ES"/>
        </w:rPr>
        <w:t xml:space="preserve">El Consejo </w:t>
      </w:r>
      <w:r w:rsidR="00A6778B" w:rsidRPr="00A6778B">
        <w:rPr>
          <w:b/>
          <w:bCs/>
          <w:lang w:val="es-ES"/>
        </w:rPr>
        <w:t xml:space="preserve">toma nota </w:t>
      </w:r>
      <w:r w:rsidR="00A6778B" w:rsidRPr="00A6778B">
        <w:rPr>
          <w:lang w:val="es-ES"/>
        </w:rPr>
        <w:t>del Informe del Documento</w:t>
      </w:r>
      <w:r w:rsidRPr="00A6778B">
        <w:rPr>
          <w:lang w:val="es-ES"/>
        </w:rPr>
        <w:t xml:space="preserve"> C23/17 </w:t>
      </w:r>
      <w:r w:rsidR="00A6778B" w:rsidRPr="00A6778B">
        <w:rPr>
          <w:lang w:val="es-ES"/>
        </w:rPr>
        <w:t>y</w:t>
      </w:r>
      <w:r w:rsidRPr="00A6778B">
        <w:rPr>
          <w:lang w:val="es-ES"/>
        </w:rPr>
        <w:t xml:space="preserve"> </w:t>
      </w:r>
      <w:r w:rsidRPr="00A6778B">
        <w:rPr>
          <w:b/>
          <w:bCs/>
          <w:lang w:val="es-ES"/>
        </w:rPr>
        <w:t>adopt</w:t>
      </w:r>
      <w:r w:rsidR="00A6778B" w:rsidRPr="00A6778B">
        <w:rPr>
          <w:b/>
          <w:bCs/>
          <w:lang w:val="es-ES"/>
        </w:rPr>
        <w:t>a</w:t>
      </w:r>
      <w:r w:rsidRPr="00A6778B">
        <w:rPr>
          <w:lang w:val="es-ES"/>
        </w:rPr>
        <w:t xml:space="preserve"> </w:t>
      </w:r>
      <w:r w:rsidR="00A6778B">
        <w:rPr>
          <w:lang w:val="es-ES"/>
        </w:rPr>
        <w:t>la Resolución presentada en el Documento</w:t>
      </w:r>
      <w:r w:rsidRPr="00A6778B">
        <w:rPr>
          <w:lang w:val="es-ES"/>
        </w:rPr>
        <w:t> C23/DT/4.</w:t>
      </w:r>
    </w:p>
    <w:p w14:paraId="3A5ADC95" w14:textId="4CD9F475" w:rsidR="008F7692" w:rsidRPr="000A6138" w:rsidRDefault="008F7692" w:rsidP="008E5D06">
      <w:pPr>
        <w:pStyle w:val="Heading1"/>
        <w:rPr>
          <w:rFonts w:asciiTheme="minorHAnsi" w:hAnsiTheme="minorHAnsi" w:cstheme="minorHAnsi"/>
          <w:bCs/>
          <w:szCs w:val="24"/>
          <w:lang w:val="es-ES"/>
        </w:rPr>
      </w:pPr>
      <w:r w:rsidRPr="000A6138">
        <w:rPr>
          <w:rFonts w:asciiTheme="minorHAnsi" w:hAnsiTheme="minorHAnsi" w:cstheme="minorHAnsi"/>
          <w:bCs/>
          <w:szCs w:val="24"/>
          <w:lang w:val="es-ES"/>
        </w:rPr>
        <w:t>5</w:t>
      </w:r>
      <w:r w:rsidRPr="000A6138">
        <w:rPr>
          <w:rFonts w:asciiTheme="minorHAnsi" w:hAnsiTheme="minorHAnsi" w:cstheme="minorHAnsi"/>
          <w:bCs/>
          <w:szCs w:val="24"/>
          <w:lang w:val="es-ES"/>
        </w:rPr>
        <w:tab/>
      </w:r>
      <w:r w:rsidR="000A6138" w:rsidRPr="000A6138">
        <w:rPr>
          <w:rFonts w:asciiTheme="minorHAnsi" w:hAnsiTheme="minorHAnsi" w:cstheme="minorHAnsi"/>
          <w:bCs/>
          <w:szCs w:val="24"/>
          <w:lang w:val="es-ES"/>
        </w:rPr>
        <w:t xml:space="preserve">Examen periódico del Reglamento de </w:t>
      </w:r>
      <w:r w:rsidR="000A6138">
        <w:rPr>
          <w:rFonts w:asciiTheme="minorHAnsi" w:hAnsiTheme="minorHAnsi" w:cstheme="minorHAnsi"/>
          <w:bCs/>
          <w:szCs w:val="24"/>
          <w:lang w:val="es-ES"/>
        </w:rPr>
        <w:t>las Telecomunicaciones Internacionales (continuación</w:t>
      </w:r>
      <w:r w:rsidRPr="000A6138">
        <w:rPr>
          <w:rFonts w:asciiTheme="minorHAnsi" w:hAnsiTheme="minorHAnsi" w:cstheme="minorHAnsi"/>
          <w:bCs/>
          <w:szCs w:val="24"/>
          <w:lang w:val="es-ES"/>
        </w:rPr>
        <w:t>) (Document</w:t>
      </w:r>
      <w:r w:rsidR="000A6138">
        <w:rPr>
          <w:rFonts w:asciiTheme="minorHAnsi" w:hAnsiTheme="minorHAnsi" w:cstheme="minorHAnsi"/>
          <w:bCs/>
          <w:szCs w:val="24"/>
          <w:lang w:val="es-ES"/>
        </w:rPr>
        <w:t>o</w:t>
      </w:r>
      <w:r w:rsidRPr="000A6138">
        <w:rPr>
          <w:rFonts w:asciiTheme="minorHAnsi" w:hAnsiTheme="minorHAnsi" w:cstheme="minorHAnsi"/>
          <w:bCs/>
          <w:szCs w:val="24"/>
          <w:lang w:val="es-ES"/>
        </w:rPr>
        <w:t xml:space="preserve">s </w:t>
      </w:r>
      <w:hyperlink r:id="rId32" w:history="1">
        <w:r w:rsidRPr="000A6138">
          <w:rPr>
            <w:rStyle w:val="Hyperlink"/>
            <w:rFonts w:asciiTheme="minorHAnsi" w:hAnsiTheme="minorHAnsi" w:cstheme="minorHAnsi"/>
            <w:bCs/>
            <w:szCs w:val="24"/>
            <w:lang w:val="es-ES"/>
          </w:rPr>
          <w:t>C23/12</w:t>
        </w:r>
      </w:hyperlink>
      <w:r w:rsidRPr="000A6138">
        <w:rPr>
          <w:rFonts w:asciiTheme="minorHAnsi" w:hAnsiTheme="minorHAnsi" w:cstheme="minorHAnsi"/>
          <w:bCs/>
          <w:szCs w:val="24"/>
          <w:lang w:val="es-ES"/>
        </w:rPr>
        <w:t xml:space="preserve">, </w:t>
      </w:r>
      <w:hyperlink r:id="rId33" w:history="1">
        <w:r w:rsidRPr="000A6138">
          <w:rPr>
            <w:rStyle w:val="Hyperlink"/>
            <w:rFonts w:asciiTheme="minorHAnsi" w:hAnsiTheme="minorHAnsi" w:cstheme="minorHAnsi"/>
            <w:bCs/>
            <w:szCs w:val="24"/>
            <w:lang w:val="es-ES"/>
          </w:rPr>
          <w:t>C23/66</w:t>
        </w:r>
      </w:hyperlink>
      <w:r w:rsidRPr="000A6138">
        <w:rPr>
          <w:rFonts w:asciiTheme="minorHAnsi" w:hAnsiTheme="minorHAnsi" w:cstheme="minorHAnsi"/>
          <w:bCs/>
          <w:szCs w:val="24"/>
          <w:lang w:val="es-ES"/>
        </w:rPr>
        <w:t xml:space="preserve">, </w:t>
      </w:r>
      <w:hyperlink r:id="rId34" w:history="1">
        <w:r w:rsidRPr="000A6138">
          <w:rPr>
            <w:rStyle w:val="Hyperlink"/>
            <w:rFonts w:asciiTheme="minorHAnsi" w:hAnsiTheme="minorHAnsi" w:cstheme="minorHAnsi"/>
            <w:bCs/>
            <w:szCs w:val="24"/>
            <w:lang w:val="es-ES"/>
          </w:rPr>
          <w:t>C23/73</w:t>
        </w:r>
      </w:hyperlink>
      <w:r w:rsidRPr="000A6138">
        <w:rPr>
          <w:rFonts w:asciiTheme="minorHAnsi" w:hAnsiTheme="minorHAnsi" w:cstheme="minorHAnsi"/>
          <w:bCs/>
          <w:szCs w:val="24"/>
          <w:lang w:val="es-ES"/>
        </w:rPr>
        <w:t xml:space="preserve">, </w:t>
      </w:r>
      <w:hyperlink r:id="rId35" w:history="1">
        <w:r w:rsidRPr="000A6138">
          <w:rPr>
            <w:rStyle w:val="Hyperlink"/>
            <w:rFonts w:asciiTheme="minorHAnsi" w:hAnsiTheme="minorHAnsi" w:cstheme="minorHAnsi"/>
            <w:bCs/>
            <w:szCs w:val="24"/>
            <w:lang w:val="es-ES"/>
          </w:rPr>
          <w:t>C23/77+Corr.1</w:t>
        </w:r>
      </w:hyperlink>
      <w:r w:rsidRPr="000A6138">
        <w:rPr>
          <w:rFonts w:asciiTheme="minorHAnsi" w:hAnsiTheme="minorHAnsi" w:cstheme="minorHAnsi"/>
          <w:bCs/>
          <w:szCs w:val="24"/>
          <w:lang w:val="es-ES"/>
        </w:rPr>
        <w:t xml:space="preserve">, </w:t>
      </w:r>
      <w:hyperlink r:id="rId36" w:history="1">
        <w:r w:rsidRPr="000A6138">
          <w:rPr>
            <w:rStyle w:val="Hyperlink"/>
            <w:rFonts w:asciiTheme="minorHAnsi" w:hAnsiTheme="minorHAnsi" w:cstheme="minorHAnsi"/>
            <w:bCs/>
            <w:szCs w:val="24"/>
            <w:lang w:val="es-ES"/>
          </w:rPr>
          <w:t>C23/88+Corr.1,2</w:t>
        </w:r>
      </w:hyperlink>
      <w:r w:rsidRPr="000A6138">
        <w:rPr>
          <w:rFonts w:asciiTheme="minorHAnsi" w:hAnsiTheme="minorHAnsi" w:cstheme="minorHAnsi"/>
          <w:bCs/>
          <w:szCs w:val="24"/>
          <w:lang w:val="es-ES"/>
        </w:rPr>
        <w:t xml:space="preserve"> </w:t>
      </w:r>
      <w:r w:rsidR="000A6138">
        <w:rPr>
          <w:rFonts w:asciiTheme="minorHAnsi" w:hAnsiTheme="minorHAnsi" w:cstheme="minorHAnsi"/>
          <w:bCs/>
          <w:szCs w:val="24"/>
          <w:lang w:val="es-ES"/>
        </w:rPr>
        <w:t>y</w:t>
      </w:r>
      <w:r w:rsidRPr="000A6138">
        <w:rPr>
          <w:rFonts w:asciiTheme="minorHAnsi" w:hAnsiTheme="minorHAnsi" w:cstheme="minorHAnsi"/>
          <w:bCs/>
          <w:szCs w:val="24"/>
          <w:lang w:val="es-ES"/>
        </w:rPr>
        <w:t xml:space="preserve"> </w:t>
      </w:r>
      <w:hyperlink r:id="rId37" w:history="1">
        <w:r w:rsidRPr="000A6138">
          <w:rPr>
            <w:rStyle w:val="Hyperlink"/>
            <w:rFonts w:asciiTheme="minorHAnsi" w:hAnsiTheme="minorHAnsi" w:cstheme="minorHAnsi"/>
            <w:bCs/>
            <w:szCs w:val="24"/>
            <w:lang w:val="es-ES"/>
          </w:rPr>
          <w:t>C23/DT/5</w:t>
        </w:r>
      </w:hyperlink>
      <w:r w:rsidRPr="000A6138">
        <w:rPr>
          <w:rFonts w:asciiTheme="minorHAnsi" w:hAnsiTheme="minorHAnsi" w:cstheme="minorHAnsi"/>
          <w:bCs/>
          <w:szCs w:val="24"/>
          <w:lang w:val="es-ES"/>
        </w:rPr>
        <w:t xml:space="preserve">) </w:t>
      </w:r>
    </w:p>
    <w:p w14:paraId="4ACD1206" w14:textId="35AC71F5" w:rsidR="008F7692" w:rsidRPr="000A6138" w:rsidRDefault="008F7692" w:rsidP="008E5D06">
      <w:pPr>
        <w:rPr>
          <w:lang w:val="es-ES"/>
        </w:rPr>
      </w:pPr>
      <w:r w:rsidRPr="000A6138">
        <w:rPr>
          <w:lang w:val="es-ES"/>
        </w:rPr>
        <w:t>5.1</w:t>
      </w:r>
      <w:r w:rsidRPr="000A6138">
        <w:rPr>
          <w:lang w:val="es-ES"/>
        </w:rPr>
        <w:tab/>
      </w:r>
      <w:r w:rsidR="000A6138" w:rsidRPr="000A6138">
        <w:rPr>
          <w:lang w:val="es-ES"/>
        </w:rPr>
        <w:t>El consejero de Bahamas da cuenta del éxito de las consultas informales con los Estados Miembros, los coordinadores regionales y las partes interesadas y dice que, tal y como exige la Resolución</w:t>
      </w:r>
      <w:r w:rsidRPr="000A6138">
        <w:rPr>
          <w:lang w:val="es-ES"/>
        </w:rPr>
        <w:t xml:space="preserve"> 146 (Rev. Bucarest 2022), </w:t>
      </w:r>
      <w:r w:rsidR="000A6138">
        <w:rPr>
          <w:lang w:val="es-ES"/>
        </w:rPr>
        <w:t xml:space="preserve">se ha acordado el mandato para el examen periódico del Reglamento de las Telecomunicaciones Internacionales por el Grupo de Expertos sobre el RTI. </w:t>
      </w:r>
      <w:r w:rsidR="000A6138" w:rsidRPr="000A6138">
        <w:rPr>
          <w:lang w:val="es-ES"/>
        </w:rPr>
        <w:t>El texto consensuado, que se presenta en un proyecto de revisión de la Resolución</w:t>
      </w:r>
      <w:r w:rsidRPr="000A6138">
        <w:rPr>
          <w:lang w:val="es-ES"/>
        </w:rPr>
        <w:t xml:space="preserve"> 1379 (C16, </w:t>
      </w:r>
      <w:r w:rsidR="000A6138" w:rsidRPr="000A6138">
        <w:rPr>
          <w:lang w:val="es-ES"/>
        </w:rPr>
        <w:t>m</w:t>
      </w:r>
      <w:r w:rsidR="000A6138">
        <w:rPr>
          <w:lang w:val="es-ES"/>
        </w:rPr>
        <w:t>odificada en</w:t>
      </w:r>
      <w:r w:rsidRPr="000A6138">
        <w:rPr>
          <w:lang w:val="es-ES"/>
        </w:rPr>
        <w:t xml:space="preserve"> C19) </w:t>
      </w:r>
      <w:r w:rsidR="000A6138">
        <w:rPr>
          <w:lang w:val="es-ES"/>
        </w:rPr>
        <w:t>en el Documento</w:t>
      </w:r>
      <w:r w:rsidRPr="000A6138">
        <w:rPr>
          <w:lang w:val="es-ES"/>
        </w:rPr>
        <w:t xml:space="preserve"> C23/DT/5, represent</w:t>
      </w:r>
      <w:r w:rsidR="000A6138">
        <w:rPr>
          <w:lang w:val="es-ES"/>
        </w:rPr>
        <w:t>a un delicado equilibrio entre las contribuciones presentadas por los Estados Miembros en los Documentos</w:t>
      </w:r>
      <w:r w:rsidRPr="000A6138">
        <w:rPr>
          <w:lang w:val="es-ES"/>
        </w:rPr>
        <w:t xml:space="preserve"> C23/66, C23/73, C23/77+Corr.1 </w:t>
      </w:r>
      <w:r w:rsidR="000A6138">
        <w:rPr>
          <w:lang w:val="es-ES"/>
        </w:rPr>
        <w:t>y</w:t>
      </w:r>
      <w:r w:rsidRPr="000A6138">
        <w:rPr>
          <w:lang w:val="es-ES"/>
        </w:rPr>
        <w:t xml:space="preserve"> C23/88+Corr.1 </w:t>
      </w:r>
      <w:r w:rsidR="000A6138">
        <w:rPr>
          <w:lang w:val="es-ES"/>
        </w:rPr>
        <w:t>y</w:t>
      </w:r>
      <w:r w:rsidRPr="000A6138">
        <w:rPr>
          <w:lang w:val="es-ES"/>
        </w:rPr>
        <w:t xml:space="preserve"> 2. </w:t>
      </w:r>
    </w:p>
    <w:p w14:paraId="38395E7A" w14:textId="22A8187F" w:rsidR="008F7692" w:rsidRPr="000A6138" w:rsidRDefault="008F7692" w:rsidP="008E5D06">
      <w:pPr>
        <w:rPr>
          <w:lang w:val="es-ES"/>
        </w:rPr>
      </w:pPr>
      <w:r w:rsidRPr="000A6138">
        <w:rPr>
          <w:lang w:val="es-ES"/>
        </w:rPr>
        <w:t>5.2</w:t>
      </w:r>
      <w:r w:rsidRPr="000A6138">
        <w:rPr>
          <w:lang w:val="es-ES"/>
        </w:rPr>
        <w:tab/>
      </w:r>
      <w:r w:rsidR="000A6138" w:rsidRPr="000A6138">
        <w:rPr>
          <w:lang w:val="es-ES"/>
        </w:rPr>
        <w:t xml:space="preserve">El Consejo </w:t>
      </w:r>
      <w:r w:rsidRPr="000A6138">
        <w:rPr>
          <w:b/>
          <w:bCs/>
          <w:lang w:val="es-ES"/>
        </w:rPr>
        <w:t>adopt</w:t>
      </w:r>
      <w:r w:rsidR="000A6138" w:rsidRPr="000A6138">
        <w:rPr>
          <w:b/>
          <w:bCs/>
          <w:lang w:val="es-ES"/>
        </w:rPr>
        <w:t>a</w:t>
      </w:r>
      <w:r w:rsidRPr="000A6138">
        <w:rPr>
          <w:lang w:val="es-ES"/>
        </w:rPr>
        <w:t xml:space="preserve"> </w:t>
      </w:r>
      <w:r w:rsidR="000A6138" w:rsidRPr="000A6138">
        <w:rPr>
          <w:lang w:val="es-ES"/>
        </w:rPr>
        <w:t>la revisión de la</w:t>
      </w:r>
      <w:r w:rsidR="000A6138">
        <w:rPr>
          <w:lang w:val="es-ES"/>
        </w:rPr>
        <w:t xml:space="preserve"> Resolución</w:t>
      </w:r>
      <w:r w:rsidRPr="000A6138">
        <w:rPr>
          <w:lang w:val="es-ES"/>
        </w:rPr>
        <w:t xml:space="preserve"> 1379 (C16, </w:t>
      </w:r>
      <w:r w:rsidR="000A6138">
        <w:rPr>
          <w:lang w:val="es-ES"/>
        </w:rPr>
        <w:t>modificada en</w:t>
      </w:r>
      <w:r w:rsidRPr="000A6138">
        <w:rPr>
          <w:lang w:val="es-ES"/>
        </w:rPr>
        <w:t xml:space="preserve"> C19) </w:t>
      </w:r>
      <w:r w:rsidR="000A6138">
        <w:rPr>
          <w:lang w:val="es-ES"/>
        </w:rPr>
        <w:t>presentada en el Documento</w:t>
      </w:r>
      <w:r w:rsidRPr="000A6138">
        <w:rPr>
          <w:lang w:val="es-ES"/>
        </w:rPr>
        <w:t> C23/DT/5.</w:t>
      </w:r>
    </w:p>
    <w:p w14:paraId="324747F4" w14:textId="130C341A" w:rsidR="008F7692" w:rsidRPr="000A6138" w:rsidRDefault="008F7692" w:rsidP="008E5D06">
      <w:pPr>
        <w:pStyle w:val="Heading1"/>
        <w:rPr>
          <w:lang w:val="es-ES"/>
        </w:rPr>
      </w:pPr>
      <w:r w:rsidRPr="000A6138">
        <w:rPr>
          <w:lang w:val="es-ES"/>
        </w:rPr>
        <w:lastRenderedPageBreak/>
        <w:t>6</w:t>
      </w:r>
      <w:r w:rsidRPr="000A6138">
        <w:rPr>
          <w:lang w:val="es-ES"/>
        </w:rPr>
        <w:tab/>
        <w:t>Preparati</w:t>
      </w:r>
      <w:r w:rsidR="000A6138" w:rsidRPr="000A6138">
        <w:rPr>
          <w:lang w:val="es-ES"/>
        </w:rPr>
        <w:t>vos para el Foro Mundial de Política de</w:t>
      </w:r>
      <w:r w:rsidR="000A6138">
        <w:rPr>
          <w:lang w:val="es-ES"/>
        </w:rPr>
        <w:t xml:space="preserve"> las Telecomunicaciones/TIC de 2026</w:t>
      </w:r>
      <w:r w:rsidRPr="000A6138">
        <w:rPr>
          <w:lang w:val="es-ES"/>
        </w:rPr>
        <w:t xml:space="preserve"> (Document</w:t>
      </w:r>
      <w:r w:rsidR="000A6138">
        <w:rPr>
          <w:lang w:val="es-ES"/>
        </w:rPr>
        <w:t>o</w:t>
      </w:r>
      <w:r w:rsidRPr="000A6138">
        <w:rPr>
          <w:lang w:val="es-ES"/>
        </w:rPr>
        <w:t> </w:t>
      </w:r>
      <w:hyperlink r:id="rId38" w:history="1">
        <w:r w:rsidRPr="000A6138">
          <w:rPr>
            <w:rStyle w:val="Hyperlink"/>
            <w:rFonts w:asciiTheme="minorHAnsi" w:hAnsiTheme="minorHAnsi" w:cstheme="minorHAnsi"/>
            <w:bCs/>
            <w:szCs w:val="24"/>
            <w:lang w:val="es-ES"/>
          </w:rPr>
          <w:t>C23/13</w:t>
        </w:r>
      </w:hyperlink>
      <w:r w:rsidRPr="000A6138">
        <w:rPr>
          <w:lang w:val="es-ES"/>
        </w:rPr>
        <w:t>)</w:t>
      </w:r>
    </w:p>
    <w:p w14:paraId="73A01D0D" w14:textId="4D33E726" w:rsidR="008F7692" w:rsidRPr="000A6138" w:rsidRDefault="008F7692" w:rsidP="008E5D06">
      <w:pPr>
        <w:rPr>
          <w:lang w:val="es-ES"/>
        </w:rPr>
      </w:pPr>
      <w:r w:rsidRPr="000A6138">
        <w:rPr>
          <w:lang w:val="es-ES"/>
        </w:rPr>
        <w:t>6.1</w:t>
      </w:r>
      <w:r w:rsidRPr="000A6138">
        <w:rPr>
          <w:lang w:val="es-ES"/>
        </w:rPr>
        <w:tab/>
      </w:r>
      <w:r w:rsidR="000A6138" w:rsidRPr="000A6138">
        <w:rPr>
          <w:lang w:val="es-ES"/>
        </w:rPr>
        <w:t>Un representante de la Secretaría General presenta el Documento</w:t>
      </w:r>
      <w:r w:rsidRPr="000A6138">
        <w:rPr>
          <w:lang w:val="es-ES"/>
        </w:rPr>
        <w:t xml:space="preserve"> C23/13, </w:t>
      </w:r>
      <w:r w:rsidR="000A6138" w:rsidRPr="000A6138">
        <w:rPr>
          <w:lang w:val="es-ES"/>
        </w:rPr>
        <w:t>que refleja el requisito estipulado en la Resolución</w:t>
      </w:r>
      <w:r w:rsidRPr="000A6138">
        <w:rPr>
          <w:lang w:val="es-ES"/>
        </w:rPr>
        <w:t xml:space="preserve"> 2 (Rev. Bucarest, 2022) </w:t>
      </w:r>
      <w:r w:rsidR="000A6138">
        <w:rPr>
          <w:lang w:val="es-ES"/>
        </w:rPr>
        <w:t>de que el Consejo determine la duración, fecha, lugar de celebración, orden del día y temas para el Foro Mundial de Política de las Telecomunicaciones/TIC que se celebrará en</w:t>
      </w:r>
      <w:r w:rsidRPr="000A6138">
        <w:rPr>
          <w:lang w:val="es-ES"/>
        </w:rPr>
        <w:t xml:space="preserve"> 2026 (F</w:t>
      </w:r>
      <w:r w:rsidR="000A6138">
        <w:rPr>
          <w:lang w:val="es-ES"/>
        </w:rPr>
        <w:t>MPT</w:t>
      </w:r>
      <w:r w:rsidRPr="000A6138">
        <w:rPr>
          <w:lang w:val="es-ES"/>
        </w:rPr>
        <w:t xml:space="preserve">-26). </w:t>
      </w:r>
    </w:p>
    <w:p w14:paraId="60876B84" w14:textId="18701436" w:rsidR="008F7692" w:rsidRPr="000A6138" w:rsidRDefault="008F7692" w:rsidP="008E5D06">
      <w:pPr>
        <w:rPr>
          <w:lang w:val="es-ES"/>
        </w:rPr>
      </w:pPr>
      <w:r w:rsidRPr="000A6138">
        <w:rPr>
          <w:lang w:val="es-ES"/>
        </w:rPr>
        <w:t>6.2</w:t>
      </w:r>
      <w:r w:rsidRPr="000A6138">
        <w:rPr>
          <w:lang w:val="es-ES"/>
        </w:rPr>
        <w:tab/>
      </w:r>
      <w:r w:rsidR="000A6138" w:rsidRPr="000A6138">
        <w:rPr>
          <w:lang w:val="es-ES"/>
        </w:rPr>
        <w:t>Un consejero sugiere que la decisión definitiva sobre las pr</w:t>
      </w:r>
      <w:r w:rsidR="000A6138">
        <w:rPr>
          <w:lang w:val="es-ES"/>
        </w:rPr>
        <w:t xml:space="preserve">opuestas se adopte en la reunión del Consejo de 2024. </w:t>
      </w:r>
      <w:r w:rsidR="000A6138" w:rsidRPr="000A6138">
        <w:rPr>
          <w:lang w:val="es-ES"/>
        </w:rPr>
        <w:t>Un observador solicita que se cree a la mayor brevedad, en 2023, un Gr</w:t>
      </w:r>
      <w:r w:rsidR="000A6138">
        <w:rPr>
          <w:lang w:val="es-ES"/>
        </w:rPr>
        <w:t>upo de Expertos informal para preparar las propuestas de temas para el FMPT</w:t>
      </w:r>
      <w:r w:rsidR="008E5D06">
        <w:rPr>
          <w:lang w:val="es-ES"/>
        </w:rPr>
        <w:noBreakHyphen/>
      </w:r>
      <w:r w:rsidR="000A6138">
        <w:rPr>
          <w:lang w:val="es-ES"/>
        </w:rPr>
        <w:t>26 que se presentarán al Consejo en 2024</w:t>
      </w:r>
      <w:r w:rsidRPr="000A6138">
        <w:rPr>
          <w:lang w:val="es-ES"/>
        </w:rPr>
        <w:t xml:space="preserve">. </w:t>
      </w:r>
    </w:p>
    <w:p w14:paraId="46348118" w14:textId="13247F38" w:rsidR="008F7692" w:rsidRPr="000A6138" w:rsidRDefault="008F7692" w:rsidP="008E5D06">
      <w:pPr>
        <w:rPr>
          <w:lang w:val="es-ES"/>
        </w:rPr>
      </w:pPr>
      <w:r w:rsidRPr="000A6138">
        <w:rPr>
          <w:lang w:val="es-ES"/>
        </w:rPr>
        <w:t>6.3</w:t>
      </w:r>
      <w:r w:rsidRPr="000A6138">
        <w:rPr>
          <w:lang w:val="es-ES"/>
        </w:rPr>
        <w:tab/>
      </w:r>
      <w:r w:rsidR="000A6138" w:rsidRPr="000A6138">
        <w:rPr>
          <w:lang w:val="es-ES"/>
        </w:rPr>
        <w:t xml:space="preserve">El Consejo </w:t>
      </w:r>
      <w:r w:rsidR="000A6138" w:rsidRPr="000A6138">
        <w:rPr>
          <w:b/>
          <w:bCs/>
          <w:lang w:val="es-ES"/>
        </w:rPr>
        <w:t xml:space="preserve">toma nota </w:t>
      </w:r>
      <w:r w:rsidR="000A6138" w:rsidRPr="000A6138">
        <w:rPr>
          <w:lang w:val="es-ES"/>
        </w:rPr>
        <w:t>del Informe presentado en</w:t>
      </w:r>
      <w:r w:rsidR="000A6138">
        <w:rPr>
          <w:lang w:val="es-ES"/>
        </w:rPr>
        <w:t xml:space="preserve"> el Documento</w:t>
      </w:r>
      <w:r w:rsidRPr="000A6138">
        <w:rPr>
          <w:lang w:val="es-ES"/>
        </w:rPr>
        <w:t xml:space="preserve"> C23/13.</w:t>
      </w:r>
    </w:p>
    <w:p w14:paraId="7FB232D2" w14:textId="50D0D344" w:rsidR="008F7692" w:rsidRPr="000A6138" w:rsidRDefault="008F7692" w:rsidP="008E5D06">
      <w:pPr>
        <w:pStyle w:val="Heading1"/>
        <w:rPr>
          <w:rFonts w:asciiTheme="minorHAnsi" w:hAnsiTheme="minorHAnsi" w:cstheme="minorHAnsi"/>
          <w:bCs/>
          <w:szCs w:val="24"/>
          <w:lang w:val="es-ES"/>
        </w:rPr>
      </w:pPr>
      <w:r w:rsidRPr="000A6138">
        <w:rPr>
          <w:rFonts w:asciiTheme="minorHAnsi" w:hAnsiTheme="minorHAnsi" w:cstheme="minorHAnsi"/>
          <w:bCs/>
          <w:szCs w:val="24"/>
          <w:lang w:val="es-ES"/>
        </w:rPr>
        <w:t>7</w:t>
      </w:r>
      <w:r w:rsidRPr="000A6138">
        <w:rPr>
          <w:rFonts w:asciiTheme="minorHAnsi" w:hAnsiTheme="minorHAnsi" w:cstheme="minorHAnsi"/>
          <w:bCs/>
          <w:szCs w:val="24"/>
          <w:lang w:val="es-ES"/>
        </w:rPr>
        <w:tab/>
      </w:r>
      <w:r w:rsidR="000A6138" w:rsidRPr="000A6138">
        <w:rPr>
          <w:rFonts w:asciiTheme="minorHAnsi" w:hAnsiTheme="minorHAnsi" w:cstheme="minorHAnsi"/>
          <w:bCs/>
          <w:szCs w:val="24"/>
          <w:lang w:val="es-ES"/>
        </w:rPr>
        <w:t xml:space="preserve">Implicación de los jóvenes e iniciativas de la </w:t>
      </w:r>
      <w:r w:rsidR="000A6138">
        <w:rPr>
          <w:rFonts w:asciiTheme="minorHAnsi" w:hAnsiTheme="minorHAnsi" w:cstheme="minorHAnsi"/>
          <w:bCs/>
          <w:szCs w:val="24"/>
          <w:lang w:val="es-ES"/>
        </w:rPr>
        <w:t>UIT</w:t>
      </w:r>
      <w:r w:rsidRPr="000A6138">
        <w:rPr>
          <w:rFonts w:asciiTheme="minorHAnsi" w:hAnsiTheme="minorHAnsi" w:cstheme="minorHAnsi"/>
          <w:bCs/>
          <w:szCs w:val="24"/>
          <w:lang w:val="es-ES"/>
        </w:rPr>
        <w:t xml:space="preserve"> (Document</w:t>
      </w:r>
      <w:r w:rsidR="000A6138">
        <w:rPr>
          <w:rFonts w:asciiTheme="minorHAnsi" w:hAnsiTheme="minorHAnsi" w:cstheme="minorHAnsi"/>
          <w:bCs/>
          <w:szCs w:val="24"/>
          <w:lang w:val="es-ES"/>
        </w:rPr>
        <w:t>o</w:t>
      </w:r>
      <w:r w:rsidRPr="000A6138">
        <w:rPr>
          <w:rFonts w:asciiTheme="minorHAnsi" w:hAnsiTheme="minorHAnsi" w:cstheme="minorHAnsi"/>
          <w:bCs/>
          <w:szCs w:val="24"/>
          <w:lang w:val="es-ES"/>
        </w:rPr>
        <w:t xml:space="preserve">s </w:t>
      </w:r>
      <w:hyperlink r:id="rId39" w:history="1">
        <w:r w:rsidRPr="000A6138">
          <w:rPr>
            <w:rStyle w:val="Hyperlink"/>
            <w:rFonts w:asciiTheme="minorHAnsi" w:hAnsiTheme="minorHAnsi" w:cstheme="minorHAnsi"/>
            <w:bCs/>
            <w:szCs w:val="24"/>
            <w:lang w:val="es-ES"/>
          </w:rPr>
          <w:t>C23/63</w:t>
        </w:r>
      </w:hyperlink>
      <w:r w:rsidRPr="000A6138">
        <w:rPr>
          <w:rFonts w:asciiTheme="minorHAnsi" w:hAnsiTheme="minorHAnsi" w:cstheme="minorHAnsi"/>
          <w:bCs/>
          <w:szCs w:val="24"/>
          <w:lang w:val="es-ES"/>
        </w:rPr>
        <w:t xml:space="preserve"> </w:t>
      </w:r>
      <w:r w:rsidR="000A6138">
        <w:rPr>
          <w:rFonts w:asciiTheme="minorHAnsi" w:hAnsiTheme="minorHAnsi" w:cstheme="minorHAnsi"/>
          <w:bCs/>
          <w:szCs w:val="24"/>
          <w:lang w:val="es-ES"/>
        </w:rPr>
        <w:t>y</w:t>
      </w:r>
      <w:r w:rsidRPr="000A6138">
        <w:rPr>
          <w:rFonts w:asciiTheme="minorHAnsi" w:hAnsiTheme="minorHAnsi" w:cstheme="minorHAnsi"/>
          <w:bCs/>
          <w:szCs w:val="24"/>
          <w:lang w:val="es-ES"/>
        </w:rPr>
        <w:t xml:space="preserve"> </w:t>
      </w:r>
      <w:hyperlink r:id="rId40" w:history="1">
        <w:r w:rsidRPr="000A6138">
          <w:rPr>
            <w:rStyle w:val="Hyperlink"/>
            <w:rFonts w:asciiTheme="minorHAnsi" w:hAnsiTheme="minorHAnsi" w:cstheme="minorHAnsi"/>
            <w:bCs/>
            <w:szCs w:val="24"/>
            <w:lang w:val="es-ES"/>
          </w:rPr>
          <w:t>C23/67</w:t>
        </w:r>
      </w:hyperlink>
      <w:r w:rsidRPr="000A6138">
        <w:rPr>
          <w:rFonts w:asciiTheme="minorHAnsi" w:hAnsiTheme="minorHAnsi" w:cstheme="minorHAnsi"/>
          <w:bCs/>
          <w:szCs w:val="24"/>
          <w:lang w:val="es-ES"/>
        </w:rPr>
        <w:t xml:space="preserve">) </w:t>
      </w:r>
    </w:p>
    <w:p w14:paraId="72549860" w14:textId="42959323" w:rsidR="008F7692" w:rsidRPr="00E822FA" w:rsidRDefault="008F7692" w:rsidP="008E5D06">
      <w:pPr>
        <w:rPr>
          <w:lang w:val="es-ES"/>
        </w:rPr>
      </w:pPr>
      <w:r w:rsidRPr="000A6138">
        <w:rPr>
          <w:lang w:val="es-ES"/>
        </w:rPr>
        <w:t>7.1</w:t>
      </w:r>
      <w:r w:rsidRPr="000A6138">
        <w:rPr>
          <w:lang w:val="es-ES"/>
        </w:rPr>
        <w:tab/>
      </w:r>
      <w:r w:rsidR="000A6138" w:rsidRPr="000A6138">
        <w:rPr>
          <w:lang w:val="es-ES"/>
        </w:rPr>
        <w:t>Una representante de la Secretaría General presenta el Informe del Documento</w:t>
      </w:r>
      <w:r w:rsidR="000E0CFF">
        <w:rPr>
          <w:lang w:val="es-ES"/>
        </w:rPr>
        <w:t> </w:t>
      </w:r>
      <w:r w:rsidRPr="000A6138">
        <w:rPr>
          <w:lang w:val="es-ES"/>
        </w:rPr>
        <w:t>C23/63</w:t>
      </w:r>
      <w:r w:rsidR="000A6138" w:rsidRPr="000A6138">
        <w:rPr>
          <w:lang w:val="es-ES"/>
        </w:rPr>
        <w:t xml:space="preserve"> diciendo que </w:t>
      </w:r>
      <w:r w:rsidR="000A6138">
        <w:rPr>
          <w:lang w:val="es-ES"/>
        </w:rPr>
        <w:t xml:space="preserve">su objetivo es dar al Consejo las últimas informaciones sobre la aplicación de la Estrategia para la Juventud de la UIT. </w:t>
      </w:r>
      <w:r w:rsidR="000A6138" w:rsidRPr="000A6138">
        <w:rPr>
          <w:lang w:val="es-ES"/>
        </w:rPr>
        <w:t>La Unión sigue implicando a colegas de toda la organización, incluso mediante la iniciativa</w:t>
      </w:r>
      <w:r w:rsidRPr="000A6138">
        <w:rPr>
          <w:lang w:val="es-ES"/>
        </w:rPr>
        <w:t xml:space="preserve"> Generation Connect</w:t>
      </w:r>
      <w:r w:rsidR="000A6138" w:rsidRPr="000A6138">
        <w:rPr>
          <w:lang w:val="es-ES"/>
        </w:rPr>
        <w:t xml:space="preserve">, en pro de la participación de los jóvenes </w:t>
      </w:r>
      <w:r w:rsidR="000A6138">
        <w:rPr>
          <w:lang w:val="es-ES"/>
        </w:rPr>
        <w:t>en eventos y conferencias de la UIT y fomentando</w:t>
      </w:r>
      <w:r w:rsidR="00E822FA">
        <w:rPr>
          <w:lang w:val="es-ES"/>
        </w:rPr>
        <w:t xml:space="preserve"> los programas de pasantías, de jóvenes funcionarios profesionales y de jóvenes profesionales, además de las asociaciones con Instituciones Académicas. </w:t>
      </w:r>
      <w:r w:rsidR="00E822FA" w:rsidRPr="00E822FA">
        <w:rPr>
          <w:lang w:val="es-ES"/>
        </w:rPr>
        <w:t>Se está trabajando en la mejora de la Estrategia para la Juventud a fin de que los jóvenes puedan</w:t>
      </w:r>
      <w:r w:rsidR="00E822FA">
        <w:rPr>
          <w:lang w:val="es-ES"/>
        </w:rPr>
        <w:t xml:space="preserve"> aportar su contribución a los eventos y reuniones de</w:t>
      </w:r>
      <w:r w:rsidR="00522ADC">
        <w:rPr>
          <w:lang w:val="es-ES"/>
        </w:rPr>
        <w:t xml:space="preserve"> </w:t>
      </w:r>
      <w:r w:rsidR="00E822FA">
        <w:rPr>
          <w:lang w:val="es-ES"/>
        </w:rPr>
        <w:t xml:space="preserve">la UIT. </w:t>
      </w:r>
      <w:r w:rsidR="00E822FA" w:rsidRPr="00E822FA">
        <w:rPr>
          <w:lang w:val="es-ES"/>
        </w:rPr>
        <w:t>De conformidad con la Resolución</w:t>
      </w:r>
      <w:r w:rsidRPr="00E822FA">
        <w:rPr>
          <w:lang w:val="es-ES"/>
        </w:rPr>
        <w:t xml:space="preserve"> 198 (Rev. Bucarest, 2022), </w:t>
      </w:r>
      <w:r w:rsidR="00E822FA" w:rsidRPr="00E822FA">
        <w:rPr>
          <w:lang w:val="es-ES"/>
        </w:rPr>
        <w:t>los consejeros deben seguir apoyando las inic</w:t>
      </w:r>
      <w:r w:rsidR="00E822FA">
        <w:rPr>
          <w:lang w:val="es-ES"/>
        </w:rPr>
        <w:t>iativas en pro de la participación de los jóvenes mediante contribuciones voluntarias y en especie</w:t>
      </w:r>
      <w:r w:rsidRPr="00E822FA">
        <w:rPr>
          <w:lang w:val="es-ES"/>
        </w:rPr>
        <w:t xml:space="preserve">. </w:t>
      </w:r>
    </w:p>
    <w:p w14:paraId="32667EE8" w14:textId="02F8EA8F" w:rsidR="008F7692" w:rsidRPr="00E822FA" w:rsidRDefault="008F7692" w:rsidP="008E5D06">
      <w:pPr>
        <w:rPr>
          <w:lang w:val="es-ES"/>
        </w:rPr>
      </w:pPr>
      <w:r w:rsidRPr="00E822FA">
        <w:rPr>
          <w:lang w:val="es-ES"/>
        </w:rPr>
        <w:t>7.2</w:t>
      </w:r>
      <w:r w:rsidRPr="00E822FA">
        <w:rPr>
          <w:lang w:val="es-ES"/>
        </w:rPr>
        <w:tab/>
      </w:r>
      <w:r w:rsidR="00E822FA" w:rsidRPr="00E822FA">
        <w:rPr>
          <w:lang w:val="es-ES"/>
        </w:rPr>
        <w:t>El consejero de Canadá presenta el Documento</w:t>
      </w:r>
      <w:r w:rsidRPr="00E822FA">
        <w:rPr>
          <w:lang w:val="es-ES"/>
        </w:rPr>
        <w:t xml:space="preserve"> C23/67, </w:t>
      </w:r>
      <w:r w:rsidR="00E822FA" w:rsidRPr="00E822FA">
        <w:rPr>
          <w:lang w:val="es-ES"/>
        </w:rPr>
        <w:t>que contiene propuestas para reforzar el proceso preparatorio de la próxima Cumbre Mundial de la Juventud</w:t>
      </w:r>
      <w:r w:rsidRPr="00E822FA">
        <w:rPr>
          <w:lang w:val="es-ES"/>
        </w:rPr>
        <w:t xml:space="preserve"> Generation Connect </w:t>
      </w:r>
      <w:r w:rsidR="00E822FA" w:rsidRPr="00E822FA">
        <w:rPr>
          <w:lang w:val="es-ES"/>
        </w:rPr>
        <w:t>d</w:t>
      </w:r>
      <w:r w:rsidR="00E822FA">
        <w:rPr>
          <w:lang w:val="es-ES"/>
        </w:rPr>
        <w:t xml:space="preserve">e la UIT con el objetivo de implicar efectivamente a los jóvenes en los procesos de definición de políticas y de toma de decisiones, permitiéndoles convertirse en uno de los motores del cambio social. </w:t>
      </w:r>
      <w:r w:rsidR="00E822FA" w:rsidRPr="00E822FA">
        <w:rPr>
          <w:lang w:val="es-ES"/>
        </w:rPr>
        <w:t>Los jóvenes están deseosos de participar en plataformas y redes diversas y representativas y de expresar sus inquietudes acerca del futuro di</w:t>
      </w:r>
      <w:r w:rsidR="00E822FA">
        <w:rPr>
          <w:lang w:val="es-ES"/>
        </w:rPr>
        <w:t xml:space="preserve">gital. </w:t>
      </w:r>
      <w:r w:rsidR="00E822FA" w:rsidRPr="00E822FA">
        <w:rPr>
          <w:lang w:val="es-ES"/>
        </w:rPr>
        <w:t>Cabe esperar que la próxima Cumbre de la Juventud se celebre en vísperas de la próxima CMDT</w:t>
      </w:r>
      <w:r w:rsidRPr="00E822FA">
        <w:rPr>
          <w:lang w:val="es-ES"/>
        </w:rPr>
        <w:t xml:space="preserve">. </w:t>
      </w:r>
    </w:p>
    <w:p w14:paraId="211F50A4" w14:textId="588320DB" w:rsidR="008F7692" w:rsidRPr="00E822FA" w:rsidRDefault="008F7692" w:rsidP="008E5D06">
      <w:pPr>
        <w:rPr>
          <w:lang w:val="es-ES"/>
        </w:rPr>
      </w:pPr>
      <w:r w:rsidRPr="00E822FA">
        <w:rPr>
          <w:lang w:val="es-ES"/>
        </w:rPr>
        <w:t>7.3</w:t>
      </w:r>
      <w:r w:rsidRPr="00E822FA">
        <w:rPr>
          <w:lang w:val="es-ES"/>
        </w:rPr>
        <w:tab/>
      </w:r>
      <w:r w:rsidR="00E822FA" w:rsidRPr="00E822FA">
        <w:rPr>
          <w:lang w:val="es-ES"/>
        </w:rPr>
        <w:t>Numerosos consejeros felicitan a la UIT por las medidas adoptadas para atraer a los jóvenes hacia su trabajo y expresan su pleno apoyo a la participació</w:t>
      </w:r>
      <w:r w:rsidR="00E822FA">
        <w:rPr>
          <w:lang w:val="es-ES"/>
        </w:rPr>
        <w:t xml:space="preserve">n e implicación efectivas de los jóvenes. </w:t>
      </w:r>
      <w:r w:rsidR="00E822FA" w:rsidRPr="00B7454A">
        <w:rPr>
          <w:lang w:val="es-ES"/>
        </w:rPr>
        <w:t xml:space="preserve">Es necesario empoderar a los jóvenes para que compartan sus experiencias y ahonden su comprensión de las telecomunicaciones y las TIC. </w:t>
      </w:r>
      <w:r w:rsidR="00E822FA" w:rsidRPr="00E822FA">
        <w:rPr>
          <w:lang w:val="es-ES"/>
        </w:rPr>
        <w:t>Un consejero recuerda que su país patrocinó la participación de jóvenes de la región de Asia y el Pacífico en la Cumbre de la Juventud</w:t>
      </w:r>
      <w:r w:rsidRPr="00E822FA">
        <w:rPr>
          <w:lang w:val="es-ES"/>
        </w:rPr>
        <w:t xml:space="preserve"> (Kigali, 2022), </w:t>
      </w:r>
      <w:r w:rsidR="00E822FA" w:rsidRPr="00E822FA">
        <w:rPr>
          <w:lang w:val="es-ES"/>
        </w:rPr>
        <w:t>p</w:t>
      </w:r>
      <w:r w:rsidR="00E822FA">
        <w:rPr>
          <w:lang w:val="es-ES"/>
        </w:rPr>
        <w:t>ermitiéndoles establecer una relación duradera con otros participantes</w:t>
      </w:r>
      <w:r w:rsidRPr="00E822FA">
        <w:rPr>
          <w:lang w:val="es-ES"/>
        </w:rPr>
        <w:t xml:space="preserve">. </w:t>
      </w:r>
    </w:p>
    <w:p w14:paraId="49656C8F" w14:textId="17F3C98E" w:rsidR="008F7692" w:rsidRPr="00E822FA" w:rsidRDefault="008F7692" w:rsidP="008E5D06">
      <w:pPr>
        <w:rPr>
          <w:lang w:val="es-ES"/>
        </w:rPr>
      </w:pPr>
      <w:r w:rsidRPr="00E822FA">
        <w:rPr>
          <w:lang w:val="es-ES"/>
        </w:rPr>
        <w:t>7.4</w:t>
      </w:r>
      <w:r w:rsidRPr="00E822FA">
        <w:rPr>
          <w:lang w:val="es-ES"/>
        </w:rPr>
        <w:tab/>
      </w:r>
      <w:r w:rsidR="00E822FA" w:rsidRPr="00E822FA">
        <w:rPr>
          <w:lang w:val="es-ES"/>
        </w:rPr>
        <w:t>Muchos consejeros manifiestan su apoyo al Documento</w:t>
      </w:r>
      <w:r w:rsidRPr="00E822FA">
        <w:rPr>
          <w:lang w:val="es-ES"/>
        </w:rPr>
        <w:t xml:space="preserve"> C23/67, </w:t>
      </w:r>
      <w:r w:rsidR="00E822FA" w:rsidRPr="00E822FA">
        <w:rPr>
          <w:lang w:val="es-ES"/>
        </w:rPr>
        <w:t xml:space="preserve">subrayando que los jóvenes deben implicarse en el diseño, la organización y la elección de los temas de la próxima Cumbre de la </w:t>
      </w:r>
      <w:r w:rsidR="00E822FA">
        <w:rPr>
          <w:lang w:val="es-ES"/>
        </w:rPr>
        <w:t xml:space="preserve">Juventud y que debe alentarse y facilitar la participación de jóvenes de todas las regiones. </w:t>
      </w:r>
      <w:r w:rsidR="00E822FA" w:rsidRPr="00E822FA">
        <w:rPr>
          <w:lang w:val="es-ES"/>
        </w:rPr>
        <w:t xml:space="preserve">El consejero de Tailandia dice que, en tanto que país anfitrión de la </w:t>
      </w:r>
      <w:r w:rsidR="00E822FA" w:rsidRPr="00E822FA">
        <w:rPr>
          <w:lang w:val="es-ES"/>
        </w:rPr>
        <w:lastRenderedPageBreak/>
        <w:t>CMDT</w:t>
      </w:r>
      <w:r w:rsidRPr="00E822FA">
        <w:rPr>
          <w:lang w:val="es-ES"/>
        </w:rPr>
        <w:t>-25, Tailand</w:t>
      </w:r>
      <w:r w:rsidR="00E822FA" w:rsidRPr="00E822FA">
        <w:rPr>
          <w:lang w:val="es-ES"/>
        </w:rPr>
        <w:t>ia estará encantada de acoger la próxima Cumbre de</w:t>
      </w:r>
      <w:r w:rsidR="00E822FA">
        <w:rPr>
          <w:lang w:val="es-ES"/>
        </w:rPr>
        <w:t xml:space="preserve"> la Juventud en vísperas de la Conferencia y de garantizar la participación de los jóvenes en la CMDT-25 misma. </w:t>
      </w:r>
      <w:r w:rsidR="00E822FA" w:rsidRPr="00E822FA">
        <w:rPr>
          <w:lang w:val="es-ES"/>
        </w:rPr>
        <w:t>Numerosos consejeros agradecen la propuesta y la apoyan en principio</w:t>
      </w:r>
      <w:r w:rsidRPr="00E822FA">
        <w:rPr>
          <w:lang w:val="es-ES"/>
        </w:rPr>
        <w:t xml:space="preserve">. </w:t>
      </w:r>
    </w:p>
    <w:p w14:paraId="530280A4" w14:textId="2A8E9082" w:rsidR="008F7692" w:rsidRPr="00482CB6" w:rsidRDefault="008F7692" w:rsidP="008E5D06">
      <w:pPr>
        <w:rPr>
          <w:lang w:val="es-ES"/>
        </w:rPr>
      </w:pPr>
      <w:r w:rsidRPr="00E822FA">
        <w:rPr>
          <w:lang w:val="es-ES"/>
        </w:rPr>
        <w:t>7.5</w:t>
      </w:r>
      <w:r w:rsidRPr="00E822FA">
        <w:rPr>
          <w:lang w:val="es-ES"/>
        </w:rPr>
        <w:tab/>
      </w:r>
      <w:r w:rsidR="00E822FA" w:rsidRPr="00E822FA">
        <w:rPr>
          <w:lang w:val="es-ES"/>
        </w:rPr>
        <w:t xml:space="preserve">Varios consejeros de países en desarrollo agradecen especialmente los programas de </w:t>
      </w:r>
      <w:r w:rsidR="00E822FA">
        <w:rPr>
          <w:lang w:val="es-ES"/>
        </w:rPr>
        <w:t xml:space="preserve">pasantías y las asociaciones con Instituciones Académicas. </w:t>
      </w:r>
      <w:r w:rsidR="00E822FA" w:rsidRPr="00482CB6">
        <w:rPr>
          <w:lang w:val="es-ES"/>
        </w:rPr>
        <w:t xml:space="preserve">Solicitan que se </w:t>
      </w:r>
      <w:r w:rsidR="00482CB6" w:rsidRPr="00482CB6">
        <w:rPr>
          <w:lang w:val="es-ES"/>
        </w:rPr>
        <w:t>considere además la posibilidad de fomentar el diálogo intergeneracio</w:t>
      </w:r>
      <w:r w:rsidR="00482CB6">
        <w:rPr>
          <w:lang w:val="es-ES"/>
        </w:rPr>
        <w:t>nal, de garantizar que también se dé la oportunidad de participar a los jóvenes de países menos adelantados y de apoyar la adopción de la alfabetización digital en los programas educativos a partir de la enseñanza primaria</w:t>
      </w:r>
      <w:r w:rsidRPr="00482CB6">
        <w:rPr>
          <w:lang w:val="es-ES"/>
        </w:rPr>
        <w:t xml:space="preserve">. </w:t>
      </w:r>
    </w:p>
    <w:p w14:paraId="220DF37D" w14:textId="7EC159FD" w:rsidR="008F7692" w:rsidRPr="00B7454A" w:rsidRDefault="008F7692" w:rsidP="008E5D06">
      <w:pPr>
        <w:rPr>
          <w:lang w:val="es-ES"/>
        </w:rPr>
      </w:pPr>
      <w:r w:rsidRPr="00482CB6">
        <w:rPr>
          <w:lang w:val="es-ES"/>
        </w:rPr>
        <w:t>7.6</w:t>
      </w:r>
      <w:r w:rsidRPr="00482CB6">
        <w:rPr>
          <w:lang w:val="es-ES"/>
        </w:rPr>
        <w:tab/>
      </w:r>
      <w:r w:rsidR="00482CB6" w:rsidRPr="00482CB6">
        <w:rPr>
          <w:lang w:val="es-ES"/>
        </w:rPr>
        <w:t xml:space="preserve">Varios consejeros, haciendo referencia a los debates sostenidos en el GADT, solicitan la creación de un Grupo de Trabajo para llevar adelante los preparativos de la próxima </w:t>
      </w:r>
      <w:r w:rsidR="00482CB6">
        <w:rPr>
          <w:lang w:val="es-ES"/>
        </w:rPr>
        <w:t xml:space="preserve">Cumbre de la Juventud con la participación de jóvenes y demás interesados. </w:t>
      </w:r>
      <w:r w:rsidR="00482CB6" w:rsidRPr="00B7454A">
        <w:rPr>
          <w:lang w:val="es-ES"/>
        </w:rPr>
        <w:t xml:space="preserve">Un consejero solicita que la Cumbre de la Juventud se celebre con independencia de otras reuniones y que se dé cuenta de sus resultados por separado. </w:t>
      </w:r>
      <w:r w:rsidR="00482CB6" w:rsidRPr="00482CB6">
        <w:rPr>
          <w:lang w:val="es-ES"/>
        </w:rPr>
        <w:t xml:space="preserve">Un observador, aunque apoya en principio la Cumbre de la Juventud, no está </w:t>
      </w:r>
      <w:r w:rsidR="008E5D06" w:rsidRPr="00482CB6">
        <w:rPr>
          <w:lang w:val="es-ES"/>
        </w:rPr>
        <w:t>de acuerdo</w:t>
      </w:r>
      <w:r w:rsidR="00482CB6" w:rsidRPr="00482CB6">
        <w:rPr>
          <w:lang w:val="es-ES"/>
        </w:rPr>
        <w:t xml:space="preserve"> con la propuesta tal y como se ha formulado de permitir la expresión libre de filtros y censuras de las opiniones de los jóvenes. </w:t>
      </w:r>
      <w:r w:rsidR="00482CB6" w:rsidRPr="00B7454A">
        <w:rPr>
          <w:lang w:val="es-ES"/>
        </w:rPr>
        <w:t>El GADT debe seguir trabajando sobre este asunto</w:t>
      </w:r>
      <w:r w:rsidRPr="00B7454A">
        <w:rPr>
          <w:lang w:val="es-ES"/>
        </w:rPr>
        <w:t>.</w:t>
      </w:r>
    </w:p>
    <w:p w14:paraId="0C42C912" w14:textId="5803897A" w:rsidR="008F7692" w:rsidRPr="00482CB6" w:rsidRDefault="008F7692" w:rsidP="008E5D06">
      <w:pPr>
        <w:rPr>
          <w:lang w:val="es-ES"/>
        </w:rPr>
      </w:pPr>
      <w:r w:rsidRPr="00B7454A">
        <w:rPr>
          <w:lang w:val="es-ES"/>
        </w:rPr>
        <w:t>7.7</w:t>
      </w:r>
      <w:r w:rsidRPr="00B7454A">
        <w:rPr>
          <w:lang w:val="es-ES"/>
        </w:rPr>
        <w:tab/>
      </w:r>
      <w:r w:rsidR="00482CB6" w:rsidRPr="00B7454A">
        <w:rPr>
          <w:lang w:val="es-ES"/>
        </w:rPr>
        <w:t xml:space="preserve">La Secretaria General dice que entendió mejor el valor de los eventos para los jóvenes tras su encuentro con un antiguo participante en el Foro de la Juventud de Nigeria, que seguidamente creó una iniciativa en pro de la inclusión digital. </w:t>
      </w:r>
      <w:r w:rsidR="00482CB6" w:rsidRPr="00482CB6">
        <w:rPr>
          <w:lang w:val="es-ES"/>
        </w:rPr>
        <w:t>Las oportunidades de implicación y mentoría que ofrece la UIT pueden transformar vidas</w:t>
      </w:r>
      <w:r w:rsidRPr="00482CB6">
        <w:rPr>
          <w:lang w:val="es-ES"/>
        </w:rPr>
        <w:t xml:space="preserve">. </w:t>
      </w:r>
    </w:p>
    <w:p w14:paraId="79287607" w14:textId="0DAA2792" w:rsidR="008F7692" w:rsidRPr="00482CB6" w:rsidRDefault="008F7692" w:rsidP="008E5D06">
      <w:pPr>
        <w:rPr>
          <w:lang w:val="es-ES"/>
        </w:rPr>
      </w:pPr>
      <w:r w:rsidRPr="00482CB6">
        <w:rPr>
          <w:lang w:val="es-ES"/>
        </w:rPr>
        <w:t>7.8</w:t>
      </w:r>
      <w:r w:rsidRPr="00482CB6">
        <w:rPr>
          <w:lang w:val="es-ES"/>
        </w:rPr>
        <w:tab/>
      </w:r>
      <w:r w:rsidR="00482CB6" w:rsidRPr="00482CB6">
        <w:rPr>
          <w:lang w:val="es-ES"/>
        </w:rPr>
        <w:t>El Presidente propone que el Consejo tome nota del Informe del Documento</w:t>
      </w:r>
      <w:r w:rsidRPr="00482CB6">
        <w:rPr>
          <w:lang w:val="es-ES"/>
        </w:rPr>
        <w:t> C23/63</w:t>
      </w:r>
      <w:r w:rsidR="00482CB6" w:rsidRPr="00482CB6">
        <w:rPr>
          <w:lang w:val="es-ES"/>
        </w:rPr>
        <w:t xml:space="preserve"> y de la contribución del Documento</w:t>
      </w:r>
      <w:r w:rsidRPr="00482CB6">
        <w:rPr>
          <w:lang w:val="es-ES"/>
        </w:rPr>
        <w:t> C23/67</w:t>
      </w:r>
      <w:r w:rsidR="00482CB6" w:rsidRPr="00482CB6">
        <w:rPr>
          <w:lang w:val="es-ES"/>
        </w:rPr>
        <w:t>, así como de las observaciones formuladas durante el debate; tome nota de la oferta de Tailandia para acoger la Cumbre Mundial de la Juventud en vísperas</w:t>
      </w:r>
      <w:r w:rsidR="00482CB6">
        <w:rPr>
          <w:lang w:val="es-ES"/>
        </w:rPr>
        <w:t xml:space="preserve"> de la CMDT</w:t>
      </w:r>
      <w:r w:rsidRPr="00482CB6">
        <w:rPr>
          <w:lang w:val="es-ES"/>
        </w:rPr>
        <w:noBreakHyphen/>
        <w:t>25</w:t>
      </w:r>
      <w:r w:rsidR="00482CB6">
        <w:rPr>
          <w:lang w:val="es-ES"/>
        </w:rPr>
        <w:t>; invite al Director de la BDT a informar al GADT acerca de los progresos en la preparación de la Cumbre de la Juventud, y solicite a la Secretaría que rinda informe sobre este asunto al Consejo en su reunión de 2024</w:t>
      </w:r>
      <w:r w:rsidRPr="00482CB6">
        <w:rPr>
          <w:lang w:val="es-ES"/>
        </w:rPr>
        <w:t xml:space="preserve">. </w:t>
      </w:r>
    </w:p>
    <w:p w14:paraId="2044D71E" w14:textId="4B0BBD17" w:rsidR="008F7692" w:rsidRPr="00482CB6" w:rsidRDefault="008F7692" w:rsidP="008E5D06">
      <w:pPr>
        <w:rPr>
          <w:lang w:val="es-ES"/>
        </w:rPr>
      </w:pPr>
      <w:r w:rsidRPr="00482CB6">
        <w:rPr>
          <w:lang w:val="es-ES"/>
        </w:rPr>
        <w:t>7.9</w:t>
      </w:r>
      <w:r w:rsidRPr="00482CB6">
        <w:rPr>
          <w:lang w:val="es-ES"/>
        </w:rPr>
        <w:tab/>
      </w:r>
      <w:r w:rsidR="00482CB6" w:rsidRPr="00482CB6">
        <w:rPr>
          <w:lang w:val="es-ES"/>
        </w:rPr>
        <w:t xml:space="preserve">Así se </w:t>
      </w:r>
      <w:r w:rsidR="00482CB6" w:rsidRPr="00482CB6">
        <w:rPr>
          <w:b/>
          <w:bCs/>
          <w:lang w:val="es-ES"/>
        </w:rPr>
        <w:t>acuerda</w:t>
      </w:r>
      <w:r w:rsidRPr="00482CB6">
        <w:rPr>
          <w:lang w:val="es-ES"/>
        </w:rPr>
        <w:t>.</w:t>
      </w:r>
    </w:p>
    <w:p w14:paraId="10B3605C" w14:textId="48BACB99" w:rsidR="008F7692" w:rsidRPr="00482CB6" w:rsidRDefault="008F7692" w:rsidP="008E5D06">
      <w:pPr>
        <w:pStyle w:val="Heading1"/>
        <w:rPr>
          <w:lang w:val="es-ES"/>
        </w:rPr>
      </w:pPr>
      <w:r w:rsidRPr="00482CB6">
        <w:rPr>
          <w:lang w:val="es-ES"/>
        </w:rPr>
        <w:t>8</w:t>
      </w:r>
      <w:r w:rsidRPr="00482CB6">
        <w:rPr>
          <w:lang w:val="es-ES"/>
        </w:rPr>
        <w:tab/>
      </w:r>
      <w:r w:rsidR="00B25B85">
        <w:rPr>
          <w:lang w:val="es-ES"/>
        </w:rPr>
        <w:t>Alocución de España</w:t>
      </w:r>
    </w:p>
    <w:p w14:paraId="4C845E19" w14:textId="4B9D38E8" w:rsidR="008F7692" w:rsidRPr="00482CB6" w:rsidRDefault="008F7692" w:rsidP="008E5D06">
      <w:pPr>
        <w:rPr>
          <w:lang w:val="es-ES"/>
        </w:rPr>
      </w:pPr>
      <w:r w:rsidRPr="00482CB6">
        <w:rPr>
          <w:lang w:val="es-ES"/>
        </w:rPr>
        <w:t>8.1</w:t>
      </w:r>
      <w:r w:rsidRPr="00482CB6">
        <w:rPr>
          <w:lang w:val="es-ES"/>
        </w:rPr>
        <w:tab/>
      </w:r>
      <w:r w:rsidR="00482CB6" w:rsidRPr="00482CB6">
        <w:rPr>
          <w:lang w:val="es-ES"/>
        </w:rPr>
        <w:t xml:space="preserve">El Sr. </w:t>
      </w:r>
      <w:r w:rsidR="00B25B85">
        <w:rPr>
          <w:lang w:val="es-ES"/>
        </w:rPr>
        <w:t>Matías González Martín</w:t>
      </w:r>
      <w:r w:rsidR="00482CB6" w:rsidRPr="00482CB6">
        <w:rPr>
          <w:lang w:val="es-ES"/>
        </w:rPr>
        <w:t xml:space="preserve"> (Secretario </w:t>
      </w:r>
      <w:r w:rsidR="00B25B85">
        <w:rPr>
          <w:lang w:val="es-ES"/>
        </w:rPr>
        <w:t>General</w:t>
      </w:r>
      <w:r w:rsidR="00482CB6" w:rsidRPr="00482CB6">
        <w:rPr>
          <w:lang w:val="es-ES"/>
        </w:rPr>
        <w:t xml:space="preserve"> de Telecomunicaciones </w:t>
      </w:r>
      <w:r w:rsidR="00B25B85">
        <w:rPr>
          <w:lang w:val="es-ES"/>
        </w:rPr>
        <w:t>y Servicios de Comunicaciones Audiovisuales</w:t>
      </w:r>
      <w:r w:rsidRPr="00482CB6">
        <w:rPr>
          <w:lang w:val="es-ES"/>
        </w:rPr>
        <w:t>)</w:t>
      </w:r>
      <w:r w:rsidRPr="0061233D">
        <w:rPr>
          <w:rStyle w:val="FootnoteReference"/>
          <w:rFonts w:asciiTheme="minorHAnsi" w:hAnsiTheme="minorHAnsi" w:cstheme="minorHAnsi"/>
          <w:sz w:val="18"/>
          <w:szCs w:val="18"/>
          <w:lang w:val="en-CA"/>
        </w:rPr>
        <w:footnoteReference w:id="1"/>
      </w:r>
      <w:r w:rsidRPr="00482CB6">
        <w:rPr>
          <w:lang w:val="es-ES"/>
        </w:rPr>
        <w:t xml:space="preserve"> </w:t>
      </w:r>
      <w:r w:rsidR="00482CB6" w:rsidRPr="00482CB6">
        <w:rPr>
          <w:lang w:val="es-ES"/>
        </w:rPr>
        <w:t>p</w:t>
      </w:r>
      <w:r w:rsidR="00482CB6">
        <w:rPr>
          <w:lang w:val="es-ES"/>
        </w:rPr>
        <w:t>ronuncia la declaración que puede consultarse en</w:t>
      </w:r>
      <w:r w:rsidRPr="00482CB6">
        <w:rPr>
          <w:lang w:val="es-ES"/>
        </w:rPr>
        <w:t xml:space="preserve"> </w:t>
      </w:r>
      <w:hyperlink r:id="rId41" w:history="1">
        <w:r w:rsidR="004A2DFF" w:rsidRPr="00A366A6">
          <w:rPr>
            <w:rStyle w:val="Hyperlink"/>
            <w:lang w:val="es-ES"/>
          </w:rPr>
          <w:t>http://council.itu.int/2023/wp-content/uploads/sites/2/2023/09/C23-Spain-Statement-Matias-Gonzal</w:t>
        </w:r>
        <w:r w:rsidR="004A2DFF" w:rsidRPr="00A366A6">
          <w:rPr>
            <w:rStyle w:val="Hyperlink"/>
            <w:lang w:val="es-ES"/>
          </w:rPr>
          <w:t>e</w:t>
        </w:r>
        <w:r w:rsidR="004A2DFF" w:rsidRPr="00A366A6">
          <w:rPr>
            <w:rStyle w:val="Hyperlink"/>
            <w:lang w:val="es-ES"/>
          </w:rPr>
          <w:t>z_e</w:t>
        </w:r>
        <w:r w:rsidR="004A2DFF" w:rsidRPr="00A366A6">
          <w:rPr>
            <w:rStyle w:val="Hyperlink"/>
            <w:lang w:val="es-ES"/>
          </w:rPr>
          <w:t>s</w:t>
        </w:r>
        <w:r w:rsidR="004A2DFF" w:rsidRPr="00A366A6">
          <w:rPr>
            <w:rStyle w:val="Hyperlink"/>
            <w:lang w:val="es-ES"/>
          </w:rPr>
          <w:t>.pdf</w:t>
        </w:r>
      </w:hyperlink>
      <w:r w:rsidRPr="00482CB6">
        <w:rPr>
          <w:lang w:val="es-ES"/>
        </w:rPr>
        <w:t>.</w:t>
      </w:r>
    </w:p>
    <w:p w14:paraId="64724725" w14:textId="77777777" w:rsidR="008E5D06" w:rsidRDefault="008E5D06">
      <w:pPr>
        <w:tabs>
          <w:tab w:val="clear" w:pos="567"/>
          <w:tab w:val="clear" w:pos="1134"/>
          <w:tab w:val="clear" w:pos="1701"/>
          <w:tab w:val="clear" w:pos="2268"/>
          <w:tab w:val="clear" w:pos="2835"/>
        </w:tabs>
        <w:overflowPunct/>
        <w:autoSpaceDE/>
        <w:autoSpaceDN/>
        <w:adjustRightInd/>
        <w:spacing w:before="0"/>
        <w:textAlignment w:val="auto"/>
        <w:rPr>
          <w:b/>
          <w:sz w:val="28"/>
          <w:lang w:val="es-ES"/>
        </w:rPr>
      </w:pPr>
      <w:r>
        <w:rPr>
          <w:lang w:val="es-ES"/>
        </w:rPr>
        <w:br w:type="page"/>
      </w:r>
    </w:p>
    <w:p w14:paraId="5457E9B6" w14:textId="1EC41BFC" w:rsidR="008F7692" w:rsidRPr="00482CB6" w:rsidRDefault="008F7692" w:rsidP="008E5D06">
      <w:pPr>
        <w:pStyle w:val="Heading1"/>
        <w:rPr>
          <w:lang w:val="es-ES"/>
        </w:rPr>
      </w:pPr>
      <w:r w:rsidRPr="00482CB6">
        <w:rPr>
          <w:lang w:val="es-ES"/>
        </w:rPr>
        <w:lastRenderedPageBreak/>
        <w:t>9</w:t>
      </w:r>
      <w:r w:rsidRPr="00482CB6">
        <w:rPr>
          <w:lang w:val="es-ES"/>
        </w:rPr>
        <w:tab/>
      </w:r>
      <w:r w:rsidR="00482CB6" w:rsidRPr="00482CB6">
        <w:rPr>
          <w:lang w:val="es-ES"/>
        </w:rPr>
        <w:t xml:space="preserve">Presente de Reino Unido a </w:t>
      </w:r>
      <w:r w:rsidR="00482CB6">
        <w:rPr>
          <w:lang w:val="es-ES"/>
        </w:rPr>
        <w:t>la UIT</w:t>
      </w:r>
    </w:p>
    <w:p w14:paraId="4BADBF56" w14:textId="300061B4" w:rsidR="008F7692" w:rsidRPr="00F747A8" w:rsidRDefault="008F7692" w:rsidP="008E5D06">
      <w:pPr>
        <w:rPr>
          <w:lang w:val="es-ES"/>
        </w:rPr>
      </w:pPr>
      <w:r w:rsidRPr="00F747A8">
        <w:rPr>
          <w:lang w:val="es-ES"/>
        </w:rPr>
        <w:t>9.1</w:t>
      </w:r>
      <w:r w:rsidRPr="00F747A8">
        <w:rPr>
          <w:lang w:val="es-ES"/>
        </w:rPr>
        <w:tab/>
      </w:r>
      <w:r w:rsidR="00482CB6" w:rsidRPr="00F747A8">
        <w:rPr>
          <w:lang w:val="es-ES"/>
        </w:rPr>
        <w:t>El Sr.</w:t>
      </w:r>
      <w:r w:rsidRPr="00F747A8">
        <w:rPr>
          <w:lang w:val="es-ES"/>
        </w:rPr>
        <w:t xml:space="preserve"> Simon Manley, </w:t>
      </w:r>
      <w:r w:rsidR="00482CB6" w:rsidRPr="00F747A8">
        <w:rPr>
          <w:lang w:val="es-ES"/>
        </w:rPr>
        <w:t xml:space="preserve">Embajador y Representante Permanente de la Misión de Reino Unido ante la OMC, las Naciones Unidas y otras organizaciones internacionales en Ginebra, </w:t>
      </w:r>
      <w:r w:rsidR="00F747A8" w:rsidRPr="00F747A8">
        <w:rPr>
          <w:lang w:val="es-ES"/>
        </w:rPr>
        <w:t xml:space="preserve">ofrece a la UIT, en </w:t>
      </w:r>
      <w:r w:rsidR="00F747A8">
        <w:rPr>
          <w:lang w:val="es-ES"/>
        </w:rPr>
        <w:t>nombre de Reino Unido, una icónica cabina telefónica modelo K6 en rojo brillante diseñada en</w:t>
      </w:r>
      <w:r w:rsidRPr="00F747A8">
        <w:rPr>
          <w:lang w:val="es-ES"/>
        </w:rPr>
        <w:t xml:space="preserve"> 1935. </w:t>
      </w:r>
      <w:r w:rsidR="00F747A8" w:rsidRPr="00F747A8">
        <w:rPr>
          <w:lang w:val="es-ES"/>
        </w:rPr>
        <w:t>En Reino Unido, y quizá para muchas personas de todo el mundo, la cabina roja es un símbolo de conectividad para todos, por lo que tiene plenamente su lugar en una organización cuya tarea fundamental y más im</w:t>
      </w:r>
      <w:r w:rsidR="00F747A8">
        <w:rPr>
          <w:lang w:val="es-ES"/>
        </w:rPr>
        <w:t>portante es conectar a los que carecen de conexión</w:t>
      </w:r>
      <w:r w:rsidRPr="00F747A8">
        <w:rPr>
          <w:lang w:val="es-ES"/>
        </w:rPr>
        <w:t>.</w:t>
      </w:r>
    </w:p>
    <w:p w14:paraId="63922660" w14:textId="4349E4B2" w:rsidR="008F7692" w:rsidRPr="00F747A8" w:rsidRDefault="008F7692" w:rsidP="008E5D06">
      <w:pPr>
        <w:rPr>
          <w:lang w:val="es-ES"/>
        </w:rPr>
      </w:pPr>
      <w:r w:rsidRPr="00F747A8">
        <w:rPr>
          <w:lang w:val="es-ES"/>
        </w:rPr>
        <w:t>9.2</w:t>
      </w:r>
      <w:r w:rsidRPr="00F747A8">
        <w:rPr>
          <w:lang w:val="es-ES"/>
        </w:rPr>
        <w:tab/>
      </w:r>
      <w:r w:rsidR="00F747A8" w:rsidRPr="00F747A8">
        <w:rPr>
          <w:lang w:val="es-ES"/>
        </w:rPr>
        <w:t>En nombre de la UIT y de sus Miembros, la Secretaria General expresa su más sincero agradecimiento a Reino Unido por tan generoso presente, que no sólo posee un valor estético e icónico, sino que también</w:t>
      </w:r>
      <w:r w:rsidR="00F747A8">
        <w:rPr>
          <w:lang w:val="es-ES"/>
        </w:rPr>
        <w:t xml:space="preserve"> hace claramente eco de los objetivos y metas de la Unión</w:t>
      </w:r>
      <w:r w:rsidRPr="00F747A8">
        <w:rPr>
          <w:lang w:val="es-ES"/>
        </w:rPr>
        <w:t>.</w:t>
      </w:r>
    </w:p>
    <w:p w14:paraId="1A16A7B8" w14:textId="5340F771" w:rsidR="00C617E2" w:rsidRDefault="00F747A8" w:rsidP="008E5D06">
      <w:pPr>
        <w:tabs>
          <w:tab w:val="clear" w:pos="567"/>
          <w:tab w:val="clear" w:pos="1134"/>
          <w:tab w:val="clear" w:pos="1701"/>
          <w:tab w:val="clear" w:pos="2268"/>
          <w:tab w:val="clear" w:pos="2835"/>
          <w:tab w:val="left" w:pos="5812"/>
        </w:tabs>
        <w:overflowPunct/>
        <w:autoSpaceDE/>
        <w:autoSpaceDN/>
        <w:adjustRightInd/>
        <w:spacing w:before="600"/>
        <w:textAlignment w:val="auto"/>
        <w:rPr>
          <w:lang w:val="es-ES"/>
        </w:rPr>
      </w:pPr>
      <w:r w:rsidRPr="00F747A8">
        <w:rPr>
          <w:lang w:val="es-ES"/>
        </w:rPr>
        <w:t>La Secretaria General</w:t>
      </w:r>
      <w:r w:rsidR="00915F63" w:rsidRPr="00F747A8">
        <w:rPr>
          <w:lang w:val="es-ES"/>
        </w:rPr>
        <w:t>:</w:t>
      </w:r>
      <w:r w:rsidR="00915F63" w:rsidRPr="00F747A8">
        <w:rPr>
          <w:lang w:val="es-ES"/>
        </w:rPr>
        <w:tab/>
      </w:r>
      <w:r w:rsidRPr="00F747A8">
        <w:rPr>
          <w:lang w:val="es-ES"/>
        </w:rPr>
        <w:t>El Presidente</w:t>
      </w:r>
      <w:r w:rsidR="00915F63" w:rsidRPr="00F747A8">
        <w:rPr>
          <w:lang w:val="es-ES"/>
        </w:rPr>
        <w:t>:</w:t>
      </w:r>
      <w:r w:rsidR="00915F63" w:rsidRPr="00F747A8">
        <w:rPr>
          <w:lang w:val="es-ES"/>
        </w:rPr>
        <w:br/>
        <w:t>D. BOGDAN-MARTIN</w:t>
      </w:r>
      <w:r w:rsidR="00915F63" w:rsidRPr="00F747A8">
        <w:rPr>
          <w:lang w:val="es-ES"/>
        </w:rPr>
        <w:tab/>
        <w:t>C. MART</w:t>
      </w:r>
      <w:r>
        <w:rPr>
          <w:lang w:val="es-ES"/>
        </w:rPr>
        <w:t>Í</w:t>
      </w:r>
      <w:r w:rsidR="00915F63" w:rsidRPr="00F747A8">
        <w:rPr>
          <w:lang w:val="es-ES"/>
        </w:rPr>
        <w:t>NEZ</w:t>
      </w:r>
    </w:p>
    <w:p w14:paraId="2A925099" w14:textId="23F8A99E" w:rsidR="00724423" w:rsidRPr="008E5D06" w:rsidRDefault="00724423" w:rsidP="00724423">
      <w:pPr>
        <w:tabs>
          <w:tab w:val="clear" w:pos="567"/>
          <w:tab w:val="clear" w:pos="1134"/>
          <w:tab w:val="clear" w:pos="1701"/>
          <w:tab w:val="clear" w:pos="2268"/>
          <w:tab w:val="clear" w:pos="2835"/>
          <w:tab w:val="left" w:pos="5812"/>
        </w:tabs>
        <w:overflowPunct/>
        <w:autoSpaceDE/>
        <w:autoSpaceDN/>
        <w:adjustRightInd/>
        <w:spacing w:before="600"/>
        <w:jc w:val="center"/>
        <w:textAlignment w:val="auto"/>
        <w:rPr>
          <w:lang w:val="es-ES"/>
        </w:rPr>
      </w:pPr>
      <w:r>
        <w:rPr>
          <w:lang w:val="es-ES"/>
        </w:rPr>
        <w:t>__________________</w:t>
      </w:r>
    </w:p>
    <w:sectPr w:rsidR="00724423" w:rsidRPr="008E5D06" w:rsidSect="00AD3606">
      <w:footerReference w:type="default" r:id="rId42"/>
      <w:headerReference w:type="first" r:id="rId43"/>
      <w:footerReference w:type="first" r:id="rId4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3DFD5" w14:textId="77777777" w:rsidR="005E3181" w:rsidRDefault="005E3181">
      <w:r>
        <w:separator/>
      </w:r>
    </w:p>
  </w:endnote>
  <w:endnote w:type="continuationSeparator" w:id="0">
    <w:p w14:paraId="1B4E229A" w14:textId="77777777" w:rsidR="005E3181" w:rsidRDefault="005E3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C2EDA0B" w14:textId="77777777" w:rsidTr="0042469C">
      <w:trPr>
        <w:jc w:val="center"/>
      </w:trPr>
      <w:tc>
        <w:tcPr>
          <w:tcW w:w="1803" w:type="dxa"/>
          <w:vAlign w:val="center"/>
        </w:tcPr>
        <w:p w14:paraId="3FDA5160" w14:textId="26EB1497" w:rsidR="00EE49E8" w:rsidRDefault="00C74E7E" w:rsidP="00EE49E8">
          <w:pPr>
            <w:pStyle w:val="Header"/>
            <w:jc w:val="left"/>
            <w:rPr>
              <w:noProof/>
            </w:rPr>
          </w:pPr>
          <w:r>
            <w:rPr>
              <w:noProof/>
            </w:rPr>
            <w:t xml:space="preserve">DPS </w:t>
          </w:r>
          <w:r w:rsidR="001950EF" w:rsidRPr="001950EF">
            <w:rPr>
              <w:noProof/>
            </w:rPr>
            <w:t>526814</w:t>
          </w:r>
        </w:p>
      </w:tc>
      <w:tc>
        <w:tcPr>
          <w:tcW w:w="8261" w:type="dxa"/>
        </w:tcPr>
        <w:p w14:paraId="35709C74" w14:textId="2C6ADE5E"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C74E7E">
            <w:rPr>
              <w:bCs/>
            </w:rPr>
            <w:t>10</w:t>
          </w:r>
          <w:r w:rsidR="001950EF">
            <w:rPr>
              <w:bCs/>
            </w:rPr>
            <w:t>9</w:t>
          </w:r>
          <w:r w:rsidRPr="00623AE3">
            <w:rPr>
              <w:bCs/>
            </w:rPr>
            <w:t>-</w:t>
          </w:r>
          <w:r w:rsidR="00EC2A7B">
            <w:rPr>
              <w:bCs/>
            </w:rPr>
            <w:t>S</w:t>
          </w:r>
          <w:r>
            <w:rPr>
              <w:bCs/>
            </w:rPr>
            <w:tab/>
          </w:r>
          <w:r>
            <w:fldChar w:fldCharType="begin"/>
          </w:r>
          <w:r>
            <w:instrText>PAGE</w:instrText>
          </w:r>
          <w:r>
            <w:fldChar w:fldCharType="separate"/>
          </w:r>
          <w:r>
            <w:t>1</w:t>
          </w:r>
          <w:r>
            <w:rPr>
              <w:noProof/>
            </w:rPr>
            <w:fldChar w:fldCharType="end"/>
          </w:r>
        </w:p>
      </w:tc>
    </w:tr>
  </w:tbl>
  <w:p w14:paraId="6C6FB1E8" w14:textId="18FFA378" w:rsidR="00EE49E8" w:rsidRPr="00754CF5" w:rsidRDefault="00EE49E8" w:rsidP="00E2696D">
    <w:pPr>
      <w:pStyle w:val="Footer"/>
      <w:rPr>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B19715E" w14:textId="77777777" w:rsidTr="00EE49E8">
      <w:trPr>
        <w:jc w:val="center"/>
      </w:trPr>
      <w:tc>
        <w:tcPr>
          <w:tcW w:w="1803" w:type="dxa"/>
          <w:vAlign w:val="center"/>
        </w:tcPr>
        <w:p w14:paraId="0BE27363" w14:textId="77777777" w:rsidR="00EE49E8" w:rsidRDefault="00007665"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09715012" w14:textId="1253F2AB"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C74E7E">
            <w:rPr>
              <w:bCs/>
            </w:rPr>
            <w:t>10</w:t>
          </w:r>
          <w:r w:rsidR="001950EF">
            <w:rPr>
              <w:bCs/>
            </w:rPr>
            <w:t>9</w:t>
          </w:r>
          <w:r w:rsidRPr="00623AE3">
            <w:rPr>
              <w:bCs/>
            </w:rPr>
            <w:t>-</w:t>
          </w:r>
          <w:r w:rsidR="00EC2A7B">
            <w:rPr>
              <w:bCs/>
            </w:rPr>
            <w:t>S</w:t>
          </w:r>
          <w:r>
            <w:rPr>
              <w:bCs/>
            </w:rPr>
            <w:tab/>
          </w:r>
          <w:r>
            <w:fldChar w:fldCharType="begin"/>
          </w:r>
          <w:r>
            <w:instrText>PAGE</w:instrText>
          </w:r>
          <w:r>
            <w:fldChar w:fldCharType="separate"/>
          </w:r>
          <w:r>
            <w:t>1</w:t>
          </w:r>
          <w:r>
            <w:rPr>
              <w:noProof/>
            </w:rPr>
            <w:fldChar w:fldCharType="end"/>
          </w:r>
        </w:p>
      </w:tc>
    </w:tr>
  </w:tbl>
  <w:p w14:paraId="7A1F1124" w14:textId="6246594A" w:rsidR="00A514A4" w:rsidRPr="00754CF5" w:rsidRDefault="00EC2A7B" w:rsidP="00EC2A7B">
    <w:pPr>
      <w:pStyle w:val="Footer"/>
      <w:rPr>
        <w:szCs w:val="16"/>
        <w:lang w:val="fr-FR"/>
      </w:rPr>
    </w:pPr>
    <w:r w:rsidRPr="00754CF5">
      <w:rPr>
        <w:szCs w:val="16"/>
      </w:rPr>
      <w:fldChar w:fldCharType="begin"/>
    </w:r>
    <w:r w:rsidRPr="00754CF5">
      <w:rPr>
        <w:szCs w:val="16"/>
        <w:lang w:val="fr-FR"/>
      </w:rPr>
      <w:instrText xml:space="preserve"> FILENAME \p  \* MERGEFORMAT </w:instrText>
    </w:r>
    <w:r w:rsidRPr="00754CF5">
      <w:rPr>
        <w:szCs w:val="16"/>
      </w:rPr>
      <w:fldChar w:fldCharType="separate"/>
    </w:r>
    <w:r w:rsidR="0097607A">
      <w:rPr>
        <w:szCs w:val="16"/>
        <w:lang w:val="fr-FR"/>
      </w:rPr>
      <w:t>P:\ESP\SG\CONSEIL\C23\100\109S.docx</w:t>
    </w:r>
    <w:r w:rsidRPr="00754CF5">
      <w:rPr>
        <w:szCs w:val="16"/>
      </w:rPr>
      <w:fldChar w:fldCharType="end"/>
    </w:r>
    <w:r w:rsidRPr="00754CF5">
      <w:rPr>
        <w:szCs w:val="16"/>
        <w:lang w:val="fr-FR"/>
      </w:rPr>
      <w:t xml:space="preserve"> (526814)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3374A" w14:textId="77777777" w:rsidR="005E3181" w:rsidRDefault="005E3181">
      <w:r>
        <w:t>____________________</w:t>
      </w:r>
    </w:p>
  </w:footnote>
  <w:footnote w:type="continuationSeparator" w:id="0">
    <w:p w14:paraId="68C2E8D8" w14:textId="77777777" w:rsidR="005E3181" w:rsidRDefault="005E3181">
      <w:r>
        <w:continuationSeparator/>
      </w:r>
    </w:p>
  </w:footnote>
  <w:footnote w:id="1">
    <w:p w14:paraId="3B66694B" w14:textId="22C4DA44" w:rsidR="008F7692" w:rsidRPr="00F747A8" w:rsidRDefault="008F7692" w:rsidP="008F7692">
      <w:pPr>
        <w:pStyle w:val="FootnoteText"/>
        <w:rPr>
          <w:lang w:val="es-ES"/>
        </w:rPr>
      </w:pPr>
      <w:r>
        <w:rPr>
          <w:rStyle w:val="FootnoteReference"/>
        </w:rPr>
        <w:footnoteRef/>
      </w:r>
      <w:r w:rsidRPr="00F747A8">
        <w:rPr>
          <w:lang w:val="es-ES"/>
        </w:rPr>
        <w:tab/>
      </w:r>
      <w:r w:rsidR="00B25B85">
        <w:rPr>
          <w:lang w:val="es-ES"/>
        </w:rPr>
        <w:t>Alocución al</w:t>
      </w:r>
      <w:r w:rsidR="00F747A8" w:rsidRPr="00F747A8">
        <w:rPr>
          <w:sz w:val="20"/>
          <w:lang w:val="es-ES"/>
        </w:rPr>
        <w:t xml:space="preserve"> Consejo en la reunión de la Comisión Permanente </w:t>
      </w:r>
      <w:r w:rsidR="00F747A8">
        <w:rPr>
          <w:sz w:val="20"/>
          <w:lang w:val="es-ES"/>
        </w:rPr>
        <w:t>d</w:t>
      </w:r>
      <w:r w:rsidR="00F747A8" w:rsidRPr="00F747A8">
        <w:rPr>
          <w:sz w:val="20"/>
          <w:lang w:val="es-ES"/>
        </w:rPr>
        <w:t>e Administración y Gestión el miércoles 19 de julio de 2023</w:t>
      </w:r>
      <w:r w:rsidRPr="00F747A8">
        <w:rPr>
          <w:sz w:val="20"/>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711CDDAA" w14:textId="77777777" w:rsidTr="00C91CFC">
      <w:trPr>
        <w:trHeight w:val="1104"/>
        <w:jc w:val="center"/>
      </w:trPr>
      <w:tc>
        <w:tcPr>
          <w:tcW w:w="4390" w:type="dxa"/>
          <w:vAlign w:val="center"/>
        </w:tcPr>
        <w:p w14:paraId="3AC295DD" w14:textId="5FF2F390" w:rsidR="00AD3606" w:rsidRPr="009621F8" w:rsidRDefault="00087C1C" w:rsidP="00AD3606">
          <w:pPr>
            <w:pStyle w:val="Header"/>
            <w:jc w:val="left"/>
            <w:rPr>
              <w:rFonts w:ascii="Arial" w:hAnsi="Arial" w:cs="Arial"/>
              <w:b/>
              <w:bCs/>
              <w:color w:val="009CD6"/>
              <w:sz w:val="36"/>
              <w:szCs w:val="36"/>
            </w:rPr>
          </w:pPr>
          <w:r>
            <w:rPr>
              <w:noProof/>
            </w:rPr>
            <w:drawing>
              <wp:inline distT="0" distB="0" distL="0" distR="0" wp14:anchorId="0676BBE6" wp14:editId="14132AAB">
                <wp:extent cx="1887322" cy="53036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136" cy="548581"/>
                        </a:xfrm>
                        <a:prstGeom prst="rect">
                          <a:avLst/>
                        </a:prstGeom>
                        <a:noFill/>
                        <a:ln>
                          <a:noFill/>
                        </a:ln>
                      </pic:spPr>
                    </pic:pic>
                  </a:graphicData>
                </a:graphic>
              </wp:inline>
            </w:drawing>
          </w:r>
        </w:p>
      </w:tc>
      <w:tc>
        <w:tcPr>
          <w:tcW w:w="5630" w:type="dxa"/>
        </w:tcPr>
        <w:p w14:paraId="55FC14DA" w14:textId="77777777" w:rsidR="00AD3606" w:rsidRDefault="00AD3606" w:rsidP="00AD3606">
          <w:pPr>
            <w:pStyle w:val="Header"/>
            <w:jc w:val="right"/>
            <w:rPr>
              <w:rFonts w:ascii="Arial" w:hAnsi="Arial" w:cs="Arial"/>
              <w:b/>
              <w:bCs/>
              <w:color w:val="009CD6"/>
              <w:szCs w:val="18"/>
            </w:rPr>
          </w:pPr>
        </w:p>
        <w:p w14:paraId="42B8D9AB" w14:textId="77777777" w:rsidR="00AD3606" w:rsidRDefault="00AD3606" w:rsidP="00AD3606">
          <w:pPr>
            <w:pStyle w:val="Header"/>
            <w:jc w:val="right"/>
            <w:rPr>
              <w:rFonts w:ascii="Arial" w:hAnsi="Arial" w:cs="Arial"/>
              <w:b/>
              <w:bCs/>
              <w:color w:val="009CD6"/>
              <w:szCs w:val="18"/>
            </w:rPr>
          </w:pPr>
        </w:p>
        <w:p w14:paraId="4883533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B70BDC9"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58C9542" wp14:editId="2D470DDF">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91F3F"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531845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71"/>
    <w:rsid w:val="00016158"/>
    <w:rsid w:val="000210D4"/>
    <w:rsid w:val="000625A7"/>
    <w:rsid w:val="00063016"/>
    <w:rsid w:val="00066795"/>
    <w:rsid w:val="00076AF6"/>
    <w:rsid w:val="00085CF2"/>
    <w:rsid w:val="00085E78"/>
    <w:rsid w:val="00087C1C"/>
    <w:rsid w:val="000A6138"/>
    <w:rsid w:val="000B1705"/>
    <w:rsid w:val="000D75B2"/>
    <w:rsid w:val="000E0CFF"/>
    <w:rsid w:val="001121F5"/>
    <w:rsid w:val="001400DC"/>
    <w:rsid w:val="00140CE1"/>
    <w:rsid w:val="00143BBD"/>
    <w:rsid w:val="00146BAF"/>
    <w:rsid w:val="0017539C"/>
    <w:rsid w:val="00175AC2"/>
    <w:rsid w:val="0017609F"/>
    <w:rsid w:val="001950EF"/>
    <w:rsid w:val="001A7D1D"/>
    <w:rsid w:val="001B51DD"/>
    <w:rsid w:val="001C628E"/>
    <w:rsid w:val="001E0F7B"/>
    <w:rsid w:val="0020159F"/>
    <w:rsid w:val="002119FD"/>
    <w:rsid w:val="002130E0"/>
    <w:rsid w:val="00223CE8"/>
    <w:rsid w:val="00226DDE"/>
    <w:rsid w:val="00264425"/>
    <w:rsid w:val="00265875"/>
    <w:rsid w:val="0027303B"/>
    <w:rsid w:val="0028109B"/>
    <w:rsid w:val="002A2188"/>
    <w:rsid w:val="002B1F58"/>
    <w:rsid w:val="002C1C7A"/>
    <w:rsid w:val="002C54E2"/>
    <w:rsid w:val="002F6124"/>
    <w:rsid w:val="0030160F"/>
    <w:rsid w:val="00320223"/>
    <w:rsid w:val="00322D0D"/>
    <w:rsid w:val="0034774E"/>
    <w:rsid w:val="00361465"/>
    <w:rsid w:val="003877F5"/>
    <w:rsid w:val="003942D4"/>
    <w:rsid w:val="003958A8"/>
    <w:rsid w:val="003C2533"/>
    <w:rsid w:val="003D5A7F"/>
    <w:rsid w:val="0040435A"/>
    <w:rsid w:val="00406FF5"/>
    <w:rsid w:val="00410155"/>
    <w:rsid w:val="00416A24"/>
    <w:rsid w:val="00431D9E"/>
    <w:rsid w:val="00433CE8"/>
    <w:rsid w:val="00434A5C"/>
    <w:rsid w:val="004367F0"/>
    <w:rsid w:val="00451ADD"/>
    <w:rsid w:val="004544D9"/>
    <w:rsid w:val="004608B9"/>
    <w:rsid w:val="00472B1C"/>
    <w:rsid w:val="00472BAD"/>
    <w:rsid w:val="00482CB6"/>
    <w:rsid w:val="00484009"/>
    <w:rsid w:val="00490E72"/>
    <w:rsid w:val="00491157"/>
    <w:rsid w:val="004921C8"/>
    <w:rsid w:val="00495B0B"/>
    <w:rsid w:val="004A1B8B"/>
    <w:rsid w:val="004A2DFF"/>
    <w:rsid w:val="004B5CD1"/>
    <w:rsid w:val="004C3E47"/>
    <w:rsid w:val="004D1851"/>
    <w:rsid w:val="004D599D"/>
    <w:rsid w:val="004D646C"/>
    <w:rsid w:val="004E2EA5"/>
    <w:rsid w:val="004E3AEB"/>
    <w:rsid w:val="004F60F1"/>
    <w:rsid w:val="0050223C"/>
    <w:rsid w:val="005122FA"/>
    <w:rsid w:val="00522ADC"/>
    <w:rsid w:val="005243FF"/>
    <w:rsid w:val="005468A8"/>
    <w:rsid w:val="00564FBC"/>
    <w:rsid w:val="005800BC"/>
    <w:rsid w:val="00582442"/>
    <w:rsid w:val="005C11D3"/>
    <w:rsid w:val="005E3181"/>
    <w:rsid w:val="005F3269"/>
    <w:rsid w:val="00606F98"/>
    <w:rsid w:val="0061233D"/>
    <w:rsid w:val="00623AE3"/>
    <w:rsid w:val="006330B0"/>
    <w:rsid w:val="0064737F"/>
    <w:rsid w:val="006535F1"/>
    <w:rsid w:val="006552BD"/>
    <w:rsid w:val="0065557D"/>
    <w:rsid w:val="00660D50"/>
    <w:rsid w:val="00661C03"/>
    <w:rsid w:val="00662984"/>
    <w:rsid w:val="006716BB"/>
    <w:rsid w:val="006824B1"/>
    <w:rsid w:val="006B1859"/>
    <w:rsid w:val="006B6680"/>
    <w:rsid w:val="006B6DCC"/>
    <w:rsid w:val="00702DEF"/>
    <w:rsid w:val="00706861"/>
    <w:rsid w:val="00715104"/>
    <w:rsid w:val="00724423"/>
    <w:rsid w:val="00740238"/>
    <w:rsid w:val="0074798F"/>
    <w:rsid w:val="0075051B"/>
    <w:rsid w:val="00754CF5"/>
    <w:rsid w:val="00793188"/>
    <w:rsid w:val="00794D34"/>
    <w:rsid w:val="007B3D6C"/>
    <w:rsid w:val="00803DA1"/>
    <w:rsid w:val="00813E5E"/>
    <w:rsid w:val="00817238"/>
    <w:rsid w:val="0083581B"/>
    <w:rsid w:val="00863874"/>
    <w:rsid w:val="00864AFF"/>
    <w:rsid w:val="00865925"/>
    <w:rsid w:val="00880A3D"/>
    <w:rsid w:val="00896FAB"/>
    <w:rsid w:val="008B4A6A"/>
    <w:rsid w:val="008C7E27"/>
    <w:rsid w:val="008E5D06"/>
    <w:rsid w:val="008F7448"/>
    <w:rsid w:val="008F7692"/>
    <w:rsid w:val="0090147A"/>
    <w:rsid w:val="0090341F"/>
    <w:rsid w:val="00915F63"/>
    <w:rsid w:val="009173EF"/>
    <w:rsid w:val="00932906"/>
    <w:rsid w:val="00941282"/>
    <w:rsid w:val="009606C0"/>
    <w:rsid w:val="00961B0B"/>
    <w:rsid w:val="0097607A"/>
    <w:rsid w:val="009B38C3"/>
    <w:rsid w:val="009E17BD"/>
    <w:rsid w:val="009E485A"/>
    <w:rsid w:val="009F2E72"/>
    <w:rsid w:val="00A04CEC"/>
    <w:rsid w:val="00A27F92"/>
    <w:rsid w:val="00A32257"/>
    <w:rsid w:val="00A36D20"/>
    <w:rsid w:val="00A44716"/>
    <w:rsid w:val="00A514A4"/>
    <w:rsid w:val="00A54171"/>
    <w:rsid w:val="00A55622"/>
    <w:rsid w:val="00A60614"/>
    <w:rsid w:val="00A6778B"/>
    <w:rsid w:val="00A70FD2"/>
    <w:rsid w:val="00A83502"/>
    <w:rsid w:val="00AD15B3"/>
    <w:rsid w:val="00AD3606"/>
    <w:rsid w:val="00AD4A3D"/>
    <w:rsid w:val="00AD4DC2"/>
    <w:rsid w:val="00AF6E49"/>
    <w:rsid w:val="00B04A67"/>
    <w:rsid w:val="00B0583C"/>
    <w:rsid w:val="00B25B85"/>
    <w:rsid w:val="00B40A81"/>
    <w:rsid w:val="00B44910"/>
    <w:rsid w:val="00B72267"/>
    <w:rsid w:val="00B7454A"/>
    <w:rsid w:val="00B76EB6"/>
    <w:rsid w:val="00B7737B"/>
    <w:rsid w:val="00B824C8"/>
    <w:rsid w:val="00B84B9D"/>
    <w:rsid w:val="00B93F7D"/>
    <w:rsid w:val="00BA4CB0"/>
    <w:rsid w:val="00BB378E"/>
    <w:rsid w:val="00BC251A"/>
    <w:rsid w:val="00BD032B"/>
    <w:rsid w:val="00BE2640"/>
    <w:rsid w:val="00BF36CC"/>
    <w:rsid w:val="00C01189"/>
    <w:rsid w:val="00C374DE"/>
    <w:rsid w:val="00C45268"/>
    <w:rsid w:val="00C47AD4"/>
    <w:rsid w:val="00C52D81"/>
    <w:rsid w:val="00C55198"/>
    <w:rsid w:val="00C617E2"/>
    <w:rsid w:val="00C74E7E"/>
    <w:rsid w:val="00CA6393"/>
    <w:rsid w:val="00CB18FF"/>
    <w:rsid w:val="00CD0C08"/>
    <w:rsid w:val="00CE03FB"/>
    <w:rsid w:val="00CE3360"/>
    <w:rsid w:val="00CE433C"/>
    <w:rsid w:val="00CF0161"/>
    <w:rsid w:val="00CF33F3"/>
    <w:rsid w:val="00D03A67"/>
    <w:rsid w:val="00D06183"/>
    <w:rsid w:val="00D07C2D"/>
    <w:rsid w:val="00D22C42"/>
    <w:rsid w:val="00D65041"/>
    <w:rsid w:val="00D748E6"/>
    <w:rsid w:val="00DB1936"/>
    <w:rsid w:val="00DB384B"/>
    <w:rsid w:val="00DD042F"/>
    <w:rsid w:val="00DF0189"/>
    <w:rsid w:val="00DF13B2"/>
    <w:rsid w:val="00DF1C02"/>
    <w:rsid w:val="00DF2340"/>
    <w:rsid w:val="00DF7C25"/>
    <w:rsid w:val="00E06FD5"/>
    <w:rsid w:val="00E10E80"/>
    <w:rsid w:val="00E124F0"/>
    <w:rsid w:val="00E2696D"/>
    <w:rsid w:val="00E60F04"/>
    <w:rsid w:val="00E65B24"/>
    <w:rsid w:val="00E822FA"/>
    <w:rsid w:val="00E8425C"/>
    <w:rsid w:val="00E854E4"/>
    <w:rsid w:val="00E86DBF"/>
    <w:rsid w:val="00EB0D6F"/>
    <w:rsid w:val="00EB2232"/>
    <w:rsid w:val="00EC2A7B"/>
    <w:rsid w:val="00EC5337"/>
    <w:rsid w:val="00EE49E8"/>
    <w:rsid w:val="00EF4DBA"/>
    <w:rsid w:val="00F0243A"/>
    <w:rsid w:val="00F16BAB"/>
    <w:rsid w:val="00F2150A"/>
    <w:rsid w:val="00F231D8"/>
    <w:rsid w:val="00F44C00"/>
    <w:rsid w:val="00F46C5F"/>
    <w:rsid w:val="00F632C0"/>
    <w:rsid w:val="00F747A8"/>
    <w:rsid w:val="00F866E9"/>
    <w:rsid w:val="00F94A63"/>
    <w:rsid w:val="00F95B2F"/>
    <w:rsid w:val="00FA1C28"/>
    <w:rsid w:val="00FB1279"/>
    <w:rsid w:val="00FB6B76"/>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6F2F"/>
  <w15:docId w15:val="{4C1A66F7-C213-4887-BEDE-8DB6A397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CEO_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C617E2"/>
    <w:rPr>
      <w:color w:val="605E5C"/>
      <w:shd w:val="clear" w:color="auto" w:fill="E1DFDD"/>
    </w:rPr>
  </w:style>
  <w:style w:type="character" w:customStyle="1" w:styleId="ui-provider">
    <w:name w:val="ui-provider"/>
    <w:basedOn w:val="DefaultParagraphFont"/>
    <w:rsid w:val="00606F98"/>
  </w:style>
  <w:style w:type="paragraph" w:customStyle="1" w:styleId="paragraph">
    <w:name w:val="paragraph"/>
    <w:basedOn w:val="Normal"/>
    <w:rsid w:val="00606F9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imes New Roman" w:hAnsi="Times New Roman"/>
      <w:szCs w:val="24"/>
      <w:lang w:eastAsia="en-GB"/>
    </w:rPr>
  </w:style>
  <w:style w:type="character" w:styleId="CommentReference">
    <w:name w:val="annotation reference"/>
    <w:basedOn w:val="DefaultParagraphFont"/>
    <w:uiPriority w:val="99"/>
    <w:semiHidden/>
    <w:unhideWhenUsed/>
    <w:rsid w:val="004367F0"/>
    <w:rPr>
      <w:sz w:val="16"/>
      <w:szCs w:val="16"/>
    </w:rPr>
  </w:style>
  <w:style w:type="paragraph" w:styleId="CommentText">
    <w:name w:val="annotation text"/>
    <w:basedOn w:val="Normal"/>
    <w:link w:val="CommentTextChar"/>
    <w:uiPriority w:val="99"/>
    <w:unhideWhenUsed/>
    <w:rsid w:val="004367F0"/>
    <w:rPr>
      <w:rFonts w:eastAsia="Times New Roman"/>
      <w:sz w:val="20"/>
    </w:rPr>
  </w:style>
  <w:style w:type="character" w:customStyle="1" w:styleId="CommentTextChar">
    <w:name w:val="Comment Text Char"/>
    <w:basedOn w:val="DefaultParagraphFont"/>
    <w:link w:val="CommentText"/>
    <w:uiPriority w:val="99"/>
    <w:rsid w:val="004367F0"/>
    <w:rPr>
      <w:rFonts w:ascii="Calibri" w:eastAsia="Times New Roman" w:hAnsi="Calibri"/>
      <w:lang w:val="en-GB" w:eastAsia="en-US"/>
    </w:rPr>
  </w:style>
  <w:style w:type="character" w:customStyle="1" w:styleId="FootnoteTextChar">
    <w:name w:val="Footnote Text Char"/>
    <w:basedOn w:val="DefaultParagraphFont"/>
    <w:link w:val="FootnoteText"/>
    <w:rsid w:val="008F7692"/>
    <w:rPr>
      <w:rFonts w:ascii="Calibri" w:hAnsi="Calibri"/>
      <w:sz w:val="24"/>
      <w:lang w:val="en-GB" w:eastAsia="en-US"/>
    </w:rPr>
  </w:style>
  <w:style w:type="paragraph" w:styleId="CommentSubject">
    <w:name w:val="annotation subject"/>
    <w:basedOn w:val="CommentText"/>
    <w:next w:val="CommentText"/>
    <w:link w:val="CommentSubjectChar"/>
    <w:semiHidden/>
    <w:unhideWhenUsed/>
    <w:rsid w:val="00B93F7D"/>
    <w:rPr>
      <w:rFonts w:eastAsia="SimSun"/>
      <w:b/>
      <w:bCs/>
    </w:rPr>
  </w:style>
  <w:style w:type="character" w:customStyle="1" w:styleId="CommentSubjectChar">
    <w:name w:val="Comment Subject Char"/>
    <w:basedOn w:val="CommentTextChar"/>
    <w:link w:val="CommentSubject"/>
    <w:semiHidden/>
    <w:rsid w:val="00B93F7D"/>
    <w:rPr>
      <w:rFonts w:ascii="Calibri" w:eastAsia="Times New Roman" w:hAnsi="Calibri"/>
      <w:b/>
      <w:bCs/>
      <w:lang w:val="en-GB" w:eastAsia="en-US"/>
    </w:rPr>
  </w:style>
  <w:style w:type="paragraph" w:styleId="Revision">
    <w:name w:val="Revision"/>
    <w:hidden/>
    <w:uiPriority w:val="99"/>
    <w:semiHidden/>
    <w:rsid w:val="00715104"/>
    <w:rPr>
      <w:rFonts w:ascii="Calibri" w:hAnsi="Calibri"/>
      <w:sz w:val="24"/>
      <w:lang w:val="en-GB" w:eastAsia="en-US"/>
    </w:rPr>
  </w:style>
  <w:style w:type="paragraph" w:styleId="BalloonText">
    <w:name w:val="Balloon Text"/>
    <w:basedOn w:val="Normal"/>
    <w:link w:val="BalloonTextChar"/>
    <w:semiHidden/>
    <w:unhideWhenUsed/>
    <w:rsid w:val="006824B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824B1"/>
    <w:rPr>
      <w:rFonts w:ascii="Segoe UI" w:hAnsi="Segoe UI" w:cs="Segoe UI"/>
      <w:sz w:val="18"/>
      <w:szCs w:val="18"/>
      <w:lang w:val="en-GB" w:eastAsia="en-US"/>
    </w:rPr>
  </w:style>
  <w:style w:type="paragraph" w:customStyle="1" w:styleId="Reasons">
    <w:name w:val="Reasons"/>
    <w:basedOn w:val="Normal"/>
    <w:qFormat/>
    <w:rsid w:val="008E5D06"/>
    <w:pPr>
      <w:tabs>
        <w:tab w:val="clear" w:pos="567"/>
        <w:tab w:val="clear" w:pos="1134"/>
        <w:tab w:val="clear" w:pos="1701"/>
        <w:tab w:val="clear" w:pos="2268"/>
        <w:tab w:val="clear" w:pos="2835"/>
      </w:tabs>
      <w:overflowPunct/>
      <w:autoSpaceDE/>
      <w:autoSpaceDN/>
      <w:adjustRightInd/>
      <w:spacing w:before="0"/>
      <w:textAlignment w:val="auto"/>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3-CL-C-0017/en" TargetMode="External"/><Relationship Id="rId18" Type="http://schemas.openxmlformats.org/officeDocument/2006/relationships/hyperlink" Target="https://www.itu.int/md/S23-CL-C-0077/en" TargetMode="External"/><Relationship Id="rId26" Type="http://schemas.openxmlformats.org/officeDocument/2006/relationships/hyperlink" Target="https://www.itu.int/md/S23-CL-C-0093/en" TargetMode="External"/><Relationship Id="rId39" Type="http://schemas.openxmlformats.org/officeDocument/2006/relationships/hyperlink" Target="https://www.itu.int/md/S23-CL-C-0063/en" TargetMode="External"/><Relationship Id="rId21" Type="http://schemas.openxmlformats.org/officeDocument/2006/relationships/hyperlink" Target="https://www.itu.int/md/S23-CL-C-0013/en" TargetMode="External"/><Relationship Id="rId34" Type="http://schemas.openxmlformats.org/officeDocument/2006/relationships/hyperlink" Target="https://www.itu.int/md/S23-CL-C-0073/en"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S23-CL-C-0066/en" TargetMode="External"/><Relationship Id="rId29" Type="http://schemas.openxmlformats.org/officeDocument/2006/relationships/hyperlink" Target="https://www.itu.int/md/S23-CL-C-0091/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3-CL-C-0076/en" TargetMode="External"/><Relationship Id="rId24" Type="http://schemas.openxmlformats.org/officeDocument/2006/relationships/hyperlink" Target="https://council.itu.int/2023/en/news/speeches/speech-director-general-of-wipo-daren-tang/" TargetMode="External"/><Relationship Id="rId32" Type="http://schemas.openxmlformats.org/officeDocument/2006/relationships/hyperlink" Target="https://www.itu.int/md/S23-CL-C-0012/en" TargetMode="External"/><Relationship Id="rId37" Type="http://schemas.openxmlformats.org/officeDocument/2006/relationships/hyperlink" Target="https://www.itu.int/md/S23-CL-230711-TD-0005/en" TargetMode="External"/><Relationship Id="rId40" Type="http://schemas.openxmlformats.org/officeDocument/2006/relationships/hyperlink" Target="https://www.itu.int/md/S23-CL-C-0067/en"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S23-CL-C-0012/en" TargetMode="External"/><Relationship Id="rId23" Type="http://schemas.openxmlformats.org/officeDocument/2006/relationships/hyperlink" Target="https://www.itu.int/md/S23-CL-C-0067/en" TargetMode="External"/><Relationship Id="rId28" Type="http://schemas.openxmlformats.org/officeDocument/2006/relationships/hyperlink" Target="https://www.itu.int/md/S23-CL-C-0076/en" TargetMode="External"/><Relationship Id="rId36" Type="http://schemas.openxmlformats.org/officeDocument/2006/relationships/hyperlink" Target="https://www.itu.int/md/S23-CL-C-0088/en" TargetMode="External"/><Relationship Id="rId10" Type="http://schemas.openxmlformats.org/officeDocument/2006/relationships/hyperlink" Target="https://www.itu.int/md/S23-CL-C-0006/en" TargetMode="External"/><Relationship Id="rId19" Type="http://schemas.openxmlformats.org/officeDocument/2006/relationships/hyperlink" Target="https://www.itu.int/md/S23-CL-C-0088/en" TargetMode="External"/><Relationship Id="rId31" Type="http://schemas.openxmlformats.org/officeDocument/2006/relationships/hyperlink" Target="https://www.itu.int/md/S23-CL-230711-TD-0004/en"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md/S23-CL-C-0093/en" TargetMode="External"/><Relationship Id="rId14" Type="http://schemas.openxmlformats.org/officeDocument/2006/relationships/hyperlink" Target="https://www.itu.int/md/S23-CL-230711-TD-0004/en" TargetMode="External"/><Relationship Id="rId22" Type="http://schemas.openxmlformats.org/officeDocument/2006/relationships/hyperlink" Target="https://www.itu.int/md/S23-CL-C-0063/en" TargetMode="External"/><Relationship Id="rId27" Type="http://schemas.openxmlformats.org/officeDocument/2006/relationships/hyperlink" Target="https://www.itu.int/md/S23-CL-C-0006/en" TargetMode="External"/><Relationship Id="rId30" Type="http://schemas.openxmlformats.org/officeDocument/2006/relationships/hyperlink" Target="https://www.itu.int/md/S23-CL-C-0017/en" TargetMode="External"/><Relationship Id="rId35" Type="http://schemas.openxmlformats.org/officeDocument/2006/relationships/hyperlink" Target="https://www.itu.int/md/S23-CL-C-0077/en" TargetMode="External"/><Relationship Id="rId43" Type="http://schemas.openxmlformats.org/officeDocument/2006/relationships/header" Target="header1.xml"/><Relationship Id="rId8" Type="http://schemas.openxmlformats.org/officeDocument/2006/relationships/hyperlink" Target="https://www.itu.int/md/S23-CL-C-0038/en" TargetMode="External"/><Relationship Id="rId3" Type="http://schemas.openxmlformats.org/officeDocument/2006/relationships/styles" Target="styles.xml"/><Relationship Id="rId12" Type="http://schemas.openxmlformats.org/officeDocument/2006/relationships/hyperlink" Target="https://www.itu.int/md/S23-CL-C-0091/en" TargetMode="External"/><Relationship Id="rId17" Type="http://schemas.openxmlformats.org/officeDocument/2006/relationships/hyperlink" Target="https://www.itu.int/md/S23-CL-C-0073/en" TargetMode="External"/><Relationship Id="rId25" Type="http://schemas.openxmlformats.org/officeDocument/2006/relationships/hyperlink" Target="https://www.itu.int/md/S23-CL-C-0038/en" TargetMode="External"/><Relationship Id="rId33" Type="http://schemas.openxmlformats.org/officeDocument/2006/relationships/hyperlink" Target="https://www.itu.int/md/S23-CL-C-0066/en" TargetMode="External"/><Relationship Id="rId38" Type="http://schemas.openxmlformats.org/officeDocument/2006/relationships/hyperlink" Target="https://www.itu.int/md/S23-CL-C-0013/en" TargetMode="External"/><Relationship Id="rId46" Type="http://schemas.openxmlformats.org/officeDocument/2006/relationships/theme" Target="theme/theme1.xml"/><Relationship Id="rId20" Type="http://schemas.openxmlformats.org/officeDocument/2006/relationships/hyperlink" Target="https://www.itu.int/md/S23-CL-230711-TD-0005/en" TargetMode="External"/><Relationship Id="rId41" Type="http://schemas.openxmlformats.org/officeDocument/2006/relationships/hyperlink" Target="http://council.itu.int/2023/wp-content/uploads/sites/2/2023/09/C23-Spain-Statement-Matias-Gonzalez_es.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ala\AppData\Roaming\Microsoft\Templates\POOL%20S%20-%20ITU\GS\PS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1DC52-111E-4BDC-AA54-32F4A4E25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PS_Council23.dotx</Template>
  <TotalTime>3</TotalTime>
  <Pages>8</Pages>
  <Words>3345</Words>
  <Characters>19723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Summary record of the fourth plenary meeting</vt:lpstr>
    </vt:vector>
  </TitlesOfParts>
  <Manager>General Secretariat - Pool</Manager>
  <Company>International Telecommunication Union (ITU)</Company>
  <LinksUpToDate>false</LinksUpToDate>
  <CharactersWithSpaces>23022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Resumen de los debates de la cuarta Sesion Plenaria</dc:title>
  <dc:subject>Council 2023</dc:subject>
  <dc:creator>Brouard, Ricarda</dc:creator>
  <cp:keywords>C2023, C23, Council-23</cp:keywords>
  <dc:description/>
  <cp:lastModifiedBy>Xue, Kun</cp:lastModifiedBy>
  <cp:revision>7</cp:revision>
  <cp:lastPrinted>2000-07-18T13:30:00Z</cp:lastPrinted>
  <dcterms:created xsi:type="dcterms:W3CDTF">2023-09-06T07:36:00Z</dcterms:created>
  <dcterms:modified xsi:type="dcterms:W3CDTF">2023-09-06T07:39:00Z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