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84652" w:rsidRPr="00E24D59" w14:paraId="7964005D" w14:textId="77777777" w:rsidTr="00E31DCE">
        <w:trPr>
          <w:cantSplit/>
          <w:trHeight w:val="23"/>
        </w:trPr>
        <w:tc>
          <w:tcPr>
            <w:tcW w:w="3969" w:type="dxa"/>
            <w:vMerge w:val="restart"/>
            <w:tcMar>
              <w:left w:w="0" w:type="dxa"/>
            </w:tcMar>
          </w:tcPr>
          <w:p w14:paraId="4DE67F9E" w14:textId="3FEB070F" w:rsidR="00E84652" w:rsidRPr="00E24D59" w:rsidRDefault="00E84652"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1EBAA54B" w14:textId="3D0F8D9F" w:rsidR="00E84652" w:rsidRPr="00E24D59" w:rsidRDefault="00E84652"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D76DDC">
              <w:rPr>
                <w:b/>
              </w:rPr>
              <w:t>11</w:t>
            </w:r>
            <w:r w:rsidR="005704E6">
              <w:rPr>
                <w:b/>
              </w:rPr>
              <w:t>5</w:t>
            </w:r>
            <w:r w:rsidRPr="00E24D59">
              <w:rPr>
                <w:b/>
                <w:lang w:val="fr-CH"/>
              </w:rPr>
              <w:t>-C</w:t>
            </w:r>
          </w:p>
        </w:tc>
      </w:tr>
      <w:tr w:rsidR="00E84652" w:rsidRPr="00813E5E" w14:paraId="39E32F04" w14:textId="77777777" w:rsidTr="00E31DCE">
        <w:trPr>
          <w:cantSplit/>
        </w:trPr>
        <w:tc>
          <w:tcPr>
            <w:tcW w:w="3969" w:type="dxa"/>
            <w:vMerge/>
          </w:tcPr>
          <w:p w14:paraId="0C6EF2FD" w14:textId="77777777" w:rsidR="00E84652" w:rsidRPr="00E24D59" w:rsidRDefault="00E84652" w:rsidP="00E31DCE">
            <w:pPr>
              <w:tabs>
                <w:tab w:val="left" w:pos="851"/>
              </w:tabs>
              <w:spacing w:line="240" w:lineRule="atLeast"/>
              <w:rPr>
                <w:b/>
                <w:lang w:val="fr-CH"/>
              </w:rPr>
            </w:pPr>
            <w:bookmarkStart w:id="3" w:name="ddate" w:colFirst="1" w:colLast="1"/>
            <w:bookmarkEnd w:id="0"/>
            <w:bookmarkEnd w:id="1"/>
          </w:p>
        </w:tc>
        <w:tc>
          <w:tcPr>
            <w:tcW w:w="5245" w:type="dxa"/>
          </w:tcPr>
          <w:p w14:paraId="176C897D" w14:textId="43A8DB1F" w:rsidR="00E84652" w:rsidRPr="00E85629" w:rsidRDefault="00E84652" w:rsidP="00E31DCE">
            <w:pPr>
              <w:tabs>
                <w:tab w:val="left" w:pos="851"/>
              </w:tabs>
              <w:spacing w:before="0"/>
              <w:jc w:val="right"/>
              <w:rPr>
                <w:b/>
                <w:lang w:eastAsia="zh-CN"/>
              </w:rPr>
            </w:pPr>
            <w:r>
              <w:rPr>
                <w:b/>
              </w:rPr>
              <w:t>2023</w:t>
            </w:r>
            <w:r>
              <w:rPr>
                <w:rFonts w:hint="eastAsia"/>
                <w:b/>
                <w:lang w:eastAsia="zh-CN"/>
              </w:rPr>
              <w:t>年</w:t>
            </w:r>
            <w:r w:rsidR="00D76DDC">
              <w:rPr>
                <w:b/>
                <w:lang w:eastAsia="zh-CN"/>
              </w:rPr>
              <w:t>8</w:t>
            </w:r>
            <w:r>
              <w:rPr>
                <w:rFonts w:hint="eastAsia"/>
                <w:b/>
                <w:lang w:eastAsia="zh-CN"/>
              </w:rPr>
              <w:t>月</w:t>
            </w:r>
            <w:r w:rsidR="00D76DDC">
              <w:rPr>
                <w:b/>
                <w:lang w:eastAsia="zh-CN"/>
              </w:rPr>
              <w:t>4</w:t>
            </w:r>
            <w:r>
              <w:rPr>
                <w:rFonts w:hint="eastAsia"/>
                <w:b/>
                <w:lang w:eastAsia="zh-CN"/>
              </w:rPr>
              <w:t>日</w:t>
            </w:r>
          </w:p>
        </w:tc>
      </w:tr>
      <w:tr w:rsidR="00E84652" w:rsidRPr="00813E5E" w14:paraId="09DF39DC" w14:textId="77777777" w:rsidTr="00E31DCE">
        <w:trPr>
          <w:cantSplit/>
          <w:trHeight w:val="23"/>
        </w:trPr>
        <w:tc>
          <w:tcPr>
            <w:tcW w:w="3969" w:type="dxa"/>
            <w:vMerge/>
          </w:tcPr>
          <w:p w14:paraId="5B8F858B" w14:textId="77777777" w:rsidR="00E84652" w:rsidRPr="00813E5E" w:rsidRDefault="00E84652" w:rsidP="00E31DCE">
            <w:pPr>
              <w:tabs>
                <w:tab w:val="left" w:pos="851"/>
              </w:tabs>
              <w:spacing w:line="240" w:lineRule="atLeast"/>
              <w:rPr>
                <w:b/>
              </w:rPr>
            </w:pPr>
            <w:bookmarkStart w:id="4" w:name="dorlang" w:colFirst="1" w:colLast="1"/>
            <w:bookmarkEnd w:id="3"/>
          </w:p>
        </w:tc>
        <w:tc>
          <w:tcPr>
            <w:tcW w:w="5245" w:type="dxa"/>
          </w:tcPr>
          <w:p w14:paraId="2C02FE36" w14:textId="77777777" w:rsidR="00E84652" w:rsidRPr="00E85629" w:rsidRDefault="00E84652"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84652" w:rsidRPr="00813E5E" w14:paraId="05D5BF61" w14:textId="77777777" w:rsidTr="00E31DCE">
        <w:trPr>
          <w:cantSplit/>
          <w:trHeight w:val="23"/>
        </w:trPr>
        <w:tc>
          <w:tcPr>
            <w:tcW w:w="3969" w:type="dxa"/>
          </w:tcPr>
          <w:p w14:paraId="53BB5109" w14:textId="77777777" w:rsidR="00E84652" w:rsidRPr="00813E5E" w:rsidRDefault="00E84652" w:rsidP="00E31DCE">
            <w:pPr>
              <w:tabs>
                <w:tab w:val="left" w:pos="851"/>
              </w:tabs>
              <w:spacing w:line="240" w:lineRule="atLeast"/>
              <w:rPr>
                <w:b/>
              </w:rPr>
            </w:pPr>
          </w:p>
        </w:tc>
        <w:tc>
          <w:tcPr>
            <w:tcW w:w="5245" w:type="dxa"/>
          </w:tcPr>
          <w:p w14:paraId="5420B53D" w14:textId="77777777" w:rsidR="00E84652" w:rsidRDefault="00E84652" w:rsidP="00E31DCE">
            <w:pPr>
              <w:tabs>
                <w:tab w:val="left" w:pos="851"/>
              </w:tabs>
              <w:spacing w:before="0" w:line="240" w:lineRule="atLeast"/>
              <w:jc w:val="right"/>
              <w:rPr>
                <w:b/>
              </w:rPr>
            </w:pPr>
          </w:p>
        </w:tc>
      </w:tr>
      <w:bookmarkEnd w:id="4"/>
      <w:bookmarkEnd w:id="2"/>
    </w:tbl>
    <w:p w14:paraId="63E4AD6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4534EF90" w14:textId="052EF941" w:rsidR="00C44C06" w:rsidRDefault="00EB72D9" w:rsidP="00D76DDC">
      <w:pPr>
        <w:pStyle w:val="ResNo"/>
        <w:rPr>
          <w:lang w:eastAsia="zh-CN"/>
        </w:rPr>
      </w:pPr>
      <w:bookmarkStart w:id="5" w:name="_Toc424562790"/>
      <w:bookmarkStart w:id="6" w:name="_Toc458082474"/>
      <w:bookmarkStart w:id="7" w:name="_Toc489512139"/>
      <w:bookmarkStart w:id="8" w:name="_Toc15483944"/>
      <w:bookmarkStart w:id="9" w:name="_Toc16001307"/>
      <w:bookmarkStart w:id="10" w:name="_Toc85720973"/>
      <w:r>
        <w:rPr>
          <w:rFonts w:hint="eastAsia"/>
          <w:lang w:eastAsia="zh-CN"/>
        </w:rPr>
        <w:t>第</w:t>
      </w:r>
      <w:bookmarkEnd w:id="5"/>
      <w:bookmarkEnd w:id="6"/>
      <w:bookmarkEnd w:id="7"/>
      <w:bookmarkEnd w:id="8"/>
      <w:bookmarkEnd w:id="9"/>
      <w:bookmarkEnd w:id="10"/>
      <w:r w:rsidR="00D76DDC">
        <w:rPr>
          <w:lang w:eastAsia="zh-CN"/>
        </w:rPr>
        <w:t>141</w:t>
      </w:r>
      <w:r w:rsidR="005704E6">
        <w:rPr>
          <w:lang w:eastAsia="zh-CN"/>
        </w:rPr>
        <w:t>7</w:t>
      </w:r>
      <w:r>
        <w:rPr>
          <w:rFonts w:hint="eastAsia"/>
          <w:lang w:eastAsia="zh-CN"/>
        </w:rPr>
        <w:t>号决议</w:t>
      </w:r>
    </w:p>
    <w:p w14:paraId="30093A49" w14:textId="1198551D" w:rsidR="00D76DDC" w:rsidRPr="00D76DDC" w:rsidRDefault="00D76DDC" w:rsidP="00D76DDC">
      <w:pPr>
        <w:jc w:val="center"/>
        <w:rPr>
          <w:lang w:eastAsia="zh-CN"/>
        </w:rPr>
      </w:pPr>
      <w:r w:rsidRPr="001D3756">
        <w:rPr>
          <w:rFonts w:hint="eastAsia"/>
          <w:lang w:eastAsia="zh-CN"/>
        </w:rPr>
        <w:t>（在第</w:t>
      </w:r>
      <w:r w:rsidR="00127356">
        <w:rPr>
          <w:rFonts w:hint="eastAsia"/>
          <w:lang w:eastAsia="zh-CN"/>
        </w:rPr>
        <w:t>七</w:t>
      </w:r>
      <w:r w:rsidRPr="001D3756">
        <w:rPr>
          <w:rFonts w:hint="eastAsia"/>
          <w:lang w:eastAsia="zh-CN"/>
        </w:rPr>
        <w:t>次全体会议上通过）</w:t>
      </w:r>
    </w:p>
    <w:p w14:paraId="126C32EB" w14:textId="77777777" w:rsidR="005704E6" w:rsidRPr="00262D75" w:rsidRDefault="005704E6" w:rsidP="005704E6">
      <w:pPr>
        <w:pStyle w:val="Restitle"/>
        <w:rPr>
          <w:lang w:eastAsia="zh-CN"/>
        </w:rPr>
      </w:pPr>
      <w:r w:rsidRPr="00262D75">
        <w:rPr>
          <w:rFonts w:hint="eastAsia"/>
          <w:lang w:eastAsia="zh-CN"/>
        </w:rPr>
        <w:t>国际电联</w:t>
      </w:r>
      <w:r w:rsidRPr="00262D75">
        <w:rPr>
          <w:rFonts w:hint="eastAsia"/>
          <w:lang w:eastAsia="zh-CN"/>
        </w:rPr>
        <w:t>2024-2025</w:t>
      </w:r>
      <w:r w:rsidRPr="00262D75">
        <w:rPr>
          <w:rFonts w:hint="eastAsia"/>
          <w:lang w:eastAsia="zh-CN"/>
        </w:rPr>
        <w:t>双年度预算</w:t>
      </w:r>
    </w:p>
    <w:p w14:paraId="5BEA0B1B" w14:textId="77777777" w:rsidR="005704E6" w:rsidRPr="00262D75" w:rsidRDefault="005704E6" w:rsidP="005704E6">
      <w:pPr>
        <w:pStyle w:val="Normalaftertitle"/>
        <w:rPr>
          <w:lang w:eastAsia="zh-CN"/>
        </w:rPr>
      </w:pPr>
      <w:r w:rsidRPr="00262D75">
        <w:rPr>
          <w:rFonts w:hint="eastAsia"/>
          <w:lang w:eastAsia="zh-CN"/>
        </w:rPr>
        <w:t>国际电联理事会，</w:t>
      </w:r>
    </w:p>
    <w:p w14:paraId="3CB8EB51" w14:textId="77777777" w:rsidR="005704E6" w:rsidRPr="00262D75" w:rsidRDefault="005704E6" w:rsidP="005704E6">
      <w:pPr>
        <w:pStyle w:val="Call"/>
        <w:rPr>
          <w:rFonts w:eastAsia="STKaiti"/>
          <w:lang w:eastAsia="zh-CN"/>
        </w:rPr>
      </w:pPr>
      <w:r w:rsidRPr="00262D75">
        <w:rPr>
          <w:rFonts w:eastAsia="STKaiti" w:hint="eastAsia"/>
          <w:lang w:eastAsia="zh-CN"/>
        </w:rPr>
        <w:t>鉴于</w:t>
      </w:r>
    </w:p>
    <w:p w14:paraId="1D285A78" w14:textId="77777777" w:rsidR="005704E6" w:rsidRPr="00262D75" w:rsidRDefault="005704E6" w:rsidP="005704E6">
      <w:pPr>
        <w:ind w:firstLineChars="200" w:firstLine="480"/>
        <w:rPr>
          <w:szCs w:val="24"/>
          <w:lang w:eastAsia="zh-CN"/>
        </w:rPr>
      </w:pPr>
      <w:r w:rsidRPr="00262D75">
        <w:rPr>
          <w:szCs w:val="24"/>
          <w:lang w:eastAsia="zh-CN"/>
        </w:rPr>
        <w:t>国际电信联盟《公约》的相关条款，</w:t>
      </w:r>
    </w:p>
    <w:p w14:paraId="3023717B" w14:textId="77777777" w:rsidR="005704E6" w:rsidRPr="00262D75" w:rsidRDefault="005704E6" w:rsidP="005704E6">
      <w:pPr>
        <w:pStyle w:val="Call"/>
        <w:rPr>
          <w:lang w:eastAsia="zh-CN"/>
        </w:rPr>
      </w:pPr>
      <w:r w:rsidRPr="00262D75">
        <w:rPr>
          <w:rFonts w:eastAsia="STKaiti"/>
          <w:lang w:eastAsia="zh-CN"/>
        </w:rPr>
        <w:t>铭记</w:t>
      </w:r>
    </w:p>
    <w:p w14:paraId="5AC544E3" w14:textId="77777777" w:rsidR="005704E6" w:rsidRPr="00262D75" w:rsidRDefault="005704E6" w:rsidP="005704E6">
      <w:pPr>
        <w:rPr>
          <w:lang w:eastAsia="zh-CN"/>
        </w:rPr>
      </w:pPr>
      <w:r w:rsidRPr="00262D75">
        <w:rPr>
          <w:i/>
          <w:iCs/>
          <w:lang w:eastAsia="zh-CN"/>
        </w:rPr>
        <w:t>a)</w:t>
      </w:r>
      <w:r w:rsidRPr="00262D75">
        <w:rPr>
          <w:lang w:eastAsia="zh-CN"/>
        </w:rPr>
        <w:tab/>
      </w:r>
      <w:r w:rsidRPr="00262D75">
        <w:rPr>
          <w:rFonts w:hint="eastAsia"/>
          <w:szCs w:val="24"/>
          <w:lang w:eastAsia="zh-CN"/>
        </w:rPr>
        <w:t>有关国际电联</w:t>
      </w:r>
      <w:r w:rsidRPr="00262D75">
        <w:rPr>
          <w:rFonts w:hint="eastAsia"/>
          <w:szCs w:val="24"/>
          <w:lang w:eastAsia="zh-CN"/>
        </w:rPr>
        <w:t>20</w:t>
      </w:r>
      <w:r w:rsidRPr="00262D75">
        <w:rPr>
          <w:szCs w:val="24"/>
          <w:lang w:eastAsia="zh-CN"/>
        </w:rPr>
        <w:t>24</w:t>
      </w:r>
      <w:r w:rsidRPr="00262D75">
        <w:rPr>
          <w:rFonts w:hint="eastAsia"/>
          <w:szCs w:val="24"/>
          <w:lang w:eastAsia="zh-CN"/>
        </w:rPr>
        <w:t>-20</w:t>
      </w:r>
      <w:r w:rsidRPr="00262D75">
        <w:rPr>
          <w:szCs w:val="24"/>
          <w:lang w:eastAsia="zh-CN"/>
        </w:rPr>
        <w:t>27</w:t>
      </w:r>
      <w:r w:rsidRPr="00262D75">
        <w:rPr>
          <w:rFonts w:hint="eastAsia"/>
          <w:szCs w:val="24"/>
          <w:lang w:eastAsia="zh-CN"/>
        </w:rPr>
        <w:t>年阶段收支的</w:t>
      </w:r>
      <w:r w:rsidRPr="00262D75">
        <w:rPr>
          <w:szCs w:val="24"/>
          <w:lang w:eastAsia="zh-CN"/>
        </w:rPr>
        <w:t>全权代表大会第</w:t>
      </w:r>
      <w:r w:rsidRPr="00262D75">
        <w:rPr>
          <w:szCs w:val="24"/>
          <w:lang w:eastAsia="zh-CN"/>
        </w:rPr>
        <w:t>5</w:t>
      </w:r>
      <w:r w:rsidRPr="00262D75">
        <w:rPr>
          <w:szCs w:val="24"/>
          <w:lang w:eastAsia="zh-CN"/>
        </w:rPr>
        <w:t>号决定（</w:t>
      </w:r>
      <w:r w:rsidRPr="00262D75">
        <w:rPr>
          <w:lang w:eastAsia="zh-CN"/>
        </w:rPr>
        <w:t>2022</w:t>
      </w:r>
      <w:r w:rsidRPr="00262D75">
        <w:rPr>
          <w:lang w:eastAsia="zh-CN"/>
        </w:rPr>
        <w:t>年，布加勒斯特，修订版</w:t>
      </w:r>
      <w:r w:rsidRPr="00262D75">
        <w:rPr>
          <w:rFonts w:hint="eastAsia"/>
          <w:szCs w:val="24"/>
          <w:lang w:eastAsia="zh-CN"/>
        </w:rPr>
        <w:t>）</w:t>
      </w:r>
      <w:r w:rsidRPr="00262D75">
        <w:rPr>
          <w:szCs w:val="24"/>
          <w:lang w:eastAsia="zh-CN"/>
        </w:rPr>
        <w:t>的条款，</w:t>
      </w:r>
      <w:r w:rsidRPr="00262D75">
        <w:rPr>
          <w:rFonts w:hint="eastAsia"/>
          <w:szCs w:val="24"/>
          <w:lang w:eastAsia="zh-CN"/>
        </w:rPr>
        <w:t>这些条款</w:t>
      </w:r>
      <w:r w:rsidRPr="00262D75">
        <w:rPr>
          <w:szCs w:val="24"/>
          <w:lang w:eastAsia="zh-CN"/>
        </w:rPr>
        <w:t>规定</w:t>
      </w:r>
      <w:r w:rsidRPr="00262D75">
        <w:rPr>
          <w:rFonts w:asciiTheme="minorHAnsi" w:hAnsiTheme="minorHAnsi"/>
          <w:snapToGrid w:val="0"/>
          <w:spacing w:val="-4"/>
          <w:lang w:eastAsia="zh-CN"/>
        </w:rPr>
        <w:t>2024-2025</w:t>
      </w:r>
      <w:r w:rsidRPr="00262D75">
        <w:rPr>
          <w:szCs w:val="24"/>
          <w:lang w:eastAsia="zh-CN"/>
        </w:rPr>
        <w:t>年</w:t>
      </w:r>
      <w:r w:rsidRPr="00262D75">
        <w:rPr>
          <w:rFonts w:hint="eastAsia"/>
          <w:szCs w:val="24"/>
          <w:lang w:eastAsia="zh-CN"/>
        </w:rPr>
        <w:t>的成员国</w:t>
      </w:r>
      <w:r w:rsidRPr="00262D75">
        <w:rPr>
          <w:szCs w:val="24"/>
          <w:lang w:eastAsia="zh-CN"/>
        </w:rPr>
        <w:t>会费单位金额不得超</w:t>
      </w:r>
      <w:r w:rsidRPr="00262D75">
        <w:rPr>
          <w:rFonts w:hint="eastAsia"/>
          <w:szCs w:val="24"/>
          <w:lang w:eastAsia="zh-CN"/>
        </w:rPr>
        <w:t>出</w:t>
      </w:r>
      <w:r w:rsidRPr="00262D75">
        <w:rPr>
          <w:szCs w:val="24"/>
          <w:lang w:eastAsia="zh-CN"/>
        </w:rPr>
        <w:t>3</w:t>
      </w:r>
      <w:r w:rsidRPr="00262D75">
        <w:rPr>
          <w:rFonts w:hint="eastAsia"/>
          <w:szCs w:val="24"/>
          <w:lang w:eastAsia="zh-CN"/>
        </w:rPr>
        <w:t>18</w:t>
      </w:r>
      <w:r w:rsidRPr="00262D75">
        <w:rPr>
          <w:szCs w:val="24"/>
          <w:lang w:val="en-US" w:eastAsia="zh-CN"/>
        </w:rPr>
        <w:t> </w:t>
      </w:r>
      <w:proofErr w:type="gramStart"/>
      <w:r w:rsidRPr="00262D75">
        <w:rPr>
          <w:szCs w:val="24"/>
          <w:lang w:eastAsia="zh-CN"/>
        </w:rPr>
        <w:t>000</w:t>
      </w:r>
      <w:r w:rsidRPr="00262D75">
        <w:rPr>
          <w:szCs w:val="24"/>
          <w:lang w:eastAsia="zh-CN"/>
        </w:rPr>
        <w:t>瑞郎</w:t>
      </w:r>
      <w:r w:rsidRPr="00262D75">
        <w:rPr>
          <w:rFonts w:hint="eastAsia"/>
          <w:szCs w:val="24"/>
          <w:lang w:eastAsia="zh-CN"/>
        </w:rPr>
        <w:t>；</w:t>
      </w:r>
      <w:proofErr w:type="gramEnd"/>
    </w:p>
    <w:p w14:paraId="5CF0A40F" w14:textId="77777777" w:rsidR="005704E6" w:rsidRPr="00262D75" w:rsidRDefault="005704E6" w:rsidP="005704E6">
      <w:pPr>
        <w:rPr>
          <w:lang w:eastAsia="zh-CN"/>
        </w:rPr>
      </w:pPr>
      <w:r w:rsidRPr="00262D75">
        <w:rPr>
          <w:i/>
          <w:iCs/>
          <w:lang w:eastAsia="zh-CN"/>
        </w:rPr>
        <w:t>b)</w:t>
      </w:r>
      <w:r w:rsidRPr="00262D75">
        <w:rPr>
          <w:lang w:eastAsia="zh-CN"/>
        </w:rPr>
        <w:tab/>
      </w:r>
      <w:r w:rsidRPr="00262D75">
        <w:rPr>
          <w:rFonts w:hint="eastAsia"/>
          <w:lang w:eastAsia="zh-CN"/>
        </w:rPr>
        <w:t>与拨款转账相关的《财务规则和财务细则》第</w:t>
      </w:r>
      <w:r w:rsidRPr="00262D75">
        <w:rPr>
          <w:lang w:eastAsia="zh-CN"/>
        </w:rPr>
        <w:t>11</w:t>
      </w:r>
      <w:r w:rsidRPr="00262D75">
        <w:rPr>
          <w:rFonts w:hint="eastAsia"/>
          <w:lang w:eastAsia="zh-CN"/>
        </w:rPr>
        <w:t>条的规定，</w:t>
      </w:r>
    </w:p>
    <w:p w14:paraId="16D2CD5C" w14:textId="77777777" w:rsidR="005704E6" w:rsidRPr="00262D75" w:rsidRDefault="005704E6" w:rsidP="005704E6">
      <w:pPr>
        <w:pStyle w:val="Call"/>
        <w:rPr>
          <w:lang w:eastAsia="zh-CN"/>
        </w:rPr>
      </w:pPr>
      <w:r w:rsidRPr="00262D75">
        <w:rPr>
          <w:rFonts w:eastAsia="STKaiti"/>
          <w:lang w:eastAsia="zh-CN"/>
        </w:rPr>
        <w:t>做出决议，批准</w:t>
      </w:r>
    </w:p>
    <w:p w14:paraId="301D0A34" w14:textId="77777777" w:rsidR="005704E6" w:rsidRPr="00262D75" w:rsidRDefault="005704E6" w:rsidP="005704E6">
      <w:pPr>
        <w:ind w:firstLineChars="200" w:firstLine="480"/>
        <w:rPr>
          <w:lang w:eastAsia="zh-CN"/>
        </w:rPr>
      </w:pPr>
      <w:r w:rsidRPr="00262D75">
        <w:rPr>
          <w:rFonts w:hAnsi="Verdana"/>
          <w:lang w:eastAsia="zh-CN"/>
        </w:rPr>
        <w:t>国际电联</w:t>
      </w:r>
      <w:r w:rsidRPr="00262D75">
        <w:rPr>
          <w:szCs w:val="24"/>
          <w:lang w:eastAsia="zh-CN"/>
        </w:rPr>
        <w:t>2024-2025</w:t>
      </w:r>
      <w:r w:rsidRPr="00262D75">
        <w:rPr>
          <w:rFonts w:hAnsi="Verdana"/>
          <w:lang w:eastAsia="zh-CN"/>
        </w:rPr>
        <w:t>双年度预算</w:t>
      </w:r>
      <w:r w:rsidRPr="00262D75">
        <w:rPr>
          <w:rFonts w:hAnsi="Verdana" w:hint="eastAsia"/>
          <w:lang w:eastAsia="zh-CN"/>
        </w:rPr>
        <w:t>，</w:t>
      </w:r>
      <w:r w:rsidRPr="00262D75">
        <w:rPr>
          <w:lang w:eastAsia="zh-CN"/>
        </w:rPr>
        <w:t>2024</w:t>
      </w:r>
      <w:r w:rsidRPr="00262D75">
        <w:rPr>
          <w:rFonts w:hAnsi="Verdana"/>
          <w:lang w:eastAsia="zh-CN"/>
        </w:rPr>
        <w:t>年的</w:t>
      </w:r>
      <w:r w:rsidRPr="00262D75">
        <w:rPr>
          <w:rFonts w:hAnsi="Verdana" w:hint="eastAsia"/>
          <w:lang w:eastAsia="zh-CN"/>
        </w:rPr>
        <w:t>金</w:t>
      </w:r>
      <w:r w:rsidRPr="00262D75">
        <w:rPr>
          <w:rFonts w:hAnsi="Verdana"/>
          <w:lang w:eastAsia="zh-CN"/>
        </w:rPr>
        <w:t>额为</w:t>
      </w:r>
      <w:r w:rsidRPr="00262D75">
        <w:rPr>
          <w:rFonts w:asciiTheme="minorHAnsi" w:hAnsiTheme="minorHAnsi" w:cstheme="minorHAnsi"/>
          <w:lang w:eastAsia="zh-CN"/>
        </w:rPr>
        <w:t>164 933 000</w:t>
      </w:r>
      <w:r w:rsidRPr="00262D75">
        <w:rPr>
          <w:rFonts w:hAnsi="Verdana"/>
          <w:lang w:eastAsia="zh-CN"/>
        </w:rPr>
        <w:t>瑞郎，</w:t>
      </w:r>
      <w:r w:rsidRPr="00262D75">
        <w:rPr>
          <w:lang w:eastAsia="zh-CN"/>
        </w:rPr>
        <w:t>2025</w:t>
      </w:r>
      <w:r w:rsidRPr="00262D75">
        <w:rPr>
          <w:rFonts w:hAnsi="Verdana"/>
          <w:lang w:eastAsia="zh-CN"/>
        </w:rPr>
        <w:t>年的</w:t>
      </w:r>
      <w:r w:rsidRPr="00262D75">
        <w:rPr>
          <w:rFonts w:hAnsi="Verdana" w:hint="eastAsia"/>
          <w:lang w:eastAsia="zh-CN"/>
        </w:rPr>
        <w:t>金</w:t>
      </w:r>
      <w:r w:rsidRPr="00262D75">
        <w:rPr>
          <w:rFonts w:hAnsi="Verdana"/>
          <w:lang w:eastAsia="zh-CN"/>
        </w:rPr>
        <w:t>额为</w:t>
      </w:r>
      <w:r w:rsidRPr="00262D75">
        <w:rPr>
          <w:rFonts w:asciiTheme="minorHAnsi" w:hAnsiTheme="minorHAnsi" w:cstheme="minorHAnsi"/>
          <w:lang w:eastAsia="zh-CN"/>
        </w:rPr>
        <w:t>164 134 000</w:t>
      </w:r>
      <w:r w:rsidRPr="00262D75">
        <w:rPr>
          <w:rFonts w:hAnsi="Verdana"/>
          <w:lang w:eastAsia="zh-CN"/>
        </w:rPr>
        <w:t>瑞郎，或</w:t>
      </w:r>
      <w:r w:rsidRPr="00262D75">
        <w:rPr>
          <w:szCs w:val="24"/>
          <w:lang w:eastAsia="zh-CN"/>
        </w:rPr>
        <w:t>2024-2025</w:t>
      </w:r>
      <w:r w:rsidRPr="00262D75">
        <w:rPr>
          <w:lang w:eastAsia="zh-CN"/>
        </w:rPr>
        <w:t>双年度总额为</w:t>
      </w:r>
      <w:r w:rsidRPr="00262D75">
        <w:rPr>
          <w:rFonts w:asciiTheme="minorHAnsi" w:hAnsiTheme="minorHAnsi" w:cstheme="minorHAnsi"/>
          <w:lang w:eastAsia="zh-CN"/>
        </w:rPr>
        <w:t>329 067 000</w:t>
      </w:r>
      <w:r w:rsidRPr="00262D75">
        <w:rPr>
          <w:rFonts w:hAnsi="Verdana"/>
          <w:lang w:eastAsia="zh-CN"/>
        </w:rPr>
        <w:t>瑞郎</w:t>
      </w:r>
      <w:r w:rsidRPr="00262D75">
        <w:rPr>
          <w:rFonts w:hAnsi="Verdana" w:hint="eastAsia"/>
          <w:lang w:eastAsia="zh-CN"/>
        </w:rPr>
        <w:t>，具体</w:t>
      </w:r>
      <w:r w:rsidRPr="00262D75">
        <w:rPr>
          <w:rFonts w:hAnsi="Verdana"/>
          <w:lang w:eastAsia="zh-CN"/>
        </w:rPr>
        <w:t>拨款如下：</w:t>
      </w:r>
    </w:p>
    <w:p w14:paraId="651D472D" w14:textId="77777777" w:rsidR="005704E6" w:rsidRPr="00262D75" w:rsidRDefault="005704E6" w:rsidP="005704E6">
      <w:pPr>
        <w:jc w:val="center"/>
        <w:rPr>
          <w:lang w:eastAsia="zh-CN"/>
        </w:rPr>
      </w:pPr>
      <w:r w:rsidRPr="00262D75">
        <w:rPr>
          <w:rFonts w:hint="eastAsia"/>
          <w:noProof/>
        </w:rPr>
        <w:drawing>
          <wp:inline distT="0" distB="0" distL="0" distR="0" wp14:anchorId="4454647D" wp14:editId="749FD8FD">
            <wp:extent cx="5978106" cy="1992702"/>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3542" cy="1994514"/>
                    </a:xfrm>
                    <a:prstGeom prst="rect">
                      <a:avLst/>
                    </a:prstGeom>
                    <a:noFill/>
                    <a:ln>
                      <a:noFill/>
                    </a:ln>
                  </pic:spPr>
                </pic:pic>
              </a:graphicData>
            </a:graphic>
          </wp:inline>
        </w:drawing>
      </w:r>
    </w:p>
    <w:p w14:paraId="2F4084D5" w14:textId="77777777" w:rsidR="005704E6" w:rsidRPr="00262D75" w:rsidRDefault="005704E6" w:rsidP="005704E6">
      <w:pPr>
        <w:pStyle w:val="Call"/>
        <w:rPr>
          <w:i/>
          <w:iCs/>
          <w:lang w:eastAsia="zh-CN"/>
        </w:rPr>
      </w:pPr>
      <w:r w:rsidRPr="00262D75">
        <w:rPr>
          <w:rFonts w:eastAsia="STKaiti" w:hint="eastAsia"/>
          <w:iCs/>
          <w:lang w:eastAsia="zh-CN"/>
        </w:rPr>
        <w:lastRenderedPageBreak/>
        <w:t>进一步做出决议</w:t>
      </w:r>
    </w:p>
    <w:p w14:paraId="5934A00A" w14:textId="77777777" w:rsidR="005704E6" w:rsidRPr="00262D75" w:rsidRDefault="005704E6" w:rsidP="005704E6">
      <w:pPr>
        <w:rPr>
          <w:lang w:eastAsia="zh-CN"/>
        </w:rPr>
      </w:pPr>
      <w:r w:rsidRPr="00262D75">
        <w:rPr>
          <w:lang w:eastAsia="zh-CN"/>
        </w:rPr>
        <w:t>1</w:t>
      </w:r>
      <w:r w:rsidRPr="00262D75">
        <w:rPr>
          <w:lang w:eastAsia="zh-CN"/>
        </w:rPr>
        <w:tab/>
      </w:r>
      <w:r w:rsidRPr="00262D75">
        <w:rPr>
          <w:rFonts w:hint="eastAsia"/>
          <w:lang w:eastAsia="zh-CN"/>
        </w:rPr>
        <w:t>根据成员国依照国际电信联盟《组织法》第</w:t>
      </w:r>
      <w:r w:rsidRPr="00262D75">
        <w:rPr>
          <w:lang w:eastAsia="zh-CN"/>
        </w:rPr>
        <w:t>160</w:t>
      </w:r>
      <w:r w:rsidRPr="00262D75">
        <w:rPr>
          <w:rFonts w:hint="eastAsia"/>
          <w:lang w:eastAsia="zh-CN"/>
        </w:rPr>
        <w:t>款和《公约》第</w:t>
      </w:r>
      <w:r w:rsidRPr="00262D75">
        <w:rPr>
          <w:lang w:eastAsia="zh-CN"/>
        </w:rPr>
        <w:t>468</w:t>
      </w:r>
      <w:r w:rsidRPr="00262D75">
        <w:rPr>
          <w:rFonts w:hint="eastAsia"/>
          <w:lang w:eastAsia="zh-CN"/>
        </w:rPr>
        <w:t>款所选会费等级，即，在总数为</w:t>
      </w:r>
      <w:r w:rsidRPr="00262D75">
        <w:rPr>
          <w:lang w:eastAsia="zh-CN"/>
        </w:rPr>
        <w:t>355 15/16</w:t>
      </w:r>
      <w:r w:rsidRPr="00262D75">
        <w:rPr>
          <w:rFonts w:hint="eastAsia"/>
          <w:lang w:eastAsia="zh-CN"/>
        </w:rPr>
        <w:t>个会费单位的基础上，确定</w:t>
      </w:r>
      <w:r w:rsidRPr="00262D75">
        <w:rPr>
          <w:lang w:eastAsia="zh-CN"/>
        </w:rPr>
        <w:t>2024</w:t>
      </w:r>
      <w:r w:rsidRPr="00262D75">
        <w:rPr>
          <w:rFonts w:hint="eastAsia"/>
          <w:lang w:eastAsia="zh-CN"/>
        </w:rPr>
        <w:t>和</w:t>
      </w:r>
      <w:r w:rsidRPr="00262D75">
        <w:rPr>
          <w:lang w:eastAsia="zh-CN"/>
        </w:rPr>
        <w:t>2025</w:t>
      </w:r>
      <w:r w:rsidRPr="00262D75">
        <w:rPr>
          <w:rFonts w:hint="eastAsia"/>
          <w:lang w:eastAsia="zh-CN"/>
        </w:rPr>
        <w:t>年的年度会费单位金额为</w:t>
      </w:r>
      <w:r w:rsidRPr="00262D75">
        <w:rPr>
          <w:lang w:eastAsia="zh-CN"/>
        </w:rPr>
        <w:t>318</w:t>
      </w:r>
      <w:r w:rsidRPr="00262D75">
        <w:rPr>
          <w:lang w:val="en-US" w:eastAsia="zh-CN"/>
        </w:rPr>
        <w:t> </w:t>
      </w:r>
      <w:proofErr w:type="gramStart"/>
      <w:r w:rsidRPr="00262D75">
        <w:rPr>
          <w:lang w:eastAsia="zh-CN"/>
        </w:rPr>
        <w:t>000</w:t>
      </w:r>
      <w:r w:rsidRPr="00262D75">
        <w:rPr>
          <w:rFonts w:hint="eastAsia"/>
          <w:lang w:eastAsia="zh-CN"/>
        </w:rPr>
        <w:t>瑞郎；</w:t>
      </w:r>
      <w:proofErr w:type="gramEnd"/>
    </w:p>
    <w:p w14:paraId="52EC9678" w14:textId="77777777" w:rsidR="005704E6" w:rsidRPr="00262D75" w:rsidRDefault="005704E6" w:rsidP="005704E6">
      <w:pPr>
        <w:rPr>
          <w:lang w:eastAsia="zh-CN"/>
        </w:rPr>
      </w:pPr>
      <w:r w:rsidRPr="00262D75">
        <w:rPr>
          <w:lang w:eastAsia="zh-CN"/>
        </w:rPr>
        <w:t>2</w:t>
      </w:r>
      <w:r w:rsidRPr="00262D75">
        <w:rPr>
          <w:lang w:eastAsia="zh-CN"/>
        </w:rPr>
        <w:tab/>
      </w:r>
      <w:r w:rsidRPr="00262D75">
        <w:rPr>
          <w:lang w:eastAsia="zh-CN"/>
        </w:rPr>
        <w:t>根据国际电信联盟《公约》第</w:t>
      </w:r>
      <w:r w:rsidRPr="00262D75">
        <w:rPr>
          <w:lang w:eastAsia="zh-CN"/>
        </w:rPr>
        <w:t>480</w:t>
      </w:r>
      <w:r w:rsidRPr="00262D75">
        <w:rPr>
          <w:lang w:eastAsia="zh-CN"/>
        </w:rPr>
        <w:t>款，</w:t>
      </w:r>
      <w:r w:rsidRPr="00262D75">
        <w:rPr>
          <w:rFonts w:hint="eastAsia"/>
          <w:lang w:eastAsia="zh-CN"/>
        </w:rPr>
        <w:t>将</w:t>
      </w:r>
      <w:r w:rsidRPr="00262D75">
        <w:rPr>
          <w:lang w:eastAsia="zh-CN"/>
        </w:rPr>
        <w:t>部门成员在</w:t>
      </w:r>
      <w:r w:rsidRPr="00262D75">
        <w:rPr>
          <w:lang w:eastAsia="zh-CN"/>
        </w:rPr>
        <w:t>2024</w:t>
      </w:r>
      <w:r w:rsidRPr="00262D75">
        <w:rPr>
          <w:lang w:eastAsia="zh-CN"/>
        </w:rPr>
        <w:t>和</w:t>
      </w:r>
      <w:r w:rsidRPr="00262D75">
        <w:rPr>
          <w:lang w:eastAsia="zh-CN"/>
        </w:rPr>
        <w:t>2025</w:t>
      </w:r>
      <w:r w:rsidRPr="00262D75">
        <w:rPr>
          <w:lang w:eastAsia="zh-CN"/>
        </w:rPr>
        <w:t>年摊付无线电通信部门（</w:t>
      </w:r>
      <w:r w:rsidRPr="00262D75">
        <w:rPr>
          <w:lang w:eastAsia="zh-CN"/>
        </w:rPr>
        <w:t>ITU-R</w:t>
      </w:r>
      <w:r w:rsidRPr="00262D75">
        <w:rPr>
          <w:lang w:eastAsia="zh-CN"/>
        </w:rPr>
        <w:t>）、电信标准化部门（</w:t>
      </w:r>
      <w:r w:rsidRPr="00262D75">
        <w:rPr>
          <w:lang w:eastAsia="zh-CN"/>
        </w:rPr>
        <w:t>ITU-T</w:t>
      </w:r>
      <w:r w:rsidRPr="00262D75">
        <w:rPr>
          <w:lang w:eastAsia="zh-CN"/>
        </w:rPr>
        <w:t>）和电信发展部门（</w:t>
      </w:r>
      <w:r w:rsidRPr="00262D75">
        <w:rPr>
          <w:lang w:eastAsia="zh-CN"/>
        </w:rPr>
        <w:t>ITU-D</w:t>
      </w:r>
      <w:r w:rsidRPr="00262D75">
        <w:rPr>
          <w:lang w:eastAsia="zh-CN"/>
        </w:rPr>
        <w:t>）会议</w:t>
      </w:r>
      <w:r w:rsidRPr="00262D75">
        <w:rPr>
          <w:rFonts w:hint="eastAsia"/>
          <w:lang w:eastAsia="zh-CN"/>
        </w:rPr>
        <w:t>支出</w:t>
      </w:r>
      <w:r w:rsidRPr="00262D75">
        <w:rPr>
          <w:lang w:eastAsia="zh-CN"/>
        </w:rPr>
        <w:t>的年度会费单位金额确定为</w:t>
      </w:r>
      <w:r w:rsidRPr="00262D75">
        <w:rPr>
          <w:lang w:eastAsia="zh-CN"/>
        </w:rPr>
        <w:t>63</w:t>
      </w:r>
      <w:r w:rsidRPr="00262D75">
        <w:rPr>
          <w:lang w:val="en-US" w:eastAsia="zh-CN"/>
        </w:rPr>
        <w:t> </w:t>
      </w:r>
      <w:proofErr w:type="gramStart"/>
      <w:r w:rsidRPr="00262D75">
        <w:rPr>
          <w:lang w:eastAsia="zh-CN"/>
        </w:rPr>
        <w:t>600</w:t>
      </w:r>
      <w:r w:rsidRPr="00262D75">
        <w:rPr>
          <w:lang w:eastAsia="zh-CN"/>
        </w:rPr>
        <w:t>瑞郎；</w:t>
      </w:r>
      <w:proofErr w:type="gramEnd"/>
    </w:p>
    <w:p w14:paraId="59555694" w14:textId="77777777" w:rsidR="005704E6" w:rsidRPr="00262D75" w:rsidRDefault="005704E6" w:rsidP="005704E6">
      <w:pPr>
        <w:keepNext/>
        <w:keepLines/>
        <w:overflowPunct/>
        <w:autoSpaceDE/>
        <w:autoSpaceDN/>
        <w:adjustRightInd/>
        <w:snapToGrid w:val="0"/>
        <w:textAlignment w:val="auto"/>
        <w:rPr>
          <w:lang w:eastAsia="zh-CN"/>
        </w:rPr>
      </w:pPr>
      <w:r w:rsidRPr="00262D75">
        <w:rPr>
          <w:lang w:eastAsia="zh-CN"/>
        </w:rPr>
        <w:t>3</w:t>
      </w:r>
      <w:r w:rsidRPr="00262D75">
        <w:rPr>
          <w:lang w:eastAsia="zh-CN"/>
        </w:rPr>
        <w:tab/>
      </w:r>
      <w:r w:rsidRPr="00262D75">
        <w:rPr>
          <w:rFonts w:hint="eastAsia"/>
          <w:lang w:eastAsia="zh-CN"/>
        </w:rPr>
        <w:t>将</w:t>
      </w:r>
      <w:r w:rsidRPr="00262D75">
        <w:rPr>
          <w:lang w:eastAsia="zh-CN"/>
        </w:rPr>
        <w:t>部门准成员</w:t>
      </w:r>
      <w:r w:rsidRPr="00262D75">
        <w:rPr>
          <w:rFonts w:hint="eastAsia"/>
          <w:lang w:eastAsia="zh-CN"/>
        </w:rPr>
        <w:t>缴</w:t>
      </w:r>
      <w:r w:rsidRPr="00262D75">
        <w:rPr>
          <w:lang w:eastAsia="zh-CN"/>
        </w:rPr>
        <w:t>纳的会费确定如下：</w:t>
      </w:r>
    </w:p>
    <w:p w14:paraId="39E75591" w14:textId="77777777" w:rsidR="005704E6" w:rsidRPr="00262D75" w:rsidRDefault="005704E6" w:rsidP="005704E6">
      <w:pPr>
        <w:pStyle w:val="enumlev1"/>
        <w:rPr>
          <w:lang w:eastAsia="zh-CN"/>
        </w:rPr>
      </w:pPr>
      <w:r w:rsidRPr="00262D75">
        <w:rPr>
          <w:rFonts w:cs="Calibri"/>
          <w:lang w:eastAsia="zh-CN"/>
        </w:rPr>
        <w:t>a)</w:t>
      </w:r>
      <w:r w:rsidRPr="00262D75">
        <w:rPr>
          <w:rFonts w:cs="Calibri"/>
          <w:lang w:eastAsia="zh-CN"/>
        </w:rPr>
        <w:tab/>
      </w:r>
      <w:r w:rsidRPr="00262D75">
        <w:rPr>
          <w:lang w:eastAsia="zh-CN"/>
        </w:rPr>
        <w:t>参加</w:t>
      </w:r>
      <w:r w:rsidRPr="00262D75">
        <w:rPr>
          <w:lang w:eastAsia="zh-CN"/>
        </w:rPr>
        <w:t>ITU-T</w:t>
      </w:r>
      <w:r w:rsidRPr="00262D75">
        <w:rPr>
          <w:lang w:eastAsia="zh-CN"/>
        </w:rPr>
        <w:t>和</w:t>
      </w:r>
      <w:r w:rsidRPr="00262D75">
        <w:rPr>
          <w:lang w:eastAsia="zh-CN"/>
        </w:rPr>
        <w:t>ITU-R</w:t>
      </w:r>
      <w:r w:rsidRPr="00262D75">
        <w:rPr>
          <w:lang w:eastAsia="zh-CN"/>
        </w:rPr>
        <w:t>工作的部门准成员</w:t>
      </w:r>
      <w:r w:rsidRPr="00262D75">
        <w:rPr>
          <w:rFonts w:hint="eastAsia"/>
          <w:lang w:eastAsia="zh-CN"/>
        </w:rPr>
        <w:t>为</w:t>
      </w:r>
      <w:r w:rsidRPr="00262D75">
        <w:rPr>
          <w:lang w:eastAsia="zh-CN"/>
        </w:rPr>
        <w:t>10 </w:t>
      </w:r>
      <w:proofErr w:type="gramStart"/>
      <w:r w:rsidRPr="00262D75">
        <w:rPr>
          <w:lang w:eastAsia="zh-CN"/>
        </w:rPr>
        <w:t>600</w:t>
      </w:r>
      <w:r w:rsidRPr="00262D75">
        <w:rPr>
          <w:rFonts w:hint="eastAsia"/>
          <w:lang w:eastAsia="zh-CN"/>
        </w:rPr>
        <w:t>瑞郎；</w:t>
      </w:r>
      <w:proofErr w:type="gramEnd"/>
    </w:p>
    <w:p w14:paraId="7ACA616E" w14:textId="77777777" w:rsidR="005704E6" w:rsidRPr="00262D75" w:rsidRDefault="005704E6" w:rsidP="005704E6">
      <w:pPr>
        <w:pStyle w:val="enumlev1"/>
        <w:rPr>
          <w:lang w:eastAsia="zh-CN"/>
        </w:rPr>
      </w:pPr>
      <w:r w:rsidRPr="00262D75">
        <w:rPr>
          <w:lang w:eastAsia="zh-CN"/>
        </w:rPr>
        <w:t>b)</w:t>
      </w:r>
      <w:r w:rsidRPr="00262D75">
        <w:rPr>
          <w:lang w:eastAsia="zh-CN"/>
        </w:rPr>
        <w:tab/>
      </w:r>
      <w:r w:rsidRPr="00262D75">
        <w:rPr>
          <w:lang w:eastAsia="zh-CN"/>
        </w:rPr>
        <w:t>参加</w:t>
      </w:r>
      <w:r w:rsidRPr="00262D75">
        <w:rPr>
          <w:lang w:eastAsia="zh-CN"/>
        </w:rPr>
        <w:t>ITU-D</w:t>
      </w:r>
      <w:r w:rsidRPr="00262D75">
        <w:rPr>
          <w:lang w:eastAsia="zh-CN"/>
        </w:rPr>
        <w:t>工作的部门准成员</w:t>
      </w:r>
      <w:r w:rsidRPr="00262D75">
        <w:rPr>
          <w:rFonts w:hint="eastAsia"/>
          <w:lang w:eastAsia="zh-CN"/>
        </w:rPr>
        <w:t>为</w:t>
      </w:r>
      <w:r w:rsidRPr="00262D75">
        <w:rPr>
          <w:lang w:eastAsia="zh-CN"/>
        </w:rPr>
        <w:t>3 </w:t>
      </w:r>
      <w:proofErr w:type="gramStart"/>
      <w:r w:rsidRPr="00262D75">
        <w:rPr>
          <w:lang w:eastAsia="zh-CN"/>
        </w:rPr>
        <w:t>975</w:t>
      </w:r>
      <w:r w:rsidRPr="00262D75">
        <w:rPr>
          <w:rFonts w:hint="eastAsia"/>
          <w:lang w:eastAsia="zh-CN"/>
        </w:rPr>
        <w:t>瑞郎；</w:t>
      </w:r>
      <w:proofErr w:type="gramEnd"/>
    </w:p>
    <w:p w14:paraId="4108BD49" w14:textId="77777777" w:rsidR="005704E6" w:rsidRPr="00262D75" w:rsidRDefault="005704E6" w:rsidP="005704E6">
      <w:pPr>
        <w:pStyle w:val="enumlev1"/>
        <w:rPr>
          <w:lang w:eastAsia="zh-CN"/>
        </w:rPr>
      </w:pPr>
      <w:r w:rsidRPr="00262D75">
        <w:rPr>
          <w:lang w:eastAsia="zh-CN"/>
        </w:rPr>
        <w:t>c)</w:t>
      </w:r>
      <w:r w:rsidRPr="00262D75">
        <w:rPr>
          <w:lang w:eastAsia="zh-CN"/>
        </w:rPr>
        <w:tab/>
      </w:r>
      <w:r w:rsidRPr="00262D75">
        <w:rPr>
          <w:lang w:eastAsia="zh-CN"/>
        </w:rPr>
        <w:t>参加</w:t>
      </w:r>
      <w:r w:rsidRPr="00262D75">
        <w:rPr>
          <w:lang w:eastAsia="zh-CN"/>
        </w:rPr>
        <w:t>ITU-D</w:t>
      </w:r>
      <w:r w:rsidRPr="00262D75">
        <w:rPr>
          <w:lang w:eastAsia="zh-CN"/>
        </w:rPr>
        <w:t>工作的来自发展中国家的部门准成员</w:t>
      </w:r>
      <w:r w:rsidRPr="00262D75">
        <w:rPr>
          <w:rFonts w:hint="eastAsia"/>
          <w:lang w:eastAsia="zh-CN"/>
        </w:rPr>
        <w:t>为</w:t>
      </w:r>
      <w:r w:rsidRPr="00262D75">
        <w:rPr>
          <w:lang w:eastAsia="zh-CN"/>
        </w:rPr>
        <w:t>1 987.50</w:t>
      </w:r>
      <w:proofErr w:type="gramStart"/>
      <w:r w:rsidRPr="00262D75">
        <w:rPr>
          <w:rFonts w:hint="eastAsia"/>
          <w:lang w:eastAsia="zh-CN"/>
        </w:rPr>
        <w:t>瑞郎；</w:t>
      </w:r>
      <w:proofErr w:type="gramEnd"/>
    </w:p>
    <w:p w14:paraId="07526AF8" w14:textId="77777777" w:rsidR="005704E6" w:rsidRPr="00262D75" w:rsidRDefault="005704E6" w:rsidP="005704E6">
      <w:pPr>
        <w:rPr>
          <w:lang w:eastAsia="zh-CN"/>
        </w:rPr>
      </w:pPr>
      <w:r w:rsidRPr="00262D75">
        <w:rPr>
          <w:lang w:eastAsia="zh-CN"/>
        </w:rPr>
        <w:t>4</w:t>
      </w:r>
      <w:r w:rsidRPr="00262D75">
        <w:rPr>
          <w:lang w:eastAsia="zh-CN"/>
        </w:rPr>
        <w:tab/>
      </w:r>
      <w:r w:rsidRPr="00262D75">
        <w:rPr>
          <w:rFonts w:hint="eastAsia"/>
          <w:lang w:eastAsia="zh-CN"/>
        </w:rPr>
        <w:t>将学术成员、大学及其相关研究机构的年费确定为：</w:t>
      </w:r>
    </w:p>
    <w:p w14:paraId="7FDE7093" w14:textId="77777777" w:rsidR="005704E6" w:rsidRPr="00262D75" w:rsidRDefault="005704E6" w:rsidP="005704E6">
      <w:pPr>
        <w:pStyle w:val="enumlev1"/>
        <w:rPr>
          <w:lang w:eastAsia="zh-CN"/>
        </w:rPr>
      </w:pPr>
      <w:r w:rsidRPr="00262D75">
        <w:rPr>
          <w:rFonts w:cs="Calibri"/>
          <w:lang w:eastAsia="zh-CN"/>
        </w:rPr>
        <w:t>a)</w:t>
      </w:r>
      <w:r w:rsidRPr="00262D75">
        <w:rPr>
          <w:rFonts w:cs="Calibri"/>
          <w:lang w:eastAsia="zh-CN"/>
        </w:rPr>
        <w:tab/>
      </w:r>
      <w:r w:rsidRPr="00262D75">
        <w:rPr>
          <w:rFonts w:hint="eastAsia"/>
          <w:lang w:eastAsia="zh-CN"/>
        </w:rPr>
        <w:t>参加三个部门工作的来自发达国家的学术成员为</w:t>
      </w:r>
      <w:r w:rsidRPr="00262D75">
        <w:rPr>
          <w:lang w:eastAsia="zh-CN"/>
        </w:rPr>
        <w:t> 3 975</w:t>
      </w:r>
      <w:proofErr w:type="gramStart"/>
      <w:r w:rsidRPr="00262D75">
        <w:rPr>
          <w:rFonts w:hint="eastAsia"/>
          <w:lang w:eastAsia="zh-CN"/>
        </w:rPr>
        <w:t>瑞郎；</w:t>
      </w:r>
      <w:proofErr w:type="gramEnd"/>
    </w:p>
    <w:p w14:paraId="1391B85B" w14:textId="77777777" w:rsidR="005704E6" w:rsidRPr="00262D75" w:rsidRDefault="005704E6" w:rsidP="005704E6">
      <w:pPr>
        <w:pStyle w:val="enumlev1"/>
        <w:rPr>
          <w:lang w:eastAsia="zh-CN"/>
        </w:rPr>
      </w:pPr>
      <w:r w:rsidRPr="00262D75">
        <w:rPr>
          <w:lang w:eastAsia="zh-CN"/>
        </w:rPr>
        <w:t>b)</w:t>
      </w:r>
      <w:r w:rsidRPr="00262D75">
        <w:rPr>
          <w:lang w:eastAsia="zh-CN"/>
        </w:rPr>
        <w:tab/>
      </w:r>
      <w:r w:rsidRPr="00262D75">
        <w:rPr>
          <w:rFonts w:hint="eastAsia"/>
          <w:lang w:eastAsia="zh-CN"/>
        </w:rPr>
        <w:t>参加三个部门工作的来自发展中国家的学术成员为</w:t>
      </w:r>
      <w:r w:rsidRPr="00262D75">
        <w:rPr>
          <w:lang w:eastAsia="zh-CN"/>
        </w:rPr>
        <w:t> 1 987.50</w:t>
      </w:r>
      <w:proofErr w:type="gramStart"/>
      <w:r w:rsidRPr="00262D75">
        <w:rPr>
          <w:rFonts w:hint="eastAsia"/>
          <w:lang w:eastAsia="zh-CN"/>
        </w:rPr>
        <w:t>瑞郎；</w:t>
      </w:r>
      <w:proofErr w:type="gramEnd"/>
    </w:p>
    <w:p w14:paraId="585A45C3" w14:textId="77777777" w:rsidR="005704E6" w:rsidRPr="00262D75" w:rsidRDefault="005704E6" w:rsidP="005704E6">
      <w:pPr>
        <w:rPr>
          <w:lang w:eastAsia="zh-CN"/>
        </w:rPr>
      </w:pPr>
      <w:r w:rsidRPr="00262D75">
        <w:rPr>
          <w:lang w:eastAsia="zh-CN"/>
        </w:rPr>
        <w:t>5</w:t>
      </w:r>
      <w:r w:rsidRPr="00262D75">
        <w:rPr>
          <w:lang w:eastAsia="zh-CN"/>
        </w:rPr>
        <w:tab/>
      </w:r>
      <w:r w:rsidRPr="00262D75">
        <w:rPr>
          <w:lang w:eastAsia="zh-CN"/>
        </w:rPr>
        <w:t>授权秘书长，根据发生的变化</w:t>
      </w:r>
      <w:r w:rsidRPr="00262D75">
        <w:rPr>
          <w:rFonts w:hint="eastAsia"/>
          <w:lang w:eastAsia="zh-CN"/>
        </w:rPr>
        <w:t>，在执行</w:t>
      </w:r>
      <w:r w:rsidRPr="00262D75">
        <w:rPr>
          <w:lang w:eastAsia="zh-CN"/>
        </w:rPr>
        <w:t>2024-2025</w:t>
      </w:r>
      <w:r w:rsidRPr="00262D75">
        <w:rPr>
          <w:rFonts w:hint="eastAsia"/>
          <w:lang w:eastAsia="zh-CN"/>
        </w:rPr>
        <w:t>年预算期间</w:t>
      </w:r>
      <w:r w:rsidRPr="00262D75">
        <w:rPr>
          <w:lang w:eastAsia="zh-CN"/>
        </w:rPr>
        <w:t>通过使用储备金账目，</w:t>
      </w:r>
      <w:r w:rsidRPr="00262D75">
        <w:rPr>
          <w:rFonts w:hint="eastAsia"/>
          <w:lang w:eastAsia="zh-CN"/>
        </w:rPr>
        <w:t>调整</w:t>
      </w:r>
      <w:r w:rsidRPr="00262D75">
        <w:rPr>
          <w:lang w:eastAsia="zh-CN"/>
        </w:rPr>
        <w:t>对下述</w:t>
      </w:r>
      <w:proofErr w:type="gramStart"/>
      <w:r w:rsidRPr="00262D75">
        <w:rPr>
          <w:lang w:eastAsia="zh-CN"/>
        </w:rPr>
        <w:t>a</w:t>
      </w:r>
      <w:r w:rsidRPr="00262D75">
        <w:rPr>
          <w:rFonts w:hint="eastAsia"/>
          <w:lang w:eastAsia="zh-CN"/>
        </w:rPr>
        <w:t>)</w:t>
      </w:r>
      <w:r w:rsidRPr="00262D75">
        <w:rPr>
          <w:lang w:eastAsia="zh-CN"/>
        </w:rPr>
        <w:t>和</w:t>
      </w:r>
      <w:proofErr w:type="gramEnd"/>
      <w:r w:rsidRPr="00262D75">
        <w:rPr>
          <w:lang w:eastAsia="zh-CN"/>
        </w:rPr>
        <w:t>b</w:t>
      </w:r>
      <w:r w:rsidRPr="00262D75">
        <w:rPr>
          <w:rFonts w:hint="eastAsia"/>
          <w:lang w:eastAsia="zh-CN"/>
        </w:rPr>
        <w:t>)</w:t>
      </w:r>
      <w:r w:rsidRPr="00262D75">
        <w:rPr>
          <w:lang w:eastAsia="zh-CN"/>
        </w:rPr>
        <w:t>项支出</w:t>
      </w:r>
      <w:r w:rsidRPr="00262D75">
        <w:rPr>
          <w:rFonts w:hint="eastAsia"/>
          <w:lang w:eastAsia="zh-CN"/>
        </w:rPr>
        <w:t>的</w:t>
      </w:r>
      <w:r w:rsidRPr="00262D75">
        <w:rPr>
          <w:lang w:eastAsia="zh-CN"/>
        </w:rPr>
        <w:t>拨款，</w:t>
      </w:r>
      <w:r w:rsidRPr="00262D75">
        <w:rPr>
          <w:rFonts w:hint="eastAsia"/>
          <w:lang w:eastAsia="zh-CN"/>
        </w:rPr>
        <w:t>并且前提是</w:t>
      </w:r>
      <w:r w:rsidRPr="00262D75">
        <w:rPr>
          <w:lang w:eastAsia="zh-CN"/>
        </w:rPr>
        <w:t>储备金账目保持在第</w:t>
      </w:r>
      <w:r w:rsidRPr="00262D75">
        <w:rPr>
          <w:lang w:eastAsia="zh-CN"/>
        </w:rPr>
        <w:t>5</w:t>
      </w:r>
      <w:r w:rsidRPr="00262D75">
        <w:rPr>
          <w:lang w:eastAsia="zh-CN"/>
        </w:rPr>
        <w:t>号决定（</w:t>
      </w:r>
      <w:r w:rsidRPr="00262D75">
        <w:rPr>
          <w:rFonts w:hint="eastAsia"/>
          <w:lang w:eastAsia="zh-CN"/>
        </w:rPr>
        <w:t>2022</w:t>
      </w:r>
      <w:r w:rsidRPr="00262D75">
        <w:rPr>
          <w:rFonts w:hint="eastAsia"/>
          <w:lang w:eastAsia="zh-CN"/>
        </w:rPr>
        <w:t>年，布加勒斯特，修订版</w:t>
      </w:r>
      <w:r w:rsidRPr="00262D75">
        <w:rPr>
          <w:lang w:eastAsia="zh-CN"/>
        </w:rPr>
        <w:t>）</w:t>
      </w:r>
      <w:r w:rsidRPr="00262D75">
        <w:rPr>
          <w:rFonts w:hint="eastAsia"/>
          <w:lang w:eastAsia="zh-CN"/>
        </w:rPr>
        <w:t>规定</w:t>
      </w:r>
      <w:r w:rsidRPr="00262D75">
        <w:rPr>
          <w:lang w:eastAsia="zh-CN"/>
        </w:rPr>
        <w:t>的水平</w:t>
      </w:r>
      <w:r w:rsidRPr="00262D75">
        <w:rPr>
          <w:rFonts w:hint="eastAsia"/>
          <w:lang w:eastAsia="zh-CN"/>
        </w:rPr>
        <w:t>上</w:t>
      </w:r>
      <w:r w:rsidRPr="00262D75">
        <w:rPr>
          <w:lang w:eastAsia="zh-CN"/>
        </w:rPr>
        <w:t>：</w:t>
      </w:r>
    </w:p>
    <w:p w14:paraId="1A33275A" w14:textId="77777777" w:rsidR="005704E6" w:rsidRPr="00262D75" w:rsidRDefault="005704E6" w:rsidP="005704E6">
      <w:pPr>
        <w:pStyle w:val="enumlev1"/>
        <w:rPr>
          <w:lang w:eastAsia="zh-CN"/>
        </w:rPr>
      </w:pPr>
      <w:r w:rsidRPr="00262D75">
        <w:rPr>
          <w:rFonts w:cs="Calibri"/>
          <w:lang w:eastAsia="zh-CN"/>
        </w:rPr>
        <w:t>a)</w:t>
      </w:r>
      <w:r w:rsidRPr="00262D75">
        <w:rPr>
          <w:rFonts w:cs="Calibri"/>
          <w:lang w:eastAsia="zh-CN"/>
        </w:rPr>
        <w:tab/>
      </w:r>
      <w:r w:rsidRPr="00262D75">
        <w:rPr>
          <w:rFonts w:hint="eastAsia"/>
          <w:lang w:eastAsia="zh-CN"/>
        </w:rPr>
        <w:t>提高对</w:t>
      </w:r>
      <w:r w:rsidRPr="00262D75">
        <w:rPr>
          <w:lang w:eastAsia="zh-CN"/>
        </w:rPr>
        <w:t>薪金表</w:t>
      </w:r>
      <w:r w:rsidRPr="00262D75">
        <w:rPr>
          <w:rFonts w:hint="eastAsia"/>
          <w:lang w:eastAsia="zh-CN"/>
        </w:rPr>
        <w:t>、</w:t>
      </w:r>
      <w:r w:rsidRPr="00262D75">
        <w:rPr>
          <w:lang w:eastAsia="zh-CN"/>
        </w:rPr>
        <w:t>养恤金的</w:t>
      </w:r>
      <w:r w:rsidRPr="00262D75">
        <w:rPr>
          <w:rFonts w:hint="eastAsia"/>
          <w:lang w:eastAsia="zh-CN"/>
        </w:rPr>
        <w:t>缴</w:t>
      </w:r>
      <w:r w:rsidRPr="00262D75">
        <w:rPr>
          <w:lang w:eastAsia="zh-CN"/>
        </w:rPr>
        <w:t>款部分和津贴</w:t>
      </w:r>
      <w:r w:rsidRPr="00262D75">
        <w:rPr>
          <w:rFonts w:hint="eastAsia"/>
          <w:lang w:eastAsia="zh-CN"/>
        </w:rPr>
        <w:t>的拨款</w:t>
      </w:r>
      <w:r w:rsidRPr="00262D75">
        <w:rPr>
          <w:lang w:eastAsia="zh-CN"/>
        </w:rPr>
        <w:t>，其中包括联合国共同</w:t>
      </w:r>
      <w:r w:rsidRPr="00262D75">
        <w:rPr>
          <w:rFonts w:hint="eastAsia"/>
          <w:lang w:eastAsia="zh-CN"/>
        </w:rPr>
        <w:t>制度</w:t>
      </w:r>
      <w:r w:rsidRPr="00262D75">
        <w:rPr>
          <w:lang w:eastAsia="zh-CN"/>
        </w:rPr>
        <w:t>通过的、</w:t>
      </w:r>
      <w:proofErr w:type="gramStart"/>
      <w:r w:rsidRPr="00262D75">
        <w:rPr>
          <w:lang w:eastAsia="zh-CN"/>
        </w:rPr>
        <w:t>适用于日内瓦地区的任职地点补贴调整数</w:t>
      </w:r>
      <w:r w:rsidRPr="00262D75">
        <w:rPr>
          <w:rFonts w:hint="eastAsia"/>
          <w:lang w:eastAsia="zh-CN"/>
        </w:rPr>
        <w:t>；</w:t>
      </w:r>
      <w:proofErr w:type="gramEnd"/>
    </w:p>
    <w:p w14:paraId="3779758C" w14:textId="77777777" w:rsidR="005704E6" w:rsidRPr="00262D75" w:rsidRDefault="005704E6" w:rsidP="005704E6">
      <w:pPr>
        <w:pStyle w:val="enumlev1"/>
        <w:rPr>
          <w:lang w:eastAsia="zh-CN"/>
        </w:rPr>
      </w:pPr>
      <w:r w:rsidRPr="00262D75">
        <w:rPr>
          <w:lang w:eastAsia="zh-CN"/>
        </w:rPr>
        <w:t>b)</w:t>
      </w:r>
      <w:r w:rsidRPr="00262D75">
        <w:rPr>
          <w:lang w:eastAsia="zh-CN"/>
        </w:rPr>
        <w:tab/>
      </w:r>
      <w:r w:rsidRPr="00262D75">
        <w:rPr>
          <w:rFonts w:hint="eastAsia"/>
          <w:lang w:eastAsia="zh-CN"/>
        </w:rPr>
        <w:t>当</w:t>
      </w:r>
      <w:r w:rsidRPr="00262D75">
        <w:rPr>
          <w:lang w:eastAsia="zh-CN"/>
        </w:rPr>
        <w:t>美元和瑞郎的兑换率浮动</w:t>
      </w:r>
      <w:r w:rsidRPr="00262D75">
        <w:rPr>
          <w:rFonts w:hint="eastAsia"/>
          <w:lang w:eastAsia="zh-CN"/>
        </w:rPr>
        <w:t>影响到</w:t>
      </w:r>
      <w:r w:rsidRPr="00262D75">
        <w:rPr>
          <w:lang w:eastAsia="zh-CN"/>
        </w:rPr>
        <w:t>联合国薪金表上职员相关人员费用</w:t>
      </w:r>
      <w:r w:rsidRPr="00262D75">
        <w:rPr>
          <w:rFonts w:hint="eastAsia"/>
          <w:lang w:eastAsia="zh-CN"/>
        </w:rPr>
        <w:t>时，调整拨款。</w:t>
      </w:r>
    </w:p>
    <w:p w14:paraId="499F4B22" w14:textId="77777777" w:rsidR="005704E6" w:rsidRPr="00262D75" w:rsidRDefault="005704E6" w:rsidP="005704E6">
      <w:pPr>
        <w:rPr>
          <w:lang w:eastAsia="zh-CN"/>
        </w:rPr>
      </w:pPr>
      <w:r w:rsidRPr="00262D75">
        <w:rPr>
          <w:lang w:eastAsia="zh-CN"/>
        </w:rPr>
        <w:t>6</w:t>
      </w:r>
      <w:r w:rsidRPr="00262D75">
        <w:rPr>
          <w:lang w:eastAsia="zh-CN"/>
        </w:rPr>
        <w:tab/>
      </w:r>
      <w:r w:rsidRPr="00262D75">
        <w:rPr>
          <w:rFonts w:hint="eastAsia"/>
          <w:lang w:eastAsia="zh-CN"/>
        </w:rPr>
        <w:t>责成秘书长每年向理事会提交一份全面报告，</w:t>
      </w:r>
      <w:r w:rsidRPr="00262D75">
        <w:rPr>
          <w:rFonts w:hint="eastAsia"/>
          <w:lang w:val="en-US" w:eastAsia="zh-CN"/>
        </w:rPr>
        <w:t>内容</w:t>
      </w:r>
      <w:r w:rsidRPr="00262D75">
        <w:rPr>
          <w:rFonts w:hint="eastAsia"/>
          <w:lang w:eastAsia="zh-CN"/>
        </w:rPr>
        <w:t>包括说明已采取行动理由的所有文件，以及一份有关上文</w:t>
      </w:r>
      <w:r w:rsidRPr="00262D75">
        <w:rPr>
          <w:rFonts w:eastAsia="STKaiti" w:hint="eastAsia"/>
          <w:lang w:eastAsia="zh-CN"/>
        </w:rPr>
        <w:t>进一步做出决议</w:t>
      </w:r>
      <w:proofErr w:type="gramStart"/>
      <w:r w:rsidRPr="00262D75">
        <w:rPr>
          <w:lang w:eastAsia="zh-CN"/>
        </w:rPr>
        <w:t>5)</w:t>
      </w:r>
      <w:r w:rsidRPr="00262D75">
        <w:rPr>
          <w:rFonts w:hint="eastAsia"/>
          <w:lang w:eastAsia="zh-CN"/>
        </w:rPr>
        <w:t>所造成财务影响的报表</w:t>
      </w:r>
      <w:proofErr w:type="gramEnd"/>
      <w:r w:rsidRPr="00262D75">
        <w:rPr>
          <w:rFonts w:hint="eastAsia"/>
          <w:lang w:eastAsia="zh-CN"/>
        </w:rPr>
        <w:t>；</w:t>
      </w:r>
    </w:p>
    <w:p w14:paraId="7F1237EE" w14:textId="77777777" w:rsidR="005704E6" w:rsidRPr="00262D75" w:rsidRDefault="005704E6" w:rsidP="005704E6">
      <w:pPr>
        <w:rPr>
          <w:lang w:eastAsia="zh-CN"/>
        </w:rPr>
      </w:pPr>
      <w:r w:rsidRPr="00262D75">
        <w:rPr>
          <w:lang w:eastAsia="zh-CN"/>
        </w:rPr>
        <w:t>7</w:t>
      </w:r>
      <w:r w:rsidRPr="00262D75">
        <w:rPr>
          <w:lang w:eastAsia="zh-CN"/>
        </w:rPr>
        <w:tab/>
      </w:r>
      <w:r w:rsidRPr="00262D75">
        <w:rPr>
          <w:rFonts w:hint="eastAsia"/>
          <w:lang w:eastAsia="zh-CN"/>
        </w:rPr>
        <w:t>在</w:t>
      </w:r>
      <w:r w:rsidRPr="00262D75">
        <w:rPr>
          <w:rFonts w:asciiTheme="minorHAnsi" w:hAnsiTheme="minorHAnsi" w:cs="Calibri"/>
          <w:lang w:eastAsia="zh-CN"/>
        </w:rPr>
        <w:t>2024-2025</w:t>
      </w:r>
      <w:r w:rsidRPr="00262D75">
        <w:rPr>
          <w:rFonts w:hint="eastAsia"/>
          <w:lang w:eastAsia="zh-CN"/>
        </w:rPr>
        <w:t>双年度，根据《财务规则和财务细则》</w:t>
      </w:r>
      <w:r w:rsidRPr="00262D75">
        <w:rPr>
          <w:rFonts w:eastAsia="STKaiti"/>
          <w:lang w:eastAsia="zh-CN"/>
        </w:rPr>
        <w:t>规则</w:t>
      </w:r>
      <w:r w:rsidRPr="00262D75">
        <w:rPr>
          <w:rFonts w:eastAsia="STKaiti"/>
          <w:lang w:eastAsia="zh-CN"/>
        </w:rPr>
        <w:t>6.1</w:t>
      </w:r>
      <w:r w:rsidRPr="00262D75">
        <w:rPr>
          <w:rFonts w:hint="eastAsia"/>
          <w:lang w:eastAsia="zh-CN"/>
        </w:rPr>
        <w:t>给予秘书长必要的灵活性，利用第</w:t>
      </w:r>
      <w:r w:rsidRPr="00262D75">
        <w:rPr>
          <w:rFonts w:hint="eastAsia"/>
          <w:lang w:eastAsia="zh-CN"/>
        </w:rPr>
        <w:t>3</w:t>
      </w:r>
      <w:r w:rsidRPr="00262D75">
        <w:rPr>
          <w:rFonts w:hint="eastAsia"/>
          <w:lang w:eastAsia="zh-CN"/>
        </w:rPr>
        <w:t>至第</w:t>
      </w:r>
      <w:r w:rsidRPr="00262D75">
        <w:rPr>
          <w:rFonts w:hint="eastAsia"/>
          <w:lang w:eastAsia="zh-CN"/>
        </w:rPr>
        <w:t>9</w:t>
      </w:r>
      <w:r w:rsidRPr="00262D75">
        <w:rPr>
          <w:rFonts w:hint="eastAsia"/>
          <w:lang w:eastAsia="zh-CN"/>
        </w:rPr>
        <w:t>类（非人员费用）节余补偿第</w:t>
      </w:r>
      <w:r w:rsidRPr="00262D75">
        <w:rPr>
          <w:rFonts w:hint="eastAsia"/>
          <w:lang w:eastAsia="zh-CN"/>
        </w:rPr>
        <w:t>1</w:t>
      </w:r>
      <w:r w:rsidRPr="00262D75">
        <w:rPr>
          <w:rFonts w:hint="eastAsia"/>
          <w:lang w:eastAsia="zh-CN"/>
        </w:rPr>
        <w:t>和第</w:t>
      </w:r>
      <w:r w:rsidRPr="00262D75">
        <w:rPr>
          <w:rFonts w:hint="eastAsia"/>
          <w:lang w:eastAsia="zh-CN"/>
        </w:rPr>
        <w:t>2</w:t>
      </w:r>
      <w:r w:rsidRPr="00262D75">
        <w:rPr>
          <w:rFonts w:hint="eastAsia"/>
          <w:lang w:eastAsia="zh-CN"/>
        </w:rPr>
        <w:t>类（人员费用）的超支，</w:t>
      </w:r>
      <w:proofErr w:type="gramStart"/>
      <w:r w:rsidRPr="00262D75">
        <w:rPr>
          <w:rFonts w:hint="eastAsia"/>
          <w:lang w:eastAsia="zh-CN"/>
        </w:rPr>
        <w:t>并在需要时进行必要的转账；</w:t>
      </w:r>
      <w:proofErr w:type="gramEnd"/>
    </w:p>
    <w:p w14:paraId="78F8AAD5" w14:textId="77777777" w:rsidR="005704E6" w:rsidRPr="00262D75" w:rsidRDefault="005704E6" w:rsidP="005704E6">
      <w:pPr>
        <w:rPr>
          <w:lang w:eastAsia="zh-CN"/>
        </w:rPr>
      </w:pPr>
      <w:r w:rsidRPr="00262D75">
        <w:rPr>
          <w:lang w:eastAsia="zh-CN"/>
        </w:rPr>
        <w:t>8</w:t>
      </w:r>
      <w:r w:rsidRPr="00262D75">
        <w:rPr>
          <w:lang w:eastAsia="zh-CN"/>
        </w:rPr>
        <w:tab/>
      </w:r>
      <w:r w:rsidRPr="00262D75">
        <w:rPr>
          <w:rFonts w:hint="eastAsia"/>
          <w:lang w:eastAsia="zh-CN"/>
        </w:rPr>
        <w:t>授权在必要时使用收入节余平衡</w:t>
      </w:r>
      <w:r w:rsidRPr="00262D75">
        <w:rPr>
          <w:rFonts w:asciiTheme="minorHAnsi" w:hAnsiTheme="minorHAnsi" w:cs="Calibri"/>
          <w:lang w:eastAsia="zh-CN"/>
        </w:rPr>
        <w:t>2024-</w:t>
      </w:r>
      <w:proofErr w:type="gramStart"/>
      <w:r w:rsidRPr="00262D75">
        <w:rPr>
          <w:rFonts w:asciiTheme="minorHAnsi" w:hAnsiTheme="minorHAnsi" w:cs="Calibri"/>
          <w:lang w:eastAsia="zh-CN"/>
        </w:rPr>
        <w:t>2025</w:t>
      </w:r>
      <w:r w:rsidRPr="00262D75">
        <w:rPr>
          <w:rFonts w:hint="eastAsia"/>
          <w:lang w:eastAsia="zh-CN"/>
        </w:rPr>
        <w:t>年账目；</w:t>
      </w:r>
      <w:proofErr w:type="gramEnd"/>
    </w:p>
    <w:p w14:paraId="76BE9381" w14:textId="77777777" w:rsidR="005704E6" w:rsidRPr="00262D75" w:rsidRDefault="005704E6" w:rsidP="005704E6">
      <w:pPr>
        <w:rPr>
          <w:lang w:eastAsia="zh-CN"/>
        </w:rPr>
      </w:pPr>
      <w:r w:rsidRPr="00262D75">
        <w:rPr>
          <w:lang w:eastAsia="zh-CN"/>
        </w:rPr>
        <w:t>9</w:t>
      </w:r>
      <w:r w:rsidRPr="00262D75">
        <w:rPr>
          <w:lang w:eastAsia="zh-CN"/>
        </w:rPr>
        <w:tab/>
      </w:r>
      <w:r w:rsidRPr="00262D75">
        <w:rPr>
          <w:rFonts w:cs="Calibri" w:hint="eastAsia"/>
          <w:szCs w:val="24"/>
          <w:lang w:eastAsia="zh-CN"/>
        </w:rPr>
        <w:t>责</w:t>
      </w:r>
      <w:r w:rsidRPr="00262D75">
        <w:rPr>
          <w:rFonts w:cs="Calibri"/>
          <w:szCs w:val="24"/>
          <w:lang w:eastAsia="zh-CN"/>
        </w:rPr>
        <w:t>成秘书长于</w:t>
      </w:r>
      <w:r w:rsidRPr="00262D75">
        <w:rPr>
          <w:rFonts w:cs="Calibri"/>
          <w:szCs w:val="24"/>
          <w:lang w:eastAsia="zh-CN"/>
        </w:rPr>
        <w:t>202</w:t>
      </w:r>
      <w:r w:rsidRPr="00262D75">
        <w:rPr>
          <w:rFonts w:asciiTheme="minorHAnsi" w:hAnsiTheme="minorHAnsi" w:cs="Calibri"/>
          <w:lang w:eastAsia="zh-CN"/>
        </w:rPr>
        <w:t>4</w:t>
      </w:r>
      <w:r w:rsidRPr="00262D75">
        <w:rPr>
          <w:rFonts w:cs="Calibri"/>
          <w:szCs w:val="24"/>
          <w:lang w:eastAsia="zh-CN"/>
        </w:rPr>
        <w:t>年</w:t>
      </w:r>
      <w:r w:rsidRPr="00262D75">
        <w:rPr>
          <w:rFonts w:cs="Calibri"/>
          <w:szCs w:val="24"/>
          <w:lang w:eastAsia="zh-CN"/>
        </w:rPr>
        <w:t>1</w:t>
      </w:r>
      <w:r w:rsidRPr="00262D75">
        <w:rPr>
          <w:rFonts w:cs="Calibri"/>
          <w:szCs w:val="24"/>
          <w:lang w:eastAsia="zh-CN"/>
        </w:rPr>
        <w:t>月从储备金账目转账</w:t>
      </w:r>
      <w:r w:rsidRPr="00262D75">
        <w:rPr>
          <w:rFonts w:cs="Calibri" w:hint="eastAsia"/>
          <w:szCs w:val="24"/>
          <w:lang w:val="en-US" w:eastAsia="zh-CN"/>
        </w:rPr>
        <w:t>1</w:t>
      </w:r>
      <w:r w:rsidRPr="00262D75">
        <w:rPr>
          <w:rFonts w:cs="Calibri"/>
          <w:szCs w:val="24"/>
          <w:lang w:val="en-US" w:eastAsia="zh-CN"/>
        </w:rPr>
        <w:t xml:space="preserve"> 000 000</w:t>
      </w:r>
      <w:r w:rsidRPr="00262D75">
        <w:rPr>
          <w:rFonts w:cs="Calibri"/>
          <w:szCs w:val="24"/>
          <w:lang w:val="en-US" w:eastAsia="zh-CN"/>
        </w:rPr>
        <w:t>瑞郎至</w:t>
      </w:r>
      <w:r w:rsidRPr="00262D75">
        <w:rPr>
          <w:rFonts w:cs="Calibri"/>
          <w:szCs w:val="24"/>
          <w:lang w:val="en-US" w:eastAsia="zh-CN"/>
        </w:rPr>
        <w:t>ASHI</w:t>
      </w:r>
      <w:r w:rsidRPr="00262D75">
        <w:rPr>
          <w:rFonts w:cs="Calibri"/>
          <w:szCs w:val="24"/>
          <w:lang w:val="en-US" w:eastAsia="zh-CN"/>
        </w:rPr>
        <w:t>基</w:t>
      </w:r>
      <w:r w:rsidRPr="00262D75">
        <w:rPr>
          <w:rFonts w:cs="Calibri" w:hint="eastAsia"/>
          <w:szCs w:val="24"/>
          <w:lang w:val="en-US" w:eastAsia="zh-CN"/>
        </w:rPr>
        <w:t>金</w:t>
      </w:r>
      <w:r w:rsidRPr="00262D75">
        <w:rPr>
          <w:rFonts w:cs="Calibri"/>
          <w:szCs w:val="24"/>
          <w:lang w:val="en-US" w:eastAsia="zh-CN"/>
        </w:rPr>
        <w:t>，以解决无资金准备的长期负债问题。</w:t>
      </w:r>
    </w:p>
    <w:p w14:paraId="160AC350" w14:textId="77777777" w:rsidR="005704E6" w:rsidRDefault="005704E6" w:rsidP="005704E6">
      <w:pPr>
        <w:sectPr w:rsidR="005704E6" w:rsidSect="00E24D59">
          <w:headerReference w:type="even" r:id="rId9"/>
          <w:headerReference w:type="default" r:id="rId10"/>
          <w:footerReference w:type="even" r:id="rId1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r w:rsidRPr="00262D75">
        <w:rPr>
          <w:rFonts w:ascii="STKaiti" w:eastAsia="STKaiti" w:hAnsi="STKaiti" w:hint="eastAsia"/>
          <w:b/>
          <w:bCs/>
          <w:lang w:eastAsia="zh-CN"/>
        </w:rPr>
        <w:t>附件：</w:t>
      </w:r>
      <w:r w:rsidRPr="00262D75">
        <w:rPr>
          <w:rFonts w:hint="eastAsia"/>
          <w:lang w:eastAsia="zh-CN"/>
        </w:rPr>
        <w:t>表</w:t>
      </w:r>
      <w:r w:rsidRPr="00262D75">
        <w:t>1-12</w:t>
      </w:r>
    </w:p>
    <w:p w14:paraId="082DABE3" w14:textId="77777777" w:rsidR="005704E6" w:rsidRPr="00262D75" w:rsidRDefault="005704E6" w:rsidP="005704E6">
      <w:pPr>
        <w:sectPr w:rsidR="005704E6" w:rsidRPr="00262D75" w:rsidSect="005704E6">
          <w:type w:val="continuous"/>
          <w:pgSz w:w="11907" w:h="16834"/>
          <w:pgMar w:top="1418" w:right="1418" w:bottom="1418" w:left="1418" w:header="720" w:footer="720" w:gutter="0"/>
          <w:paperSrc w:first="286" w:other="286"/>
          <w:cols w:space="720"/>
          <w:titlePg/>
        </w:sectPr>
      </w:pPr>
      <w:r w:rsidRPr="00262D75">
        <w:br w:type="page"/>
      </w:r>
    </w:p>
    <w:p w14:paraId="1FDE4AB6" w14:textId="77777777" w:rsidR="005704E6" w:rsidRPr="00262D75" w:rsidRDefault="005704E6" w:rsidP="005704E6">
      <w:pPr>
        <w:overflowPunct/>
        <w:autoSpaceDE/>
        <w:autoSpaceDN/>
        <w:adjustRightInd/>
        <w:spacing w:before="0"/>
        <w:jc w:val="center"/>
        <w:textAlignment w:val="auto"/>
        <w:rPr>
          <w:rFonts w:ascii="Gill Sans MT" w:hAnsi="Gill Sans MT"/>
          <w:szCs w:val="24"/>
        </w:rPr>
      </w:pPr>
      <w:r w:rsidRPr="00262D75">
        <w:rPr>
          <w:noProof/>
        </w:rPr>
        <w:lastRenderedPageBreak/>
        <w:drawing>
          <wp:inline distT="0" distB="0" distL="0" distR="0" wp14:anchorId="335449FD" wp14:editId="43A72DED">
            <wp:extent cx="7509753"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10658" cy="2743531"/>
                    </a:xfrm>
                    <a:prstGeom prst="rect">
                      <a:avLst/>
                    </a:prstGeom>
                    <a:noFill/>
                    <a:ln>
                      <a:noFill/>
                    </a:ln>
                  </pic:spPr>
                </pic:pic>
              </a:graphicData>
            </a:graphic>
          </wp:inline>
        </w:drawing>
      </w:r>
    </w:p>
    <w:p w14:paraId="2DE4EE07" w14:textId="77777777" w:rsidR="005704E6" w:rsidRPr="00262D75" w:rsidRDefault="005704E6" w:rsidP="005704E6">
      <w:pPr>
        <w:overflowPunct/>
        <w:autoSpaceDE/>
        <w:autoSpaceDN/>
        <w:adjustRightInd/>
        <w:spacing w:before="0"/>
        <w:jc w:val="center"/>
        <w:textAlignment w:val="auto"/>
        <w:rPr>
          <w:rFonts w:ascii="Gill Sans MT" w:hAnsi="Gill Sans MT"/>
          <w:szCs w:val="24"/>
        </w:rPr>
      </w:pPr>
      <w:r w:rsidRPr="00262D75">
        <w:rPr>
          <w:rFonts w:ascii="Gill Sans MT" w:hAnsi="Gill Sans MT"/>
          <w:szCs w:val="24"/>
        </w:rPr>
        <w:br w:type="page"/>
      </w:r>
    </w:p>
    <w:p w14:paraId="428C4814" w14:textId="77777777" w:rsidR="005704E6" w:rsidRPr="00262D75" w:rsidRDefault="005704E6" w:rsidP="005704E6">
      <w:pPr>
        <w:overflowPunct/>
        <w:autoSpaceDE/>
        <w:autoSpaceDN/>
        <w:adjustRightInd/>
        <w:spacing w:before="0" w:after="160" w:line="259" w:lineRule="auto"/>
        <w:jc w:val="center"/>
        <w:textAlignment w:val="auto"/>
        <w:rPr>
          <w:noProof/>
        </w:rPr>
      </w:pPr>
      <w:r w:rsidRPr="00262D75">
        <w:rPr>
          <w:noProof/>
        </w:rPr>
        <w:lastRenderedPageBreak/>
        <w:drawing>
          <wp:inline distT="0" distB="0" distL="0" distR="0" wp14:anchorId="7F99ADB8" wp14:editId="45AA56C4">
            <wp:extent cx="6590581" cy="5807573"/>
            <wp:effectExtent l="0" t="0" r="127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2995" cy="5809700"/>
                    </a:xfrm>
                    <a:prstGeom prst="rect">
                      <a:avLst/>
                    </a:prstGeom>
                    <a:noFill/>
                    <a:ln>
                      <a:noFill/>
                    </a:ln>
                  </pic:spPr>
                </pic:pic>
              </a:graphicData>
            </a:graphic>
          </wp:inline>
        </w:drawing>
      </w:r>
    </w:p>
    <w:p w14:paraId="1AB5F053"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32CF7ED6" wp14:editId="5D41A537">
            <wp:extent cx="7510145" cy="5760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10145" cy="5760085"/>
                    </a:xfrm>
                    <a:prstGeom prst="rect">
                      <a:avLst/>
                    </a:prstGeom>
                    <a:noFill/>
                    <a:ln>
                      <a:noFill/>
                    </a:ln>
                  </pic:spPr>
                </pic:pic>
              </a:graphicData>
            </a:graphic>
          </wp:inline>
        </w:drawing>
      </w:r>
      <w:r w:rsidRPr="00262D75">
        <w:br w:type="page"/>
      </w:r>
    </w:p>
    <w:p w14:paraId="50D15773"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3A6C2824" wp14:editId="624CBBE7">
            <wp:extent cx="8888730" cy="573405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8730" cy="5734050"/>
                    </a:xfrm>
                    <a:prstGeom prst="rect">
                      <a:avLst/>
                    </a:prstGeom>
                    <a:noFill/>
                    <a:ln>
                      <a:noFill/>
                    </a:ln>
                  </pic:spPr>
                </pic:pic>
              </a:graphicData>
            </a:graphic>
          </wp:inline>
        </w:drawing>
      </w:r>
      <w:r w:rsidRPr="00262D75">
        <w:br w:type="page"/>
      </w:r>
    </w:p>
    <w:p w14:paraId="0A14B291"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34D16A0E" wp14:editId="60DE6C75">
            <wp:extent cx="8888730" cy="5731510"/>
            <wp:effectExtent l="0" t="0" r="762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8730" cy="5731510"/>
                    </a:xfrm>
                    <a:prstGeom prst="rect">
                      <a:avLst/>
                    </a:prstGeom>
                    <a:noFill/>
                    <a:ln>
                      <a:noFill/>
                    </a:ln>
                  </pic:spPr>
                </pic:pic>
              </a:graphicData>
            </a:graphic>
          </wp:inline>
        </w:drawing>
      </w:r>
      <w:r w:rsidRPr="00262D75">
        <w:br w:type="page"/>
      </w:r>
    </w:p>
    <w:p w14:paraId="57132BB5"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4FF3A862" wp14:editId="518F964F">
            <wp:extent cx="8677275" cy="576008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77275" cy="5760085"/>
                    </a:xfrm>
                    <a:prstGeom prst="rect">
                      <a:avLst/>
                    </a:prstGeom>
                    <a:noFill/>
                    <a:ln>
                      <a:noFill/>
                    </a:ln>
                  </pic:spPr>
                </pic:pic>
              </a:graphicData>
            </a:graphic>
          </wp:inline>
        </w:drawing>
      </w:r>
      <w:r w:rsidRPr="00262D75">
        <w:br w:type="page"/>
      </w:r>
    </w:p>
    <w:p w14:paraId="1580A017"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0C864552" wp14:editId="161E0E7E">
            <wp:extent cx="8651637" cy="4968815"/>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54911" cy="4970695"/>
                    </a:xfrm>
                    <a:prstGeom prst="rect">
                      <a:avLst/>
                    </a:prstGeom>
                    <a:noFill/>
                    <a:ln>
                      <a:noFill/>
                    </a:ln>
                  </pic:spPr>
                </pic:pic>
              </a:graphicData>
            </a:graphic>
          </wp:inline>
        </w:drawing>
      </w:r>
    </w:p>
    <w:p w14:paraId="0D5DF14A" w14:textId="77777777" w:rsidR="005704E6" w:rsidRPr="00262D75" w:rsidRDefault="005704E6" w:rsidP="005704E6">
      <w:pPr>
        <w:overflowPunct/>
        <w:autoSpaceDE/>
        <w:autoSpaceDN/>
        <w:adjustRightInd/>
        <w:spacing w:before="0" w:after="160" w:line="259" w:lineRule="auto"/>
        <w:textAlignment w:val="auto"/>
        <w:rPr>
          <w:rFonts w:ascii="Gill Sans MT" w:hAnsi="Gill Sans MT"/>
          <w:szCs w:val="24"/>
        </w:rPr>
      </w:pPr>
      <w:r w:rsidRPr="00262D75">
        <w:rPr>
          <w:rFonts w:ascii="Gill Sans MT" w:hAnsi="Gill Sans MT"/>
          <w:szCs w:val="24"/>
        </w:rPr>
        <w:br w:type="page"/>
      </w:r>
    </w:p>
    <w:p w14:paraId="67FE4AD9"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1A1EB7FD" wp14:editId="278531F0">
            <wp:extent cx="8888730" cy="55098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730" cy="5509895"/>
                    </a:xfrm>
                    <a:prstGeom prst="rect">
                      <a:avLst/>
                    </a:prstGeom>
                    <a:noFill/>
                    <a:ln>
                      <a:noFill/>
                    </a:ln>
                  </pic:spPr>
                </pic:pic>
              </a:graphicData>
            </a:graphic>
          </wp:inline>
        </w:drawing>
      </w:r>
      <w:r w:rsidRPr="00262D75">
        <w:br w:type="page"/>
      </w:r>
    </w:p>
    <w:p w14:paraId="218A42B2"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3BD9938A" wp14:editId="24FDD653">
            <wp:extent cx="8888730" cy="5428615"/>
            <wp:effectExtent l="0" t="0" r="762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88730" cy="5428615"/>
                    </a:xfrm>
                    <a:prstGeom prst="rect">
                      <a:avLst/>
                    </a:prstGeom>
                    <a:noFill/>
                    <a:ln>
                      <a:noFill/>
                    </a:ln>
                  </pic:spPr>
                </pic:pic>
              </a:graphicData>
            </a:graphic>
          </wp:inline>
        </w:drawing>
      </w:r>
      <w:r w:rsidRPr="00262D75">
        <w:br w:type="page"/>
      </w:r>
    </w:p>
    <w:p w14:paraId="502D74AA" w14:textId="77777777" w:rsidR="005704E6" w:rsidRPr="00262D75" w:rsidRDefault="005704E6" w:rsidP="005704E6">
      <w:pPr>
        <w:overflowPunct/>
        <w:autoSpaceDE/>
        <w:autoSpaceDN/>
        <w:adjustRightInd/>
        <w:spacing w:before="0" w:after="160" w:line="259" w:lineRule="auto"/>
        <w:jc w:val="center"/>
        <w:textAlignment w:val="auto"/>
        <w:rPr>
          <w:rFonts w:ascii="Gill Sans MT" w:hAnsi="Gill Sans MT"/>
          <w:szCs w:val="24"/>
        </w:rPr>
      </w:pPr>
      <w:r w:rsidRPr="00262D75">
        <w:rPr>
          <w:noProof/>
        </w:rPr>
        <w:lastRenderedPageBreak/>
        <w:drawing>
          <wp:inline distT="0" distB="0" distL="0" distR="0" wp14:anchorId="3913E2AE" wp14:editId="4AEBED59">
            <wp:extent cx="8888730" cy="5480050"/>
            <wp:effectExtent l="0" t="0" r="762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88730" cy="5480050"/>
                    </a:xfrm>
                    <a:prstGeom prst="rect">
                      <a:avLst/>
                    </a:prstGeom>
                    <a:noFill/>
                    <a:ln>
                      <a:noFill/>
                    </a:ln>
                  </pic:spPr>
                </pic:pic>
              </a:graphicData>
            </a:graphic>
          </wp:inline>
        </w:drawing>
      </w:r>
      <w:r w:rsidRPr="00262D75">
        <w:rPr>
          <w:rFonts w:ascii="Gill Sans MT" w:hAnsi="Gill Sans MT"/>
          <w:szCs w:val="24"/>
        </w:rPr>
        <w:br w:type="page"/>
      </w:r>
    </w:p>
    <w:p w14:paraId="7AE17AF7" w14:textId="77777777" w:rsidR="005704E6" w:rsidRPr="00262D75" w:rsidRDefault="005704E6" w:rsidP="005704E6">
      <w:pPr>
        <w:overflowPunct/>
        <w:autoSpaceDE/>
        <w:autoSpaceDN/>
        <w:adjustRightInd/>
        <w:spacing w:before="0" w:after="160" w:line="259" w:lineRule="auto"/>
        <w:jc w:val="center"/>
        <w:textAlignment w:val="auto"/>
      </w:pPr>
      <w:r w:rsidRPr="00262D75">
        <w:rPr>
          <w:noProof/>
        </w:rPr>
        <w:lastRenderedPageBreak/>
        <w:drawing>
          <wp:inline distT="0" distB="0" distL="0" distR="0" wp14:anchorId="57FD5BC1" wp14:editId="2DB5CE96">
            <wp:extent cx="8888730" cy="38754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88730" cy="3875405"/>
                    </a:xfrm>
                    <a:prstGeom prst="rect">
                      <a:avLst/>
                    </a:prstGeom>
                    <a:noFill/>
                    <a:ln>
                      <a:noFill/>
                    </a:ln>
                  </pic:spPr>
                </pic:pic>
              </a:graphicData>
            </a:graphic>
          </wp:inline>
        </w:drawing>
      </w:r>
    </w:p>
    <w:p w14:paraId="3737546F" w14:textId="77777777" w:rsidR="005704E6" w:rsidRPr="00262D75" w:rsidRDefault="005704E6" w:rsidP="005704E6">
      <w:pPr>
        <w:overflowPunct/>
        <w:autoSpaceDE/>
        <w:autoSpaceDN/>
        <w:adjustRightInd/>
        <w:spacing w:before="0" w:after="160" w:line="259" w:lineRule="auto"/>
        <w:jc w:val="center"/>
        <w:textAlignment w:val="auto"/>
      </w:pPr>
      <w:r w:rsidRPr="00262D75">
        <w:br w:type="page"/>
      </w:r>
    </w:p>
    <w:p w14:paraId="60AF0628" w14:textId="77777777" w:rsidR="005704E6" w:rsidRPr="00262D75" w:rsidRDefault="005704E6" w:rsidP="005704E6">
      <w:pPr>
        <w:overflowPunct/>
        <w:autoSpaceDE/>
        <w:autoSpaceDN/>
        <w:adjustRightInd/>
        <w:spacing w:before="0" w:after="160" w:line="259" w:lineRule="auto"/>
        <w:jc w:val="center"/>
        <w:textAlignment w:val="auto"/>
        <w:rPr>
          <w:b/>
          <w:color w:val="000000"/>
        </w:rPr>
      </w:pPr>
      <w:r w:rsidRPr="00262D75">
        <w:rPr>
          <w:noProof/>
        </w:rPr>
        <w:lastRenderedPageBreak/>
        <w:drawing>
          <wp:inline distT="0" distB="0" distL="0" distR="0" wp14:anchorId="32C3114E" wp14:editId="007BBBC0">
            <wp:extent cx="8636635" cy="57600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36635" cy="5760085"/>
                    </a:xfrm>
                    <a:prstGeom prst="rect">
                      <a:avLst/>
                    </a:prstGeom>
                    <a:noFill/>
                    <a:ln>
                      <a:noFill/>
                    </a:ln>
                  </pic:spPr>
                </pic:pic>
              </a:graphicData>
            </a:graphic>
          </wp:inline>
        </w:drawing>
      </w:r>
      <w:r w:rsidRPr="00262D75">
        <w:rPr>
          <w:b/>
          <w:color w:val="000000"/>
        </w:rPr>
        <w:br w:type="page"/>
      </w:r>
    </w:p>
    <w:p w14:paraId="358C1296" w14:textId="77777777" w:rsidR="005704E6" w:rsidRPr="00262D75" w:rsidRDefault="005704E6" w:rsidP="005704E6">
      <w:pPr>
        <w:overflowPunct/>
        <w:autoSpaceDE/>
        <w:autoSpaceDN/>
        <w:adjustRightInd/>
        <w:spacing w:before="0" w:after="160" w:line="259" w:lineRule="auto"/>
        <w:jc w:val="center"/>
        <w:textAlignment w:val="auto"/>
        <w:rPr>
          <w:szCs w:val="24"/>
        </w:rPr>
      </w:pPr>
      <w:r w:rsidRPr="00262D75">
        <w:rPr>
          <w:noProof/>
        </w:rPr>
        <w:lastRenderedPageBreak/>
        <w:drawing>
          <wp:inline distT="0" distB="0" distL="0" distR="0" wp14:anchorId="25DE6322" wp14:editId="5F8DD389">
            <wp:extent cx="8834755" cy="576008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34755" cy="5760085"/>
                    </a:xfrm>
                    <a:prstGeom prst="rect">
                      <a:avLst/>
                    </a:prstGeom>
                    <a:noFill/>
                    <a:ln>
                      <a:noFill/>
                    </a:ln>
                  </pic:spPr>
                </pic:pic>
              </a:graphicData>
            </a:graphic>
          </wp:inline>
        </w:drawing>
      </w:r>
    </w:p>
    <w:p w14:paraId="59B1C71A" w14:textId="77777777" w:rsidR="005704E6" w:rsidRPr="00262D75" w:rsidRDefault="005704E6" w:rsidP="005704E6">
      <w:pPr>
        <w:overflowPunct/>
        <w:autoSpaceDE/>
        <w:autoSpaceDN/>
        <w:adjustRightInd/>
        <w:spacing w:before="840"/>
        <w:jc w:val="center"/>
        <w:textAlignment w:val="auto"/>
        <w:rPr>
          <w:szCs w:val="24"/>
        </w:rPr>
      </w:pPr>
      <w:r w:rsidRPr="00262D75">
        <w:rPr>
          <w:noProof/>
        </w:rPr>
        <w:lastRenderedPageBreak/>
        <w:drawing>
          <wp:inline distT="0" distB="0" distL="0" distR="0" wp14:anchorId="5EF91F59" wp14:editId="16348322">
            <wp:extent cx="8499475" cy="57600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99475" cy="5760085"/>
                    </a:xfrm>
                    <a:prstGeom prst="rect">
                      <a:avLst/>
                    </a:prstGeom>
                    <a:noFill/>
                    <a:ln>
                      <a:noFill/>
                    </a:ln>
                  </pic:spPr>
                </pic:pic>
              </a:graphicData>
            </a:graphic>
          </wp:inline>
        </w:drawing>
      </w:r>
      <w:r w:rsidRPr="00262D75">
        <w:rPr>
          <w:szCs w:val="24"/>
        </w:rPr>
        <w:br w:type="page"/>
      </w:r>
    </w:p>
    <w:p w14:paraId="14C7A482" w14:textId="77777777" w:rsidR="005704E6" w:rsidRPr="00262D75" w:rsidRDefault="005704E6" w:rsidP="005704E6">
      <w:pPr>
        <w:overflowPunct/>
        <w:autoSpaceDE/>
        <w:autoSpaceDN/>
        <w:adjustRightInd/>
        <w:spacing w:before="0"/>
        <w:textAlignment w:val="auto"/>
        <w:rPr>
          <w:szCs w:val="24"/>
        </w:rPr>
      </w:pPr>
      <w:r w:rsidRPr="00262D75">
        <w:rPr>
          <w:noProof/>
        </w:rPr>
        <w:lastRenderedPageBreak/>
        <w:drawing>
          <wp:inline distT="0" distB="0" distL="0" distR="0" wp14:anchorId="7797751B" wp14:editId="08749123">
            <wp:extent cx="8888730" cy="473964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88730" cy="4739640"/>
                    </a:xfrm>
                    <a:prstGeom prst="rect">
                      <a:avLst/>
                    </a:prstGeom>
                    <a:noFill/>
                    <a:ln>
                      <a:noFill/>
                    </a:ln>
                  </pic:spPr>
                </pic:pic>
              </a:graphicData>
            </a:graphic>
          </wp:inline>
        </w:drawing>
      </w:r>
    </w:p>
    <w:p w14:paraId="49FEDC67" w14:textId="77777777" w:rsidR="005704E6" w:rsidRPr="00262D75" w:rsidRDefault="005704E6" w:rsidP="005704E6">
      <w:pPr>
        <w:overflowPunct/>
        <w:autoSpaceDE/>
        <w:autoSpaceDN/>
        <w:adjustRightInd/>
        <w:spacing w:before="0"/>
        <w:textAlignment w:val="auto"/>
        <w:rPr>
          <w:szCs w:val="24"/>
        </w:rPr>
      </w:pPr>
      <w:r w:rsidRPr="00262D75">
        <w:rPr>
          <w:szCs w:val="24"/>
        </w:rPr>
        <w:br w:type="page"/>
      </w:r>
    </w:p>
    <w:p w14:paraId="515A38B4" w14:textId="77777777" w:rsidR="005704E6" w:rsidRPr="00262D75" w:rsidRDefault="005704E6" w:rsidP="005704E6">
      <w:pPr>
        <w:overflowPunct/>
        <w:autoSpaceDE/>
        <w:autoSpaceDN/>
        <w:adjustRightInd/>
        <w:spacing w:before="0"/>
        <w:jc w:val="center"/>
        <w:textAlignment w:val="auto"/>
        <w:rPr>
          <w:szCs w:val="24"/>
        </w:rPr>
      </w:pPr>
      <w:r w:rsidRPr="00262D75">
        <w:rPr>
          <w:noProof/>
        </w:rPr>
        <w:lastRenderedPageBreak/>
        <w:drawing>
          <wp:inline distT="0" distB="0" distL="0" distR="0" wp14:anchorId="7AF096CC" wp14:editId="7AD5FAF4">
            <wp:extent cx="8888730" cy="57531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88730" cy="5753100"/>
                    </a:xfrm>
                    <a:prstGeom prst="rect">
                      <a:avLst/>
                    </a:prstGeom>
                    <a:noFill/>
                    <a:ln>
                      <a:noFill/>
                    </a:ln>
                  </pic:spPr>
                </pic:pic>
              </a:graphicData>
            </a:graphic>
          </wp:inline>
        </w:drawing>
      </w:r>
      <w:r w:rsidRPr="00262D75">
        <w:rPr>
          <w:szCs w:val="24"/>
        </w:rPr>
        <w:br w:type="page"/>
      </w:r>
    </w:p>
    <w:p w14:paraId="0D3E30B4" w14:textId="77777777" w:rsidR="005704E6" w:rsidRPr="00262D75" w:rsidRDefault="005704E6" w:rsidP="005704E6">
      <w:pPr>
        <w:overflowPunct/>
        <w:autoSpaceDE/>
        <w:autoSpaceDN/>
        <w:adjustRightInd/>
        <w:spacing w:before="840"/>
        <w:jc w:val="center"/>
        <w:textAlignment w:val="auto"/>
        <w:rPr>
          <w:szCs w:val="24"/>
        </w:rPr>
      </w:pPr>
      <w:r w:rsidRPr="00262D75">
        <w:rPr>
          <w:noProof/>
        </w:rPr>
        <w:lastRenderedPageBreak/>
        <w:drawing>
          <wp:inline distT="0" distB="0" distL="0" distR="0" wp14:anchorId="7E0963BD" wp14:editId="494448AA">
            <wp:extent cx="8888730" cy="564451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88730" cy="5644515"/>
                    </a:xfrm>
                    <a:prstGeom prst="rect">
                      <a:avLst/>
                    </a:prstGeom>
                    <a:noFill/>
                    <a:ln>
                      <a:noFill/>
                    </a:ln>
                  </pic:spPr>
                </pic:pic>
              </a:graphicData>
            </a:graphic>
          </wp:inline>
        </w:drawing>
      </w:r>
      <w:r w:rsidRPr="00262D75">
        <w:rPr>
          <w:szCs w:val="24"/>
        </w:rPr>
        <w:br w:type="page"/>
      </w:r>
    </w:p>
    <w:p w14:paraId="25DF1EAB" w14:textId="77777777" w:rsidR="005704E6" w:rsidRPr="00262D75" w:rsidRDefault="005704E6" w:rsidP="005704E6">
      <w:pPr>
        <w:overflowPunct/>
        <w:autoSpaceDE/>
        <w:autoSpaceDN/>
        <w:adjustRightInd/>
        <w:spacing w:before="0"/>
        <w:jc w:val="center"/>
        <w:textAlignment w:val="auto"/>
        <w:rPr>
          <w:szCs w:val="24"/>
        </w:rPr>
      </w:pPr>
      <w:r w:rsidRPr="00262D75">
        <w:rPr>
          <w:noProof/>
        </w:rPr>
        <w:lastRenderedPageBreak/>
        <w:drawing>
          <wp:inline distT="0" distB="0" distL="0" distR="0" wp14:anchorId="5BA4771A" wp14:editId="4F79F603">
            <wp:extent cx="8888730" cy="56648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88730" cy="5664835"/>
                    </a:xfrm>
                    <a:prstGeom prst="rect">
                      <a:avLst/>
                    </a:prstGeom>
                    <a:noFill/>
                    <a:ln>
                      <a:noFill/>
                    </a:ln>
                  </pic:spPr>
                </pic:pic>
              </a:graphicData>
            </a:graphic>
          </wp:inline>
        </w:drawing>
      </w:r>
      <w:r w:rsidRPr="00262D75">
        <w:rPr>
          <w:szCs w:val="24"/>
        </w:rPr>
        <w:br w:type="page"/>
      </w:r>
    </w:p>
    <w:p w14:paraId="7BA83F37" w14:textId="77777777" w:rsidR="005704E6" w:rsidRPr="00262D75" w:rsidRDefault="005704E6" w:rsidP="005704E6">
      <w:pPr>
        <w:overflowPunct/>
        <w:autoSpaceDE/>
        <w:autoSpaceDN/>
        <w:adjustRightInd/>
        <w:spacing w:before="0"/>
        <w:jc w:val="center"/>
        <w:textAlignment w:val="auto"/>
        <w:rPr>
          <w:szCs w:val="24"/>
        </w:rPr>
      </w:pPr>
      <w:r w:rsidRPr="00262D75">
        <w:rPr>
          <w:noProof/>
        </w:rPr>
        <w:lastRenderedPageBreak/>
        <w:drawing>
          <wp:inline distT="0" distB="0" distL="0" distR="0" wp14:anchorId="14DFBB91" wp14:editId="662B616C">
            <wp:extent cx="8067675" cy="57600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67675" cy="5760085"/>
                    </a:xfrm>
                    <a:prstGeom prst="rect">
                      <a:avLst/>
                    </a:prstGeom>
                    <a:noFill/>
                    <a:ln>
                      <a:noFill/>
                    </a:ln>
                  </pic:spPr>
                </pic:pic>
              </a:graphicData>
            </a:graphic>
          </wp:inline>
        </w:drawing>
      </w:r>
      <w:r w:rsidRPr="00262D75">
        <w:rPr>
          <w:szCs w:val="24"/>
        </w:rPr>
        <w:br w:type="page"/>
      </w:r>
    </w:p>
    <w:p w14:paraId="008E0A8F" w14:textId="77777777" w:rsidR="005704E6" w:rsidRPr="00262D75" w:rsidRDefault="005704E6" w:rsidP="005704E6">
      <w:pPr>
        <w:overflowPunct/>
        <w:autoSpaceDE/>
        <w:autoSpaceDN/>
        <w:adjustRightInd/>
        <w:spacing w:before="0"/>
        <w:jc w:val="center"/>
        <w:textAlignment w:val="auto"/>
        <w:rPr>
          <w:szCs w:val="24"/>
        </w:rPr>
      </w:pPr>
      <w:r w:rsidRPr="00262D75">
        <w:rPr>
          <w:noProof/>
        </w:rPr>
        <w:lastRenderedPageBreak/>
        <w:drawing>
          <wp:inline distT="0" distB="0" distL="0" distR="0" wp14:anchorId="29454B78" wp14:editId="626D0F43">
            <wp:extent cx="8078470" cy="5760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78470" cy="5760085"/>
                    </a:xfrm>
                    <a:prstGeom prst="rect">
                      <a:avLst/>
                    </a:prstGeom>
                    <a:noFill/>
                    <a:ln>
                      <a:noFill/>
                    </a:ln>
                  </pic:spPr>
                </pic:pic>
              </a:graphicData>
            </a:graphic>
          </wp:inline>
        </w:drawing>
      </w:r>
      <w:r w:rsidRPr="00262D75">
        <w:rPr>
          <w:szCs w:val="24"/>
        </w:rPr>
        <w:br w:type="page"/>
      </w:r>
    </w:p>
    <w:p w14:paraId="6437C0E0" w14:textId="77777777" w:rsidR="005704E6" w:rsidRPr="00262D75" w:rsidRDefault="005704E6" w:rsidP="005704E6">
      <w:pPr>
        <w:tabs>
          <w:tab w:val="clear" w:pos="794"/>
          <w:tab w:val="clear" w:pos="1191"/>
          <w:tab w:val="clear" w:pos="1588"/>
          <w:tab w:val="clear" w:pos="1985"/>
        </w:tabs>
        <w:overflowPunct/>
        <w:autoSpaceDE/>
        <w:autoSpaceDN/>
        <w:adjustRightInd/>
        <w:spacing w:before="0"/>
        <w:textAlignment w:val="auto"/>
        <w:rPr>
          <w:szCs w:val="24"/>
        </w:rPr>
      </w:pPr>
      <w:r w:rsidRPr="00262D75">
        <w:rPr>
          <w:noProof/>
        </w:rPr>
        <w:lastRenderedPageBreak/>
        <w:drawing>
          <wp:inline distT="0" distB="0" distL="0" distR="0" wp14:anchorId="0CEF60EC" wp14:editId="56660092">
            <wp:extent cx="7997825" cy="576008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97825" cy="5760085"/>
                    </a:xfrm>
                    <a:prstGeom prst="rect">
                      <a:avLst/>
                    </a:prstGeom>
                    <a:noFill/>
                    <a:ln>
                      <a:noFill/>
                    </a:ln>
                  </pic:spPr>
                </pic:pic>
              </a:graphicData>
            </a:graphic>
          </wp:inline>
        </w:drawing>
      </w:r>
      <w:r w:rsidRPr="00262D75">
        <w:rPr>
          <w:szCs w:val="24"/>
        </w:rPr>
        <w:br w:type="page"/>
      </w:r>
    </w:p>
    <w:p w14:paraId="49EF42AB" w14:textId="77777777" w:rsidR="005704E6" w:rsidRDefault="005704E6" w:rsidP="005704E6">
      <w:pPr>
        <w:overflowPunct/>
        <w:autoSpaceDE/>
        <w:autoSpaceDN/>
        <w:adjustRightInd/>
        <w:spacing w:before="840"/>
        <w:jc w:val="center"/>
        <w:textAlignment w:val="auto"/>
        <w:rPr>
          <w:szCs w:val="24"/>
        </w:rPr>
      </w:pPr>
      <w:r w:rsidRPr="00262D75">
        <w:rPr>
          <w:noProof/>
        </w:rPr>
        <w:lastRenderedPageBreak/>
        <w:drawing>
          <wp:inline distT="0" distB="0" distL="0" distR="0" wp14:anchorId="2230BBC8" wp14:editId="42A099DC">
            <wp:extent cx="7212483" cy="3083442"/>
            <wp:effectExtent l="0" t="0" r="762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14956" cy="3084499"/>
                    </a:xfrm>
                    <a:prstGeom prst="rect">
                      <a:avLst/>
                    </a:prstGeom>
                    <a:noFill/>
                    <a:ln>
                      <a:noFill/>
                    </a:ln>
                  </pic:spPr>
                </pic:pic>
              </a:graphicData>
            </a:graphic>
          </wp:inline>
        </w:drawing>
      </w:r>
    </w:p>
    <w:p w14:paraId="5AF58EDB" w14:textId="6E5EE706" w:rsidR="00BA616C" w:rsidRDefault="005704E6" w:rsidP="005704E6">
      <w:pPr>
        <w:overflowPunct/>
        <w:autoSpaceDE/>
        <w:autoSpaceDN/>
        <w:adjustRightInd/>
        <w:spacing w:before="840"/>
        <w:jc w:val="center"/>
        <w:textAlignment w:val="auto"/>
      </w:pPr>
      <w:r>
        <w:rPr>
          <w:szCs w:val="24"/>
        </w:rPr>
        <w:t>___________________</w:t>
      </w:r>
    </w:p>
    <w:sectPr w:rsidR="00BA616C" w:rsidSect="005704E6">
      <w:footerReference w:type="default" r:id="rId37"/>
      <w:headerReference w:type="first" r:id="rId38"/>
      <w:footerReference w:type="first" r:id="rId39"/>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11A" w14:textId="77777777" w:rsidR="005704E6" w:rsidRDefault="0057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704E6" w:rsidRPr="00784011" w14:paraId="59777FD1" w14:textId="77777777" w:rsidTr="00E31DCE">
      <w:trPr>
        <w:jc w:val="center"/>
      </w:trPr>
      <w:tc>
        <w:tcPr>
          <w:tcW w:w="1803" w:type="dxa"/>
          <w:vAlign w:val="center"/>
        </w:tcPr>
        <w:p w14:paraId="263B5B39" w14:textId="615CFEAE" w:rsidR="005704E6" w:rsidRDefault="005704E6" w:rsidP="00E24D59">
          <w:pPr>
            <w:pStyle w:val="Header"/>
            <w:jc w:val="left"/>
            <w:rPr>
              <w:noProof/>
            </w:rPr>
          </w:pPr>
          <w:r>
            <w:rPr>
              <w:noProof/>
            </w:rPr>
            <w:t>DPS 52</w:t>
          </w:r>
          <w:r>
            <w:rPr>
              <w:noProof/>
            </w:rPr>
            <w:t>6831</w:t>
          </w:r>
        </w:p>
      </w:tc>
      <w:tc>
        <w:tcPr>
          <w:tcW w:w="8261" w:type="dxa"/>
        </w:tcPr>
        <w:p w14:paraId="4E276C6D" w14:textId="5FE95873" w:rsidR="005704E6" w:rsidRPr="00E06FD5" w:rsidRDefault="005704E6" w:rsidP="00CA087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115</w:t>
          </w:r>
          <w:r>
            <w:rPr>
              <w:bCs/>
            </w:rPr>
            <w:t>-C</w:t>
          </w:r>
          <w:r>
            <w:rPr>
              <w:bCs/>
            </w:rPr>
            <w:tab/>
          </w:r>
          <w:r>
            <w:fldChar w:fldCharType="begin"/>
          </w:r>
          <w:r>
            <w:instrText>PAGE</w:instrText>
          </w:r>
          <w:r>
            <w:fldChar w:fldCharType="separate"/>
          </w:r>
          <w:r>
            <w:t>1</w:t>
          </w:r>
          <w:r>
            <w:rPr>
              <w:noProof/>
            </w:rPr>
            <w:fldChar w:fldCharType="end"/>
          </w:r>
        </w:p>
      </w:tc>
    </w:tr>
  </w:tbl>
  <w:p w14:paraId="586F562E" w14:textId="77777777" w:rsidR="005704E6" w:rsidRPr="00E24D59" w:rsidRDefault="005704E6"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704E6" w:rsidRPr="00784011" w14:paraId="5EC10FC1" w14:textId="77777777" w:rsidTr="00E31DCE">
      <w:trPr>
        <w:jc w:val="center"/>
      </w:trPr>
      <w:tc>
        <w:tcPr>
          <w:tcW w:w="1803" w:type="dxa"/>
          <w:vAlign w:val="center"/>
        </w:tcPr>
        <w:p w14:paraId="6AAB1D50" w14:textId="77777777" w:rsidR="005704E6" w:rsidRDefault="005704E6" w:rsidP="00E24D59">
          <w:pPr>
            <w:pStyle w:val="Header"/>
            <w:jc w:val="left"/>
            <w:rPr>
              <w:noProof/>
            </w:rPr>
          </w:pPr>
          <w:hyperlink r:id="rId1" w:history="1">
            <w:r w:rsidRPr="00A514A4">
              <w:rPr>
                <w:rStyle w:val="Hyperlink"/>
                <w:szCs w:val="14"/>
              </w:rPr>
              <w:t>www.itu.int/council</w:t>
            </w:r>
          </w:hyperlink>
        </w:p>
      </w:tc>
      <w:tc>
        <w:tcPr>
          <w:tcW w:w="8261" w:type="dxa"/>
        </w:tcPr>
        <w:p w14:paraId="41907ABA" w14:textId="49023C1B" w:rsidR="005704E6" w:rsidRPr="00E06FD5" w:rsidRDefault="005704E6" w:rsidP="00CA087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F864551" w14:textId="77777777" w:rsidR="005704E6" w:rsidRPr="00E24D59" w:rsidRDefault="005704E6"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48717634" w:rsidR="00E24D59" w:rsidRDefault="005704E6" w:rsidP="00E24D59">
          <w:pPr>
            <w:pStyle w:val="Header"/>
            <w:jc w:val="left"/>
            <w:rPr>
              <w:noProof/>
            </w:rPr>
          </w:pPr>
          <w:r w:rsidRPr="005704E6">
            <w:rPr>
              <w:noProof/>
            </w:rPr>
            <w:t>DPS 526831</w:t>
          </w:r>
        </w:p>
      </w:tc>
      <w:tc>
        <w:tcPr>
          <w:tcW w:w="8261" w:type="dxa"/>
        </w:tcPr>
        <w:p w14:paraId="6D929AF4" w14:textId="4C35C317" w:rsidR="00E24D59" w:rsidRPr="00E06FD5" w:rsidRDefault="00E24D59" w:rsidP="002E111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76DDC">
            <w:rPr>
              <w:bCs/>
            </w:rPr>
            <w:t>11</w:t>
          </w:r>
          <w:r w:rsidR="005704E6">
            <w:rPr>
              <w:bCs/>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32C39D40" w:rsidR="00E24D59" w:rsidRDefault="005704E6" w:rsidP="00E24D59">
          <w:pPr>
            <w:pStyle w:val="Header"/>
            <w:jc w:val="left"/>
            <w:rPr>
              <w:noProof/>
            </w:rPr>
          </w:pPr>
          <w:r w:rsidRPr="005704E6">
            <w:t>DPS 526831</w:t>
          </w:r>
        </w:p>
      </w:tc>
      <w:tc>
        <w:tcPr>
          <w:tcW w:w="8261" w:type="dxa"/>
        </w:tcPr>
        <w:p w14:paraId="45B82FC9" w14:textId="7D585154" w:rsidR="00E24D59" w:rsidRPr="00E06FD5" w:rsidRDefault="00E24D59" w:rsidP="002E111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27356">
            <w:rPr>
              <w:bCs/>
            </w:rPr>
            <w:t>11</w:t>
          </w:r>
          <w:r w:rsidR="005704E6">
            <w:rPr>
              <w:bCs/>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5A95" w14:textId="77777777" w:rsidR="005704E6" w:rsidRDefault="00570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270F" w14:textId="77777777" w:rsidR="005704E6" w:rsidRDefault="00570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5704E6" w:rsidRPr="00784011" w14:paraId="738B48AD" w14:textId="77777777" w:rsidTr="00E31DCE">
      <w:trPr>
        <w:trHeight w:val="1104"/>
        <w:jc w:val="center"/>
      </w:trPr>
      <w:tc>
        <w:tcPr>
          <w:tcW w:w="4390" w:type="dxa"/>
          <w:vAlign w:val="center"/>
        </w:tcPr>
        <w:p w14:paraId="2FD70BF1" w14:textId="77777777" w:rsidR="005704E6" w:rsidRPr="009621F8" w:rsidRDefault="005704E6" w:rsidP="00E24D59">
          <w:pPr>
            <w:pStyle w:val="Header"/>
            <w:jc w:val="left"/>
            <w:rPr>
              <w:rFonts w:ascii="Arial" w:hAnsi="Arial" w:cs="Arial"/>
              <w:b/>
              <w:bCs/>
              <w:color w:val="009CD6"/>
              <w:sz w:val="36"/>
              <w:szCs w:val="36"/>
            </w:rPr>
          </w:pPr>
          <w:r>
            <w:rPr>
              <w:noProof/>
            </w:rPr>
            <w:drawing>
              <wp:inline distT="0" distB="0" distL="0" distR="0" wp14:anchorId="13B1A86A" wp14:editId="2196A9D3">
                <wp:extent cx="1918260" cy="5390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67F1E980" w14:textId="77777777" w:rsidR="005704E6" w:rsidRDefault="005704E6" w:rsidP="00E24D59">
          <w:pPr>
            <w:pStyle w:val="Header"/>
            <w:jc w:val="right"/>
            <w:rPr>
              <w:rFonts w:ascii="Arial" w:hAnsi="Arial" w:cs="Arial"/>
              <w:b/>
              <w:bCs/>
              <w:color w:val="009CD6"/>
              <w:szCs w:val="18"/>
            </w:rPr>
          </w:pPr>
        </w:p>
        <w:p w14:paraId="4697C23E" w14:textId="77777777" w:rsidR="005704E6" w:rsidRDefault="005704E6" w:rsidP="00E24D59">
          <w:pPr>
            <w:pStyle w:val="Header"/>
            <w:jc w:val="right"/>
            <w:rPr>
              <w:rFonts w:ascii="Arial" w:hAnsi="Arial" w:cs="Arial"/>
              <w:b/>
              <w:bCs/>
              <w:color w:val="009CD6"/>
              <w:szCs w:val="18"/>
            </w:rPr>
          </w:pPr>
        </w:p>
        <w:p w14:paraId="4703B032" w14:textId="77777777" w:rsidR="005704E6" w:rsidRPr="00784011" w:rsidRDefault="005704E6"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16FFEDF" w14:textId="77777777" w:rsidR="005704E6" w:rsidRDefault="005704E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BFDC9C9" wp14:editId="4232FE75">
              <wp:simplePos x="0" y="0"/>
              <wp:positionH relativeFrom="page">
                <wp:posOffset>22225</wp:posOffset>
              </wp:positionH>
              <wp:positionV relativeFrom="topMargin">
                <wp:posOffset>617694</wp:posOffset>
              </wp:positionV>
              <wp:extent cx="92075" cy="360680"/>
              <wp:effectExtent l="0" t="0" r="3175" b="12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C46B7" id="Rectangle 11" o:spid="_x0000_s1026" style="position:absolute;margin-left:1.75pt;margin-top:48.6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9E1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521B48"/>
    <w:multiLevelType w:val="hybridMultilevel"/>
    <w:tmpl w:val="BDE46B0C"/>
    <w:lvl w:ilvl="0" w:tplc="7B02A28C">
      <w:start w:val="1"/>
      <w:numFmt w:val="lowerLetter"/>
      <w:lvlText w:val="%1)"/>
      <w:lvlJc w:val="left"/>
      <w:pPr>
        <w:ind w:left="720" w:hanging="360"/>
      </w:pPr>
      <w:rPr>
        <w:rFonts w:hint="default"/>
      </w:rPr>
    </w:lvl>
    <w:lvl w:ilvl="1" w:tplc="5C720D64" w:tentative="1">
      <w:start w:val="1"/>
      <w:numFmt w:val="lowerLetter"/>
      <w:lvlText w:val="%2."/>
      <w:lvlJc w:val="left"/>
      <w:pPr>
        <w:ind w:left="1440" w:hanging="360"/>
      </w:pPr>
    </w:lvl>
    <w:lvl w:ilvl="2" w:tplc="F8D6F32E" w:tentative="1">
      <w:start w:val="1"/>
      <w:numFmt w:val="lowerRoman"/>
      <w:lvlText w:val="%3."/>
      <w:lvlJc w:val="right"/>
      <w:pPr>
        <w:ind w:left="2160" w:hanging="180"/>
      </w:pPr>
    </w:lvl>
    <w:lvl w:ilvl="3" w:tplc="F0EADE8A" w:tentative="1">
      <w:start w:val="1"/>
      <w:numFmt w:val="decimal"/>
      <w:lvlText w:val="%4."/>
      <w:lvlJc w:val="left"/>
      <w:pPr>
        <w:ind w:left="2880" w:hanging="360"/>
      </w:pPr>
    </w:lvl>
    <w:lvl w:ilvl="4" w:tplc="E89A080E" w:tentative="1">
      <w:start w:val="1"/>
      <w:numFmt w:val="lowerLetter"/>
      <w:lvlText w:val="%5."/>
      <w:lvlJc w:val="left"/>
      <w:pPr>
        <w:ind w:left="3600" w:hanging="360"/>
      </w:pPr>
    </w:lvl>
    <w:lvl w:ilvl="5" w:tplc="69E61108" w:tentative="1">
      <w:start w:val="1"/>
      <w:numFmt w:val="lowerRoman"/>
      <w:lvlText w:val="%6."/>
      <w:lvlJc w:val="right"/>
      <w:pPr>
        <w:ind w:left="4320" w:hanging="180"/>
      </w:pPr>
    </w:lvl>
    <w:lvl w:ilvl="6" w:tplc="D1624A08" w:tentative="1">
      <w:start w:val="1"/>
      <w:numFmt w:val="decimal"/>
      <w:lvlText w:val="%7."/>
      <w:lvlJc w:val="left"/>
      <w:pPr>
        <w:ind w:left="5040" w:hanging="360"/>
      </w:pPr>
    </w:lvl>
    <w:lvl w:ilvl="7" w:tplc="A078AEBC" w:tentative="1">
      <w:start w:val="1"/>
      <w:numFmt w:val="lowerLetter"/>
      <w:lvlText w:val="%8."/>
      <w:lvlJc w:val="left"/>
      <w:pPr>
        <w:ind w:left="5760" w:hanging="360"/>
      </w:pPr>
    </w:lvl>
    <w:lvl w:ilvl="8" w:tplc="0082D908"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7"/>
  </w:num>
  <w:num w:numId="7" w16cid:durableId="1451586466">
    <w:abstractNumId w:val="1"/>
  </w:num>
  <w:num w:numId="8" w16cid:durableId="77600417">
    <w:abstractNumId w:val="4"/>
  </w:num>
  <w:num w:numId="9" w16cid:durableId="59101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45E23"/>
    <w:rsid w:val="000853C0"/>
    <w:rsid w:val="0009409E"/>
    <w:rsid w:val="000A1C21"/>
    <w:rsid w:val="000C0BC5"/>
    <w:rsid w:val="000D15EA"/>
    <w:rsid w:val="00100D84"/>
    <w:rsid w:val="00117752"/>
    <w:rsid w:val="00124C9D"/>
    <w:rsid w:val="00127356"/>
    <w:rsid w:val="00157773"/>
    <w:rsid w:val="0018251A"/>
    <w:rsid w:val="00190272"/>
    <w:rsid w:val="00193244"/>
    <w:rsid w:val="00195C6C"/>
    <w:rsid w:val="00195FED"/>
    <w:rsid w:val="00196E18"/>
    <w:rsid w:val="001A4BD6"/>
    <w:rsid w:val="001D5A18"/>
    <w:rsid w:val="00280EB8"/>
    <w:rsid w:val="002A6670"/>
    <w:rsid w:val="002E1114"/>
    <w:rsid w:val="002F6F75"/>
    <w:rsid w:val="00303502"/>
    <w:rsid w:val="00325C25"/>
    <w:rsid w:val="00327C0F"/>
    <w:rsid w:val="003638AF"/>
    <w:rsid w:val="00372C8F"/>
    <w:rsid w:val="0037664F"/>
    <w:rsid w:val="00380ECE"/>
    <w:rsid w:val="00393DDF"/>
    <w:rsid w:val="00397F55"/>
    <w:rsid w:val="003B4454"/>
    <w:rsid w:val="003C2E37"/>
    <w:rsid w:val="003F1415"/>
    <w:rsid w:val="004002FB"/>
    <w:rsid w:val="0040144C"/>
    <w:rsid w:val="00403EB7"/>
    <w:rsid w:val="004042DA"/>
    <w:rsid w:val="00404888"/>
    <w:rsid w:val="00430BF0"/>
    <w:rsid w:val="00432D90"/>
    <w:rsid w:val="004672E6"/>
    <w:rsid w:val="004731A3"/>
    <w:rsid w:val="00474ED1"/>
    <w:rsid w:val="00475AAF"/>
    <w:rsid w:val="00493085"/>
    <w:rsid w:val="004A36EC"/>
    <w:rsid w:val="004D163F"/>
    <w:rsid w:val="004E4BFF"/>
    <w:rsid w:val="004F2598"/>
    <w:rsid w:val="00512200"/>
    <w:rsid w:val="00533534"/>
    <w:rsid w:val="005403F7"/>
    <w:rsid w:val="00540632"/>
    <w:rsid w:val="00541CF4"/>
    <w:rsid w:val="0054350D"/>
    <w:rsid w:val="005451E8"/>
    <w:rsid w:val="005507F2"/>
    <w:rsid w:val="0055496C"/>
    <w:rsid w:val="005704E6"/>
    <w:rsid w:val="005756A3"/>
    <w:rsid w:val="005759CC"/>
    <w:rsid w:val="005760E4"/>
    <w:rsid w:val="005A72E1"/>
    <w:rsid w:val="005C6632"/>
    <w:rsid w:val="005D1C9E"/>
    <w:rsid w:val="005D7913"/>
    <w:rsid w:val="006007B5"/>
    <w:rsid w:val="00605782"/>
    <w:rsid w:val="00633A7F"/>
    <w:rsid w:val="00654257"/>
    <w:rsid w:val="0065435A"/>
    <w:rsid w:val="006A1F67"/>
    <w:rsid w:val="006A2DD3"/>
    <w:rsid w:val="006A5AF8"/>
    <w:rsid w:val="006B086C"/>
    <w:rsid w:val="006B0B2F"/>
    <w:rsid w:val="006B1B18"/>
    <w:rsid w:val="006C36CD"/>
    <w:rsid w:val="006D001C"/>
    <w:rsid w:val="006E202C"/>
    <w:rsid w:val="00700D1F"/>
    <w:rsid w:val="007205CB"/>
    <w:rsid w:val="00726073"/>
    <w:rsid w:val="00734FE8"/>
    <w:rsid w:val="007360CE"/>
    <w:rsid w:val="00772315"/>
    <w:rsid w:val="0077475B"/>
    <w:rsid w:val="00775157"/>
    <w:rsid w:val="007813AE"/>
    <w:rsid w:val="00783899"/>
    <w:rsid w:val="007A37DB"/>
    <w:rsid w:val="007B1A85"/>
    <w:rsid w:val="007E189D"/>
    <w:rsid w:val="00811259"/>
    <w:rsid w:val="00813AA2"/>
    <w:rsid w:val="008173A3"/>
    <w:rsid w:val="008418F5"/>
    <w:rsid w:val="0086059C"/>
    <w:rsid w:val="00864589"/>
    <w:rsid w:val="00874374"/>
    <w:rsid w:val="00890AFB"/>
    <w:rsid w:val="00890FC4"/>
    <w:rsid w:val="00895905"/>
    <w:rsid w:val="008B511C"/>
    <w:rsid w:val="00901DF6"/>
    <w:rsid w:val="00911867"/>
    <w:rsid w:val="009164A9"/>
    <w:rsid w:val="009228EB"/>
    <w:rsid w:val="009258CB"/>
    <w:rsid w:val="0093362E"/>
    <w:rsid w:val="00944563"/>
    <w:rsid w:val="00953160"/>
    <w:rsid w:val="009625D8"/>
    <w:rsid w:val="0098459B"/>
    <w:rsid w:val="00985F92"/>
    <w:rsid w:val="00997185"/>
    <w:rsid w:val="009976F6"/>
    <w:rsid w:val="009C2458"/>
    <w:rsid w:val="009C4A7B"/>
    <w:rsid w:val="009C6123"/>
    <w:rsid w:val="009E4207"/>
    <w:rsid w:val="009F1E3E"/>
    <w:rsid w:val="00A1213C"/>
    <w:rsid w:val="00A272FF"/>
    <w:rsid w:val="00A5354B"/>
    <w:rsid w:val="00A71B57"/>
    <w:rsid w:val="00AA4DE9"/>
    <w:rsid w:val="00AB42C1"/>
    <w:rsid w:val="00AC516F"/>
    <w:rsid w:val="00AD74F5"/>
    <w:rsid w:val="00AE195F"/>
    <w:rsid w:val="00AE2926"/>
    <w:rsid w:val="00B0184B"/>
    <w:rsid w:val="00B035CD"/>
    <w:rsid w:val="00B0769D"/>
    <w:rsid w:val="00B217F8"/>
    <w:rsid w:val="00B332EA"/>
    <w:rsid w:val="00B40A53"/>
    <w:rsid w:val="00B45365"/>
    <w:rsid w:val="00B46A65"/>
    <w:rsid w:val="00B60184"/>
    <w:rsid w:val="00B62D20"/>
    <w:rsid w:val="00B81E75"/>
    <w:rsid w:val="00BA5B32"/>
    <w:rsid w:val="00BA616C"/>
    <w:rsid w:val="00BC7318"/>
    <w:rsid w:val="00BC7468"/>
    <w:rsid w:val="00BD1A5A"/>
    <w:rsid w:val="00BD7A9B"/>
    <w:rsid w:val="00BD7BE1"/>
    <w:rsid w:val="00BE7096"/>
    <w:rsid w:val="00BF416B"/>
    <w:rsid w:val="00C172FD"/>
    <w:rsid w:val="00C27F51"/>
    <w:rsid w:val="00C40E37"/>
    <w:rsid w:val="00C44C06"/>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4EAF"/>
    <w:rsid w:val="00D36817"/>
    <w:rsid w:val="00D453EE"/>
    <w:rsid w:val="00D5666C"/>
    <w:rsid w:val="00D666BC"/>
    <w:rsid w:val="00D76DDC"/>
    <w:rsid w:val="00D83542"/>
    <w:rsid w:val="00D92F45"/>
    <w:rsid w:val="00D94637"/>
    <w:rsid w:val="00D955BE"/>
    <w:rsid w:val="00D9725C"/>
    <w:rsid w:val="00D9749B"/>
    <w:rsid w:val="00DA7006"/>
    <w:rsid w:val="00DB3621"/>
    <w:rsid w:val="00DC6427"/>
    <w:rsid w:val="00DD50F6"/>
    <w:rsid w:val="00DD66A1"/>
    <w:rsid w:val="00DE196D"/>
    <w:rsid w:val="00DF6B49"/>
    <w:rsid w:val="00E067C5"/>
    <w:rsid w:val="00E24D59"/>
    <w:rsid w:val="00E265BF"/>
    <w:rsid w:val="00E378D8"/>
    <w:rsid w:val="00E42C3C"/>
    <w:rsid w:val="00E43A12"/>
    <w:rsid w:val="00E5364B"/>
    <w:rsid w:val="00E67C67"/>
    <w:rsid w:val="00E77476"/>
    <w:rsid w:val="00E8205B"/>
    <w:rsid w:val="00E8228B"/>
    <w:rsid w:val="00E84652"/>
    <w:rsid w:val="00E94563"/>
    <w:rsid w:val="00EA2581"/>
    <w:rsid w:val="00EB1277"/>
    <w:rsid w:val="00EB2C70"/>
    <w:rsid w:val="00EB68A2"/>
    <w:rsid w:val="00EB72D9"/>
    <w:rsid w:val="00EE5706"/>
    <w:rsid w:val="00EF24B2"/>
    <w:rsid w:val="00EF373D"/>
    <w:rsid w:val="00F11595"/>
    <w:rsid w:val="00F13BC9"/>
    <w:rsid w:val="00F357B2"/>
    <w:rsid w:val="00F36556"/>
    <w:rsid w:val="00F705DF"/>
    <w:rsid w:val="00F70622"/>
    <w:rsid w:val="00F85624"/>
    <w:rsid w:val="00F87C05"/>
    <w:rsid w:val="00F93191"/>
    <w:rsid w:val="00F93A17"/>
    <w:rsid w:val="00FA105F"/>
    <w:rsid w:val="00FA2AF6"/>
    <w:rsid w:val="00FA59DA"/>
    <w:rsid w:val="00FB073D"/>
    <w:rsid w:val="00FB771F"/>
    <w:rsid w:val="00FC4C1C"/>
    <w:rsid w:val="00FC5386"/>
    <w:rsid w:val="00FC68B9"/>
    <w:rsid w:val="00FC7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9976F6"/>
    <w:rPr>
      <w:rFonts w:ascii="Calibri" w:eastAsia="Times New Roman" w:hAnsi="Calibri"/>
      <w:sz w:val="24"/>
      <w:lang w:val="en-GB" w:eastAsia="en-US"/>
    </w:rPr>
  </w:style>
  <w:style w:type="character" w:customStyle="1" w:styleId="normaltextrun">
    <w:name w:val="normaltextrun"/>
    <w:basedOn w:val="DefaultParagraphFont"/>
    <w:rsid w:val="009976F6"/>
  </w:style>
  <w:style w:type="character" w:customStyle="1" w:styleId="eop">
    <w:name w:val="eop"/>
    <w:basedOn w:val="DefaultParagraphFont"/>
    <w:qFormat/>
    <w:rsid w:val="009976F6"/>
  </w:style>
  <w:style w:type="character" w:customStyle="1" w:styleId="RestitleChar">
    <w:name w:val="Res_title Char"/>
    <w:basedOn w:val="DefaultParagraphFont"/>
    <w:link w:val="Restitle"/>
    <w:rsid w:val="00127356"/>
    <w:rPr>
      <w:rFonts w:ascii="Calibri" w:hAnsi="Calibri"/>
      <w:b/>
      <w:sz w:val="28"/>
      <w:lang w:val="en-GB" w:eastAsia="en-US"/>
    </w:rPr>
  </w:style>
  <w:style w:type="character" w:customStyle="1" w:styleId="enumlev1Char">
    <w:name w:val="enumlev1 Char"/>
    <w:basedOn w:val="DefaultParagraphFont"/>
    <w:link w:val="enumlev1"/>
    <w:qFormat/>
    <w:rsid w:val="005704E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5.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958</Words>
  <Characters>386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Resolution 1419 - Conditions of service of ITU elected officials</vt:lpstr>
    </vt:vector>
  </TitlesOfParts>
  <Manager>General Secretariat - Pool</Manager>
  <Company>International Telecommunication Union (ITU)</Company>
  <LinksUpToDate>false</LinksUpToDate>
  <CharactersWithSpaces>1342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1417 - Biennial budget of the Union for 2024-2025</dc:title>
  <dc:subject>Council 2023</dc:subject>
  <dc:creator>Zheng bingyue</dc:creator>
  <cp:keywords>C2023, C23, Council-23</cp:keywords>
  <dc:description/>
  <cp:lastModifiedBy>Xue, Kun</cp:lastModifiedBy>
  <cp:revision>2</cp:revision>
  <cp:lastPrinted>2015-02-24T13:23:00Z</cp:lastPrinted>
  <dcterms:created xsi:type="dcterms:W3CDTF">2023-08-21T09:24:00Z</dcterms:created>
  <dcterms:modified xsi:type="dcterms:W3CDTF">2023-08-21T09:24:00Z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