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645ADA" w14:paraId="4668A98A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94DF747" w14:textId="263412B5" w:rsidR="00796BD3" w:rsidRPr="00645ADA" w:rsidRDefault="00796BD3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7F143CAD" w14:textId="6ACD1608" w:rsidR="00796BD3" w:rsidRPr="00645ADA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645ADA">
              <w:rPr>
                <w:b/>
                <w:lang w:val="ru-RU"/>
              </w:rPr>
              <w:t xml:space="preserve">Документ </w:t>
            </w:r>
            <w:r w:rsidR="00796BD3" w:rsidRPr="00645ADA">
              <w:rPr>
                <w:b/>
                <w:lang w:val="ru-RU"/>
              </w:rPr>
              <w:t>C23/</w:t>
            </w:r>
            <w:r w:rsidR="002A3B6A" w:rsidRPr="00645ADA">
              <w:rPr>
                <w:b/>
                <w:lang w:val="ru-RU"/>
              </w:rPr>
              <w:t>1</w:t>
            </w:r>
            <w:r w:rsidR="00A85EBE" w:rsidRPr="00645ADA">
              <w:rPr>
                <w:b/>
                <w:lang w:val="ru-RU"/>
              </w:rPr>
              <w:t>2</w:t>
            </w:r>
            <w:r w:rsidR="003705E2" w:rsidRPr="00645ADA">
              <w:rPr>
                <w:b/>
                <w:lang w:val="ru-RU"/>
              </w:rPr>
              <w:t>8</w:t>
            </w:r>
            <w:r w:rsidR="00796BD3" w:rsidRPr="00645ADA">
              <w:rPr>
                <w:b/>
                <w:lang w:val="ru-RU"/>
              </w:rPr>
              <w:t>-R</w:t>
            </w:r>
          </w:p>
        </w:tc>
      </w:tr>
      <w:tr w:rsidR="00796BD3" w:rsidRPr="00645ADA" w14:paraId="7DCD26E1" w14:textId="77777777" w:rsidTr="00E31DCE">
        <w:trPr>
          <w:cantSplit/>
        </w:trPr>
        <w:tc>
          <w:tcPr>
            <w:tcW w:w="3969" w:type="dxa"/>
            <w:vMerge/>
          </w:tcPr>
          <w:p w14:paraId="383CF42A" w14:textId="77777777" w:rsidR="00796BD3" w:rsidRPr="00645ADA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56FD1B7" w14:textId="226297C8" w:rsidR="00796BD3" w:rsidRPr="00645ADA" w:rsidRDefault="002A3B6A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645ADA">
              <w:rPr>
                <w:b/>
                <w:lang w:val="ru-RU"/>
              </w:rPr>
              <w:t>4 августа</w:t>
            </w:r>
            <w:r w:rsidR="00796BD3" w:rsidRPr="00645ADA">
              <w:rPr>
                <w:b/>
                <w:lang w:val="ru-RU"/>
              </w:rPr>
              <w:t xml:space="preserve"> 2023</w:t>
            </w:r>
            <w:r w:rsidRPr="00645ADA">
              <w:rPr>
                <w:b/>
                <w:lang w:val="ru-RU"/>
              </w:rPr>
              <w:t xml:space="preserve"> года</w:t>
            </w:r>
          </w:p>
        </w:tc>
      </w:tr>
      <w:tr w:rsidR="00796BD3" w:rsidRPr="00645ADA" w14:paraId="1C614A8C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425977EE" w14:textId="77777777" w:rsidR="00796BD3" w:rsidRPr="00645ADA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7D5AB867" w14:textId="77777777" w:rsidR="00796BD3" w:rsidRPr="00645ADA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645ADA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645ADA" w14:paraId="3D41E565" w14:textId="77777777" w:rsidTr="00E31DCE">
        <w:trPr>
          <w:cantSplit/>
          <w:trHeight w:val="23"/>
        </w:trPr>
        <w:tc>
          <w:tcPr>
            <w:tcW w:w="3969" w:type="dxa"/>
          </w:tcPr>
          <w:p w14:paraId="5B758B8A" w14:textId="77777777" w:rsidR="00796BD3" w:rsidRPr="00645ADA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7770D31" w14:textId="77777777" w:rsidR="00796BD3" w:rsidRPr="00645ADA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bookmarkEnd w:id="4"/>
      <w:bookmarkEnd w:id="2"/>
    </w:tbl>
    <w:p w14:paraId="5C14EAE7" w14:textId="77777777" w:rsidR="00796BD3" w:rsidRPr="00645ADA" w:rsidRDefault="00796BD3" w:rsidP="00796BD3">
      <w:pPr>
        <w:rPr>
          <w:lang w:val="ru-RU"/>
        </w:rPr>
      </w:pPr>
    </w:p>
    <w:p w14:paraId="2984854D" w14:textId="278A8D01" w:rsidR="00165D06" w:rsidRPr="00645ADA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p w14:paraId="71859488" w14:textId="3C173A7B" w:rsidR="002A3B6A" w:rsidRPr="00645ADA" w:rsidRDefault="00A85EBE" w:rsidP="002A3B6A">
      <w:pPr>
        <w:pStyle w:val="ResNo"/>
        <w:rPr>
          <w:rFonts w:eastAsia="SimSun"/>
          <w:lang w:val="ru-RU"/>
        </w:rPr>
      </w:pPr>
      <w:r w:rsidRPr="00645ADA">
        <w:rPr>
          <w:rFonts w:eastAsia="SimSun"/>
          <w:lang w:val="ru-RU"/>
        </w:rPr>
        <w:t>РЕШЕНИЕ 63</w:t>
      </w:r>
      <w:r w:rsidR="003705E2" w:rsidRPr="00645ADA">
        <w:rPr>
          <w:rFonts w:eastAsia="SimSun"/>
          <w:lang w:val="ru-RU"/>
        </w:rPr>
        <w:t>4</w:t>
      </w:r>
    </w:p>
    <w:p w14:paraId="3DA0102E" w14:textId="1D4954F1" w:rsidR="002A3B6A" w:rsidRPr="00645ADA" w:rsidRDefault="002A3B6A" w:rsidP="002A3B6A">
      <w:pPr>
        <w:jc w:val="center"/>
        <w:rPr>
          <w:b/>
          <w:lang w:val="ru-RU"/>
        </w:rPr>
      </w:pPr>
      <w:r w:rsidRPr="00645ADA">
        <w:rPr>
          <w:lang w:val="ru-RU"/>
        </w:rPr>
        <w:t>(принят</w:t>
      </w:r>
      <w:r w:rsidR="00A85EBE" w:rsidRPr="00645ADA">
        <w:rPr>
          <w:lang w:val="ru-RU"/>
        </w:rPr>
        <w:t>о</w:t>
      </w:r>
      <w:r w:rsidRPr="00645ADA">
        <w:rPr>
          <w:lang w:val="ru-RU"/>
        </w:rPr>
        <w:t xml:space="preserve"> на седьмом пленарном заседании)</w:t>
      </w:r>
    </w:p>
    <w:p w14:paraId="23870979" w14:textId="77777777" w:rsidR="003705E2" w:rsidRPr="00645ADA" w:rsidRDefault="003705E2" w:rsidP="003705E2">
      <w:pPr>
        <w:pStyle w:val="Restitle"/>
        <w:rPr>
          <w:lang w:val="ru-RU"/>
        </w:rPr>
      </w:pPr>
      <w:r w:rsidRPr="00645ADA">
        <w:rPr>
          <w:lang w:val="ru-RU"/>
        </w:rPr>
        <w:t>Списание процентов по просроченным платежам и безнадежных долгов</w:t>
      </w:r>
    </w:p>
    <w:p w14:paraId="0E831B8F" w14:textId="77777777" w:rsidR="003705E2" w:rsidRPr="00645ADA" w:rsidRDefault="003705E2" w:rsidP="003705E2">
      <w:pPr>
        <w:pStyle w:val="Normalaftertitle"/>
        <w:rPr>
          <w:lang w:val="ru-RU"/>
        </w:rPr>
      </w:pPr>
      <w:r w:rsidRPr="00645ADA">
        <w:rPr>
          <w:lang w:val="ru-RU"/>
        </w:rPr>
        <w:t>Совет МСЭ,</w:t>
      </w:r>
    </w:p>
    <w:p w14:paraId="56C5040E" w14:textId="77777777" w:rsidR="003705E2" w:rsidRPr="00645ADA" w:rsidRDefault="003705E2" w:rsidP="003705E2">
      <w:pPr>
        <w:pStyle w:val="Call"/>
        <w:rPr>
          <w:lang w:val="ru-RU"/>
        </w:rPr>
      </w:pPr>
      <w:r w:rsidRPr="00645ADA">
        <w:rPr>
          <w:lang w:val="ru-RU"/>
        </w:rPr>
        <w:t>рассмотрев</w:t>
      </w:r>
    </w:p>
    <w:p w14:paraId="5F397562" w14:textId="77777777" w:rsidR="003705E2" w:rsidRPr="00645ADA" w:rsidRDefault="003705E2" w:rsidP="003705E2">
      <w:pPr>
        <w:rPr>
          <w:szCs w:val="24"/>
          <w:lang w:val="ru-RU"/>
        </w:rPr>
      </w:pPr>
      <w:r w:rsidRPr="00645ADA">
        <w:rPr>
          <w:lang w:val="ru-RU"/>
        </w:rPr>
        <w:t>отчет Генерального секретаря о задолженностях и специальных счетах задолженностей (</w:t>
      </w:r>
      <w:hyperlink r:id="rId7" w:history="1">
        <w:r w:rsidRPr="00645ADA">
          <w:rPr>
            <w:rStyle w:val="Hyperlink"/>
            <w:lang w:val="ru-RU"/>
          </w:rPr>
          <w:t>Документ C23/11</w:t>
        </w:r>
      </w:hyperlink>
      <w:r w:rsidRPr="00645ADA">
        <w:rPr>
          <w:lang w:val="ru-RU"/>
        </w:rPr>
        <w:t>)</w:t>
      </w:r>
      <w:r w:rsidRPr="00645ADA">
        <w:rPr>
          <w:szCs w:val="24"/>
          <w:lang w:val="ru-RU"/>
        </w:rPr>
        <w:t>,</w:t>
      </w:r>
    </w:p>
    <w:p w14:paraId="3A592ACF" w14:textId="77777777" w:rsidR="003705E2" w:rsidRPr="00645ADA" w:rsidRDefault="003705E2" w:rsidP="003705E2">
      <w:pPr>
        <w:pStyle w:val="Call"/>
        <w:rPr>
          <w:lang w:val="ru-RU"/>
        </w:rPr>
      </w:pPr>
      <w:r w:rsidRPr="00645ADA">
        <w:rPr>
          <w:lang w:val="ru-RU"/>
        </w:rPr>
        <w:t>решает</w:t>
      </w:r>
    </w:p>
    <w:p w14:paraId="09CC2ADC" w14:textId="77777777" w:rsidR="003705E2" w:rsidRPr="00645ADA" w:rsidRDefault="003705E2" w:rsidP="003705E2">
      <w:pPr>
        <w:spacing w:after="240"/>
        <w:rPr>
          <w:lang w:val="ru-RU"/>
        </w:rPr>
      </w:pPr>
      <w:r w:rsidRPr="00645ADA">
        <w:rPr>
          <w:lang w:val="ru-RU"/>
        </w:rPr>
        <w:t xml:space="preserve">утвердить списание следующих процентов по просроченным платежам и безнадежных долгов на общую сумму </w:t>
      </w:r>
      <w:r w:rsidRPr="00645ADA">
        <w:rPr>
          <w:b/>
          <w:bCs/>
          <w:lang w:val="ru-RU"/>
        </w:rPr>
        <w:t>2 969 139,02 швейцарского франка</w:t>
      </w:r>
      <w:r w:rsidRPr="00645ADA">
        <w:rPr>
          <w:lang w:val="ru-RU"/>
        </w:rPr>
        <w:t xml:space="preserve"> путем снятия соответствующей суммы из средств Резервного фонда для счетов должников. Подробные данные приведены в таблице ниже.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50"/>
        <w:gridCol w:w="2835"/>
        <w:gridCol w:w="1276"/>
        <w:gridCol w:w="1133"/>
        <w:gridCol w:w="1133"/>
        <w:gridCol w:w="1124"/>
      </w:tblGrid>
      <w:tr w:rsidR="003705E2" w:rsidRPr="00645ADA" w14:paraId="6C577295" w14:textId="77777777" w:rsidTr="003322C9">
        <w:trPr>
          <w:trHeight w:val="288"/>
          <w:tblHeader/>
        </w:trPr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894DD5C" w14:textId="77777777" w:rsidR="003705E2" w:rsidRPr="00645ADA" w:rsidRDefault="003705E2" w:rsidP="003705E2">
            <w:pPr>
              <w:pStyle w:val="Tablehead"/>
              <w:pageBreakBefore/>
              <w:spacing w:before="40" w:after="40"/>
              <w:rPr>
                <w:sz w:val="18"/>
                <w:szCs w:val="18"/>
                <w:lang w:val="ru-RU" w:eastAsia="zh-CN"/>
              </w:rPr>
            </w:pPr>
            <w:r w:rsidRPr="00645ADA">
              <w:rPr>
                <w:sz w:val="18"/>
                <w:szCs w:val="18"/>
                <w:lang w:val="ru-RU" w:eastAsia="zh-CN"/>
              </w:rPr>
              <w:lastRenderedPageBreak/>
              <w:t>Страна</w:t>
            </w:r>
          </w:p>
        </w:tc>
        <w:tc>
          <w:tcPr>
            <w:tcW w:w="156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1FD0F68" w14:textId="77777777" w:rsidR="003705E2" w:rsidRPr="00645ADA" w:rsidRDefault="003705E2" w:rsidP="003705E2">
            <w:pPr>
              <w:pStyle w:val="Tablehead"/>
              <w:spacing w:before="40" w:after="40"/>
              <w:rPr>
                <w:sz w:val="18"/>
                <w:szCs w:val="18"/>
                <w:lang w:val="ru-RU" w:eastAsia="zh-CN"/>
              </w:rPr>
            </w:pPr>
            <w:r w:rsidRPr="00645ADA">
              <w:rPr>
                <w:sz w:val="18"/>
                <w:szCs w:val="18"/>
                <w:lang w:val="ru-RU" w:eastAsia="zh-CN"/>
              </w:rPr>
              <w:t>Организация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444BB5B" w14:textId="77777777" w:rsidR="003705E2" w:rsidRPr="00645ADA" w:rsidRDefault="003705E2" w:rsidP="003705E2">
            <w:pPr>
              <w:pStyle w:val="Tablehead"/>
              <w:spacing w:before="40" w:after="40"/>
              <w:rPr>
                <w:sz w:val="18"/>
                <w:szCs w:val="18"/>
                <w:lang w:val="ru-RU" w:eastAsia="zh-CN"/>
              </w:rPr>
            </w:pPr>
            <w:r w:rsidRPr="00645ADA">
              <w:rPr>
                <w:sz w:val="18"/>
                <w:szCs w:val="18"/>
                <w:lang w:val="ru-RU" w:eastAsia="zh-CN"/>
              </w:rPr>
              <w:t>Годы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BD48334" w14:textId="77777777" w:rsidR="003705E2" w:rsidRPr="00645ADA" w:rsidRDefault="003705E2" w:rsidP="003705E2">
            <w:pPr>
              <w:pStyle w:val="Tablehead"/>
              <w:spacing w:before="40" w:after="40"/>
              <w:rPr>
                <w:sz w:val="18"/>
                <w:szCs w:val="18"/>
                <w:lang w:val="ru-RU" w:eastAsia="zh-CN"/>
              </w:rPr>
            </w:pPr>
            <w:r w:rsidRPr="00645ADA">
              <w:rPr>
                <w:sz w:val="18"/>
                <w:szCs w:val="18"/>
                <w:lang w:val="ru-RU" w:eastAsia="zh-CN"/>
              </w:rPr>
              <w:t>Основной объем задолженности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2BA3702" w14:textId="77777777" w:rsidR="003705E2" w:rsidRPr="00645ADA" w:rsidRDefault="003705E2" w:rsidP="003705E2">
            <w:pPr>
              <w:pStyle w:val="Tablehead"/>
              <w:spacing w:before="40" w:after="40"/>
              <w:rPr>
                <w:sz w:val="18"/>
                <w:szCs w:val="18"/>
                <w:lang w:val="ru-RU" w:eastAsia="zh-CN"/>
              </w:rPr>
            </w:pPr>
            <w:r w:rsidRPr="00645ADA">
              <w:rPr>
                <w:sz w:val="18"/>
                <w:szCs w:val="18"/>
                <w:lang w:val="ru-RU" w:eastAsia="zh-CN"/>
              </w:rPr>
              <w:t>Проценты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CDD2EC1" w14:textId="77777777" w:rsidR="003705E2" w:rsidRPr="00645ADA" w:rsidRDefault="003705E2" w:rsidP="003705E2">
            <w:pPr>
              <w:pStyle w:val="Tablehead"/>
              <w:spacing w:before="40" w:after="40"/>
              <w:rPr>
                <w:sz w:val="18"/>
                <w:szCs w:val="18"/>
                <w:lang w:val="ru-RU" w:eastAsia="zh-CN"/>
              </w:rPr>
            </w:pPr>
            <w:r w:rsidRPr="00645ADA">
              <w:rPr>
                <w:sz w:val="18"/>
                <w:szCs w:val="18"/>
                <w:lang w:val="ru-RU" w:eastAsia="zh-CN"/>
              </w:rPr>
              <w:t>Всего</w:t>
            </w:r>
          </w:p>
        </w:tc>
      </w:tr>
      <w:tr w:rsidR="003705E2" w:rsidRPr="00645ADA" w14:paraId="72BD4F4E" w14:textId="77777777" w:rsidTr="003322C9">
        <w:trPr>
          <w:trHeight w:val="288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D3C17A" w14:textId="77777777" w:rsidR="003705E2" w:rsidRPr="00645ADA" w:rsidRDefault="003705E2" w:rsidP="003705E2">
            <w:pPr>
              <w:pStyle w:val="Tabletext"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Ливия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24F31" w14:textId="77777777" w:rsidR="003705E2" w:rsidRPr="00645ADA" w:rsidRDefault="003705E2" w:rsidP="003705E2">
            <w:pPr>
              <w:pStyle w:val="Tabletext"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Главное управление связи и информатики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4FDF7" w14:textId="77777777" w:rsidR="003705E2" w:rsidRPr="00645ADA" w:rsidRDefault="003705E2" w:rsidP="003705E2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2014–2022 гг.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FCD8A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0,00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CF4AF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733 619,90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3B757" w14:textId="77777777" w:rsidR="003705E2" w:rsidRPr="00645ADA" w:rsidRDefault="003705E2" w:rsidP="003705E2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733 619,90</w:t>
            </w:r>
          </w:p>
        </w:tc>
      </w:tr>
      <w:tr w:rsidR="003705E2" w:rsidRPr="00645ADA" w14:paraId="743FA84A" w14:textId="77777777" w:rsidTr="003322C9">
        <w:trPr>
          <w:trHeight w:val="42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86735" w14:textId="77777777" w:rsidR="003705E2" w:rsidRPr="00645ADA" w:rsidRDefault="003705E2" w:rsidP="003705E2">
            <w:pPr>
              <w:pStyle w:val="Tabletext"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Объединенные Арабские Эмираты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C5077" w14:textId="77777777" w:rsidR="003705E2" w:rsidRPr="00645ADA" w:rsidRDefault="003705E2" w:rsidP="003705E2">
            <w:pPr>
              <w:pStyle w:val="Tabletext"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Регуляторный орган электросвязи и цифрового управления (</w:t>
            </w:r>
            <w:proofErr w:type="spellStart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TDRA</w:t>
            </w:r>
            <w:proofErr w:type="spellEnd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7DADF" w14:textId="77777777" w:rsidR="003705E2" w:rsidRPr="00645ADA" w:rsidRDefault="003705E2" w:rsidP="003705E2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2022 г.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4573A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35172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27 124,40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8422F" w14:textId="77777777" w:rsidR="003705E2" w:rsidRPr="00645ADA" w:rsidRDefault="003705E2" w:rsidP="003705E2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27 124,40</w:t>
            </w:r>
          </w:p>
        </w:tc>
      </w:tr>
      <w:tr w:rsidR="003705E2" w:rsidRPr="00645ADA" w14:paraId="2954F50C" w14:textId="77777777" w:rsidTr="003322C9">
        <w:trPr>
          <w:trHeight w:val="300"/>
        </w:trPr>
        <w:tc>
          <w:tcPr>
            <w:tcW w:w="312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2806F5" w14:textId="77777777" w:rsidR="003705E2" w:rsidRPr="00645ADA" w:rsidRDefault="003705E2" w:rsidP="003705E2">
            <w:pPr>
              <w:pStyle w:val="Tabletext"/>
              <w:spacing w:before="20" w:after="20"/>
              <w:ind w:left="873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cs="Calibri"/>
                <w:b/>
                <w:bCs/>
                <w:i/>
                <w:iCs/>
                <w:sz w:val="18"/>
                <w:szCs w:val="18"/>
                <w:lang w:val="ru-RU" w:eastAsia="zh-CN"/>
              </w:rPr>
              <w:t xml:space="preserve">Промежуточный итог </w:t>
            </w:r>
            <w:r w:rsidRPr="00645AD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  <w:lang w:val="ru-RU"/>
              </w:rPr>
              <w:t>3.2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FCA62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0,00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3E239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760 744,30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A8FA2" w14:textId="77777777" w:rsidR="003705E2" w:rsidRPr="00645ADA" w:rsidRDefault="003705E2" w:rsidP="003705E2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760 744,30</w:t>
            </w:r>
          </w:p>
        </w:tc>
      </w:tr>
      <w:tr w:rsidR="003705E2" w:rsidRPr="00645ADA" w14:paraId="44732460" w14:textId="77777777" w:rsidTr="003322C9">
        <w:trPr>
          <w:trHeight w:val="288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993DE" w14:textId="77777777" w:rsidR="003705E2" w:rsidRPr="00645ADA" w:rsidRDefault="003705E2" w:rsidP="003705E2">
            <w:pPr>
              <w:pStyle w:val="Tabletext"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Алжир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A8292" w14:textId="77777777" w:rsidR="003705E2" w:rsidRPr="00645ADA" w:rsidRDefault="003705E2" w:rsidP="003705E2">
            <w:pPr>
              <w:pStyle w:val="Tabletext"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proofErr w:type="spellStart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INPTIC</w:t>
            </w:r>
            <w:proofErr w:type="spellEnd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, Алжир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FC320" w14:textId="77777777" w:rsidR="003705E2" w:rsidRPr="00645ADA" w:rsidRDefault="003705E2" w:rsidP="003705E2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proofErr w:type="gramStart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2012−2013</w:t>
            </w:r>
            <w:proofErr w:type="gramEnd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 гг.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D8348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2 318,40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24722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1 795,65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FC55B" w14:textId="77777777" w:rsidR="003705E2" w:rsidRPr="00645ADA" w:rsidRDefault="003705E2" w:rsidP="003705E2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4 114,05</w:t>
            </w:r>
          </w:p>
        </w:tc>
      </w:tr>
      <w:tr w:rsidR="003705E2" w:rsidRPr="00645ADA" w14:paraId="331DB082" w14:textId="77777777" w:rsidTr="003322C9">
        <w:trPr>
          <w:trHeight w:val="408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75B82" w14:textId="77777777" w:rsidR="003705E2" w:rsidRPr="00645ADA" w:rsidRDefault="003705E2" w:rsidP="003705E2">
            <w:pPr>
              <w:pStyle w:val="Tabletext"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Кот-д’Ивуар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E3B88" w14:textId="77777777" w:rsidR="003705E2" w:rsidRPr="00645ADA" w:rsidRDefault="003705E2" w:rsidP="003705E2">
            <w:pPr>
              <w:pStyle w:val="Tabletext"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Ассоциация потребителей услуг электросвязи Кот-д’Ивуара – </w:t>
            </w:r>
            <w:proofErr w:type="spellStart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ACOTELCI</w:t>
            </w:r>
            <w:proofErr w:type="spellEnd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, Абиджан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E97D1" w14:textId="77777777" w:rsidR="003705E2" w:rsidRPr="00645ADA" w:rsidRDefault="003705E2" w:rsidP="003705E2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2007–2008 гг.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2E45F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4 306,25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FFA3C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6 057,80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FB4F3" w14:textId="77777777" w:rsidR="003705E2" w:rsidRPr="00645ADA" w:rsidRDefault="003705E2" w:rsidP="003705E2">
            <w:pPr>
              <w:overflowPunct/>
              <w:autoSpaceDE/>
              <w:autoSpaceDN/>
              <w:adjustRightInd/>
              <w:spacing w:before="20" w:after="20"/>
              <w:jc w:val="righ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10 364,05</w:t>
            </w:r>
          </w:p>
        </w:tc>
      </w:tr>
      <w:tr w:rsidR="003705E2" w:rsidRPr="00645ADA" w14:paraId="54624B25" w14:textId="77777777" w:rsidTr="003322C9">
        <w:trPr>
          <w:trHeight w:val="315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94A17" w14:textId="77777777" w:rsidR="003705E2" w:rsidRPr="00645ADA" w:rsidRDefault="003705E2" w:rsidP="003705E2">
            <w:pPr>
              <w:pStyle w:val="Tabletext"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Кот-д’Ивуар</w:t>
            </w:r>
          </w:p>
        </w:tc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6C062F" w14:textId="77777777" w:rsidR="003705E2" w:rsidRPr="00645ADA" w:rsidRDefault="003705E2" w:rsidP="003705E2">
            <w:pPr>
              <w:pStyle w:val="Tabletext"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proofErr w:type="spellStart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Côte</w:t>
            </w:r>
            <w:proofErr w:type="spellEnd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d'Ivoire</w:t>
            </w:r>
            <w:proofErr w:type="spellEnd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Telecom, Абиджан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60AE5" w14:textId="77777777" w:rsidR="003705E2" w:rsidRPr="00645ADA" w:rsidRDefault="003705E2" w:rsidP="003705E2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proofErr w:type="gramStart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2002−2006</w:t>
            </w:r>
            <w:proofErr w:type="gramEnd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 гг.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CDA85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335 325,00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7E661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648 802,50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DC458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984 127,50</w:t>
            </w:r>
          </w:p>
        </w:tc>
      </w:tr>
      <w:tr w:rsidR="003705E2" w:rsidRPr="00645ADA" w14:paraId="5D10FD1A" w14:textId="77777777" w:rsidTr="003322C9">
        <w:trPr>
          <w:trHeight w:val="315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9A8DA" w14:textId="77777777" w:rsidR="003705E2" w:rsidRPr="00645ADA" w:rsidRDefault="003705E2" w:rsidP="003705E2">
            <w:pPr>
              <w:pStyle w:val="Tabletext"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Фиджи</w:t>
            </w:r>
          </w:p>
        </w:tc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F87F0" w14:textId="77777777" w:rsidR="003705E2" w:rsidRPr="00645ADA" w:rsidRDefault="003705E2" w:rsidP="003705E2">
            <w:pPr>
              <w:pStyle w:val="Tabletext"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proofErr w:type="spellStart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Южнотихоокеанская</w:t>
            </w:r>
            <w:proofErr w:type="spellEnd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комиссия, Сува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EECBD" w14:textId="77777777" w:rsidR="003705E2" w:rsidRPr="00645ADA" w:rsidRDefault="003705E2" w:rsidP="003705E2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proofErr w:type="gramStart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2012−2013</w:t>
            </w:r>
            <w:proofErr w:type="gramEnd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 гг.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CCD87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3 975,00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576BC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3 025,00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8B0BC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7 000,00</w:t>
            </w:r>
          </w:p>
        </w:tc>
      </w:tr>
      <w:tr w:rsidR="003705E2" w:rsidRPr="00645ADA" w14:paraId="36BF8BBC" w14:textId="77777777" w:rsidTr="003322C9">
        <w:trPr>
          <w:trHeight w:val="444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AC25B" w14:textId="77777777" w:rsidR="003705E2" w:rsidRPr="00645ADA" w:rsidRDefault="003705E2" w:rsidP="003705E2">
            <w:pPr>
              <w:pStyle w:val="Tabletext"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Финляндия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F1D2F" w14:textId="77777777" w:rsidR="003705E2" w:rsidRPr="00645ADA" w:rsidRDefault="003705E2" w:rsidP="003705E2">
            <w:pPr>
              <w:pStyle w:val="Tabletext"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proofErr w:type="spellStart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Octagon</w:t>
            </w:r>
            <w:proofErr w:type="spellEnd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Telecom Oy (бывшая Oy </w:t>
            </w:r>
            <w:proofErr w:type="spellStart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Cubio</w:t>
            </w:r>
            <w:proofErr w:type="spellEnd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Communications Ltd.), Хельсинки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F854B" w14:textId="77777777" w:rsidR="003705E2" w:rsidRPr="00645ADA" w:rsidRDefault="003705E2" w:rsidP="003705E2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2012–2013 гг.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95354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13 066,67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EA97D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1 156,75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8F083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14 223,42</w:t>
            </w:r>
          </w:p>
        </w:tc>
      </w:tr>
      <w:tr w:rsidR="003705E2" w:rsidRPr="00645ADA" w14:paraId="58EE03A4" w14:textId="77777777" w:rsidTr="003322C9">
        <w:trPr>
          <w:trHeight w:val="315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08356" w14:textId="77777777" w:rsidR="003705E2" w:rsidRPr="00645ADA" w:rsidRDefault="003705E2" w:rsidP="003705E2">
            <w:pPr>
              <w:pStyle w:val="Tabletext"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Индия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B647E" w14:textId="77777777" w:rsidR="003705E2" w:rsidRPr="00645ADA" w:rsidRDefault="003705E2" w:rsidP="003705E2">
            <w:pPr>
              <w:pStyle w:val="Tabletext"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Tata Communications, </w:t>
            </w:r>
            <w:r w:rsidRPr="00645ADA">
              <w:rPr>
                <w:sz w:val="18"/>
                <w:szCs w:val="18"/>
                <w:lang w:val="ru-RU"/>
              </w:rPr>
              <w:t>Нью-Дели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AFF21" w14:textId="77777777" w:rsidR="003705E2" w:rsidRPr="00645ADA" w:rsidRDefault="003705E2" w:rsidP="003705E2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2013 г.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A6828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3 975,00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AB832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2 992,55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94523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6 967,55</w:t>
            </w:r>
          </w:p>
        </w:tc>
      </w:tr>
      <w:tr w:rsidR="003705E2" w:rsidRPr="00645ADA" w14:paraId="4C509CF7" w14:textId="77777777" w:rsidTr="003322C9">
        <w:trPr>
          <w:trHeight w:val="315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E7FB2" w14:textId="77777777" w:rsidR="003705E2" w:rsidRPr="00645ADA" w:rsidRDefault="003705E2" w:rsidP="003705E2">
            <w:pPr>
              <w:pStyle w:val="Tabletext"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Индия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5B6B1" w14:textId="77777777" w:rsidR="003705E2" w:rsidRPr="00645ADA" w:rsidRDefault="003705E2" w:rsidP="003705E2">
            <w:pPr>
              <w:pStyle w:val="Tabletext"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proofErr w:type="spellStart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Vihaan</w:t>
            </w:r>
            <w:proofErr w:type="spellEnd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Ntwks</w:t>
            </w:r>
            <w:proofErr w:type="spellEnd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. Ltd., </w:t>
            </w:r>
            <w:proofErr w:type="spellStart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Гургаон</w:t>
            </w:r>
            <w:proofErr w:type="spellEnd"/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E74C7" w14:textId="77777777" w:rsidR="003705E2" w:rsidRPr="00645ADA" w:rsidRDefault="003705E2" w:rsidP="003705E2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2013 г.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2ACEB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35 775,00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076CE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26 932,70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AA8F5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62 707,70</w:t>
            </w:r>
          </w:p>
        </w:tc>
      </w:tr>
      <w:tr w:rsidR="003705E2" w:rsidRPr="00645ADA" w14:paraId="201585E6" w14:textId="77777777" w:rsidTr="003322C9">
        <w:trPr>
          <w:trHeight w:val="288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28107" w14:textId="77777777" w:rsidR="003705E2" w:rsidRPr="00645ADA" w:rsidRDefault="003705E2" w:rsidP="003705E2">
            <w:pPr>
              <w:pStyle w:val="Tabletext"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Мексика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CC675" w14:textId="77777777" w:rsidR="003705E2" w:rsidRPr="00645ADA" w:rsidRDefault="003705E2" w:rsidP="003705E2">
            <w:pPr>
              <w:pStyle w:val="Tabletext"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proofErr w:type="spellStart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CANITEC</w:t>
            </w:r>
            <w:proofErr w:type="spellEnd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, Мехико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632F9" w14:textId="77777777" w:rsidR="003705E2" w:rsidRPr="00645ADA" w:rsidRDefault="003705E2" w:rsidP="003705E2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proofErr w:type="gramStart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2011−2013</w:t>
            </w:r>
            <w:proofErr w:type="gramEnd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 гг.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E4457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3 975,00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074D3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3 171,40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EBDD6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7 146,40</w:t>
            </w:r>
          </w:p>
        </w:tc>
      </w:tr>
      <w:tr w:rsidR="003705E2" w:rsidRPr="00645ADA" w14:paraId="5AAFCB11" w14:textId="77777777" w:rsidTr="003322C9">
        <w:trPr>
          <w:trHeight w:val="288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E8325" w14:textId="77777777" w:rsidR="003705E2" w:rsidRPr="00645ADA" w:rsidRDefault="003705E2" w:rsidP="003705E2">
            <w:pPr>
              <w:pStyle w:val="Tabletext"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Пакистан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A244B" w14:textId="77777777" w:rsidR="003705E2" w:rsidRPr="00645ADA" w:rsidRDefault="003705E2" w:rsidP="003705E2">
            <w:pPr>
              <w:pStyle w:val="Tabletext"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e Worldwide Group, Исламабад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F22D8" w14:textId="77777777" w:rsidR="003705E2" w:rsidRPr="00645ADA" w:rsidRDefault="003705E2" w:rsidP="003705E2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proofErr w:type="gramStart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2011−2013</w:t>
            </w:r>
            <w:proofErr w:type="gramEnd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 гг.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88AE4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3 975,00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51F2D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3 072,05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9CCBB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7 047,05</w:t>
            </w:r>
          </w:p>
        </w:tc>
      </w:tr>
      <w:tr w:rsidR="003705E2" w:rsidRPr="00645ADA" w14:paraId="1C44DEA2" w14:textId="77777777" w:rsidTr="003322C9">
        <w:trPr>
          <w:trHeight w:val="288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E40AA" w14:textId="77777777" w:rsidR="003705E2" w:rsidRPr="00645ADA" w:rsidRDefault="003705E2" w:rsidP="003705E2">
            <w:pPr>
              <w:pStyle w:val="Tabletext"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Судан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38C68" w14:textId="77777777" w:rsidR="003705E2" w:rsidRPr="00645ADA" w:rsidRDefault="003705E2" w:rsidP="003705E2">
            <w:pPr>
              <w:pStyle w:val="Tabletext"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Открытый университет Судана, Хартум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E32AC" w14:textId="77777777" w:rsidR="003705E2" w:rsidRPr="00645ADA" w:rsidRDefault="003705E2" w:rsidP="003705E2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2013–2014 гг.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AAF81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2 484,35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B9220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1 638,90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19A30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4 123,25</w:t>
            </w:r>
          </w:p>
        </w:tc>
      </w:tr>
      <w:tr w:rsidR="003705E2" w:rsidRPr="00645ADA" w14:paraId="0C3697AF" w14:textId="77777777" w:rsidTr="003322C9">
        <w:trPr>
          <w:trHeight w:val="288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DB35D" w14:textId="77777777" w:rsidR="003705E2" w:rsidRPr="00645ADA" w:rsidRDefault="003705E2" w:rsidP="003705E2">
            <w:pPr>
              <w:pStyle w:val="Tabletext"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Тунис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6A757" w14:textId="77777777" w:rsidR="003705E2" w:rsidRPr="00645ADA" w:rsidRDefault="003705E2" w:rsidP="003705E2">
            <w:pPr>
              <w:pStyle w:val="Tabletext"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proofErr w:type="spellStart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Orascom</w:t>
            </w:r>
            <w:proofErr w:type="spellEnd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Telecom </w:t>
            </w:r>
            <w:proofErr w:type="spellStart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Tunisiana</w:t>
            </w:r>
            <w:proofErr w:type="spellEnd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, Тунис</w:t>
            </w: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noBreakHyphen/>
              <w:t>Карфаген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E830F" w14:textId="77777777" w:rsidR="003705E2" w:rsidRPr="00645ADA" w:rsidRDefault="003705E2" w:rsidP="003705E2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2013 г.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690BE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3 975,00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BAF00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2 992,55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57503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6 967,55</w:t>
            </w:r>
          </w:p>
        </w:tc>
      </w:tr>
      <w:tr w:rsidR="003705E2" w:rsidRPr="00645ADA" w14:paraId="5969DE56" w14:textId="77777777" w:rsidTr="003322C9">
        <w:trPr>
          <w:trHeight w:val="288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5D2C5" w14:textId="77777777" w:rsidR="003705E2" w:rsidRPr="00645ADA" w:rsidRDefault="003705E2" w:rsidP="003705E2">
            <w:pPr>
              <w:pStyle w:val="Tabletext"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Соединенное Королевство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390E5" w14:textId="77777777" w:rsidR="003705E2" w:rsidRPr="00645ADA" w:rsidRDefault="003705E2" w:rsidP="003705E2">
            <w:pPr>
              <w:pStyle w:val="Tabletext"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proofErr w:type="spellStart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KRE</w:t>
            </w:r>
            <w:proofErr w:type="spellEnd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Corporate Recovery </w:t>
            </w:r>
            <w:proofErr w:type="spellStart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LLP</w:t>
            </w:r>
            <w:proofErr w:type="spellEnd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(бывшая </w:t>
            </w:r>
            <w:proofErr w:type="spellStart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ICO</w:t>
            </w:r>
            <w:proofErr w:type="spellEnd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Satellite Limited), Беркшир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A7AC4" w14:textId="77777777" w:rsidR="003705E2" w:rsidRPr="00645ADA" w:rsidRDefault="003705E2" w:rsidP="003705E2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2012–2013 гг.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4A3FF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24 733,20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42B9A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2 082,30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9951B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26 815,50</w:t>
            </w:r>
          </w:p>
        </w:tc>
      </w:tr>
      <w:tr w:rsidR="003705E2" w:rsidRPr="00645ADA" w14:paraId="11BE8A66" w14:textId="77777777" w:rsidTr="003322C9">
        <w:trPr>
          <w:trHeight w:val="288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3658E" w14:textId="77777777" w:rsidR="003705E2" w:rsidRPr="00645ADA" w:rsidRDefault="003705E2" w:rsidP="003705E2">
            <w:pPr>
              <w:pStyle w:val="Tabletext"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BCA08" w14:textId="77777777" w:rsidR="003705E2" w:rsidRPr="00645ADA" w:rsidRDefault="003705E2" w:rsidP="003705E2">
            <w:pPr>
              <w:pStyle w:val="Tabletext"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proofErr w:type="spellStart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Animatele</w:t>
            </w:r>
            <w:proofErr w:type="spellEnd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Inc., </w:t>
            </w:r>
            <w:r w:rsidRPr="00645ADA">
              <w:rPr>
                <w:sz w:val="18"/>
                <w:szCs w:val="18"/>
                <w:lang w:val="ru-RU"/>
              </w:rPr>
              <w:t>Нью-Йорк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27FC1" w14:textId="77777777" w:rsidR="003705E2" w:rsidRPr="00645ADA" w:rsidRDefault="003705E2" w:rsidP="003705E2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2011 г.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BE9B4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10 600,00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16906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10 276,55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6BB5C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20 876,55</w:t>
            </w:r>
          </w:p>
        </w:tc>
      </w:tr>
      <w:tr w:rsidR="003705E2" w:rsidRPr="00645ADA" w14:paraId="30C6ECFA" w14:textId="77777777" w:rsidTr="003322C9">
        <w:trPr>
          <w:trHeight w:val="288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01397" w14:textId="77777777" w:rsidR="003705E2" w:rsidRPr="00645ADA" w:rsidRDefault="003705E2" w:rsidP="003705E2">
            <w:pPr>
              <w:pStyle w:val="Tabletext"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C6BF6" w14:textId="77777777" w:rsidR="003705E2" w:rsidRPr="00645ADA" w:rsidRDefault="003705E2" w:rsidP="003705E2">
            <w:pPr>
              <w:pStyle w:val="Tabletext"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proofErr w:type="spellStart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AOL</w:t>
            </w:r>
            <w:proofErr w:type="spellEnd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, </w:t>
            </w:r>
            <w:r w:rsidRPr="00645ADA">
              <w:rPr>
                <w:sz w:val="18"/>
                <w:szCs w:val="18"/>
                <w:lang w:val="ru-RU"/>
              </w:rPr>
              <w:t>Нью-Йорк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6899E" w14:textId="77777777" w:rsidR="003705E2" w:rsidRPr="00645ADA" w:rsidRDefault="003705E2" w:rsidP="003705E2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proofErr w:type="gramStart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2002−2003</w:t>
            </w:r>
            <w:proofErr w:type="gramEnd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 гг.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A56A7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78 750,00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B1FDA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175 431,40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1F093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254 181,40</w:t>
            </w:r>
          </w:p>
        </w:tc>
      </w:tr>
      <w:tr w:rsidR="003705E2" w:rsidRPr="00645ADA" w14:paraId="6BF3CAB5" w14:textId="77777777" w:rsidTr="003322C9">
        <w:trPr>
          <w:trHeight w:val="288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E07CA" w14:textId="77777777" w:rsidR="003705E2" w:rsidRPr="00645ADA" w:rsidRDefault="003705E2" w:rsidP="003705E2">
            <w:pPr>
              <w:pStyle w:val="Tabletext"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DA979" w14:textId="77777777" w:rsidR="003705E2" w:rsidRPr="00645ADA" w:rsidRDefault="003705E2" w:rsidP="003705E2">
            <w:pPr>
              <w:pStyle w:val="Tabletext"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proofErr w:type="spellStart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Compuware</w:t>
            </w:r>
            <w:proofErr w:type="spellEnd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Corporation, Детройт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B5FAC" w14:textId="77777777" w:rsidR="003705E2" w:rsidRPr="00645ADA" w:rsidRDefault="003705E2" w:rsidP="003705E2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proofErr w:type="gramStart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2009−2010</w:t>
            </w:r>
            <w:proofErr w:type="gramEnd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 гг.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225B9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7 949,70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DF4AF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8 826,10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0CC8B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16 775,80</w:t>
            </w:r>
          </w:p>
        </w:tc>
      </w:tr>
      <w:tr w:rsidR="003705E2" w:rsidRPr="00645ADA" w14:paraId="159C021B" w14:textId="77777777" w:rsidTr="003322C9">
        <w:trPr>
          <w:trHeight w:val="288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47645" w14:textId="77777777" w:rsidR="003705E2" w:rsidRPr="00645ADA" w:rsidRDefault="003705E2" w:rsidP="003705E2">
            <w:pPr>
              <w:pStyle w:val="Tabletext"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9F9ED" w14:textId="77777777" w:rsidR="003705E2" w:rsidRPr="00645ADA" w:rsidRDefault="003705E2" w:rsidP="003705E2">
            <w:pPr>
              <w:pStyle w:val="Tabletext"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proofErr w:type="spellStart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Covad</w:t>
            </w:r>
            <w:proofErr w:type="spellEnd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Communications Co., Сан</w:t>
            </w: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noBreakHyphen/>
              <w:t>Хосе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5D02B" w14:textId="77777777" w:rsidR="003705E2" w:rsidRPr="00645ADA" w:rsidRDefault="003705E2" w:rsidP="003705E2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2001–2002 гг.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FCEA5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46 142,25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785A8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113 040,70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F3F4C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159 182,95</w:t>
            </w:r>
          </w:p>
        </w:tc>
      </w:tr>
      <w:tr w:rsidR="003705E2" w:rsidRPr="00645ADA" w14:paraId="3275C1FC" w14:textId="77777777" w:rsidTr="003322C9">
        <w:trPr>
          <w:trHeight w:val="288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981D4" w14:textId="77777777" w:rsidR="003705E2" w:rsidRPr="00645ADA" w:rsidRDefault="003705E2" w:rsidP="003705E2">
            <w:pPr>
              <w:pStyle w:val="Tabletext"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66874" w14:textId="77777777" w:rsidR="003705E2" w:rsidRPr="00645ADA" w:rsidRDefault="003705E2" w:rsidP="003705E2">
            <w:pPr>
              <w:pStyle w:val="Tabletext"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proofErr w:type="spellStart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Cypress</w:t>
            </w:r>
            <w:proofErr w:type="spellEnd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Semiconductor Corp., Сан</w:t>
            </w: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noBreakHyphen/>
              <w:t>Хосе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1D3BA" w14:textId="77777777" w:rsidR="003705E2" w:rsidRPr="00645ADA" w:rsidRDefault="003705E2" w:rsidP="003705E2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2004–2005 гг.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45925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16 625,00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C9A5D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31 081,10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AA4EB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47 706,10</w:t>
            </w:r>
          </w:p>
        </w:tc>
      </w:tr>
      <w:tr w:rsidR="003705E2" w:rsidRPr="00645ADA" w14:paraId="241B870D" w14:textId="77777777" w:rsidTr="003322C9">
        <w:trPr>
          <w:trHeight w:val="288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FA8A0" w14:textId="77777777" w:rsidR="003705E2" w:rsidRPr="00645ADA" w:rsidRDefault="003705E2" w:rsidP="003705E2">
            <w:pPr>
              <w:pStyle w:val="Tabletext"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4F84A" w14:textId="77777777" w:rsidR="003705E2" w:rsidRPr="00645ADA" w:rsidRDefault="003705E2" w:rsidP="003705E2">
            <w:pPr>
              <w:pStyle w:val="Tabletext"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proofErr w:type="spellStart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Lightwaves</w:t>
            </w:r>
            <w:proofErr w:type="spellEnd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Inc., </w:t>
            </w:r>
            <w:proofErr w:type="spellStart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Сидар-Рапидс</w:t>
            </w:r>
            <w:proofErr w:type="spellEnd"/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5F384" w14:textId="77777777" w:rsidR="003705E2" w:rsidRPr="00645ADA" w:rsidRDefault="003705E2" w:rsidP="003705E2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2009 г.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BF77A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10 600,00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1EC13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12 856,90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A45FB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23 456,90</w:t>
            </w:r>
          </w:p>
        </w:tc>
      </w:tr>
      <w:tr w:rsidR="003705E2" w:rsidRPr="00645ADA" w14:paraId="786347C4" w14:textId="77777777" w:rsidTr="003322C9">
        <w:trPr>
          <w:trHeight w:val="288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8C188" w14:textId="77777777" w:rsidR="003705E2" w:rsidRPr="00645ADA" w:rsidRDefault="003705E2" w:rsidP="003705E2">
            <w:pPr>
              <w:pStyle w:val="Tabletext"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56703" w14:textId="77777777" w:rsidR="003705E2" w:rsidRPr="00645ADA" w:rsidRDefault="003705E2" w:rsidP="003705E2">
            <w:pPr>
              <w:pStyle w:val="Tabletext"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The Village Group Inc., Уолтем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D8115" w14:textId="77777777" w:rsidR="003705E2" w:rsidRPr="00645ADA" w:rsidRDefault="003705E2" w:rsidP="003705E2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2007–2008 гг.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DD5CC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7 950,00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FE4C6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10 735,25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86EE6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18 685,25</w:t>
            </w:r>
          </w:p>
        </w:tc>
      </w:tr>
      <w:tr w:rsidR="003705E2" w:rsidRPr="00645ADA" w14:paraId="7C51E2AC" w14:textId="77777777" w:rsidTr="003322C9">
        <w:trPr>
          <w:trHeight w:val="300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51EB8" w14:textId="77777777" w:rsidR="003705E2" w:rsidRPr="00645ADA" w:rsidRDefault="003705E2" w:rsidP="003705E2">
            <w:pPr>
              <w:pStyle w:val="Tabletext"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83DB5" w14:textId="77777777" w:rsidR="003705E2" w:rsidRPr="00645ADA" w:rsidRDefault="003705E2" w:rsidP="003705E2">
            <w:pPr>
              <w:pStyle w:val="Tabletext"/>
              <w:spacing w:before="20" w:after="20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proofErr w:type="spellStart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Vocal</w:t>
            </w:r>
            <w:proofErr w:type="spellEnd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Technologies Ltd, </w:t>
            </w:r>
            <w:proofErr w:type="spellStart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Амхёрст</w:t>
            </w:r>
            <w:proofErr w:type="spellEnd"/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3F975" w14:textId="77777777" w:rsidR="003705E2" w:rsidRPr="00645ADA" w:rsidRDefault="003705E2" w:rsidP="003705E2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proofErr w:type="gramStart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1998−2002</w:t>
            </w:r>
            <w:proofErr w:type="gramEnd"/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 гг.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5D9E5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160 100,00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4D83E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365 825,75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8A941" w14:textId="77777777" w:rsidR="003705E2" w:rsidRPr="00645ADA" w:rsidRDefault="003705E2" w:rsidP="003705E2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ru-RU"/>
              </w:rPr>
              <w:t>525 925,75</w:t>
            </w:r>
          </w:p>
        </w:tc>
      </w:tr>
      <w:tr w:rsidR="003705E2" w:rsidRPr="00645ADA" w14:paraId="60F4FEE0" w14:textId="77777777" w:rsidTr="003322C9">
        <w:trPr>
          <w:trHeight w:val="300"/>
        </w:trPr>
        <w:tc>
          <w:tcPr>
            <w:tcW w:w="312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71EC4C" w14:textId="77777777" w:rsidR="003705E2" w:rsidRPr="00645ADA" w:rsidRDefault="003705E2" w:rsidP="003705E2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cs="Calibri"/>
                <w:b/>
                <w:bCs/>
                <w:i/>
                <w:iCs/>
                <w:sz w:val="18"/>
                <w:szCs w:val="18"/>
                <w:lang w:val="ru-RU" w:eastAsia="zh-CN"/>
              </w:rPr>
              <w:t xml:space="preserve">Промежуточный итог </w:t>
            </w:r>
            <w:r w:rsidRPr="00645AD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  <w:lang w:val="ru-RU"/>
              </w:rPr>
              <w:t>3.3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31DB6" w14:textId="77777777" w:rsidR="003705E2" w:rsidRPr="00645ADA" w:rsidRDefault="003705E2" w:rsidP="003705E2">
            <w:pPr>
              <w:pStyle w:val="Tabletext"/>
              <w:spacing w:before="20" w:after="20"/>
              <w:ind w:left="-28" w:right="-28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776 600,82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7C3EE" w14:textId="77777777" w:rsidR="003705E2" w:rsidRPr="00645ADA" w:rsidRDefault="003705E2" w:rsidP="003705E2">
            <w:pPr>
              <w:pStyle w:val="Tabletext"/>
              <w:spacing w:before="20" w:after="20"/>
              <w:ind w:left="-28" w:right="-28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1 431 793,90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4621F" w14:textId="77777777" w:rsidR="003705E2" w:rsidRPr="00645ADA" w:rsidRDefault="003705E2" w:rsidP="003705E2">
            <w:pPr>
              <w:pStyle w:val="Tabletext"/>
              <w:spacing w:before="20" w:after="20"/>
              <w:ind w:left="-28" w:right="-28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2 208 394,72</w:t>
            </w:r>
          </w:p>
        </w:tc>
      </w:tr>
      <w:tr w:rsidR="003705E2" w:rsidRPr="00645ADA" w14:paraId="4C8FD0D2" w14:textId="77777777" w:rsidTr="003322C9">
        <w:trPr>
          <w:trHeight w:val="300"/>
        </w:trPr>
        <w:tc>
          <w:tcPr>
            <w:tcW w:w="3127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B962" w14:textId="77777777" w:rsidR="003705E2" w:rsidRPr="00645ADA" w:rsidRDefault="003705E2" w:rsidP="003705E2">
            <w:pPr>
              <w:pStyle w:val="Tabletext"/>
              <w:spacing w:before="20" w:after="2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b/>
                <w:color w:val="000000"/>
                <w:sz w:val="18"/>
                <w:szCs w:val="18"/>
                <w:lang w:val="ru-RU"/>
              </w:rPr>
              <w:t>Общий итог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EAE8E" w14:textId="77777777" w:rsidR="003705E2" w:rsidRPr="00645ADA" w:rsidRDefault="003705E2" w:rsidP="003705E2">
            <w:pPr>
              <w:pStyle w:val="Tabletext"/>
              <w:spacing w:before="20" w:after="20"/>
              <w:ind w:left="-28" w:right="-28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776 600,82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B6224" w14:textId="77777777" w:rsidR="003705E2" w:rsidRPr="00645ADA" w:rsidRDefault="003705E2" w:rsidP="003705E2">
            <w:pPr>
              <w:pStyle w:val="Tabletext"/>
              <w:spacing w:before="20" w:after="20"/>
              <w:ind w:left="-28" w:right="-28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2 192 538,20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0CFC6" w14:textId="77777777" w:rsidR="003705E2" w:rsidRPr="00645ADA" w:rsidRDefault="003705E2" w:rsidP="003705E2">
            <w:pPr>
              <w:pStyle w:val="Tabletext"/>
              <w:spacing w:before="20" w:after="20"/>
              <w:ind w:left="-28" w:right="-28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645AD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2 969 139,02</w:t>
            </w:r>
          </w:p>
        </w:tc>
      </w:tr>
    </w:tbl>
    <w:p w14:paraId="5BFA9C3C" w14:textId="45C60D33" w:rsidR="00796BD3" w:rsidRPr="00645ADA" w:rsidRDefault="002A3B6A" w:rsidP="002A3B6A">
      <w:pPr>
        <w:spacing w:before="480"/>
        <w:jc w:val="center"/>
        <w:rPr>
          <w:lang w:val="ru-RU"/>
        </w:rPr>
      </w:pPr>
      <w:r w:rsidRPr="00645ADA">
        <w:rPr>
          <w:lang w:val="ru-RU"/>
        </w:rPr>
        <w:t>________________</w:t>
      </w:r>
    </w:p>
    <w:sectPr w:rsidR="00796BD3" w:rsidRPr="00645ADA" w:rsidSect="00796BD3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86042" w14:textId="77777777" w:rsidR="002A3B6A" w:rsidRDefault="002A3B6A">
      <w:r>
        <w:separator/>
      </w:r>
    </w:p>
  </w:endnote>
  <w:endnote w:type="continuationSeparator" w:id="0">
    <w:p w14:paraId="4F37A3B1" w14:textId="77777777" w:rsidR="002A3B6A" w:rsidRDefault="002A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7933559" w14:textId="77777777" w:rsidTr="00E31DCE">
      <w:trPr>
        <w:jc w:val="center"/>
      </w:trPr>
      <w:tc>
        <w:tcPr>
          <w:tcW w:w="1803" w:type="dxa"/>
          <w:vAlign w:val="center"/>
        </w:tcPr>
        <w:p w14:paraId="3236224E" w14:textId="24771F78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3705E2" w:rsidRPr="003705E2">
            <w:rPr>
              <w:noProof/>
            </w:rPr>
            <w:t>526867</w:t>
          </w:r>
        </w:p>
      </w:tc>
      <w:tc>
        <w:tcPr>
          <w:tcW w:w="8261" w:type="dxa"/>
        </w:tcPr>
        <w:p w14:paraId="61CEDA22" w14:textId="3F4A510D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3705E2">
            <w:rPr>
              <w:bCs/>
              <w:lang w:val="ru-RU"/>
            </w:rPr>
            <w:t>128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5727FDB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DA8C08D" w14:textId="77777777" w:rsidTr="00E31DCE">
      <w:trPr>
        <w:jc w:val="center"/>
      </w:trPr>
      <w:tc>
        <w:tcPr>
          <w:tcW w:w="1803" w:type="dxa"/>
          <w:vAlign w:val="center"/>
        </w:tcPr>
        <w:p w14:paraId="0EFF1BB7" w14:textId="77777777" w:rsidR="00672F8A" w:rsidRDefault="00645ADA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BD6E1FE" w14:textId="346CA668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811C33">
            <w:rPr>
              <w:bCs/>
              <w:lang w:val="ru-RU"/>
            </w:rPr>
            <w:t>1</w:t>
          </w:r>
          <w:r w:rsidR="00A85EBE">
            <w:rPr>
              <w:bCs/>
              <w:lang w:val="ru-RU"/>
            </w:rPr>
            <w:t>2</w:t>
          </w:r>
          <w:r w:rsidR="003705E2">
            <w:rPr>
              <w:bCs/>
              <w:lang w:val="ru-RU"/>
            </w:rPr>
            <w:t>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DEFB96A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88BA7" w14:textId="77777777" w:rsidR="002A3B6A" w:rsidRDefault="002A3B6A">
      <w:r>
        <w:t>____________________</w:t>
      </w:r>
    </w:p>
  </w:footnote>
  <w:footnote w:type="continuationSeparator" w:id="0">
    <w:p w14:paraId="0CFE8129" w14:textId="77777777" w:rsidR="002A3B6A" w:rsidRDefault="002A3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07B5D3B1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3F9F6FE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5" w:name="_Hlk133422111"/>
          <w:r>
            <w:rPr>
              <w:noProof/>
            </w:rPr>
            <w:drawing>
              <wp:inline distT="0" distB="0" distL="0" distR="0" wp14:anchorId="7BA17E73" wp14:editId="7D7CF4A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7853933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CF04BF1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99E447A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5"/>
  <w:p w14:paraId="6586D8D5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C222F3" wp14:editId="5BC3A95B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1D7B46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6A"/>
    <w:rsid w:val="00005BE0"/>
    <w:rsid w:val="0002183E"/>
    <w:rsid w:val="000569B4"/>
    <w:rsid w:val="00080E82"/>
    <w:rsid w:val="000B2DE7"/>
    <w:rsid w:val="000E568E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A3B6A"/>
    <w:rsid w:val="002A6E40"/>
    <w:rsid w:val="002D2F57"/>
    <w:rsid w:val="002D48C5"/>
    <w:rsid w:val="0033025A"/>
    <w:rsid w:val="003705E2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418E5"/>
    <w:rsid w:val="00645ADA"/>
    <w:rsid w:val="00672F8A"/>
    <w:rsid w:val="006E2D42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7F7D91"/>
    <w:rsid w:val="00807255"/>
    <w:rsid w:val="0081023E"/>
    <w:rsid w:val="00811C33"/>
    <w:rsid w:val="008173AA"/>
    <w:rsid w:val="00840A14"/>
    <w:rsid w:val="008B62B4"/>
    <w:rsid w:val="008D2D7B"/>
    <w:rsid w:val="008E0737"/>
    <w:rsid w:val="008F7C2C"/>
    <w:rsid w:val="009326C1"/>
    <w:rsid w:val="00940E96"/>
    <w:rsid w:val="009B0BAE"/>
    <w:rsid w:val="009C1C89"/>
    <w:rsid w:val="009F3448"/>
    <w:rsid w:val="00A01CF9"/>
    <w:rsid w:val="00A71773"/>
    <w:rsid w:val="00A817EB"/>
    <w:rsid w:val="00A85EBE"/>
    <w:rsid w:val="00AD32BE"/>
    <w:rsid w:val="00AE2C85"/>
    <w:rsid w:val="00B12A37"/>
    <w:rsid w:val="00B33108"/>
    <w:rsid w:val="00B41837"/>
    <w:rsid w:val="00B63EF2"/>
    <w:rsid w:val="00BA7D89"/>
    <w:rsid w:val="00BC0D39"/>
    <w:rsid w:val="00BC7BC0"/>
    <w:rsid w:val="00BD57B7"/>
    <w:rsid w:val="00BE63E2"/>
    <w:rsid w:val="00C82DE2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CBE406"/>
  <w15:docId w15:val="{C6679356-5F97-4DEA-A8D8-D6F92C64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,超级链接,Style 58,超????,超?级链,하이퍼링크2,하이퍼링크21"/>
    <w:basedOn w:val="DefaultParagraphFont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qFormat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NormalaftertitleChar">
    <w:name w:val="Normal after title Char"/>
    <w:basedOn w:val="DefaultParagraphFont"/>
    <w:link w:val="Normalaftertitle"/>
    <w:rsid w:val="002A3B6A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2A3B6A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2A3B6A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rsid w:val="002A3B6A"/>
    <w:rPr>
      <w:rFonts w:ascii="Calibri" w:hAnsi="Calibri"/>
      <w:caps/>
      <w:sz w:val="26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A85EBE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tu.int/md/S23-CL-C-0011/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3</TotalTime>
  <Pages>2</Pages>
  <Words>429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2967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Antipina, Nadezda</dc:creator>
  <cp:keywords>C2023, C23, Council-23</cp:keywords>
  <dc:description/>
  <cp:lastModifiedBy>Antipina, Nadezda</cp:lastModifiedBy>
  <cp:revision>3</cp:revision>
  <cp:lastPrinted>2006-03-28T16:12:00Z</cp:lastPrinted>
  <dcterms:created xsi:type="dcterms:W3CDTF">2023-08-30T10:21:00Z</dcterms:created>
  <dcterms:modified xsi:type="dcterms:W3CDTF">2023-08-30T12:50:00Z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