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B2D4B"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0BB620B" w:rsidR="00AD3606" w:rsidRPr="009B2D4B" w:rsidRDefault="00AD3606" w:rsidP="00472BAD">
            <w:pPr>
              <w:tabs>
                <w:tab w:val="left" w:pos="851"/>
              </w:tabs>
              <w:spacing w:before="0" w:line="240" w:lineRule="atLeast"/>
              <w:jc w:val="right"/>
              <w:rPr>
                <w:b/>
                <w:lang w:val="it-IT"/>
              </w:rPr>
            </w:pPr>
            <w:r w:rsidRPr="009B2D4B">
              <w:rPr>
                <w:b/>
                <w:lang w:val="it-IT"/>
              </w:rPr>
              <w:t>Document C</w:t>
            </w:r>
            <w:r w:rsidR="00A52C84" w:rsidRPr="009B2D4B">
              <w:rPr>
                <w:b/>
                <w:lang w:val="it-IT"/>
              </w:rPr>
              <w:t>WG-</w:t>
            </w:r>
            <w:r w:rsidR="009F347C" w:rsidRPr="009B2D4B">
              <w:rPr>
                <w:b/>
                <w:lang w:val="it-IT"/>
              </w:rPr>
              <w:t>FHR</w:t>
            </w:r>
            <w:r w:rsidR="00A52C84" w:rsidRPr="009B2D4B">
              <w:rPr>
                <w:b/>
                <w:lang w:val="it-IT"/>
              </w:rPr>
              <w:t>-</w:t>
            </w:r>
            <w:r w:rsidR="002404ED" w:rsidRPr="009B2D4B">
              <w:rPr>
                <w:b/>
                <w:lang w:val="it-IT"/>
              </w:rPr>
              <w:t>16</w:t>
            </w:r>
            <w:r w:rsidRPr="009B2D4B">
              <w:rPr>
                <w:b/>
                <w:lang w:val="it-IT"/>
              </w:rPr>
              <w:t>/</w:t>
            </w:r>
            <w:r w:rsidR="0006329B">
              <w:rPr>
                <w:b/>
                <w:lang w:val="it-IT"/>
              </w:rPr>
              <w:t>16</w:t>
            </w:r>
          </w:p>
        </w:tc>
      </w:tr>
      <w:tr w:rsidR="00AD3606" w:rsidRPr="00813E5E" w14:paraId="789B45BA" w14:textId="77777777" w:rsidTr="00AD3606">
        <w:trPr>
          <w:cantSplit/>
        </w:trPr>
        <w:tc>
          <w:tcPr>
            <w:tcW w:w="3969" w:type="dxa"/>
            <w:vMerge/>
          </w:tcPr>
          <w:p w14:paraId="3F3D4E17" w14:textId="77777777" w:rsidR="00AD3606" w:rsidRPr="009B2D4B"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1E755E5B" w:rsidR="00AD3606" w:rsidRPr="00E85629" w:rsidRDefault="0006329B" w:rsidP="00AD3606">
            <w:pPr>
              <w:tabs>
                <w:tab w:val="left" w:pos="851"/>
              </w:tabs>
              <w:spacing w:before="0"/>
              <w:jc w:val="right"/>
              <w:rPr>
                <w:b/>
              </w:rPr>
            </w:pPr>
            <w:r>
              <w:rPr>
                <w:b/>
              </w:rPr>
              <w:t>26</w:t>
            </w:r>
            <w:r w:rsidR="00AD3606">
              <w:rPr>
                <w:b/>
              </w:rPr>
              <w:t xml:space="preserve"> </w:t>
            </w:r>
            <w:r w:rsidR="005A335D">
              <w:rPr>
                <w:b/>
              </w:rPr>
              <w:t>September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E85629" w:rsidRDefault="00891503" w:rsidP="00AD3606">
            <w:pPr>
              <w:tabs>
                <w:tab w:val="left" w:pos="851"/>
              </w:tabs>
              <w:spacing w:before="0" w:line="240" w:lineRule="atLeast"/>
              <w:jc w:val="right"/>
              <w:rPr>
                <w:b/>
              </w:rPr>
            </w:pPr>
            <w:r>
              <w:rPr>
                <w:b/>
              </w:rPr>
              <w:t>English</w:t>
            </w:r>
            <w:r w:rsidR="009B2D4B">
              <w:rPr>
                <w:b/>
              </w:rPr>
              <w:t xml:space="preserve">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494FAB69"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06329B" w:rsidRPr="0006329B">
              <w:t>by the Russian Federation</w:t>
            </w:r>
          </w:p>
        </w:tc>
      </w:tr>
      <w:tr w:rsidR="00AD3606" w:rsidRPr="00813E5E" w14:paraId="2340750D" w14:textId="77777777" w:rsidTr="00AD3606">
        <w:trPr>
          <w:cantSplit/>
        </w:trPr>
        <w:tc>
          <w:tcPr>
            <w:tcW w:w="9214" w:type="dxa"/>
            <w:gridSpan w:val="2"/>
            <w:tcMar>
              <w:left w:w="0" w:type="dxa"/>
            </w:tcMar>
          </w:tcPr>
          <w:p w14:paraId="47B91AA8" w14:textId="55C0B722" w:rsidR="00AD3606" w:rsidRPr="00813E5E" w:rsidRDefault="0006329B" w:rsidP="00DF0189">
            <w:pPr>
              <w:pStyle w:val="Subtitle"/>
              <w:framePr w:hSpace="0" w:wrap="auto" w:hAnchor="text" w:xAlign="left" w:yAlign="inline"/>
            </w:pPr>
            <w:bookmarkStart w:id="9" w:name="dtitle1" w:colFirst="0" w:colLast="0"/>
            <w:bookmarkEnd w:id="8"/>
            <w:r w:rsidRPr="0006329B">
              <w:t>ON THE EQUAL REPRESENTATION OF REGIONS IN THE INDEPENDENT MANAGEMENT ADVISORY COMMITTEE (IMAC)</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7F4D7389" w:rsidR="00AD3606" w:rsidRPr="00813E5E" w:rsidRDefault="0006329B" w:rsidP="00F16BAB">
            <w:proofErr w:type="gramStart"/>
            <w:r w:rsidRPr="0006329B">
              <w:t>Taking into account</w:t>
            </w:r>
            <w:proofErr w:type="gramEnd"/>
            <w:r w:rsidRPr="0006329B">
              <w:t xml:space="preserve"> the terms of reference of the ITU Council and the CWG-FHR relating to the IMAC, the CWG-F</w:t>
            </w:r>
            <w:r w:rsidRPr="0006329B">
              <w:rPr>
                <w:lang w:val="en-US"/>
              </w:rPr>
              <w:t>H</w:t>
            </w:r>
            <w:r w:rsidRPr="0006329B">
              <w:t>R is invited to formulate a number of proposals regarding increasing the transparency of the appointment of the IMAC members and improving the situation with the equal representation of regions in the IMAC for further consideration by the Council.</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0E499395" w:rsidR="00891503" w:rsidRDefault="0006329B" w:rsidP="00F16BAB">
            <w:pPr>
              <w:spacing w:before="160"/>
            </w:pPr>
            <w:r w:rsidRPr="0006329B">
              <w:t xml:space="preserve">CWG-FHR is invited </w:t>
            </w:r>
            <w:r w:rsidRPr="0006329B">
              <w:rPr>
                <w:b/>
                <w:bCs/>
              </w:rPr>
              <w:t>to consider</w:t>
            </w:r>
            <w:r w:rsidRPr="0006329B">
              <w:t xml:space="preserve"> the proposals contained in the contribution, </w:t>
            </w:r>
            <w:proofErr w:type="gramStart"/>
            <w:r w:rsidRPr="0006329B">
              <w:rPr>
                <w:b/>
              </w:rPr>
              <w:t>adopt</w:t>
            </w:r>
            <w:proofErr w:type="gramEnd"/>
            <w:r w:rsidRPr="0006329B">
              <w:t xml:space="preserve"> and </w:t>
            </w:r>
            <w:r w:rsidRPr="0006329B">
              <w:rPr>
                <w:b/>
              </w:rPr>
              <w:t>submit</w:t>
            </w:r>
            <w:r w:rsidRPr="0006329B">
              <w:t xml:space="preserve"> them </w:t>
            </w:r>
            <w:r w:rsidRPr="0006329B">
              <w:rPr>
                <w:b/>
              </w:rPr>
              <w:t>for further consideration by the Council</w:t>
            </w:r>
            <w:r w:rsidRPr="0006329B">
              <w: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17534E5F" w:rsidR="00AD3606" w:rsidRDefault="0006329B" w:rsidP="00F16BAB">
            <w:pPr>
              <w:spacing w:after="160"/>
            </w:pPr>
            <w:hyperlink r:id="rId8" w:history="1">
              <w:r w:rsidRPr="0006329B">
                <w:rPr>
                  <w:rStyle w:val="Hyperlink"/>
                  <w:i/>
                </w:rPr>
                <w:t>Resolution 162</w:t>
              </w:r>
            </w:hyperlink>
            <w:r w:rsidRPr="0006329B">
              <w:rPr>
                <w:i/>
              </w:rPr>
              <w:t xml:space="preserve"> (Rev. Bucharest, 2022) of Plenipotentiary conference; Note by the Secretary-General appointment of members of the </w:t>
            </w:r>
            <w:proofErr w:type="gramStart"/>
            <w:r w:rsidRPr="0006329B">
              <w:rPr>
                <w:i/>
              </w:rPr>
              <w:t>Independent</w:t>
            </w:r>
            <w:proofErr w:type="gramEnd"/>
            <w:r w:rsidRPr="0006329B">
              <w:rPr>
                <w:i/>
              </w:rPr>
              <w:t xml:space="preserve"> management advisory committee (</w:t>
            </w:r>
            <w:hyperlink r:id="rId9" w:history="1">
              <w:r w:rsidRPr="0006329B">
                <w:rPr>
                  <w:rStyle w:val="Hyperlink"/>
                  <w:i/>
                  <w:lang w:val="en-US"/>
                </w:rPr>
                <w:t>C23/23</w:t>
              </w:r>
            </w:hyperlink>
            <w:r w:rsidRPr="0006329B">
              <w:rPr>
                <w:i/>
              </w:rPr>
              <w:t>)</w:t>
            </w:r>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0"/>
    <w:p w14:paraId="124D2A24"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textAlignment w:val="auto"/>
        <w:rPr>
          <w:rFonts w:eastAsia="SimSun"/>
          <w:b/>
          <w:sz w:val="26"/>
          <w:szCs w:val="26"/>
          <w:lang w:val="en-US"/>
        </w:rPr>
      </w:pPr>
      <w:r w:rsidRPr="0006329B">
        <w:rPr>
          <w:rFonts w:eastAsia="SimSun"/>
          <w:b/>
          <w:sz w:val="26"/>
          <w:szCs w:val="26"/>
          <w:lang w:val="en-US"/>
        </w:rPr>
        <w:lastRenderedPageBreak/>
        <w:t>I</w:t>
      </w:r>
      <w:r w:rsidRPr="0006329B">
        <w:rPr>
          <w:rFonts w:eastAsia="SimSun"/>
          <w:b/>
          <w:sz w:val="26"/>
          <w:szCs w:val="26"/>
          <w:lang w:val="en-US"/>
        </w:rPr>
        <w:tab/>
        <w:t>Introduction</w:t>
      </w:r>
    </w:p>
    <w:p w14:paraId="3556621F"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t>The Plenipotentiary Conference (PP) of the International Telecommunication Union (ITU), in its Resolution 162 “Independent Management Advisory Committee” (Rev. Bucharest, 2022), reaffirmed its commitment to efficient, accountable and transparent management of the Union and decided to establish an Independent management advisory committee management (IMAC) on an ongoing basis according to the terms of reference contained in the annex to the resolution, and review and amend, if necessary, its terms of reference.</w:t>
      </w:r>
    </w:p>
    <w:p w14:paraId="4DFF1E32"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t xml:space="preserve">The same Resolution instructed the ITU Council to appoint the six independent experts as members of IMAC according to its terms of reference, </w:t>
      </w:r>
      <w:proofErr w:type="gramStart"/>
      <w:r w:rsidRPr="0006329B">
        <w:rPr>
          <w:rFonts w:eastAsia="SimSun"/>
          <w:lang w:val="en-US"/>
        </w:rPr>
        <w:t>taking into account</w:t>
      </w:r>
      <w:proofErr w:type="gramEnd"/>
      <w:r w:rsidRPr="0006329B">
        <w:rPr>
          <w:rFonts w:eastAsia="SimSun"/>
          <w:lang w:val="en-US"/>
        </w:rPr>
        <w:t xml:space="preserve"> equitable representation of the six regions.</w:t>
      </w:r>
    </w:p>
    <w:p w14:paraId="4F364353"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t>According to IMAC's terms of reference, to the greatest extent possible, no more than one member of IMAC shall be from the same geographical region.</w:t>
      </w:r>
    </w:p>
    <w:p w14:paraId="6FC194DA"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t xml:space="preserve">The selection process for IMAC members is set out in Appendix B to the IMAC Terms of Reference (ToR) contained in PP Resolution 162 (Rev. Bucharest, 2022). The process shall involve a selection panel comprising representatives of the Council </w:t>
      </w:r>
      <w:proofErr w:type="gramStart"/>
      <w:r w:rsidRPr="0006329B">
        <w:rPr>
          <w:rFonts w:eastAsia="SimSun"/>
          <w:lang w:val="en-US"/>
        </w:rPr>
        <w:t>on the basis of</w:t>
      </w:r>
      <w:proofErr w:type="gramEnd"/>
      <w:r w:rsidRPr="0006329B">
        <w:rPr>
          <w:rFonts w:eastAsia="SimSun"/>
          <w:lang w:val="en-US"/>
        </w:rPr>
        <w:t xml:space="preserve"> equitable geographical distribution. The selection panel, that shall be formed comprising six ITU Council members representing the Americas, Europe, the Commonwealth of Independent States, Africa, Asia and Australasia and the Arab States, relays its recommendations to the Council. Members of IMAC shall be appointed by the Council.</w:t>
      </w:r>
    </w:p>
    <w:p w14:paraId="707856E5"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t>PP Resolution 162 (Rev. Bucharest, 2022) also instructs the ITU Council to consider IMAC's annual reports and its recommendations and take appropriate action, and to review the status of implementation of the IMAC recommendations.</w:t>
      </w:r>
    </w:p>
    <w:p w14:paraId="53AA7804"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t xml:space="preserve">The ToR of the Council Working Group on Financial and Human Resources (CWG-FHR), as defined by Council Decision 563 (Amended 2023), include the consideration and development of the proposals for consideration by Council </w:t>
      </w:r>
      <w:proofErr w:type="gramStart"/>
      <w:r w:rsidRPr="0006329B">
        <w:rPr>
          <w:rFonts w:eastAsia="SimSun"/>
          <w:lang w:val="en-US"/>
        </w:rPr>
        <w:t>in order to</w:t>
      </w:r>
      <w:proofErr w:type="gramEnd"/>
      <w:r w:rsidRPr="0006329B">
        <w:rPr>
          <w:rFonts w:eastAsia="SimSun"/>
          <w:lang w:val="en-US"/>
        </w:rPr>
        <w:t xml:space="preserve"> ensure that, among other things, relevant recommendations of the IMAC affecting financial and human resources management of the Union are taken into account.</w:t>
      </w:r>
    </w:p>
    <w:p w14:paraId="4DCB0FCA"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textAlignment w:val="auto"/>
        <w:rPr>
          <w:rFonts w:eastAsia="SimSun"/>
          <w:b/>
          <w:sz w:val="26"/>
          <w:szCs w:val="26"/>
          <w:lang w:val="en-US"/>
        </w:rPr>
      </w:pPr>
      <w:r w:rsidRPr="0006329B">
        <w:rPr>
          <w:rFonts w:eastAsia="SimSun"/>
          <w:b/>
          <w:sz w:val="26"/>
          <w:szCs w:val="26"/>
          <w:lang w:val="en-US"/>
        </w:rPr>
        <w:t>II</w:t>
      </w:r>
      <w:r w:rsidRPr="0006329B">
        <w:rPr>
          <w:rFonts w:eastAsia="SimSun"/>
          <w:b/>
          <w:sz w:val="26"/>
          <w:szCs w:val="26"/>
          <w:lang w:val="en-US"/>
        </w:rPr>
        <w:tab/>
        <w:t>Rationale for the proposal</w:t>
      </w:r>
    </w:p>
    <w:p w14:paraId="0229862A"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t>The 2023 Council Session considered the Secretary-General's report on the Appointment of Members of the Independent Management Advisory Committee (IMAC) (</w:t>
      </w:r>
      <w:hyperlink r:id="rId10" w:history="1">
        <w:r w:rsidRPr="0006329B">
          <w:rPr>
            <w:rFonts w:eastAsia="SimSun"/>
            <w:color w:val="0563C1"/>
            <w:u w:val="single"/>
            <w:lang w:val="en-US"/>
          </w:rPr>
          <w:t>C23/23</w:t>
        </w:r>
      </w:hyperlink>
      <w:r w:rsidRPr="0006329B">
        <w:rPr>
          <w:rFonts w:eastAsia="SimSun"/>
          <w:lang w:val="en-US"/>
        </w:rPr>
        <w:t>). The document provides an overview of the selection process conducted to identify candidates for members of IMAC and the recommendation of the Selection Panel for the appointment of candidates.</w:t>
      </w:r>
    </w:p>
    <w:p w14:paraId="0E0C9B34"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t>The document notes that a total of 46 applications were received, providing 45 eligible candidates, including the three current members of IMAC who were eligible for reappointment.</w:t>
      </w:r>
    </w:p>
    <w:p w14:paraId="14AAD83C"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asciiTheme="minorHAnsi" w:eastAsiaTheme="minorEastAsia" w:hAnsiTheme="minorHAnsi" w:cstheme="minorHAnsi"/>
          <w:noProof/>
          <w:color w:val="000000"/>
          <w:kern w:val="2"/>
          <w:szCs w:val="24"/>
          <w:lang w:val="en-US" w:eastAsia="zh-CN"/>
          <w14:ligatures w14:val="standardContextual"/>
        </w:rPr>
        <w:t>Based on its assessment of each candidate’s application and interviews, the selection panel identified the six candidates that it considered best met the requirements of the IMAC ToR</w:t>
      </w:r>
      <w:r w:rsidRPr="0006329B">
        <w:rPr>
          <w:rFonts w:eastAsia="SimSun"/>
          <w:lang w:val="en-US"/>
        </w:rPr>
        <w:t>.</w:t>
      </w:r>
    </w:p>
    <w:p w14:paraId="79364511"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t>One candidate was submitted by the CIS region – a current member of IMAC; his candidacy was not included in the list of six candidates recommended to the Council for membership in IMAC. Thus, the seat in IMAC supposed to be given to a CIS representative turned out to be vacant. As part of an internal selection process, it was given to the Europe region.</w:t>
      </w:r>
    </w:p>
    <w:p w14:paraId="3204A41F"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SimSun"/>
          <w:lang w:val="en-US"/>
        </w:rPr>
      </w:pPr>
      <w:r w:rsidRPr="0006329B">
        <w:rPr>
          <w:rFonts w:eastAsia="SimSun"/>
          <w:lang w:val="en-US"/>
        </w:rPr>
        <w:lastRenderedPageBreak/>
        <w:t>Thus, according to the list of candidates submitted by the selection panel, it failed to comply with the provisions of Resolution 162 PC (Rev. Bucharest, 2022) on the need to ensure equal representation of the six regions and that, to the greatest extent possible, no more than one member of IMAC shall be from the same geographical region.</w:t>
      </w:r>
    </w:p>
    <w:p w14:paraId="77191858" w14:textId="77777777" w:rsidR="0006329B" w:rsidRPr="0006329B" w:rsidRDefault="0006329B" w:rsidP="0006329B">
      <w:pPr>
        <w:tabs>
          <w:tab w:val="clear" w:pos="567"/>
          <w:tab w:val="clear" w:pos="1134"/>
          <w:tab w:val="clear" w:pos="1701"/>
          <w:tab w:val="clear" w:pos="2268"/>
          <w:tab w:val="clear" w:pos="2835"/>
        </w:tabs>
        <w:overflowPunct/>
        <w:autoSpaceDE/>
        <w:autoSpaceDN/>
        <w:adjustRightInd/>
        <w:spacing w:before="0" w:after="120"/>
        <w:textAlignment w:val="auto"/>
        <w:rPr>
          <w:rFonts w:eastAsia="SimSun"/>
          <w:b/>
          <w:sz w:val="26"/>
          <w:szCs w:val="26"/>
          <w:lang w:val="en-US"/>
        </w:rPr>
      </w:pPr>
      <w:r w:rsidRPr="0006329B">
        <w:rPr>
          <w:rFonts w:eastAsia="SimSun"/>
          <w:b/>
          <w:sz w:val="26"/>
          <w:szCs w:val="26"/>
          <w:lang w:val="en-US"/>
        </w:rPr>
        <w:t>III</w:t>
      </w:r>
      <w:r w:rsidRPr="0006329B">
        <w:rPr>
          <w:rFonts w:eastAsia="SimSun"/>
          <w:b/>
          <w:sz w:val="26"/>
          <w:szCs w:val="26"/>
          <w:lang w:val="en-US"/>
        </w:rPr>
        <w:tab/>
        <w:t>Proposal</w:t>
      </w:r>
    </w:p>
    <w:p w14:paraId="18C7D511" w14:textId="77777777" w:rsidR="0006329B" w:rsidRPr="0006329B" w:rsidRDefault="0006329B" w:rsidP="0006329B">
      <w:pPr>
        <w:jc w:val="both"/>
        <w:rPr>
          <w:rFonts w:eastAsia="SimSun"/>
        </w:rPr>
      </w:pPr>
      <w:proofErr w:type="gramStart"/>
      <w:r w:rsidRPr="0006329B">
        <w:rPr>
          <w:rFonts w:eastAsia="SimSun"/>
        </w:rPr>
        <w:t>Taking into account</w:t>
      </w:r>
      <w:proofErr w:type="gramEnd"/>
      <w:r w:rsidRPr="0006329B">
        <w:rPr>
          <w:rFonts w:eastAsia="SimSun"/>
        </w:rPr>
        <w:t xml:space="preserve"> the ToRs of the ITU Council and the CWG-FHR relating to the IMAC, the CWG-F</w:t>
      </w:r>
      <w:r w:rsidRPr="0006329B">
        <w:rPr>
          <w:rFonts w:eastAsia="SimSun"/>
          <w:lang w:val="en-US"/>
        </w:rPr>
        <w:t>H</w:t>
      </w:r>
      <w:r w:rsidRPr="0006329B">
        <w:rPr>
          <w:rFonts w:eastAsia="SimSun"/>
        </w:rPr>
        <w:t>R is invited to formulate a number of proposals regarding increasing the transparency of the appointment of the IMAC members and improving the situation with the equal representation of regions in the IMAC for further consideration by the Council. In particular:</w:t>
      </w:r>
    </w:p>
    <w:p w14:paraId="4545B2A2" w14:textId="77777777" w:rsidR="0006329B" w:rsidRPr="0006329B" w:rsidRDefault="0006329B" w:rsidP="0006329B">
      <w:pPr>
        <w:jc w:val="both"/>
        <w:rPr>
          <w:rFonts w:eastAsia="SimSun"/>
        </w:rPr>
      </w:pPr>
      <w:r w:rsidRPr="0006329B">
        <w:rPr>
          <w:rFonts w:eastAsia="SimSun"/>
        </w:rPr>
        <w:t>1.</w:t>
      </w:r>
      <w:r w:rsidRPr="0006329B">
        <w:rPr>
          <w:rFonts w:eastAsia="SimSun"/>
        </w:rPr>
        <w:tab/>
        <w:t xml:space="preserve">While preparing recommendations to the Council for the initial appointment of IMAC members, </w:t>
      </w:r>
      <w:proofErr w:type="gramStart"/>
      <w:r w:rsidRPr="0006329B">
        <w:rPr>
          <w:rFonts w:eastAsia="SimSun"/>
        </w:rPr>
        <w:t>in the event that</w:t>
      </w:r>
      <w:proofErr w:type="gramEnd"/>
      <w:r w:rsidRPr="0006329B">
        <w:rPr>
          <w:rFonts w:eastAsia="SimSun"/>
        </w:rPr>
        <w:t xml:space="preserve"> no candidate has been selected for appointment for one or more regions, the selection panel, when relaying its recommendations to the Council, indicates:</w:t>
      </w:r>
    </w:p>
    <w:p w14:paraId="1DE2D94E" w14:textId="77777777" w:rsidR="0006329B" w:rsidRPr="0006329B" w:rsidRDefault="0006329B" w:rsidP="0006329B">
      <w:pPr>
        <w:spacing w:before="60"/>
        <w:ind w:left="567" w:hanging="567"/>
        <w:jc w:val="both"/>
        <w:rPr>
          <w:rFonts w:eastAsia="SimSun"/>
          <w:lang w:val="en-US"/>
        </w:rPr>
      </w:pPr>
      <w:r w:rsidRPr="0006329B">
        <w:rPr>
          <w:rFonts w:eastAsia="SimSun"/>
        </w:rPr>
        <w:t>-</w:t>
      </w:r>
      <w:r w:rsidRPr="0006329B">
        <w:rPr>
          <w:rFonts w:eastAsia="SimSun"/>
        </w:rPr>
        <w:tab/>
        <w:t xml:space="preserve">a list of candidates who have successfully completed the selection procedure, broken down by region, and recommended for </w:t>
      </w:r>
      <w:proofErr w:type="gramStart"/>
      <w:r w:rsidRPr="0006329B">
        <w:rPr>
          <w:rFonts w:eastAsia="SimSun"/>
        </w:rPr>
        <w:t>appointment;</w:t>
      </w:r>
      <w:proofErr w:type="gramEnd"/>
    </w:p>
    <w:p w14:paraId="22B740C2" w14:textId="77777777" w:rsidR="0006329B" w:rsidRPr="0006329B" w:rsidRDefault="0006329B" w:rsidP="0006329B">
      <w:pPr>
        <w:spacing w:before="60"/>
        <w:ind w:left="567" w:hanging="567"/>
        <w:jc w:val="both"/>
        <w:rPr>
          <w:rFonts w:eastAsia="SimSun"/>
        </w:rPr>
      </w:pPr>
      <w:r w:rsidRPr="0006329B">
        <w:rPr>
          <w:rFonts w:eastAsia="SimSun"/>
        </w:rPr>
        <w:t>-</w:t>
      </w:r>
      <w:r w:rsidRPr="0006329B">
        <w:rPr>
          <w:rFonts w:eastAsia="SimSun"/>
        </w:rPr>
        <w:tab/>
        <w:t xml:space="preserve">regions from which no candidate has been recommended for appointment and for which, accordingly, positions are </w:t>
      </w:r>
      <w:proofErr w:type="gramStart"/>
      <w:r w:rsidRPr="0006329B">
        <w:rPr>
          <w:rFonts w:eastAsia="SimSun"/>
        </w:rPr>
        <w:t>vacant;</w:t>
      </w:r>
      <w:proofErr w:type="gramEnd"/>
    </w:p>
    <w:p w14:paraId="6B3C0786" w14:textId="77777777" w:rsidR="0006329B" w:rsidRPr="0006329B" w:rsidRDefault="0006329B" w:rsidP="0006329B">
      <w:pPr>
        <w:spacing w:before="60"/>
        <w:ind w:left="567" w:hanging="567"/>
        <w:jc w:val="both"/>
        <w:rPr>
          <w:rFonts w:eastAsia="SimSun"/>
        </w:rPr>
      </w:pPr>
      <w:r w:rsidRPr="0006329B">
        <w:rPr>
          <w:rFonts w:eastAsia="SimSun"/>
        </w:rPr>
        <w:t>-</w:t>
      </w:r>
      <w:r w:rsidRPr="0006329B">
        <w:rPr>
          <w:rFonts w:eastAsia="SimSun"/>
        </w:rPr>
        <w:tab/>
        <w:t>a list of reserve candidates, broken down by region, who have also successfully completed the selection procedure and meet the criteria for appointment to vacant positions.</w:t>
      </w:r>
    </w:p>
    <w:p w14:paraId="78F99098" w14:textId="77777777" w:rsidR="0006329B" w:rsidRPr="0006329B" w:rsidRDefault="0006329B" w:rsidP="0006329B">
      <w:pPr>
        <w:jc w:val="both"/>
        <w:rPr>
          <w:rFonts w:eastAsia="SimSun"/>
        </w:rPr>
      </w:pPr>
      <w:r w:rsidRPr="0006329B">
        <w:rPr>
          <w:rFonts w:eastAsia="SimSun"/>
        </w:rPr>
        <w:t>2.</w:t>
      </w:r>
      <w:r w:rsidRPr="0006329B">
        <w:rPr>
          <w:rFonts w:eastAsia="SimSun"/>
        </w:rPr>
        <w:tab/>
        <w:t xml:space="preserve">The Council, based on the recommendations submitted by the selection panel on the main and reserve candidates who meet the criteria for appointment, </w:t>
      </w:r>
      <w:proofErr w:type="gramStart"/>
      <w:r w:rsidRPr="0006329B">
        <w:rPr>
          <w:rFonts w:eastAsia="SimSun"/>
        </w:rPr>
        <w:t>makes a decision</w:t>
      </w:r>
      <w:proofErr w:type="gramEnd"/>
      <w:r w:rsidRPr="0006329B">
        <w:rPr>
          <w:rFonts w:eastAsia="SimSun"/>
        </w:rPr>
        <w:t>:</w:t>
      </w:r>
    </w:p>
    <w:p w14:paraId="192D0D3C" w14:textId="77777777" w:rsidR="0006329B" w:rsidRPr="0006329B" w:rsidRDefault="0006329B" w:rsidP="0006329B">
      <w:pPr>
        <w:spacing w:before="60"/>
        <w:ind w:left="567" w:hanging="567"/>
        <w:jc w:val="both"/>
        <w:rPr>
          <w:rFonts w:eastAsia="SimSun"/>
        </w:rPr>
      </w:pPr>
      <w:r w:rsidRPr="0006329B">
        <w:rPr>
          <w:rFonts w:eastAsia="SimSun"/>
        </w:rPr>
        <w:t>-</w:t>
      </w:r>
      <w:r w:rsidRPr="0006329B">
        <w:rPr>
          <w:rFonts w:eastAsia="SimSun"/>
        </w:rPr>
        <w:tab/>
        <w:t xml:space="preserve">approve one recommended candidate from each of the regions that submitted their candidacy/s for membership in IMAC and successfully completed the selection </w:t>
      </w:r>
      <w:proofErr w:type="gramStart"/>
      <w:r w:rsidRPr="0006329B">
        <w:rPr>
          <w:rFonts w:eastAsia="SimSun"/>
        </w:rPr>
        <w:t>procedure;</w:t>
      </w:r>
      <w:proofErr w:type="gramEnd"/>
    </w:p>
    <w:p w14:paraId="70616D91" w14:textId="77777777" w:rsidR="0006329B" w:rsidRPr="0006329B" w:rsidRDefault="0006329B" w:rsidP="0006329B">
      <w:pPr>
        <w:spacing w:before="60"/>
        <w:ind w:left="567" w:hanging="567"/>
        <w:jc w:val="both"/>
        <w:rPr>
          <w:rFonts w:eastAsia="SimSun"/>
        </w:rPr>
      </w:pPr>
      <w:r w:rsidRPr="0006329B">
        <w:rPr>
          <w:rFonts w:eastAsia="SimSun"/>
        </w:rPr>
        <w:t>-</w:t>
      </w:r>
      <w:r w:rsidRPr="0006329B">
        <w:rPr>
          <w:rFonts w:eastAsia="SimSun"/>
        </w:rPr>
        <w:tab/>
        <w:t xml:space="preserve">select experts from the list of reserve candidates to fill vacant positions for other regions that have not submitted candidates or for which no candidates were selected by the selection </w:t>
      </w:r>
      <w:proofErr w:type="gramStart"/>
      <w:r w:rsidRPr="0006329B">
        <w:rPr>
          <w:rFonts w:eastAsia="SimSun"/>
        </w:rPr>
        <w:t>panel, and</w:t>
      </w:r>
      <w:proofErr w:type="gramEnd"/>
      <w:r w:rsidRPr="0006329B">
        <w:rPr>
          <w:rFonts w:eastAsia="SimSun"/>
        </w:rPr>
        <w:t xml:space="preserve"> approve them for appointment to vacant positions in IMAC.</w:t>
      </w:r>
    </w:p>
    <w:p w14:paraId="257674B4" w14:textId="6F2B0560" w:rsidR="00A514A4" w:rsidRPr="0006329B" w:rsidRDefault="0006329B" w:rsidP="0006329B">
      <w:pPr>
        <w:tabs>
          <w:tab w:val="clear" w:pos="567"/>
          <w:tab w:val="clear" w:pos="1134"/>
          <w:tab w:val="clear" w:pos="1701"/>
          <w:tab w:val="clear" w:pos="2268"/>
          <w:tab w:val="clear" w:pos="2835"/>
        </w:tabs>
        <w:overflowPunct/>
        <w:autoSpaceDE/>
        <w:autoSpaceDN/>
        <w:adjustRightInd/>
        <w:spacing w:before="840"/>
        <w:jc w:val="center"/>
        <w:textAlignment w:val="auto"/>
        <w:rPr>
          <w:rFonts w:eastAsia="Calibri"/>
          <w:szCs w:val="24"/>
          <w:lang w:val="en-US"/>
        </w:rPr>
      </w:pPr>
      <w:r w:rsidRPr="0006329B">
        <w:rPr>
          <w:rFonts w:ascii="Times New Roman" w:eastAsia="Calibri" w:hAnsi="Times New Roman"/>
          <w:szCs w:val="24"/>
          <w:lang w:val="ru-RU"/>
        </w:rPr>
        <w:t>___________________</w:t>
      </w:r>
    </w:p>
    <w:sectPr w:rsidR="00A514A4" w:rsidRPr="0006329B"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68D2E32A" w:rsidR="00EE49E8" w:rsidRDefault="00EE49E8" w:rsidP="00EE49E8">
          <w:pPr>
            <w:pStyle w:val="Header"/>
            <w:jc w:val="left"/>
            <w:rPr>
              <w:noProof/>
            </w:rPr>
          </w:pPr>
        </w:p>
      </w:tc>
      <w:tc>
        <w:tcPr>
          <w:tcW w:w="8261" w:type="dxa"/>
        </w:tcPr>
        <w:p w14:paraId="2D49E76E" w14:textId="0225379B"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347C">
            <w:rPr>
              <w:bCs/>
            </w:rPr>
            <w:t>FHR</w:t>
          </w:r>
          <w:r w:rsidR="00A52C84">
            <w:rPr>
              <w:bCs/>
            </w:rPr>
            <w:t>-</w:t>
          </w:r>
          <w:r w:rsidR="002404ED">
            <w:rPr>
              <w:bCs/>
            </w:rPr>
            <w:t>16</w:t>
          </w:r>
          <w:r w:rsidR="00A52C84" w:rsidRPr="00623AE3">
            <w:rPr>
              <w:bCs/>
            </w:rPr>
            <w:t>/</w:t>
          </w:r>
          <w:r w:rsidR="0006329B">
            <w:rPr>
              <w:bCs/>
            </w:rPr>
            <w:t>16</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24A14FF0"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9F347C">
            <w:rPr>
              <w:bCs/>
            </w:rPr>
            <w:t>FHR</w:t>
          </w:r>
          <w:r w:rsidR="00A52C84">
            <w:rPr>
              <w:bCs/>
            </w:rPr>
            <w:t>-</w:t>
          </w:r>
          <w:r w:rsidR="002404ED">
            <w:rPr>
              <w:bCs/>
            </w:rPr>
            <w:t>16</w:t>
          </w:r>
          <w:r w:rsidRPr="00623AE3">
            <w:rPr>
              <w:bCs/>
            </w:rPr>
            <w:t>/</w:t>
          </w:r>
          <w:r w:rsidR="0006329B">
            <w:rPr>
              <w:bCs/>
            </w:rPr>
            <w:t>16</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F368F98"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404ED">
                            <w:rPr>
                              <w:sz w:val="20"/>
                            </w:rPr>
                            <w:t>Sixteenth</w:t>
                          </w:r>
                          <w:r w:rsidRPr="00130599">
                            <w:rPr>
                              <w:sz w:val="20"/>
                            </w:rPr>
                            <w:t xml:space="preserve"> meeting </w:t>
                          </w:r>
                          <w:r w:rsidR="00B358B2">
                            <w:rPr>
                              <w:sz w:val="20"/>
                            </w:rPr>
                            <w:t xml:space="preserve">- </w:t>
                          </w:r>
                          <w:r w:rsidR="009F347C">
                            <w:rPr>
                              <w:sz w:val="20"/>
                            </w:rPr>
                            <w:t>Wednesday 11 to Friday 13</w:t>
                          </w:r>
                          <w:r w:rsidR="00B358B2">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F368F98"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404ED">
                      <w:rPr>
                        <w:sz w:val="20"/>
                      </w:rPr>
                      <w:t>Sixteenth</w:t>
                    </w:r>
                    <w:r w:rsidRPr="00130599">
                      <w:rPr>
                        <w:sz w:val="20"/>
                      </w:rPr>
                      <w:t xml:space="preserve"> meeting </w:t>
                    </w:r>
                    <w:r w:rsidR="00B358B2">
                      <w:rPr>
                        <w:sz w:val="20"/>
                      </w:rPr>
                      <w:t xml:space="preserve">- </w:t>
                    </w:r>
                    <w:r w:rsidR="009F347C">
                      <w:rPr>
                        <w:sz w:val="20"/>
                      </w:rPr>
                      <w:t>Wednesday 11 to Friday 13</w:t>
                    </w:r>
                    <w:r w:rsidR="00B358B2">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329B"/>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2119FD"/>
    <w:rsid w:val="002130E0"/>
    <w:rsid w:val="002404ED"/>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A335D"/>
    <w:rsid w:val="005E2BD5"/>
    <w:rsid w:val="005F3269"/>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13E5E"/>
    <w:rsid w:val="0083581B"/>
    <w:rsid w:val="00863874"/>
    <w:rsid w:val="00864AFF"/>
    <w:rsid w:val="00865925"/>
    <w:rsid w:val="00891503"/>
    <w:rsid w:val="008B4A6A"/>
    <w:rsid w:val="008C7E27"/>
    <w:rsid w:val="008F7448"/>
    <w:rsid w:val="0090147A"/>
    <w:rsid w:val="009173EF"/>
    <w:rsid w:val="00932906"/>
    <w:rsid w:val="00961B0B"/>
    <w:rsid w:val="00962D33"/>
    <w:rsid w:val="009B2D4B"/>
    <w:rsid w:val="009B38C3"/>
    <w:rsid w:val="009C253A"/>
    <w:rsid w:val="009E17BD"/>
    <w:rsid w:val="009E485A"/>
    <w:rsid w:val="009F347C"/>
    <w:rsid w:val="00A04CEC"/>
    <w:rsid w:val="00A27F92"/>
    <w:rsid w:val="00A32257"/>
    <w:rsid w:val="00A34664"/>
    <w:rsid w:val="00A36D20"/>
    <w:rsid w:val="00A514A4"/>
    <w:rsid w:val="00A52C84"/>
    <w:rsid w:val="00A55622"/>
    <w:rsid w:val="00A83502"/>
    <w:rsid w:val="00AD15B3"/>
    <w:rsid w:val="00AD3606"/>
    <w:rsid w:val="00AD4A3D"/>
    <w:rsid w:val="00AF6E49"/>
    <w:rsid w:val="00B04A67"/>
    <w:rsid w:val="00B0583C"/>
    <w:rsid w:val="00B358B2"/>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D454D"/>
    <w:rsid w:val="00EE49E8"/>
    <w:rsid w:val="00F16BAB"/>
    <w:rsid w:val="00F2150A"/>
    <w:rsid w:val="00F231D8"/>
    <w:rsid w:val="00F44C00"/>
    <w:rsid w:val="00F45D2C"/>
    <w:rsid w:val="00F46C5F"/>
    <w:rsid w:val="00F632C0"/>
    <w:rsid w:val="00F74694"/>
    <w:rsid w:val="00F913C6"/>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063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62-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23-CL-C-0023/en" TargetMode="External"/><Relationship Id="rId4" Type="http://schemas.openxmlformats.org/officeDocument/2006/relationships/settings" Target="settings.xml"/><Relationship Id="rId9" Type="http://schemas.openxmlformats.org/officeDocument/2006/relationships/hyperlink" Target="https://www.itu.int/md/S23-CL-C-0023/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 on The equal representation of regions in the Independent Management Advisory Committee (IMAC)</dc:title>
  <dc:subject>Council Working Group on Financial and Human Resources</dc:subject>
  <dc:creator/>
  <cp:keywords>CWG-FHR, C23, Council-23, C23-ADD</cp:keywords>
  <dc:description/>
  <cp:lastModifiedBy/>
  <cp:revision>1</cp:revision>
  <dcterms:created xsi:type="dcterms:W3CDTF">2023-09-28T07:34:00Z</dcterms:created>
  <dcterms:modified xsi:type="dcterms:W3CDTF">2023-09-28T07:35:00Z</dcterms:modified>
  <cp:category>Conference document</cp:category>
</cp:coreProperties>
</file>