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3A722CA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0FF251E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73FECF5" w14:textId="5139ABEA" w:rsidR="00AD3606" w:rsidRPr="00A52C84" w:rsidRDefault="00BE5122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>
              <w:rPr>
                <w:rFonts w:eastAsia="Times New Roman"/>
                <w:b/>
                <w:lang w:val="fr-CH"/>
              </w:rPr>
              <w:t>Revision</w:t>
            </w:r>
            <w:proofErr w:type="spellEnd"/>
            <w:r>
              <w:rPr>
                <w:rFonts w:eastAsia="Times New Roman"/>
                <w:b/>
                <w:lang w:val="fr-CH"/>
              </w:rPr>
              <w:t xml:space="preserve"> 1 to</w:t>
            </w:r>
            <w:r>
              <w:rPr>
                <w:rFonts w:eastAsia="Times New Roman"/>
                <w:b/>
                <w:lang w:val="fr-CH"/>
              </w:rPr>
              <w:br/>
            </w:r>
            <w:r w:rsidR="00AD3606"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0406F0">
              <w:rPr>
                <w:b/>
                <w:lang w:val="fr-CH"/>
              </w:rPr>
              <w:t>1</w:t>
            </w:r>
            <w:r w:rsidR="00AD3606" w:rsidRPr="00A52C84">
              <w:rPr>
                <w:b/>
                <w:lang w:val="fr-CH"/>
              </w:rPr>
              <w:t>/</w:t>
            </w:r>
            <w:r w:rsidR="000406F0">
              <w:rPr>
                <w:b/>
                <w:lang w:val="fr-CH"/>
              </w:rPr>
              <w:t>1</w:t>
            </w:r>
          </w:p>
        </w:tc>
      </w:tr>
      <w:tr w:rsidR="00AD3606" w:rsidRPr="00813E5E" w14:paraId="324AC4A1" w14:textId="77777777" w:rsidTr="00AD3606">
        <w:trPr>
          <w:cantSplit/>
        </w:trPr>
        <w:tc>
          <w:tcPr>
            <w:tcW w:w="3969" w:type="dxa"/>
            <w:vMerge/>
          </w:tcPr>
          <w:p w14:paraId="4926C3C0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07D7B" w14:textId="124A7DB2" w:rsidR="00AD3606" w:rsidRPr="00E85629" w:rsidRDefault="00BE512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6B561AD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9663285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0AD16F2" w14:textId="0BBDC7DB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515A92">
              <w:rPr>
                <w:b/>
              </w:rPr>
              <w:t xml:space="preserve"> only</w:t>
            </w:r>
          </w:p>
        </w:tc>
      </w:tr>
      <w:tr w:rsidR="00472BAD" w:rsidRPr="00813E5E" w14:paraId="790F8BAD" w14:textId="77777777" w:rsidTr="00AD3606">
        <w:trPr>
          <w:cantSplit/>
          <w:trHeight w:val="23"/>
        </w:trPr>
        <w:tc>
          <w:tcPr>
            <w:tcW w:w="3969" w:type="dxa"/>
          </w:tcPr>
          <w:p w14:paraId="61510E56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D9FDDDE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646E59C4" w14:textId="77777777" w:rsidR="000406F0" w:rsidRPr="006F7EF6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bookmarkStart w:id="8" w:name="_Hlk133421428"/>
      <w:bookmarkEnd w:id="2"/>
      <w:bookmarkEnd w:id="7"/>
      <w:r w:rsidRPr="006F7EF6">
        <w:rPr>
          <w:rFonts w:cs="Calibri"/>
          <w:bCs/>
          <w:sz w:val="28"/>
          <w:szCs w:val="28"/>
        </w:rPr>
        <w:t>DRAFT AGENDA</w:t>
      </w:r>
    </w:p>
    <w:p w14:paraId="7876A006" w14:textId="77777777" w:rsidR="00E227F3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6F7EF6">
        <w:rPr>
          <w:rFonts w:cs="Calibri"/>
          <w:b/>
          <w:sz w:val="28"/>
          <w:szCs w:val="28"/>
        </w:rPr>
        <w:t>EXPERT GROUP ON INTERNATIONAL TELCOMMUNICATION REGULATIONS</w:t>
      </w:r>
    </w:p>
    <w:bookmarkEnd w:id="3"/>
    <w:bookmarkEnd w:id="4"/>
    <w:p w14:paraId="0500786C" w14:textId="77777777" w:rsidR="000406F0" w:rsidRPr="006F7EF6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6F7EF6">
        <w:rPr>
          <w:rFonts w:cs="Calibri"/>
          <w:bCs/>
        </w:rPr>
        <w:t>Monday 16 October 2023</w:t>
      </w:r>
    </w:p>
    <w:p w14:paraId="7E188A4B" w14:textId="77777777" w:rsidR="000406F0" w:rsidRPr="006F7EF6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6F7EF6">
        <w:rPr>
          <w:rFonts w:cs="Calibri"/>
          <w:bCs/>
        </w:rPr>
        <w:t>0930 – 1230 hours and 1430 – 1730 hours</w:t>
      </w:r>
    </w:p>
    <w:p w14:paraId="0E7E4EE5" w14:textId="4EC4C3D2" w:rsidR="000406F0" w:rsidRPr="000406F0" w:rsidRDefault="000406F0" w:rsidP="000406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60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BE6B1B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BE6B1B" w:rsidRPr="00BE6B1B">
        <w:rPr>
          <w:rFonts w:eastAsia="Calibri"/>
          <w:b/>
          <w:kern w:val="2"/>
          <w:szCs w:val="24"/>
          <w14:ligatures w14:val="standardContextual"/>
        </w:rPr>
        <w:t>Popov</w:t>
      </w:r>
      <w:r w:rsidRPr="00BE6B1B">
        <w:rPr>
          <w:rFonts w:eastAsia="Calibri"/>
          <w:b/>
          <w:kern w:val="2"/>
          <w:szCs w:val="24"/>
          <w14:ligatures w14:val="standardContextual"/>
        </w:rPr>
        <w:t>,</w:t>
      </w:r>
      <w:r w:rsidRPr="000406F0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567"/>
        <w:gridCol w:w="6663"/>
        <w:gridCol w:w="2126"/>
      </w:tblGrid>
      <w:tr w:rsidR="000406F0" w:rsidRPr="000406F0" w14:paraId="0B863472" w14:textId="77777777" w:rsidTr="000268AD">
        <w:trPr>
          <w:trHeight w:val="565"/>
          <w:jc w:val="center"/>
        </w:trPr>
        <w:tc>
          <w:tcPr>
            <w:tcW w:w="567" w:type="dxa"/>
            <w:vAlign w:val="center"/>
          </w:tcPr>
          <w:p w14:paraId="1EA54D2F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68EBB12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/>
                <w:kern w:val="2"/>
                <w:szCs w:val="24"/>
                <w14:ligatures w14:val="standardContextual"/>
              </w:rPr>
              <w:t>Item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B87D0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55F5CC46" w14:textId="77777777" w:rsidTr="000268AD">
        <w:trPr>
          <w:trHeight w:val="624"/>
          <w:jc w:val="center"/>
        </w:trPr>
        <w:tc>
          <w:tcPr>
            <w:tcW w:w="567" w:type="dxa"/>
          </w:tcPr>
          <w:p w14:paraId="3696B2E3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4E596E27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:highlight w:val="yellow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Introductory remarks</w:t>
            </w:r>
          </w:p>
        </w:tc>
        <w:tc>
          <w:tcPr>
            <w:tcW w:w="2126" w:type="dxa"/>
            <w:shd w:val="clear" w:color="auto" w:fill="auto"/>
          </w:tcPr>
          <w:p w14:paraId="57E3B724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3E8CC1F5" w14:textId="77777777" w:rsidTr="000268AD">
        <w:trPr>
          <w:trHeight w:val="624"/>
          <w:jc w:val="center"/>
        </w:trPr>
        <w:tc>
          <w:tcPr>
            <w:tcW w:w="567" w:type="dxa"/>
          </w:tcPr>
          <w:p w14:paraId="51AA7E5B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14:paraId="14BE5C9A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Adoption of the Agenda and allocation of documents</w:t>
            </w:r>
          </w:p>
        </w:tc>
        <w:tc>
          <w:tcPr>
            <w:tcW w:w="2126" w:type="dxa"/>
            <w:shd w:val="clear" w:color="auto" w:fill="auto"/>
          </w:tcPr>
          <w:p w14:paraId="65F336DE" w14:textId="795CCFA6" w:rsidR="000406F0" w:rsidRPr="000406F0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8" w:history="1">
              <w:r w:rsidR="00DA2884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</w:t>
              </w:r>
              <w:r w:rsidR="00DA2884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-1/1</w:t>
              </w:r>
              <w:r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(Rev.1)</w:t>
              </w:r>
            </w:hyperlink>
          </w:p>
        </w:tc>
      </w:tr>
      <w:tr w:rsidR="000406F0" w:rsidRPr="000406F0" w14:paraId="3B0DE5B0" w14:textId="77777777" w:rsidTr="000268AD">
        <w:trPr>
          <w:trHeight w:val="624"/>
          <w:jc w:val="center"/>
        </w:trPr>
        <w:tc>
          <w:tcPr>
            <w:tcW w:w="567" w:type="dxa"/>
          </w:tcPr>
          <w:p w14:paraId="38F9AFA4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14:paraId="5DD40609" w14:textId="6E7F965A" w:rsidR="000406F0" w:rsidRPr="000406F0" w:rsidRDefault="00C95CB7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Presentation of </w:t>
            </w:r>
            <w:r w:rsidR="000406F0"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working methods and terms of reference of EG-ITRs, based on PP Res. 146 (Rev. </w:t>
            </w:r>
            <w:r w:rsidR="00FB17C0">
              <w:rPr>
                <w:rFonts w:eastAsia="Calibri"/>
                <w:bCs/>
                <w:kern w:val="2"/>
                <w:szCs w:val="24"/>
                <w14:ligatures w14:val="standardContextual"/>
              </w:rPr>
              <w:t>Bucharest</w:t>
            </w:r>
            <w:r w:rsidR="000406F0"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, 2022) and Council Res. 1379 (Mod. 2023)</w:t>
            </w:r>
          </w:p>
        </w:tc>
        <w:tc>
          <w:tcPr>
            <w:tcW w:w="2126" w:type="dxa"/>
            <w:shd w:val="clear" w:color="auto" w:fill="auto"/>
          </w:tcPr>
          <w:p w14:paraId="29F870D8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20894E48" w14:textId="77777777" w:rsidTr="000268AD">
        <w:trPr>
          <w:trHeight w:val="624"/>
          <w:jc w:val="center"/>
        </w:trPr>
        <w:tc>
          <w:tcPr>
            <w:tcW w:w="567" w:type="dxa"/>
          </w:tcPr>
          <w:p w14:paraId="1F3154E6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4292CBBA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Discussion of the work plan of EG-ITRs, </w:t>
            </w:r>
            <w:proofErr w:type="gramStart"/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taking into account</w:t>
            </w:r>
            <w:proofErr w:type="gramEnd"/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 the contributions received</w:t>
            </w:r>
          </w:p>
        </w:tc>
        <w:tc>
          <w:tcPr>
            <w:tcW w:w="2126" w:type="dxa"/>
            <w:shd w:val="clear" w:color="auto" w:fill="auto"/>
          </w:tcPr>
          <w:p w14:paraId="03DB87C5" w14:textId="34A948DE" w:rsidR="000406F0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9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EG-ITRs-1/3</w:t>
              </w:r>
            </w:hyperlink>
          </w:p>
          <w:p w14:paraId="2E8882A7" w14:textId="703C5AF8" w:rsidR="00F83B2C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0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EG-ITRs-1/4</w:t>
              </w:r>
            </w:hyperlink>
          </w:p>
          <w:p w14:paraId="37A7B502" w14:textId="288E8FAB" w:rsidR="00F83B2C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1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EG-ITRs-1/5</w:t>
              </w:r>
            </w:hyperlink>
          </w:p>
          <w:p w14:paraId="4BF53E81" w14:textId="100482AC" w:rsidR="00F83B2C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2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EG-ITRs-1/6</w:t>
              </w:r>
            </w:hyperlink>
          </w:p>
          <w:p w14:paraId="76D69771" w14:textId="5B6F5186" w:rsidR="00F83B2C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3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EG-ITRs-1/9</w:t>
              </w:r>
              <w:r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(Rev.1)</w:t>
              </w:r>
            </w:hyperlink>
          </w:p>
          <w:p w14:paraId="0D45875C" w14:textId="0EB35A34" w:rsidR="00F83B2C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4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EG-ITRs-1/10</w:t>
              </w:r>
            </w:hyperlink>
          </w:p>
          <w:p w14:paraId="149E860D" w14:textId="377FDFF9" w:rsidR="00F83B2C" w:rsidRPr="000406F0" w:rsidRDefault="00F83B2C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4D901B2F" w14:textId="77777777" w:rsidTr="000268AD">
        <w:trPr>
          <w:trHeight w:val="624"/>
          <w:jc w:val="center"/>
        </w:trPr>
        <w:tc>
          <w:tcPr>
            <w:tcW w:w="567" w:type="dxa"/>
          </w:tcPr>
          <w:p w14:paraId="4E8CE46A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0E23A28F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Introduction/Discussion of other Contributions from Member States and Sector Members</w:t>
            </w:r>
          </w:p>
        </w:tc>
        <w:tc>
          <w:tcPr>
            <w:tcW w:w="2126" w:type="dxa"/>
            <w:shd w:val="clear" w:color="auto" w:fill="auto"/>
          </w:tcPr>
          <w:p w14:paraId="3053B6D3" w14:textId="6CAAA6BC" w:rsidR="000406F0" w:rsidRDefault="000268AD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5" w:history="1">
              <w:r w:rsidR="00F83B2C" w:rsidRPr="000268AD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EG-ITRs-1/2</w:t>
              </w:r>
              <w:r w:rsidRPr="000268AD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+Add.1-15</w:t>
              </w:r>
            </w:hyperlink>
          </w:p>
          <w:p w14:paraId="5782B8E9" w14:textId="5B71659F" w:rsidR="00F83B2C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16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EG-ITRs-1/7</w:t>
              </w:r>
            </w:hyperlink>
          </w:p>
          <w:p w14:paraId="081FF895" w14:textId="5AAAAC80" w:rsidR="00F83B2C" w:rsidRPr="000406F0" w:rsidRDefault="00BE5122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color w:val="0000FF"/>
                <w:kern w:val="2"/>
                <w:szCs w:val="24"/>
                <w:u w:val="single"/>
                <w14:ligatures w14:val="standardContextual"/>
              </w:rPr>
            </w:pPr>
            <w:hyperlink r:id="rId17" w:history="1">
              <w:r w:rsidR="00F83B2C" w:rsidRPr="00BE5122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EG-ITRs-1/8</w:t>
              </w:r>
            </w:hyperlink>
          </w:p>
        </w:tc>
      </w:tr>
      <w:tr w:rsidR="000406F0" w:rsidRPr="000406F0" w14:paraId="3183D679" w14:textId="77777777" w:rsidTr="000268AD">
        <w:trPr>
          <w:trHeight w:val="624"/>
          <w:jc w:val="center"/>
        </w:trPr>
        <w:tc>
          <w:tcPr>
            <w:tcW w:w="567" w:type="dxa"/>
          </w:tcPr>
          <w:p w14:paraId="2C6FB69D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lastRenderedPageBreak/>
              <w:t>6</w:t>
            </w:r>
          </w:p>
        </w:tc>
        <w:tc>
          <w:tcPr>
            <w:tcW w:w="6663" w:type="dxa"/>
            <w:shd w:val="clear" w:color="auto" w:fill="auto"/>
          </w:tcPr>
          <w:p w14:paraId="54BD6506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of next steps</w:t>
            </w:r>
          </w:p>
        </w:tc>
        <w:tc>
          <w:tcPr>
            <w:tcW w:w="2126" w:type="dxa"/>
            <w:shd w:val="clear" w:color="auto" w:fill="auto"/>
          </w:tcPr>
          <w:p w14:paraId="00D975AB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EC1B87" w14:paraId="140BF517" w14:textId="77777777" w:rsidTr="000268AD">
        <w:trPr>
          <w:trHeight w:val="624"/>
          <w:jc w:val="center"/>
        </w:trPr>
        <w:tc>
          <w:tcPr>
            <w:tcW w:w="567" w:type="dxa"/>
          </w:tcPr>
          <w:p w14:paraId="29C7A006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14:paraId="6A52D0C5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Other business</w:t>
            </w:r>
          </w:p>
        </w:tc>
        <w:tc>
          <w:tcPr>
            <w:tcW w:w="2126" w:type="dxa"/>
            <w:shd w:val="clear" w:color="auto" w:fill="auto"/>
          </w:tcPr>
          <w:p w14:paraId="061FFBCF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</w:tbl>
    <w:p w14:paraId="29C6325F" w14:textId="77777777" w:rsidR="000406F0" w:rsidRPr="000406F0" w:rsidRDefault="000406F0" w:rsidP="000406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840" w:after="120" w:line="259" w:lineRule="auto"/>
        <w:textAlignment w:val="auto"/>
        <w:rPr>
          <w:rFonts w:eastAsia="Calibri"/>
          <w:kern w:val="2"/>
          <w:szCs w:val="24"/>
          <w14:ligatures w14:val="standardContextual"/>
        </w:rPr>
      </w:pPr>
      <w:r w:rsidRPr="000406F0">
        <w:rPr>
          <w:rFonts w:eastAsia="Calibri"/>
          <w:kern w:val="2"/>
          <w:sz w:val="22"/>
          <w:szCs w:val="22"/>
          <w14:ligatures w14:val="standardContextual"/>
        </w:rPr>
        <w:tab/>
      </w:r>
      <w:r w:rsidRPr="000406F0">
        <w:rPr>
          <w:rFonts w:eastAsia="Calibri"/>
          <w:kern w:val="2"/>
          <w:szCs w:val="24"/>
          <w14:ligatures w14:val="standardContextual"/>
        </w:rPr>
        <w:t>Shahira SELIM</w:t>
      </w:r>
    </w:p>
    <w:p w14:paraId="33873723" w14:textId="0AA8E1DF" w:rsidR="000406F0" w:rsidRPr="000406F0" w:rsidRDefault="000406F0" w:rsidP="000406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line="259" w:lineRule="auto"/>
        <w:textAlignment w:val="auto"/>
        <w:rPr>
          <w:rFonts w:eastAsia="Calibri"/>
          <w:kern w:val="2"/>
          <w:szCs w:val="24"/>
          <w14:ligatures w14:val="standardContextual"/>
        </w:rPr>
      </w:pPr>
      <w:r w:rsidRPr="000406F0">
        <w:rPr>
          <w:rFonts w:eastAsia="Calibri"/>
          <w:kern w:val="2"/>
          <w:szCs w:val="24"/>
          <w14:ligatures w14:val="standardContextual"/>
        </w:rPr>
        <w:tab/>
        <w:t>Chair</w:t>
      </w:r>
    </w:p>
    <w:bookmarkEnd w:id="5"/>
    <w:bookmarkEnd w:id="8"/>
    <w:p w14:paraId="6ED9A4FC" w14:textId="154AB219" w:rsidR="00A514A4" w:rsidRPr="0090147A" w:rsidRDefault="006F7EF6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s-ES"/>
        </w:rPr>
      </w:pPr>
      <w:r>
        <w:rPr>
          <w:lang w:val="es-ES"/>
        </w:rPr>
        <w:t>_____________</w:t>
      </w:r>
    </w:p>
    <w:sectPr w:rsidR="00A514A4" w:rsidRPr="0090147A" w:rsidSect="00AD3606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8651" w14:textId="77777777" w:rsidR="00084B83" w:rsidRDefault="00084B83">
      <w:r>
        <w:separator/>
      </w:r>
    </w:p>
  </w:endnote>
  <w:endnote w:type="continuationSeparator" w:id="0">
    <w:p w14:paraId="404EA1E4" w14:textId="77777777" w:rsidR="00084B83" w:rsidRDefault="0008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AC1A17A" w14:textId="77777777" w:rsidTr="0042469C">
      <w:trPr>
        <w:jc w:val="center"/>
      </w:trPr>
      <w:tc>
        <w:tcPr>
          <w:tcW w:w="1803" w:type="dxa"/>
          <w:vAlign w:val="center"/>
        </w:tcPr>
        <w:p w14:paraId="4EF70942" w14:textId="6C5ABA5D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62B0091" w14:textId="0B542C3B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BE5122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BE5122">
            <w:rPr>
              <w:bCs/>
            </w:rPr>
            <w:t>1(Rev.1)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5CA741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79233042" w14:textId="77777777" w:rsidTr="00A52C84">
      <w:trPr>
        <w:jc w:val="center"/>
      </w:trPr>
      <w:tc>
        <w:tcPr>
          <w:tcW w:w="3107" w:type="dxa"/>
          <w:vAlign w:val="center"/>
        </w:tcPr>
        <w:p w14:paraId="3190AA1A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15DA7766" w14:textId="75099289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6F7EF6">
            <w:rPr>
              <w:bCs/>
            </w:rPr>
            <w:t>1</w:t>
          </w:r>
          <w:r w:rsidRPr="00623AE3">
            <w:rPr>
              <w:bCs/>
            </w:rPr>
            <w:t>/</w:t>
          </w:r>
          <w:r w:rsidR="006F7EF6">
            <w:rPr>
              <w:bCs/>
            </w:rPr>
            <w:t>1</w:t>
          </w:r>
          <w:r w:rsidR="00BE5122">
            <w:rPr>
              <w:bCs/>
            </w:rPr>
            <w:t>(Rev.1)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FF5A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4F72" w14:textId="77777777" w:rsidR="00084B83" w:rsidRDefault="00084B83">
      <w:r>
        <w:t>____________________</w:t>
      </w:r>
    </w:p>
  </w:footnote>
  <w:footnote w:type="continuationSeparator" w:id="0">
    <w:p w14:paraId="1A198327" w14:textId="77777777" w:rsidR="00084B83" w:rsidRDefault="0008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9D0AE06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7B5A7541" w14:textId="77777777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C12BD5" wp14:editId="3ABB3431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3ACDFCEA" wp14:editId="0B6C70EE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851356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E7979F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48ED9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5B0FE0A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51EB8" wp14:editId="42E864E4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355D1" wp14:editId="2BB02EB5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CB24B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745D44">
                            <w:rPr>
                              <w:sz w:val="20"/>
                            </w:rPr>
                            <w:t>Seventh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355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20FCB24B" w14:textId="7777777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745D44">
                      <w:rPr>
                        <w:sz w:val="20"/>
                      </w:rPr>
                      <w:t>Seventh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68AD"/>
    <w:rsid w:val="000406F0"/>
    <w:rsid w:val="00063016"/>
    <w:rsid w:val="00066795"/>
    <w:rsid w:val="00076AF6"/>
    <w:rsid w:val="00084B83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A4FD1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15A92"/>
    <w:rsid w:val="005243FF"/>
    <w:rsid w:val="00564FBC"/>
    <w:rsid w:val="005800BC"/>
    <w:rsid w:val="00582442"/>
    <w:rsid w:val="005A335D"/>
    <w:rsid w:val="005E2BD5"/>
    <w:rsid w:val="005F3269"/>
    <w:rsid w:val="00623AE3"/>
    <w:rsid w:val="0063685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11BB"/>
    <w:rsid w:val="006F7EF6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28B5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E5122"/>
    <w:rsid w:val="00BE6B1B"/>
    <w:rsid w:val="00BF0749"/>
    <w:rsid w:val="00C01189"/>
    <w:rsid w:val="00C374DE"/>
    <w:rsid w:val="00C47AD4"/>
    <w:rsid w:val="00C52D81"/>
    <w:rsid w:val="00C55198"/>
    <w:rsid w:val="00C95CB7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2884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1B87"/>
    <w:rsid w:val="00EC5337"/>
    <w:rsid w:val="00EE49E8"/>
    <w:rsid w:val="00EF35C9"/>
    <w:rsid w:val="00F16BAB"/>
    <w:rsid w:val="00F2150A"/>
    <w:rsid w:val="00F231D8"/>
    <w:rsid w:val="00F44C00"/>
    <w:rsid w:val="00F45D2C"/>
    <w:rsid w:val="00F46C5F"/>
    <w:rsid w:val="00F632C0"/>
    <w:rsid w:val="00F74694"/>
    <w:rsid w:val="00F83B2C"/>
    <w:rsid w:val="00F94A63"/>
    <w:rsid w:val="00FA1C28"/>
    <w:rsid w:val="00FB1279"/>
    <w:rsid w:val="00FB17C0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4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DA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EGITRS1-C-0001/en" TargetMode="External"/><Relationship Id="rId13" Type="http://schemas.openxmlformats.org/officeDocument/2006/relationships/hyperlink" Target="https://www.itu.int/md/S23-EGITRS1-C-0009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EGITRS1-C-0006/en" TargetMode="External"/><Relationship Id="rId17" Type="http://schemas.openxmlformats.org/officeDocument/2006/relationships/hyperlink" Target="https://www.itu.int/md/S23-EGITRS1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EGITRS1-C-000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EGITRS1-C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EGITRS1-C-0002/en" TargetMode="External"/><Relationship Id="rId10" Type="http://schemas.openxmlformats.org/officeDocument/2006/relationships/hyperlink" Target="https://www.itu.int/md/S23-EGITRS1-C-0004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EGITRS1-C-0003/en" TargetMode="External"/><Relationship Id="rId14" Type="http://schemas.openxmlformats.org/officeDocument/2006/relationships/hyperlink" Target="https://www.itu.int/md/S23-EGITRS1-C-0010/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1368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1485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2023-10-12T15:18:00Z</dcterms:created>
  <dcterms:modified xsi:type="dcterms:W3CDTF">2023-10-12T15:21:00Z</dcterms:modified>
  <cp:category>Conference document</cp:category>
</cp:coreProperties>
</file>