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41CC8DC1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E289DD5" w14:textId="77777777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73BF256" w14:textId="5A5185D8" w:rsidR="00AD3606" w:rsidRPr="00BB7DEF" w:rsidRDefault="00324386" w:rsidP="00B16B0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Addendum </w:t>
            </w:r>
            <w:proofErr w:type="gramStart"/>
            <w:r>
              <w:rPr>
                <w:b/>
                <w:lang w:val="en-US"/>
              </w:rPr>
              <w:t>7</w:t>
            </w:r>
            <w:proofErr w:type="gramEnd"/>
            <w:r>
              <w:rPr>
                <w:b/>
                <w:lang w:val="en-US"/>
              </w:rPr>
              <w:t xml:space="preserve"> to</w:t>
            </w:r>
            <w:r>
              <w:rPr>
                <w:b/>
                <w:lang w:val="en-US"/>
              </w:rPr>
              <w:br/>
            </w:r>
            <w:r w:rsidR="00AD3606" w:rsidRPr="00BB7DEF">
              <w:rPr>
                <w:b/>
                <w:lang w:val="en-US"/>
              </w:rPr>
              <w:t xml:space="preserve">Document </w:t>
            </w:r>
            <w:r w:rsidR="00A028B5" w:rsidRPr="00BB7DEF">
              <w:rPr>
                <w:b/>
                <w:lang w:val="en-US"/>
              </w:rPr>
              <w:t>EG-ITRs</w:t>
            </w:r>
            <w:r w:rsidR="00A52C84" w:rsidRPr="00BB7DEF">
              <w:rPr>
                <w:b/>
                <w:lang w:val="en-US"/>
              </w:rPr>
              <w:t>-</w:t>
            </w:r>
            <w:r w:rsidR="00616C10" w:rsidRPr="00BB7DEF">
              <w:rPr>
                <w:b/>
                <w:lang w:val="en-US"/>
              </w:rPr>
              <w:t>1</w:t>
            </w:r>
            <w:r w:rsidR="00AD3606" w:rsidRPr="00BB7DEF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2</w:t>
            </w:r>
          </w:p>
        </w:tc>
      </w:tr>
      <w:tr w:rsidR="00AD3606" w:rsidRPr="00813E5E" w14:paraId="59420279" w14:textId="77777777" w:rsidTr="00AD3606">
        <w:trPr>
          <w:cantSplit/>
        </w:trPr>
        <w:tc>
          <w:tcPr>
            <w:tcW w:w="3969" w:type="dxa"/>
            <w:vMerge/>
          </w:tcPr>
          <w:p w14:paraId="5F670E03" w14:textId="77777777" w:rsidR="00AD3606" w:rsidRPr="00BB7DEF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n-US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F916E52" w14:textId="04888A96" w:rsidR="00AD3606" w:rsidRPr="00E85629" w:rsidRDefault="00587FD7" w:rsidP="00587FD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AD3606">
              <w:rPr>
                <w:b/>
              </w:rPr>
              <w:t xml:space="preserve"> </w:t>
            </w:r>
            <w:r w:rsidR="005A335D">
              <w:rPr>
                <w:b/>
              </w:rPr>
              <w:t>September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6913B51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465CF1F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60C7B911" w14:textId="77777777" w:rsidR="00AD3606" w:rsidRPr="00E85629" w:rsidRDefault="00A028B5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291CBF">
              <w:rPr>
                <w:b/>
              </w:rPr>
              <w:t xml:space="preserve"> only</w:t>
            </w:r>
          </w:p>
        </w:tc>
      </w:tr>
      <w:tr w:rsidR="00472BAD" w:rsidRPr="00813E5E" w14:paraId="24B3693E" w14:textId="77777777" w:rsidTr="00AD3606">
        <w:trPr>
          <w:cantSplit/>
          <w:trHeight w:val="23"/>
        </w:trPr>
        <w:tc>
          <w:tcPr>
            <w:tcW w:w="3969" w:type="dxa"/>
          </w:tcPr>
          <w:p w14:paraId="34170D1F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35F28F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6145B26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1D93D61" w14:textId="77777777" w:rsidR="00AD3606" w:rsidRPr="00813E5E" w:rsidRDefault="00244F7F" w:rsidP="00587FD7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>
              <w:t>Contribution</w:t>
            </w:r>
            <w:r w:rsidR="00AD3606" w:rsidRPr="002C54E2">
              <w:t xml:space="preserve"> </w:t>
            </w:r>
            <w:r w:rsidR="00864283">
              <w:t xml:space="preserve">from </w:t>
            </w:r>
            <w:r w:rsidR="00587FD7">
              <w:t>HILL</w:t>
            </w:r>
          </w:p>
        </w:tc>
      </w:tr>
      <w:tr w:rsidR="00AD3606" w:rsidRPr="00813E5E" w14:paraId="34B131F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5F9A163" w14:textId="38770BB4" w:rsidR="00AD3606" w:rsidRPr="00813E5E" w:rsidRDefault="00324386" w:rsidP="00BB7DEF">
            <w:pPr>
              <w:pStyle w:val="Subtitle"/>
              <w:framePr w:hSpace="0" w:wrap="auto" w:hAnchor="text" w:xAlign="left" w:yAlign="inline"/>
            </w:pPr>
            <w:bookmarkStart w:id="9" w:name="dtitle1" w:colFirst="0" w:colLast="0"/>
            <w:bookmarkEnd w:id="8"/>
            <w:r>
              <w:t xml:space="preserve">ART. 7: </w:t>
            </w:r>
            <w:r w:rsidRPr="0090547E">
              <w:t>UNSOLICITED BULK ELECTRONIC COMMUNICATIONS</w:t>
            </w:r>
          </w:p>
        </w:tc>
      </w:tr>
      <w:tr w:rsidR="00AD3606" w:rsidRPr="00813E5E" w14:paraId="25EDB20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9BDDEF9" w14:textId="77777777" w:rsidR="00324386" w:rsidRPr="004D648B" w:rsidRDefault="00324386" w:rsidP="00324386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Purpose</w:t>
            </w:r>
          </w:p>
          <w:p w14:paraId="041FF1CB" w14:textId="77777777" w:rsidR="00324386" w:rsidRPr="007832AD" w:rsidRDefault="00324386" w:rsidP="00324386">
            <w:pPr>
              <w:spacing w:before="160"/>
              <w:rPr>
                <w:szCs w:val="24"/>
              </w:rPr>
            </w:pPr>
            <w:r w:rsidRPr="007832AD">
              <w:rPr>
                <w:szCs w:val="24"/>
              </w:rPr>
              <w:t>Discussion</w:t>
            </w:r>
          </w:p>
          <w:p w14:paraId="588BAB9F" w14:textId="77777777" w:rsidR="00324386" w:rsidRPr="004D648B" w:rsidRDefault="00324386" w:rsidP="00324386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4D648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0143D96B" w14:textId="77777777" w:rsidR="00324386" w:rsidRPr="007832AD" w:rsidRDefault="00324386" w:rsidP="00324386">
            <w:pPr>
              <w:spacing w:before="160"/>
              <w:rPr>
                <w:szCs w:val="24"/>
              </w:rPr>
            </w:pPr>
            <w:r>
              <w:rPr>
                <w:szCs w:val="24"/>
              </w:rPr>
              <w:t xml:space="preserve">The document is submitted to EG-ITRs </w:t>
            </w:r>
            <w:r w:rsidRPr="007832AD">
              <w:rPr>
                <w:b/>
                <w:bCs/>
                <w:szCs w:val="24"/>
              </w:rPr>
              <w:t>for discussion</w:t>
            </w:r>
            <w:r>
              <w:rPr>
                <w:szCs w:val="24"/>
              </w:rPr>
              <w:t xml:space="preserve">. </w:t>
            </w:r>
          </w:p>
          <w:p w14:paraId="22F88B81" w14:textId="77777777" w:rsidR="00324386" w:rsidRPr="0052249C" w:rsidRDefault="00324386" w:rsidP="00324386">
            <w:pPr>
              <w:spacing w:before="160"/>
              <w:rPr>
                <w:sz w:val="26"/>
                <w:szCs w:val="26"/>
              </w:rPr>
            </w:pPr>
            <w:r w:rsidRPr="0052249C">
              <w:rPr>
                <w:sz w:val="26"/>
                <w:szCs w:val="26"/>
              </w:rPr>
              <w:t>____________________________________</w:t>
            </w:r>
          </w:p>
          <w:p w14:paraId="340C9F18" w14:textId="77777777" w:rsidR="00324386" w:rsidRDefault="00324386" w:rsidP="00324386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Reference</w:t>
            </w:r>
          </w:p>
          <w:p w14:paraId="798607FF" w14:textId="634028C8" w:rsidR="00AD3606" w:rsidRDefault="00324386" w:rsidP="00324386">
            <w:pPr>
              <w:spacing w:after="160"/>
            </w:pPr>
            <w:hyperlink r:id="rId8" w:history="1">
              <w:r w:rsidRPr="007832AD">
                <w:rPr>
                  <w:rStyle w:val="Hyperlink"/>
                </w:rPr>
                <w:t>Council Resolution 1379, revised 2023</w:t>
              </w:r>
            </w:hyperlink>
          </w:p>
        </w:tc>
      </w:tr>
    </w:tbl>
    <w:p w14:paraId="2AD3A211" w14:textId="77777777" w:rsidR="00E227F3" w:rsidRPr="00324386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13FD32C1" w14:textId="77777777" w:rsidR="0090147A" w:rsidRPr="00324386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324386">
        <w:br w:type="page"/>
      </w:r>
    </w:p>
    <w:bookmarkEnd w:id="5"/>
    <w:bookmarkEnd w:id="10"/>
    <w:p w14:paraId="7390E203" w14:textId="77777777" w:rsidR="00587FD7" w:rsidRPr="00324386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lastRenderedPageBreak/>
        <w:t xml:space="preserve">1. The work of the current ITR-EG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is specified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in its Terms of Reference</w:t>
      </w:r>
      <w:r w:rsidRPr="00324386">
        <w:rPr>
          <w:rFonts w:asciiTheme="minorHAnsi" w:eastAsiaTheme="minorHAnsi" w:hAnsiTheme="minorHAnsi" w:cstheme="minorHAnsi"/>
          <w:vertAlign w:val="superscript"/>
          <w:lang w:val="en-US"/>
        </w:rPr>
        <w:footnoteReference w:id="1"/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>:</w:t>
      </w:r>
    </w:p>
    <w:p w14:paraId="183B8D5F" w14:textId="77777777" w:rsidR="00587FD7" w:rsidRPr="00324386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i/>
          <w:iCs/>
          <w:szCs w:val="24"/>
        </w:rPr>
      </w:pPr>
      <w:r w:rsidRPr="00324386">
        <w:rPr>
          <w:rFonts w:asciiTheme="minorHAnsi" w:eastAsiaTheme="minorHAnsi" w:hAnsiTheme="minorHAnsi" w:cstheme="minorHAnsi"/>
          <w:i/>
          <w:iCs/>
          <w:szCs w:val="24"/>
        </w:rPr>
        <w:t>2</w:t>
      </w:r>
      <w:r w:rsidRPr="00324386">
        <w:rPr>
          <w:rFonts w:asciiTheme="minorHAnsi" w:eastAsiaTheme="minorHAnsi" w:hAnsiTheme="minorHAnsi" w:cstheme="minorHAnsi"/>
          <w:i/>
          <w:iCs/>
          <w:szCs w:val="24"/>
        </w:rPr>
        <w:tab/>
        <w:t xml:space="preserve">Taking into consideration the work of the previous two Expert Groups, the review may consider, among others: </w:t>
      </w:r>
    </w:p>
    <w:p w14:paraId="3FAB27CA" w14:textId="77777777" w:rsidR="00587FD7" w:rsidRPr="00324386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i/>
          <w:iCs/>
          <w:szCs w:val="24"/>
        </w:rPr>
      </w:pPr>
      <w:r w:rsidRPr="00324386">
        <w:rPr>
          <w:rFonts w:asciiTheme="minorHAnsi" w:eastAsiaTheme="minorHAnsi" w:hAnsiTheme="minorHAnsi" w:cstheme="minorHAnsi"/>
          <w:i/>
          <w:iCs/>
          <w:szCs w:val="24"/>
        </w:rPr>
        <w:t>a)</w:t>
      </w:r>
      <w:r w:rsidRPr="00324386">
        <w:rPr>
          <w:rFonts w:asciiTheme="minorHAnsi" w:eastAsiaTheme="minorHAnsi" w:hAnsiTheme="minorHAnsi" w:cstheme="minorHAnsi"/>
          <w:i/>
          <w:iCs/>
          <w:szCs w:val="24"/>
        </w:rPr>
        <w:tab/>
        <w:t>new trends in telecommunications/ICT and emerging issues in international telecommunications/ICT environment which may impact the ITRs,</w:t>
      </w:r>
    </w:p>
    <w:p w14:paraId="242245A7" w14:textId="77777777" w:rsidR="00587FD7" w:rsidRPr="00324386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i/>
          <w:iCs/>
          <w:szCs w:val="24"/>
        </w:rPr>
      </w:pPr>
      <w:r w:rsidRPr="00324386">
        <w:rPr>
          <w:rFonts w:asciiTheme="minorHAnsi" w:eastAsiaTheme="minorHAnsi" w:hAnsiTheme="minorHAnsi" w:cstheme="minorHAnsi"/>
          <w:i/>
          <w:iCs/>
          <w:szCs w:val="24"/>
        </w:rPr>
        <w:t>b)</w:t>
      </w:r>
      <w:r w:rsidRPr="00324386">
        <w:rPr>
          <w:rFonts w:asciiTheme="minorHAnsi" w:eastAsiaTheme="minorHAnsi" w:hAnsiTheme="minorHAnsi" w:cstheme="minorHAnsi"/>
          <w:i/>
          <w:iCs/>
          <w:szCs w:val="24"/>
        </w:rPr>
        <w:tab/>
        <w:t>empirical data on the current use of the ITRs by operating agencies and/or administrations and the proportion of global telecommunication services which now rely on the ITRs, and</w:t>
      </w:r>
    </w:p>
    <w:p w14:paraId="51D6E644" w14:textId="77777777" w:rsidR="00587FD7" w:rsidRPr="00324386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szCs w:val="24"/>
        </w:rPr>
      </w:pPr>
      <w:r w:rsidRPr="00324386">
        <w:rPr>
          <w:rFonts w:asciiTheme="minorHAnsi" w:eastAsiaTheme="minorHAnsi" w:hAnsiTheme="minorHAnsi" w:cstheme="minorHAnsi"/>
          <w:i/>
          <w:iCs/>
          <w:szCs w:val="24"/>
        </w:rPr>
        <w:t>c)</w:t>
      </w:r>
      <w:r w:rsidRPr="00324386">
        <w:rPr>
          <w:rFonts w:asciiTheme="minorHAnsi" w:eastAsiaTheme="minorHAnsi" w:hAnsiTheme="minorHAnsi" w:cstheme="minorHAnsi"/>
          <w:i/>
          <w:iCs/>
          <w:szCs w:val="24"/>
        </w:rPr>
        <w:tab/>
        <w:t>the relevance of the ITRs which “consist of high-level guiding principles” in the current telecommunication/ICT environment.</w:t>
      </w:r>
    </w:p>
    <w:p w14:paraId="3C4CAD4C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>2. This contribution focuses on Art. 7 of the 2012 ITRs, Unsolicited bulk electronic communications, which states:</w:t>
      </w:r>
    </w:p>
    <w:p w14:paraId="64A11A58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i/>
          <w:iCs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i/>
          <w:iCs/>
          <w:szCs w:val="24"/>
          <w:lang w:val="en-US"/>
        </w:rPr>
        <w:t>7.1</w:t>
      </w:r>
      <w:r w:rsidRPr="00324386">
        <w:rPr>
          <w:rFonts w:asciiTheme="minorHAnsi" w:eastAsiaTheme="minorHAnsi" w:hAnsiTheme="minorHAnsi" w:cstheme="minorHAnsi"/>
          <w:i/>
          <w:iCs/>
          <w:szCs w:val="24"/>
          <w:lang w:val="en-US"/>
        </w:rPr>
        <w:tab/>
        <w:t>Member States should endeavor to take necessary measures to prevent the propagation of unsolicited bulk electronic communications and minimize its impact on international telecommunication services.</w:t>
      </w:r>
    </w:p>
    <w:p w14:paraId="137C84BA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i/>
          <w:iCs/>
          <w:szCs w:val="24"/>
          <w:lang w:val="en-US"/>
        </w:rPr>
        <w:t>7.2</w:t>
      </w:r>
      <w:r w:rsidRPr="00324386">
        <w:rPr>
          <w:rFonts w:asciiTheme="minorHAnsi" w:eastAsiaTheme="minorHAnsi" w:hAnsiTheme="minorHAnsi" w:cstheme="minorHAnsi"/>
          <w:i/>
          <w:iCs/>
          <w:szCs w:val="24"/>
          <w:lang w:val="en-US"/>
        </w:rPr>
        <w:tab/>
        <w:t xml:space="preserve">Member States </w:t>
      </w:r>
      <w:proofErr w:type="gramStart"/>
      <w:r w:rsidRPr="00324386">
        <w:rPr>
          <w:rFonts w:asciiTheme="minorHAnsi" w:eastAsiaTheme="minorHAnsi" w:hAnsiTheme="minorHAnsi" w:cstheme="minorHAnsi"/>
          <w:i/>
          <w:iCs/>
          <w:szCs w:val="24"/>
          <w:lang w:val="en-US"/>
        </w:rPr>
        <w:t>are encouraged</w:t>
      </w:r>
      <w:proofErr w:type="gramEnd"/>
      <w:r w:rsidRPr="00324386">
        <w:rPr>
          <w:rFonts w:asciiTheme="minorHAnsi" w:eastAsiaTheme="minorHAnsi" w:hAnsiTheme="minorHAnsi" w:cstheme="minorHAnsi"/>
          <w:i/>
          <w:iCs/>
          <w:szCs w:val="24"/>
          <w:lang w:val="en-US"/>
        </w:rPr>
        <w:t xml:space="preserve"> to cooperate in that sense.</w:t>
      </w:r>
    </w:p>
    <w:p w14:paraId="2AFC967C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b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b/>
          <w:szCs w:val="24"/>
          <w:lang w:val="en-US"/>
        </w:rPr>
        <w:t>Discussion of Article 7</w:t>
      </w:r>
    </w:p>
    <w:p w14:paraId="3725CE64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3. Criticism of this provision has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been addressed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in academic writings</w:t>
      </w:r>
      <w:r w:rsidRPr="00324386">
        <w:rPr>
          <w:rFonts w:asciiTheme="minorHAnsi" w:eastAsiaTheme="minorHAnsi" w:hAnsiTheme="minorHAnsi" w:cstheme="minorHAnsi"/>
          <w:vertAlign w:val="superscript"/>
          <w:lang w:val="en-US"/>
        </w:rPr>
        <w:footnoteReference w:id="2"/>
      </w:r>
      <w:r w:rsidRPr="00324386">
        <w:rPr>
          <w:rFonts w:asciiTheme="minorHAnsi" w:eastAsiaTheme="minorHAnsi" w:hAnsiTheme="minorHAnsi" w:cstheme="minorHAnsi"/>
          <w:szCs w:val="24"/>
          <w:vertAlign w:val="superscript"/>
          <w:lang w:val="en-US"/>
        </w:rPr>
        <w:t>,</w:t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</w:t>
      </w:r>
      <w:r w:rsidRPr="00324386">
        <w:rPr>
          <w:rFonts w:asciiTheme="minorHAnsi" w:eastAsiaTheme="minorHAnsi" w:hAnsiTheme="minorHAnsi" w:cstheme="minorHAnsi"/>
          <w:vertAlign w:val="superscript"/>
          <w:lang w:val="en-US"/>
        </w:rPr>
        <w:footnoteReference w:id="3"/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>.</w:t>
      </w:r>
    </w:p>
    <w:p w14:paraId="406BA6C6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4. Starting in 2017,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several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Member States, in particular developed countries, proposed that provisions regarding spam should be included in free trade agreements, including those agreed in the World Trade Organization (WTO).</w:t>
      </w:r>
    </w:p>
    <w:p w14:paraId="7CE9C89A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5. As of early 2021,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it appeared that the following text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had been approved by the WTO Joint Statement Initiative (JSI) on e-commerce</w:t>
      </w:r>
      <w:r w:rsidRPr="00324386">
        <w:rPr>
          <w:rFonts w:asciiTheme="minorHAnsi" w:eastAsiaTheme="minorHAnsi" w:hAnsiTheme="minorHAnsi" w:cstheme="minorHAnsi"/>
          <w:vertAlign w:val="superscript"/>
          <w:lang w:val="en-US"/>
        </w:rPr>
        <w:footnoteReference w:id="4"/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>:</w:t>
      </w:r>
    </w:p>
    <w:p w14:paraId="2FC1B182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>C.1(2) Unsolicited commercial electronic messages</w:t>
      </w:r>
    </w:p>
    <w:p w14:paraId="34C3A1EB" w14:textId="77777777" w:rsidR="0090547E" w:rsidRPr="00324386" w:rsidRDefault="0090547E" w:rsidP="00905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i/>
          <w:iCs/>
          <w:szCs w:val="24"/>
          <w:lang w:val="en-US"/>
        </w:rPr>
        <w:t>Co-convenors</w:t>
      </w:r>
      <w:proofErr w:type="gramStart"/>
      <w:r w:rsidRPr="00324386">
        <w:rPr>
          <w:rFonts w:asciiTheme="minorHAnsi" w:eastAsiaTheme="minorHAnsi" w:hAnsiTheme="minorHAnsi" w:cstheme="minorHAnsi"/>
          <w:i/>
          <w:iCs/>
          <w:szCs w:val="24"/>
          <w:lang w:val="en-US"/>
        </w:rPr>
        <w:t>'  note</w:t>
      </w:r>
      <w:proofErr w:type="gramEnd"/>
      <w:r w:rsidRPr="00324386">
        <w:rPr>
          <w:rFonts w:asciiTheme="minorHAnsi" w:eastAsiaTheme="minorHAnsi" w:hAnsiTheme="minorHAnsi" w:cstheme="minorHAnsi"/>
          <w:i/>
          <w:iCs/>
          <w:szCs w:val="24"/>
          <w:lang w:val="en-US"/>
        </w:rPr>
        <w:t xml:space="preserve">: This article  was cleaned in informal  discussions then endorsed at the 5 February 2021  plenary meeting [of the Joint Statement Initiative on e-commerce.  </w:t>
      </w:r>
    </w:p>
    <w:p w14:paraId="5027781B" w14:textId="362EB65E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1. </w:t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ab/>
        <w:t xml:space="preserve">"Commercial electronic message" means an electronic message which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is sent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for commercial purposes to an electronic address of a person {FN1} </w:t>
      </w:r>
      <w:r w:rsidRPr="00324386">
        <w:rPr>
          <w:rFonts w:asciiTheme="minorHAnsi" w:eastAsiaTheme="minorHAnsi" w:hAnsiTheme="minorHAnsi" w:cstheme="minorHAnsi"/>
          <w:szCs w:val="24"/>
          <w:vertAlign w:val="superscript"/>
          <w:lang w:val="en-US"/>
        </w:rPr>
        <w:t xml:space="preserve">  </w:t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through telecommunication services, comprising at least electronic mail and to the extent provided for under domestic laws and regulations, the types of messages. "Unsolicited commercial electronic message" means a commercial electronic </w:t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lastRenderedPageBreak/>
        <w:t xml:space="preserve">message that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is sent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without the consent of the recipient or despite the explicit rejection of the recipient.</w:t>
      </w:r>
    </w:p>
    <w:p w14:paraId="15378571" w14:textId="0A7A53C1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2. </w:t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ab/>
        <w:t>[Parties/Members] recognize the importance of promoting confidence and trust in electronic commerce, including through transparent and effective measures that limit unsolicited commercial electronic messages. Each [Party/Member] shall adopt or maintain measures that:</w:t>
      </w:r>
    </w:p>
    <w:p w14:paraId="0E070D88" w14:textId="6FC860A0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(a) </w:t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ab/>
        <w:t>require suppliers of commercial electronic messages to facilitate the ability of recipients to prevent ongoing reception of those messages; or</w:t>
      </w:r>
    </w:p>
    <w:p w14:paraId="3F9EC6D7" w14:textId="6D17E73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(b) </w:t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ab/>
        <w:t xml:space="preserve">require the consent, as specified in the laws or regulations of each [Party/Member], of recipients to receive commercial electronic messages; or </w:t>
      </w:r>
    </w:p>
    <w:p w14:paraId="493EF4EE" w14:textId="0D388345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(c) </w:t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ab/>
        <w:t>otherwise provide for the minimization of unsolicited commercial electronic messages.</w:t>
      </w:r>
    </w:p>
    <w:p w14:paraId="0F472B9A" w14:textId="2F0768F3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3. </w:t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ab/>
        <w:t xml:space="preserve">Each [Party/Member] shall endeavor to ensure that commercial electronic messages are clearly identifiable as such, clearly disclose on whose behalf they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are sent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, and contain the necessary information to enable recipients to request cessation free of charge and at any time. </w:t>
      </w:r>
    </w:p>
    <w:p w14:paraId="38605DF4" w14:textId="447FD462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4. </w:t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ab/>
        <w:t>Each [Party/Member] shall provide access to either redress or recourse against suppliers of unsolicited commercial electronic messages that do not comply with the measures adopted or maintained pursuant to paragraph 2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.  </w:t>
      </w:r>
      <w:proofErr w:type="gramEnd"/>
    </w:p>
    <w:p w14:paraId="64013D85" w14:textId="0616278C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5. </w:t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ab/>
        <w:t>[Parties/Members] shall endeavor to cooperate in appropriate cases of mutual concern regarding the regulation of unsolicited commercial electronic messages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.  </w:t>
      </w:r>
      <w:proofErr w:type="gramEnd"/>
    </w:p>
    <w:p w14:paraId="1EA1F607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>{FN1}: For greater certainty, the “electronic address of a person” does not cover IP addresses.</w:t>
      </w:r>
    </w:p>
    <w:p w14:paraId="466834CC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6. As can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be seen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, the provision agreed in the WTO JSI in 2021 is far more detailed and prescriptive than the provision in the 2012 ITRs. </w:t>
      </w:r>
    </w:p>
    <w:p w14:paraId="26BE502D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7. Thus it appears that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many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Member States, in particular developed countries, are of the view that binding treaty-level provisions to combat spam are needed, and that they should be more detailed than the generic provision found in the 2012 ITRs.</w:t>
      </w:r>
    </w:p>
    <w:p w14:paraId="6E168E8F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8. Consequently, it appears that agreement on treaty-level provisions to combat spam is a new trend and/or and emerging issue in telecommunications/ICTs and its environment. (This has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lead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to comments from civil society</w:t>
      </w:r>
      <w:r w:rsidRPr="00324386">
        <w:rPr>
          <w:rFonts w:asciiTheme="minorHAnsi" w:eastAsiaTheme="minorHAnsi" w:hAnsiTheme="minorHAnsi" w:cstheme="minorHAnsi"/>
          <w:vertAlign w:val="superscript"/>
          <w:lang w:val="en-US"/>
        </w:rPr>
        <w:footnoteReference w:id="5"/>
      </w:r>
      <w:r w:rsidRPr="00324386">
        <w:rPr>
          <w:rFonts w:asciiTheme="minorHAnsi" w:eastAsiaTheme="minorHAnsi" w:hAnsiTheme="minorHAnsi" w:cstheme="minorHAnsi"/>
          <w:szCs w:val="24"/>
          <w:vertAlign w:val="superscript"/>
          <w:lang w:val="en-US"/>
        </w:rPr>
        <w:t xml:space="preserve">, </w:t>
      </w:r>
      <w:r w:rsidRPr="00324386">
        <w:rPr>
          <w:rFonts w:asciiTheme="minorHAnsi" w:eastAsiaTheme="minorHAnsi" w:hAnsiTheme="minorHAnsi" w:cstheme="minorHAnsi"/>
          <w:vertAlign w:val="superscript"/>
          <w:lang w:val="en-US"/>
        </w:rPr>
        <w:footnoteReference w:id="6"/>
      </w:r>
      <w:r w:rsidRPr="00324386">
        <w:rPr>
          <w:rFonts w:asciiTheme="minorHAnsi" w:eastAsiaTheme="minorHAnsi" w:hAnsiTheme="minorHAnsi" w:cstheme="minorHAnsi"/>
          <w:szCs w:val="24"/>
          <w:vertAlign w:val="superscript"/>
          <w:lang w:val="en-US"/>
        </w:rPr>
        <w:t xml:space="preserve">, </w:t>
      </w:r>
      <w:r w:rsidRPr="00324386">
        <w:rPr>
          <w:rFonts w:asciiTheme="minorHAnsi" w:eastAsiaTheme="minorHAnsi" w:hAnsiTheme="minorHAnsi" w:cstheme="minorHAnsi"/>
          <w:vertAlign w:val="superscript"/>
          <w:lang w:val="en-US"/>
        </w:rPr>
        <w:footnoteReference w:id="7"/>
      </w: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.) </w:t>
      </w:r>
    </w:p>
    <w:p w14:paraId="7267F756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9. Further, since new provisions are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being proposed/agreed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>, it appears that the provisions of the 2012 ITRs do not provide appropriate high-level guiding principles in the current telecommunication/ICT environment.</w:t>
      </w:r>
    </w:p>
    <w:p w14:paraId="198893F5" w14:textId="77777777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10. Therefore, Member States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are invited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to consider the situation and to consider how to address it in the context of the review of the ITRs.</w:t>
      </w:r>
    </w:p>
    <w:p w14:paraId="27A0DF45" w14:textId="4A520094" w:rsidR="0090547E" w:rsidRPr="00324386" w:rsidRDefault="0090547E" w:rsidP="009054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lastRenderedPageBreak/>
        <w:t xml:space="preserve">11. We note in passing that the footnote {FN1} in the WTO provision would appear to allow spam to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be sent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to an IP address; this could result in unwanted messages being sent directly to a user’s personal computer or smartphone, by targeting their IP address. For example, unwanted advertising could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be sent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directly to a personal computer or smartphone. Perhaps this was intended, in order to enshrine in a binding international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treaty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the current Internet funding model based on targeted advertising. Or perhaps it was not </w:t>
      </w:r>
      <w:proofErr w:type="gramStart"/>
      <w:r w:rsidRPr="00324386">
        <w:rPr>
          <w:rFonts w:asciiTheme="minorHAnsi" w:eastAsiaTheme="minorHAnsi" w:hAnsiTheme="minorHAnsi" w:cstheme="minorHAnsi"/>
          <w:szCs w:val="24"/>
          <w:lang w:val="en-US"/>
        </w:rPr>
        <w:t>intended, and</w:t>
      </w:r>
      <w:proofErr w:type="gramEnd"/>
      <w:r w:rsidRPr="00324386">
        <w:rPr>
          <w:rFonts w:asciiTheme="minorHAnsi" w:eastAsiaTheme="minorHAnsi" w:hAnsiTheme="minorHAnsi" w:cstheme="minorHAnsi"/>
          <w:szCs w:val="24"/>
          <w:lang w:val="en-US"/>
        </w:rPr>
        <w:t xml:space="preserve"> is a reflection of possible lack of technical knowledge by WTO negotiators.</w:t>
      </w:r>
    </w:p>
    <w:p w14:paraId="61A2158F" w14:textId="22F65278" w:rsidR="0090547E" w:rsidRPr="00324386" w:rsidRDefault="0090547E" w:rsidP="0032438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324386">
        <w:rPr>
          <w:rFonts w:asciiTheme="minorHAnsi" w:eastAsiaTheme="minorHAnsi" w:hAnsiTheme="minorHAnsi" w:cstheme="minorHAnsi"/>
          <w:szCs w:val="24"/>
          <w:lang w:val="en-US"/>
        </w:rPr>
        <w:t>___________</w:t>
      </w:r>
      <w:r w:rsidR="00324386">
        <w:rPr>
          <w:rFonts w:asciiTheme="minorHAnsi" w:eastAsiaTheme="minorHAnsi" w:hAnsiTheme="minorHAnsi" w:cstheme="minorHAnsi"/>
          <w:szCs w:val="24"/>
          <w:lang w:val="en-US"/>
        </w:rPr>
        <w:t>________-</w:t>
      </w:r>
    </w:p>
    <w:sectPr w:rsidR="0090547E" w:rsidRPr="00324386" w:rsidSect="00AD3606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9B59" w14:textId="77777777" w:rsidR="00346E27" w:rsidRDefault="00346E27">
      <w:r>
        <w:separator/>
      </w:r>
    </w:p>
  </w:endnote>
  <w:endnote w:type="continuationSeparator" w:id="0">
    <w:p w14:paraId="49899D36" w14:textId="77777777" w:rsidR="00346E27" w:rsidRDefault="0034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3A8CB8" w14:textId="77777777" w:rsidTr="0042469C">
      <w:trPr>
        <w:jc w:val="center"/>
      </w:trPr>
      <w:tc>
        <w:tcPr>
          <w:tcW w:w="1803" w:type="dxa"/>
          <w:vAlign w:val="center"/>
        </w:tcPr>
        <w:p w14:paraId="04F3FD82" w14:textId="52C5D614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24386">
            <w:rPr>
              <w:noProof/>
            </w:rPr>
            <w:t>528169</w:t>
          </w:r>
        </w:p>
      </w:tc>
      <w:tc>
        <w:tcPr>
          <w:tcW w:w="8261" w:type="dxa"/>
        </w:tcPr>
        <w:p w14:paraId="1F512664" w14:textId="447240C0" w:rsidR="00EE49E8" w:rsidRPr="00E06FD5" w:rsidRDefault="00EE49E8" w:rsidP="00587FD7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="00A52C84" w:rsidRPr="00623AE3">
            <w:rPr>
              <w:bCs/>
            </w:rPr>
            <w:t>/</w:t>
          </w:r>
          <w:r w:rsidR="00324386">
            <w:rPr>
              <w:bCs/>
            </w:rPr>
            <w:t>2</w:t>
          </w:r>
          <w:r w:rsidR="00587FD7">
            <w:rPr>
              <w:bCs/>
            </w:rPr>
            <w:t>Add</w:t>
          </w:r>
          <w:r w:rsidR="00BB7DEF">
            <w:rPr>
              <w:bCs/>
            </w:rPr>
            <w:t>7</w:t>
          </w:r>
          <w:r>
            <w:rPr>
              <w:bCs/>
            </w:rPr>
            <w:tab/>
          </w:r>
          <w:r w:rsidR="006F75B1">
            <w:fldChar w:fldCharType="begin"/>
          </w:r>
          <w:r>
            <w:instrText>PAGE</w:instrText>
          </w:r>
          <w:r w:rsidR="006F75B1">
            <w:fldChar w:fldCharType="separate"/>
          </w:r>
          <w:r w:rsidR="00BB7DEF">
            <w:rPr>
              <w:noProof/>
            </w:rPr>
            <w:t>4</w:t>
          </w:r>
          <w:r w:rsidR="006F75B1">
            <w:rPr>
              <w:noProof/>
            </w:rPr>
            <w:fldChar w:fldCharType="end"/>
          </w:r>
        </w:p>
      </w:tc>
    </w:tr>
  </w:tbl>
  <w:p w14:paraId="6C351FC5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646FBC2D" w14:textId="77777777" w:rsidTr="00A52C84">
      <w:trPr>
        <w:jc w:val="center"/>
      </w:trPr>
      <w:tc>
        <w:tcPr>
          <w:tcW w:w="3107" w:type="dxa"/>
          <w:vAlign w:val="center"/>
        </w:tcPr>
        <w:p w14:paraId="46459EA0" w14:textId="77777777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77E34234" w14:textId="7435F451" w:rsidR="00EE49E8" w:rsidRPr="00E06FD5" w:rsidRDefault="00EE49E8" w:rsidP="00B16B01">
          <w:pPr>
            <w:pStyle w:val="Header"/>
            <w:tabs>
              <w:tab w:val="left" w:pos="48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Pr="00623AE3">
            <w:rPr>
              <w:bCs/>
            </w:rPr>
            <w:t>/</w:t>
          </w:r>
          <w:r w:rsidR="00324386">
            <w:rPr>
              <w:bCs/>
            </w:rPr>
            <w:t>2</w:t>
          </w:r>
          <w:r w:rsidR="00935AF3">
            <w:rPr>
              <w:bCs/>
            </w:rPr>
            <w:t>Add</w:t>
          </w:r>
          <w:r w:rsidR="00324386">
            <w:rPr>
              <w:bCs/>
            </w:rPr>
            <w:t>7</w:t>
          </w:r>
          <w:r>
            <w:rPr>
              <w:bCs/>
            </w:rPr>
            <w:tab/>
          </w:r>
          <w:r w:rsidR="006F75B1">
            <w:fldChar w:fldCharType="begin"/>
          </w:r>
          <w:r>
            <w:instrText>PAGE</w:instrText>
          </w:r>
          <w:r w:rsidR="006F75B1">
            <w:fldChar w:fldCharType="separate"/>
          </w:r>
          <w:r w:rsidR="00BB7DEF">
            <w:rPr>
              <w:noProof/>
            </w:rPr>
            <w:t>1</w:t>
          </w:r>
          <w:r w:rsidR="006F75B1">
            <w:rPr>
              <w:noProof/>
            </w:rPr>
            <w:fldChar w:fldCharType="end"/>
          </w:r>
        </w:p>
      </w:tc>
    </w:tr>
  </w:tbl>
  <w:p w14:paraId="2D92EAC8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1051" w14:textId="77777777" w:rsidR="00346E27" w:rsidRDefault="00346E27">
      <w:r>
        <w:t>____________________</w:t>
      </w:r>
    </w:p>
  </w:footnote>
  <w:footnote w:type="continuationSeparator" w:id="0">
    <w:p w14:paraId="4D2E4EA9" w14:textId="77777777" w:rsidR="00346E27" w:rsidRDefault="00346E27">
      <w:r>
        <w:continuationSeparator/>
      </w:r>
    </w:p>
  </w:footnote>
  <w:footnote w:id="1">
    <w:p w14:paraId="54FA07BA" w14:textId="77777777" w:rsidR="00587FD7" w:rsidRDefault="00587FD7" w:rsidP="00587F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515CB">
          <w:rPr>
            <w:rStyle w:val="Hyperlink"/>
          </w:rPr>
          <w:t>https://www.itu.int/md/S23-CL-C-0121/en</w:t>
        </w:r>
      </w:hyperlink>
      <w:r>
        <w:t xml:space="preserve"> </w:t>
      </w:r>
    </w:p>
  </w:footnote>
  <w:footnote w:id="2">
    <w:p w14:paraId="17074A1B" w14:textId="77777777" w:rsidR="0090547E" w:rsidRDefault="0090547E" w:rsidP="0090547E">
      <w:pPr>
        <w:pStyle w:val="FootnoteText"/>
      </w:pPr>
      <w:r>
        <w:rPr>
          <w:rStyle w:val="FootnoteReference"/>
        </w:rPr>
        <w:footnoteRef/>
      </w:r>
      <w:r>
        <w:t xml:space="preserve"> Hill, Richard (2013) </w:t>
      </w:r>
      <w:hyperlink r:id="rId2" w:history="1">
        <w:r w:rsidRPr="00C47FFB">
          <w:rPr>
            <w:rStyle w:val="Hyperlink"/>
          </w:rPr>
          <w:t>"WCIT: failure or success, impasse or way forward?"</w:t>
        </w:r>
      </w:hyperlink>
      <w:r w:rsidRPr="00C47FFB">
        <w:t xml:space="preserve">, </w:t>
      </w:r>
      <w:r w:rsidRPr="00C47FFB">
        <w:rPr>
          <w:i/>
          <w:iCs/>
        </w:rPr>
        <w:t xml:space="preserve">International Journal of Law and Information Technology, </w:t>
      </w:r>
      <w:r w:rsidRPr="00C47FFB">
        <w:t>vol. 21 no. 3, p. 313,  DOI:10.1093/</w:t>
      </w:r>
      <w:proofErr w:type="spellStart"/>
      <w:r w:rsidRPr="00C47FFB">
        <w:t>ijlit</w:t>
      </w:r>
      <w:proofErr w:type="spellEnd"/>
      <w:r w:rsidRPr="00C47FFB">
        <w:t>/eat008</w:t>
      </w:r>
    </w:p>
  </w:footnote>
  <w:footnote w:id="3">
    <w:p w14:paraId="0DB2B7FE" w14:textId="77777777" w:rsidR="0090547E" w:rsidRDefault="0090547E" w:rsidP="0090547E">
      <w:pPr>
        <w:pStyle w:val="FootnoteText"/>
      </w:pPr>
      <w:r>
        <w:rPr>
          <w:rStyle w:val="FootnoteReference"/>
        </w:rPr>
        <w:footnoteRef/>
      </w:r>
      <w:r>
        <w:t xml:space="preserve"> Hill, Richard (2013) </w:t>
      </w:r>
      <w:r w:rsidRPr="00206DCC">
        <w:rPr>
          <w:i/>
          <w:iCs/>
        </w:rPr>
        <w:t xml:space="preserve">The New International Telecommunications Regulations and the Internet: A Commentary and Legislative </w:t>
      </w:r>
      <w:proofErr w:type="spellStart"/>
      <w:proofErr w:type="gramStart"/>
      <w:r w:rsidRPr="00206DCC">
        <w:rPr>
          <w:i/>
          <w:iCs/>
        </w:rPr>
        <w:t>History</w:t>
      </w:r>
      <w:r>
        <w:t>,S</w:t>
      </w:r>
      <w:r w:rsidRPr="00206DCC">
        <w:t>chulthess</w:t>
      </w:r>
      <w:proofErr w:type="spellEnd"/>
      <w:proofErr w:type="gramEnd"/>
      <w:r w:rsidRPr="00206DCC">
        <w:t>/Springer</w:t>
      </w:r>
      <w:r>
        <w:t>, p. 75</w:t>
      </w:r>
    </w:p>
  </w:footnote>
  <w:footnote w:id="4">
    <w:p w14:paraId="1C493802" w14:textId="77777777" w:rsidR="0090547E" w:rsidRDefault="0090547E" w:rsidP="009054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433CDE">
          <w:rPr>
            <w:rStyle w:val="Hyperlink"/>
          </w:rPr>
          <w:t>https://www.itu.int/en/council/cwg-internet/Pages/display-oct2021.aspx?ListItemID=8</w:t>
        </w:r>
      </w:hyperlink>
      <w:r>
        <w:t xml:space="preserve"> </w:t>
      </w:r>
      <w:r>
        <w:br/>
        <w:t xml:space="preserve"> </w:t>
      </w:r>
      <w:hyperlink r:id="rId4" w:history="1">
        <w:r>
          <w:rPr>
            <w:rStyle w:val="Hyperlink"/>
          </w:rPr>
          <w:t>http://www.apig.ch/CWG-Internet%202021-2bis.pdf</w:t>
        </w:r>
      </w:hyperlink>
      <w:r>
        <w:t xml:space="preserve"> </w:t>
      </w:r>
    </w:p>
  </w:footnote>
  <w:footnote w:id="5">
    <w:p w14:paraId="3FF66910" w14:textId="77777777" w:rsidR="0090547E" w:rsidRDefault="0090547E" w:rsidP="009054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790D5D">
          <w:rPr>
            <w:rStyle w:val="Hyperlink"/>
          </w:rPr>
          <w:t>https://www.newsclick.in/Why-Spam-Trade-Issue-Suits-Dominant-Developed-Countries</w:t>
        </w:r>
      </w:hyperlink>
      <w:r>
        <w:t xml:space="preserve"> </w:t>
      </w:r>
    </w:p>
  </w:footnote>
  <w:footnote w:id="6">
    <w:p w14:paraId="6B295776" w14:textId="77777777" w:rsidR="0090547E" w:rsidRDefault="0090547E" w:rsidP="009054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790D5D">
          <w:rPr>
            <w:rStyle w:val="Hyperlink"/>
          </w:rPr>
          <w:t>http://apig.ch/WTO%20ITU%20overlaps%20paper.pdf</w:t>
        </w:r>
      </w:hyperlink>
      <w:r>
        <w:t xml:space="preserve"> </w:t>
      </w:r>
    </w:p>
  </w:footnote>
  <w:footnote w:id="7">
    <w:p w14:paraId="2C0D431A" w14:textId="77777777" w:rsidR="0090547E" w:rsidRDefault="0090547E" w:rsidP="0090547E">
      <w:pPr>
        <w:pStyle w:val="FootnoteText"/>
      </w:pPr>
      <w:r>
        <w:rPr>
          <w:rStyle w:val="FootnoteReference"/>
        </w:rPr>
        <w:footnoteRef/>
      </w:r>
      <w:r>
        <w:t xml:space="preserve"> Hill, Richard (2020) </w:t>
      </w:r>
      <w:r w:rsidRPr="00790D5D">
        <w:t>“</w:t>
      </w:r>
      <w:hyperlink r:id="rId7" w:history="1">
        <w:r w:rsidRPr="00790D5D">
          <w:rPr>
            <w:rStyle w:val="Hyperlink"/>
          </w:rPr>
          <w:t>A New Convention for Data and Cyberspace</w:t>
        </w:r>
      </w:hyperlink>
      <w:r w:rsidRPr="00790D5D">
        <w:t xml:space="preserve">”, in the call for a </w:t>
      </w:r>
      <w:hyperlink r:id="rId8" w:history="1">
        <w:r w:rsidRPr="00790D5D">
          <w:rPr>
            <w:rStyle w:val="Hyperlink"/>
          </w:rPr>
          <w:t>Digital New Deal</w:t>
        </w:r>
      </w:hyperlink>
      <w:r w:rsidRPr="00790D5D">
        <w:t xml:space="preserve"> (October 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3CBE7D01" w14:textId="77777777" w:rsidTr="00F74694">
      <w:trPr>
        <w:trHeight w:val="1304"/>
        <w:jc w:val="center"/>
      </w:trPr>
      <w:tc>
        <w:tcPr>
          <w:tcW w:w="6546" w:type="dxa"/>
        </w:tcPr>
        <w:p w14:paraId="15B6F8FA" w14:textId="3F13BEE3" w:rsidR="00AD3606" w:rsidRPr="009621F8" w:rsidRDefault="00D046BE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21CC274" wp14:editId="35ACBE78">
                    <wp:simplePos x="0" y="0"/>
                    <wp:positionH relativeFrom="column">
                      <wp:posOffset>570230</wp:posOffset>
                    </wp:positionH>
                    <wp:positionV relativeFrom="paragraph">
                      <wp:posOffset>63500</wp:posOffset>
                    </wp:positionV>
                    <wp:extent cx="1652905" cy="541020"/>
                    <wp:effectExtent l="0" t="0" r="0" b="0"/>
                    <wp:wrapNone/>
                    <wp:docPr id="123677524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2905" cy="5410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ECBB441" id="Rectangle 3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" fillcolor="white [3212]" stroked="f" strokeweight="2pt"/>
                </w:pict>
              </mc:Fallback>
            </mc:AlternateContent>
          </w:r>
          <w:r w:rsidR="00AD3606">
            <w:rPr>
              <w:noProof/>
              <w:lang w:val="en-US"/>
            </w:rPr>
            <w:drawing>
              <wp:inline distT="0" distB="0" distL="0" distR="0" wp14:anchorId="545CD23A" wp14:editId="07F9DF1A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77A504F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A67B71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E8101A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72CE54BE" w14:textId="133674A1" w:rsidR="00AD3606" w:rsidRDefault="00D046BE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F0AEBB" wp14:editId="286A5B1F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0" b="0"/>
              <wp:wrapNone/>
              <wp:docPr id="82524724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B1F36" id="Rectangle 2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BFDF3" wp14:editId="755D0523">
              <wp:simplePos x="0" y="0"/>
              <wp:positionH relativeFrom="column">
                <wp:posOffset>306705</wp:posOffset>
              </wp:positionH>
              <wp:positionV relativeFrom="paragraph">
                <wp:posOffset>-835660</wp:posOffset>
              </wp:positionV>
              <wp:extent cx="3999230" cy="618490"/>
              <wp:effectExtent l="0" t="0" r="0" b="0"/>
              <wp:wrapNone/>
              <wp:docPr id="8721467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246EB" w14:textId="77777777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950BC7">
                            <w:rPr>
                              <w:sz w:val="20"/>
                            </w:rPr>
                            <w:t>First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>
                            <w:rPr>
                              <w:sz w:val="20"/>
                            </w:rPr>
                            <w:t>Monday, 16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BFD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.15pt;margin-top:-65.8pt;width:314.9pt;height: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" filled="f" stroked="f">
              <v:textbox style="mso-fit-shape-to-text:t">
                <w:txbxContent>
                  <w:p w14:paraId="49D246EB" w14:textId="77777777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950BC7">
                      <w:rPr>
                        <w:sz w:val="20"/>
                      </w:rPr>
                      <w:t>First</w:t>
                    </w:r>
                    <w:r w:rsidR="00130599" w:rsidRPr="00130599">
                      <w:rPr>
                        <w:sz w:val="20"/>
                      </w:rPr>
                      <w:t xml:space="preserve"> meeting - </w:t>
                    </w:r>
                    <w:r>
                      <w:rPr>
                        <w:sz w:val="20"/>
                      </w:rPr>
                      <w:t>Monday, 16</w:t>
                    </w:r>
                    <w:r w:rsidR="00130599" w:rsidRPr="00130599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13333C"/>
    <w:multiLevelType w:val="multilevel"/>
    <w:tmpl w:val="6CE035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463567">
    <w:abstractNumId w:val="0"/>
  </w:num>
  <w:num w:numId="2" w16cid:durableId="1767267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57973"/>
    <w:rsid w:val="00264425"/>
    <w:rsid w:val="00265875"/>
    <w:rsid w:val="0027303B"/>
    <w:rsid w:val="0028109B"/>
    <w:rsid w:val="00291CBF"/>
    <w:rsid w:val="00293B38"/>
    <w:rsid w:val="002A2188"/>
    <w:rsid w:val="002B1F58"/>
    <w:rsid w:val="002C1C7A"/>
    <w:rsid w:val="002C54E2"/>
    <w:rsid w:val="0030160F"/>
    <w:rsid w:val="00320223"/>
    <w:rsid w:val="00322D0D"/>
    <w:rsid w:val="00324386"/>
    <w:rsid w:val="00346E27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77D43"/>
    <w:rsid w:val="00484009"/>
    <w:rsid w:val="00490E72"/>
    <w:rsid w:val="00491157"/>
    <w:rsid w:val="004921C8"/>
    <w:rsid w:val="00495B0B"/>
    <w:rsid w:val="004A1B8B"/>
    <w:rsid w:val="004C39C1"/>
    <w:rsid w:val="004D1851"/>
    <w:rsid w:val="004D599D"/>
    <w:rsid w:val="004D648B"/>
    <w:rsid w:val="004E2EA5"/>
    <w:rsid w:val="004E3AEB"/>
    <w:rsid w:val="0050223C"/>
    <w:rsid w:val="0052249C"/>
    <w:rsid w:val="005243FF"/>
    <w:rsid w:val="00564FBC"/>
    <w:rsid w:val="005800BC"/>
    <w:rsid w:val="00580EB9"/>
    <w:rsid w:val="00582442"/>
    <w:rsid w:val="00587FD7"/>
    <w:rsid w:val="005A335D"/>
    <w:rsid w:val="005D69E8"/>
    <w:rsid w:val="005E2BD5"/>
    <w:rsid w:val="005E57F6"/>
    <w:rsid w:val="005F3269"/>
    <w:rsid w:val="00616C10"/>
    <w:rsid w:val="00623AE3"/>
    <w:rsid w:val="00636853"/>
    <w:rsid w:val="0064737F"/>
    <w:rsid w:val="006535F1"/>
    <w:rsid w:val="0065557D"/>
    <w:rsid w:val="00660D50"/>
    <w:rsid w:val="00662984"/>
    <w:rsid w:val="006716BB"/>
    <w:rsid w:val="006819A4"/>
    <w:rsid w:val="006B1859"/>
    <w:rsid w:val="006B6680"/>
    <w:rsid w:val="006B6DCC"/>
    <w:rsid w:val="006C11BB"/>
    <w:rsid w:val="006F75B1"/>
    <w:rsid w:val="00702DEF"/>
    <w:rsid w:val="00706861"/>
    <w:rsid w:val="00745D44"/>
    <w:rsid w:val="0075051B"/>
    <w:rsid w:val="00775655"/>
    <w:rsid w:val="00793188"/>
    <w:rsid w:val="00794D34"/>
    <w:rsid w:val="00794DFC"/>
    <w:rsid w:val="00813E5E"/>
    <w:rsid w:val="008210AF"/>
    <w:rsid w:val="008321DD"/>
    <w:rsid w:val="0083581B"/>
    <w:rsid w:val="00863874"/>
    <w:rsid w:val="00864283"/>
    <w:rsid w:val="00864AFF"/>
    <w:rsid w:val="00865925"/>
    <w:rsid w:val="0088630E"/>
    <w:rsid w:val="008B056B"/>
    <w:rsid w:val="008B4A6A"/>
    <w:rsid w:val="008C7E27"/>
    <w:rsid w:val="008F7448"/>
    <w:rsid w:val="0090147A"/>
    <w:rsid w:val="0090547E"/>
    <w:rsid w:val="009173EF"/>
    <w:rsid w:val="00932906"/>
    <w:rsid w:val="00935AF3"/>
    <w:rsid w:val="00950BC7"/>
    <w:rsid w:val="00961B0B"/>
    <w:rsid w:val="00962D33"/>
    <w:rsid w:val="00987A8E"/>
    <w:rsid w:val="009B38C3"/>
    <w:rsid w:val="009E17BD"/>
    <w:rsid w:val="009E485A"/>
    <w:rsid w:val="00A028B5"/>
    <w:rsid w:val="00A04CEC"/>
    <w:rsid w:val="00A27F92"/>
    <w:rsid w:val="00A32257"/>
    <w:rsid w:val="00A36D20"/>
    <w:rsid w:val="00A377D7"/>
    <w:rsid w:val="00A514A4"/>
    <w:rsid w:val="00A52C84"/>
    <w:rsid w:val="00A55622"/>
    <w:rsid w:val="00A83502"/>
    <w:rsid w:val="00AA12A2"/>
    <w:rsid w:val="00AB44C3"/>
    <w:rsid w:val="00AD15B3"/>
    <w:rsid w:val="00AD3606"/>
    <w:rsid w:val="00AD4A3D"/>
    <w:rsid w:val="00AF6E49"/>
    <w:rsid w:val="00B04A67"/>
    <w:rsid w:val="00B0583C"/>
    <w:rsid w:val="00B16B01"/>
    <w:rsid w:val="00B40A81"/>
    <w:rsid w:val="00B4436B"/>
    <w:rsid w:val="00B44910"/>
    <w:rsid w:val="00B72267"/>
    <w:rsid w:val="00B76EB6"/>
    <w:rsid w:val="00B7737B"/>
    <w:rsid w:val="00B824C8"/>
    <w:rsid w:val="00B84B9D"/>
    <w:rsid w:val="00BB7DEF"/>
    <w:rsid w:val="00BC251A"/>
    <w:rsid w:val="00BD032B"/>
    <w:rsid w:val="00BE2640"/>
    <w:rsid w:val="00BF0749"/>
    <w:rsid w:val="00C01189"/>
    <w:rsid w:val="00C139BA"/>
    <w:rsid w:val="00C34A7F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46BE"/>
    <w:rsid w:val="00D06183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A692C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A9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F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587FD7"/>
    <w:pPr>
      <w:tabs>
        <w:tab w:val="left" w:pos="256"/>
      </w:tabs>
      <w:spacing w:before="0"/>
    </w:pPr>
    <w:rPr>
      <w:sz w:val="20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tforchange.net/digital-new-deal/" TargetMode="External"/><Relationship Id="rId3" Type="http://schemas.openxmlformats.org/officeDocument/2006/relationships/hyperlink" Target="https://www.itu.int/en/council/cwg-internet/Pages/display-oct2021.aspx?ListItemID=8" TargetMode="External"/><Relationship Id="rId7" Type="http://schemas.openxmlformats.org/officeDocument/2006/relationships/hyperlink" Target="https://itforchange.net/digital-new-deal/2020/10/30/a-new-convention-for-data-and-cyberspace/" TargetMode="External"/><Relationship Id="rId2" Type="http://schemas.openxmlformats.org/officeDocument/2006/relationships/hyperlink" Target="http://ijlit.oxfordjournals.org/content/21/3/313.abstract" TargetMode="External"/><Relationship Id="rId1" Type="http://schemas.openxmlformats.org/officeDocument/2006/relationships/hyperlink" Target="https://www.itu.int/md/S23-CL-C-0121/en" TargetMode="External"/><Relationship Id="rId6" Type="http://schemas.openxmlformats.org/officeDocument/2006/relationships/hyperlink" Target="http://apig.ch/WTO%20ITU%20overlaps%20paper.pdf" TargetMode="External"/><Relationship Id="rId5" Type="http://schemas.openxmlformats.org/officeDocument/2006/relationships/hyperlink" Target="https://www.newsclick.in/Why-Spam-Trade-Issue-Suits-Dominant-Developed-Countries" TargetMode="External"/><Relationship Id="rId4" Type="http://schemas.openxmlformats.org/officeDocument/2006/relationships/hyperlink" Target="http://www.apig.ch/CWG-Internet%202021-2b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C920-96F4-4726-9D7E-358BA1BC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Hill - Art. 7: Unsolicited bulk electronic communications</dc:title>
  <dc:subject>Expert Group on the International Telecommunication Regulations</dc:subject>
  <dc:creator/>
  <cp:keywords>EG-ITRs, C23, Council-23, C23-ADD</cp:keywords>
  <dc:description/>
  <cp:lastModifiedBy/>
  <cp:revision>1</cp:revision>
  <dcterms:created xsi:type="dcterms:W3CDTF">2023-09-18T14:52:00Z</dcterms:created>
  <dcterms:modified xsi:type="dcterms:W3CDTF">2023-09-18T14:59:00Z</dcterms:modified>
  <cp:category>Conference document</cp:category>
</cp:coreProperties>
</file>